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2E7488" w14:textId="240B604D" w:rsidR="006D4DE5" w:rsidRPr="00F66494" w:rsidRDefault="00E81862" w:rsidP="006D4DE5">
      <w:pPr>
        <w:pStyle w:val="Covertitle"/>
        <w:rPr>
          <w:rFonts w:cs="Calibri"/>
        </w:rPr>
      </w:pPr>
      <w:bookmarkStart w:id="0" w:name="_Ref62130840"/>
      <w:bookmarkEnd w:id="0"/>
      <w:r w:rsidRPr="00ED0134">
        <w:rPr>
          <w:rFonts w:cs="Segoe UI"/>
          <w:b/>
          <w:noProof/>
          <w:color w:val="FFFFFF" w:themeColor="background1"/>
          <w:sz w:val="64"/>
          <w:szCs w:val="64"/>
        </w:rPr>
        <w:drawing>
          <wp:anchor distT="0" distB="0" distL="114300" distR="114300" simplePos="0" relativeHeight="251655170" behindDoc="1" locked="0" layoutInCell="1" allowOverlap="1" wp14:anchorId="11668D12" wp14:editId="28543DB7">
            <wp:simplePos x="0" y="0"/>
            <wp:positionH relativeFrom="margin">
              <wp:posOffset>-959816</wp:posOffset>
            </wp:positionH>
            <wp:positionV relativeFrom="page">
              <wp:posOffset>0</wp:posOffset>
            </wp:positionV>
            <wp:extent cx="7559998" cy="10693741"/>
            <wp:effectExtent l="0" t="0" r="3175" b="0"/>
            <wp:wrapNone/>
            <wp:docPr id="27870" name="Picture 27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cover_blue murmuration1_portrait.png"/>
                    <pic:cNvPicPr/>
                  </pic:nvPicPr>
                  <pic:blipFill>
                    <a:blip r:embed="rId12">
                      <a:extLst>
                        <a:ext uri="{28A0092B-C50C-407E-A947-70E740481C1C}">
                          <a14:useLocalDpi xmlns:a14="http://schemas.microsoft.com/office/drawing/2010/main" val="0"/>
                        </a:ext>
                      </a:extLst>
                    </a:blip>
                    <a:stretch>
                      <a:fillRect/>
                    </a:stretch>
                  </pic:blipFill>
                  <pic:spPr>
                    <a:xfrm>
                      <a:off x="0" y="0"/>
                      <a:ext cx="7559998" cy="10693741"/>
                    </a:xfrm>
                    <a:prstGeom prst="rect">
                      <a:avLst/>
                    </a:prstGeom>
                  </pic:spPr>
                </pic:pic>
              </a:graphicData>
            </a:graphic>
            <wp14:sizeRelH relativeFrom="page">
              <wp14:pctWidth>0</wp14:pctWidth>
            </wp14:sizeRelH>
            <wp14:sizeRelV relativeFrom="page">
              <wp14:pctHeight>0</wp14:pctHeight>
            </wp14:sizeRelV>
          </wp:anchor>
        </w:drawing>
      </w:r>
    </w:p>
    <w:p w14:paraId="4D397D84" w14:textId="77777777" w:rsidR="006D4DE5" w:rsidRPr="00F66494" w:rsidRDefault="006D4DE5" w:rsidP="006D4DE5">
      <w:pPr>
        <w:pStyle w:val="Covertitle"/>
        <w:rPr>
          <w:rFonts w:cs="Calibri"/>
        </w:rPr>
      </w:pPr>
    </w:p>
    <w:p w14:paraId="31911163" w14:textId="77777777" w:rsidR="006D4DE5" w:rsidRPr="00F66494" w:rsidRDefault="006D4DE5" w:rsidP="006D4DE5">
      <w:pPr>
        <w:pStyle w:val="Covertitle"/>
        <w:rPr>
          <w:rFonts w:cs="Calibri"/>
          <w:sz w:val="30"/>
          <w:szCs w:val="30"/>
        </w:rPr>
      </w:pPr>
    </w:p>
    <w:p w14:paraId="2554D40A" w14:textId="77777777" w:rsidR="006D4DE5" w:rsidRPr="00F66494" w:rsidRDefault="006D4DE5" w:rsidP="006D4DE5">
      <w:pPr>
        <w:pStyle w:val="Covertitle"/>
        <w:rPr>
          <w:rFonts w:cs="Calibri"/>
          <w:sz w:val="30"/>
          <w:szCs w:val="30"/>
        </w:rPr>
      </w:pPr>
    </w:p>
    <w:p w14:paraId="42574BA4" w14:textId="77777777" w:rsidR="006D4DE5" w:rsidRPr="00F66494" w:rsidRDefault="006D4DE5" w:rsidP="006D4DE5">
      <w:pPr>
        <w:pStyle w:val="Covertitle"/>
        <w:rPr>
          <w:rFonts w:cs="Calibri"/>
          <w:sz w:val="30"/>
          <w:szCs w:val="30"/>
        </w:rPr>
      </w:pPr>
    </w:p>
    <w:p w14:paraId="29FD9B69" w14:textId="77777777" w:rsidR="006D4DE5" w:rsidRPr="00F66494" w:rsidRDefault="006D4DE5" w:rsidP="006D4DE5">
      <w:pPr>
        <w:pStyle w:val="Covertitle"/>
        <w:rPr>
          <w:rFonts w:cs="Calibri"/>
          <w:sz w:val="30"/>
          <w:szCs w:val="30"/>
        </w:rPr>
      </w:pPr>
    </w:p>
    <w:p w14:paraId="013FD3E7" w14:textId="77777777" w:rsidR="006D4DE5" w:rsidRPr="00F66494" w:rsidRDefault="006D4DE5" w:rsidP="006D4DE5">
      <w:pPr>
        <w:pStyle w:val="Covertitle"/>
        <w:rPr>
          <w:rFonts w:cs="Calibri"/>
          <w:sz w:val="30"/>
          <w:szCs w:val="30"/>
        </w:rPr>
      </w:pPr>
    </w:p>
    <w:p w14:paraId="08B106B5" w14:textId="77777777" w:rsidR="006D4DE5" w:rsidRPr="00F66494" w:rsidRDefault="006D4DE5" w:rsidP="006D4DE5">
      <w:pPr>
        <w:pStyle w:val="Covertitle"/>
        <w:rPr>
          <w:rFonts w:cs="Calibri"/>
          <w:sz w:val="30"/>
          <w:szCs w:val="30"/>
        </w:rPr>
      </w:pPr>
    </w:p>
    <w:p w14:paraId="0A5B13AB" w14:textId="77777777" w:rsidR="006D4DE5" w:rsidRPr="00F66494" w:rsidRDefault="006D4DE5" w:rsidP="006D4DE5">
      <w:pPr>
        <w:pStyle w:val="Covertitle"/>
        <w:rPr>
          <w:rFonts w:cs="Calibri"/>
          <w:sz w:val="30"/>
          <w:szCs w:val="30"/>
        </w:rPr>
      </w:pPr>
    </w:p>
    <w:p w14:paraId="630E31CA" w14:textId="77777777" w:rsidR="006D4DE5" w:rsidRPr="00F66494" w:rsidRDefault="006D4DE5" w:rsidP="006D4DE5">
      <w:pPr>
        <w:pStyle w:val="Covertitle"/>
        <w:rPr>
          <w:rFonts w:cs="Calibri"/>
          <w:sz w:val="30"/>
          <w:szCs w:val="30"/>
        </w:rPr>
      </w:pPr>
    </w:p>
    <w:p w14:paraId="32991073" w14:textId="77777777" w:rsidR="006D4DE5" w:rsidRPr="00F66494" w:rsidRDefault="006D4DE5" w:rsidP="006D4DE5">
      <w:pPr>
        <w:pStyle w:val="Covertitle"/>
        <w:rPr>
          <w:rFonts w:cs="Calibri"/>
          <w:sz w:val="30"/>
          <w:szCs w:val="30"/>
        </w:rPr>
      </w:pPr>
    </w:p>
    <w:p w14:paraId="3518E9E3" w14:textId="77777777" w:rsidR="006D4DE5" w:rsidRPr="00F66494" w:rsidRDefault="006D4DE5" w:rsidP="006D4DE5">
      <w:pPr>
        <w:pStyle w:val="Covertitle"/>
        <w:rPr>
          <w:rFonts w:cs="Calibri"/>
          <w:sz w:val="30"/>
          <w:szCs w:val="30"/>
        </w:rPr>
      </w:pPr>
    </w:p>
    <w:p w14:paraId="17D188B4" w14:textId="77777777" w:rsidR="006D4DE5" w:rsidRPr="00F66494" w:rsidRDefault="006D4DE5" w:rsidP="006D4DE5">
      <w:pPr>
        <w:pStyle w:val="Covertitle"/>
        <w:spacing w:line="276" w:lineRule="auto"/>
        <w:rPr>
          <w:rFonts w:cs="Calibri"/>
          <w:sz w:val="30"/>
          <w:szCs w:val="30"/>
        </w:rPr>
      </w:pPr>
    </w:p>
    <w:p w14:paraId="5C760FB2" w14:textId="77777777" w:rsidR="006D4DE5" w:rsidRPr="00F66494" w:rsidRDefault="006D4DE5" w:rsidP="006D4DE5">
      <w:pPr>
        <w:pStyle w:val="Covertitle"/>
        <w:rPr>
          <w:rFonts w:cs="Calibri"/>
          <w:sz w:val="30"/>
          <w:szCs w:val="30"/>
        </w:rPr>
      </w:pPr>
    </w:p>
    <w:p w14:paraId="3845033F" w14:textId="12CBC5B8" w:rsidR="006D4DE5" w:rsidRPr="00F66494" w:rsidRDefault="007042ED" w:rsidP="006D4DE5">
      <w:pPr>
        <w:pStyle w:val="Covertitle"/>
        <w:rPr>
          <w:rFonts w:cs="Calibri"/>
          <w:b/>
          <w:color w:val="FFFFFF" w:themeColor="background1"/>
          <w:sz w:val="64"/>
          <w:szCs w:val="64"/>
        </w:rPr>
      </w:pPr>
      <w:sdt>
        <w:sdtPr>
          <w:rPr>
            <w:rFonts w:cs="Calibri"/>
            <w:b/>
            <w:color w:val="FFFFFF" w:themeColor="background1"/>
            <w:sz w:val="64"/>
            <w:szCs w:val="64"/>
          </w:rPr>
          <w:id w:val="-19247290"/>
          <w:docPartObj>
            <w:docPartGallery w:val="Cover Pages"/>
            <w:docPartUnique/>
          </w:docPartObj>
        </w:sdtPr>
        <w:sdtEndPr>
          <w:rPr>
            <w:sz w:val="36"/>
            <w:szCs w:val="36"/>
          </w:rPr>
        </w:sdtEndPr>
        <w:sdtContent>
          <w:sdt>
            <w:sdtPr>
              <w:rPr>
                <w:rFonts w:cs="Calibri"/>
                <w:b/>
                <w:color w:val="FFFFFF" w:themeColor="background1"/>
                <w:sz w:val="48"/>
                <w:szCs w:val="64"/>
              </w:rPr>
              <w:alias w:val="Title"/>
              <w:tag w:val=""/>
              <w:id w:val="-1928732261"/>
              <w:dataBinding w:prefixMappings="xmlns:ns0='http://purl.org/dc/elements/1.1/' xmlns:ns1='http://schemas.openxmlformats.org/package/2006/metadata/core-properties' " w:xpath="/ns1:coreProperties[1]/ns0:title[1]" w:storeItemID="{6C3C8BC8-F283-45AE-878A-BAB7291924A1}"/>
              <w:text/>
            </w:sdtPr>
            <w:sdtEndPr/>
            <w:sdtContent>
              <w:r w:rsidR="00514362">
                <w:rPr>
                  <w:rFonts w:cs="Calibri"/>
                  <w:b/>
                  <w:color w:val="FFFFFF" w:themeColor="background1"/>
                  <w:sz w:val="48"/>
                  <w:szCs w:val="64"/>
                </w:rPr>
                <w:t>Comprehensive Palliative Care in Aged Care Measure – Evaluation Framework</w:t>
              </w:r>
            </w:sdtContent>
          </w:sdt>
        </w:sdtContent>
      </w:sdt>
    </w:p>
    <w:p w14:paraId="4A9A4AB9" w14:textId="1F3D3030" w:rsidR="006D4DE5" w:rsidRPr="00F66494" w:rsidRDefault="007042ED" w:rsidP="006D4DE5">
      <w:pPr>
        <w:pStyle w:val="CoverPage-Client"/>
        <w:spacing w:before="360"/>
        <w:rPr>
          <w:rFonts w:cs="Calibri"/>
          <w:color w:val="F8981D" w:themeColor="accent3"/>
        </w:rPr>
      </w:pPr>
      <w:sdt>
        <w:sdtPr>
          <w:rPr>
            <w:rStyle w:val="CoverPage-ClientChar"/>
            <w:rFonts w:ascii="Calibri" w:hAnsi="Calibri" w:cs="Calibri"/>
            <w:color w:val="F8981D" w:themeColor="accent3"/>
          </w:rPr>
          <w:alias w:val="Subject"/>
          <w:tag w:val=""/>
          <w:id w:val="1376127169"/>
          <w:dataBinding w:prefixMappings="xmlns:ns0='http://purl.org/dc/elements/1.1/' xmlns:ns1='http://schemas.openxmlformats.org/package/2006/metadata/core-properties' " w:xpath="/ns1:coreProperties[1]/ns0:subject[1]" w:storeItemID="{6C3C8BC8-F283-45AE-878A-BAB7291924A1}"/>
          <w:text/>
        </w:sdtPr>
        <w:sdtEndPr>
          <w:rPr>
            <w:rStyle w:val="CoverPage-ClientChar"/>
          </w:rPr>
        </w:sdtEndPr>
        <w:sdtContent>
          <w:r w:rsidR="006D4DE5">
            <w:rPr>
              <w:rStyle w:val="CoverPage-ClientChar"/>
              <w:rFonts w:ascii="Calibri" w:hAnsi="Calibri" w:cs="Calibri"/>
              <w:color w:val="F8981D" w:themeColor="accent3"/>
            </w:rPr>
            <w:t>Department of Health</w:t>
          </w:r>
        </w:sdtContent>
      </w:sdt>
    </w:p>
    <w:p w14:paraId="30869D7B" w14:textId="7F5865FE" w:rsidR="006D4DE5" w:rsidRPr="00F66494" w:rsidRDefault="007042ED" w:rsidP="006D4DE5">
      <w:pPr>
        <w:pStyle w:val="CoverPage-Date"/>
        <w:spacing w:before="240"/>
        <w:rPr>
          <w:rFonts w:cs="Calibri"/>
        </w:rPr>
        <w:sectPr w:rsidR="006D4DE5" w:rsidRPr="00F66494" w:rsidSect="003A2FA9">
          <w:headerReference w:type="default" r:id="rId13"/>
          <w:footerReference w:type="default" r:id="rId14"/>
          <w:headerReference w:type="first" r:id="rId15"/>
          <w:pgSz w:w="11907" w:h="16839" w:code="9"/>
          <w:pgMar w:top="1361" w:right="1361" w:bottom="1644" w:left="1531" w:header="737" w:footer="567" w:gutter="0"/>
          <w:pgNumType w:start="0"/>
          <w:cols w:space="720"/>
          <w:titlePg/>
          <w:docGrid w:linePitch="360"/>
        </w:sectPr>
      </w:pPr>
      <w:sdt>
        <w:sdtPr>
          <w:rPr>
            <w:rStyle w:val="CoverPage-DateChar"/>
            <w:rFonts w:ascii="Calibri" w:hAnsi="Calibri" w:cs="Calibri"/>
            <w:color w:val="FFFFFF" w:themeColor="background1"/>
            <w:sz w:val="20"/>
            <w:szCs w:val="20"/>
          </w:rPr>
          <w:alias w:val="Publish Date"/>
          <w:tag w:val=""/>
          <w:id w:val="442437230"/>
          <w:dataBinding w:prefixMappings="xmlns:ns0='http://schemas.microsoft.com/office/2006/coverPageProps' " w:xpath="/ns0:CoverPageProperties[1]/ns0:PublishDate[1]" w:storeItemID="{55AF091B-3C7A-41E3-B477-F2FDAA23CFDA}"/>
          <w:date w:fullDate="2021-09-13T00:00:00Z">
            <w:dateFormat w:val="d MMMM yyyy"/>
            <w:lid w:val="en-AU"/>
            <w:storeMappedDataAs w:val="dateTime"/>
            <w:calendar w:val="gregorian"/>
          </w:date>
        </w:sdtPr>
        <w:sdtEndPr>
          <w:rPr>
            <w:rStyle w:val="DefaultParagraphFont"/>
            <w:rFonts w:ascii="Segoe UI" w:hAnsi="Segoe UI"/>
            <w:color w:val="00264D" w:themeColor="background2"/>
            <w:sz w:val="24"/>
            <w:szCs w:val="19"/>
          </w:rPr>
        </w:sdtEndPr>
        <w:sdtContent>
          <w:r w:rsidR="00502550">
            <w:rPr>
              <w:rStyle w:val="CoverPage-DateChar"/>
              <w:rFonts w:ascii="Calibri" w:hAnsi="Calibri" w:cs="Calibri"/>
              <w:color w:val="FFFFFF" w:themeColor="background1"/>
              <w:sz w:val="20"/>
              <w:szCs w:val="20"/>
            </w:rPr>
            <w:t xml:space="preserve">13 </w:t>
          </w:r>
          <w:r w:rsidR="00C76193">
            <w:rPr>
              <w:rStyle w:val="CoverPage-DateChar"/>
              <w:rFonts w:ascii="Calibri" w:hAnsi="Calibri" w:cs="Calibri"/>
              <w:color w:val="FFFFFF" w:themeColor="background1"/>
              <w:sz w:val="20"/>
              <w:szCs w:val="20"/>
            </w:rPr>
            <w:t>September 202</w:t>
          </w:r>
          <w:r w:rsidR="001C5D3D">
            <w:rPr>
              <w:rStyle w:val="CoverPage-DateChar"/>
              <w:rFonts w:ascii="Calibri" w:hAnsi="Calibri" w:cs="Calibri"/>
              <w:color w:val="FFFFFF" w:themeColor="background1"/>
              <w:sz w:val="20"/>
              <w:szCs w:val="20"/>
            </w:rPr>
            <w:t>1</w:t>
          </w:r>
        </w:sdtContent>
      </w:sdt>
    </w:p>
    <w:p w14:paraId="5454286E" w14:textId="137ADF8B" w:rsidR="006D4DE5" w:rsidRPr="009709B7" w:rsidRDefault="006D4DE5" w:rsidP="006D4DE5">
      <w:pPr>
        <w:spacing w:before="100" w:beforeAutospacing="1" w:line="240" w:lineRule="auto"/>
        <w:rPr>
          <w:rFonts w:eastAsia="Times New Roman" w:cs="Segoe UI"/>
          <w:sz w:val="21"/>
          <w:szCs w:val="21"/>
          <w:lang w:eastAsia="en-AU"/>
        </w:rPr>
      </w:pPr>
      <w:r w:rsidRPr="009709B7">
        <w:rPr>
          <w:rFonts w:eastAsia="Times New Roman" w:cs="Segoe UI"/>
          <w:i/>
          <w:iCs/>
          <w:sz w:val="16"/>
          <w:szCs w:val="16"/>
          <w:lang w:eastAsia="en-AU"/>
        </w:rPr>
        <w:lastRenderedPageBreak/>
        <w:t xml:space="preserve">We acknowledge those people with a lived experience of </w:t>
      </w:r>
      <w:r>
        <w:rPr>
          <w:rFonts w:eastAsia="Times New Roman" w:cs="Segoe UI"/>
          <w:i/>
          <w:iCs/>
          <w:sz w:val="16"/>
          <w:szCs w:val="16"/>
          <w:lang w:eastAsia="en-AU"/>
        </w:rPr>
        <w:t>palliative care</w:t>
      </w:r>
      <w:r w:rsidRPr="009709B7">
        <w:rPr>
          <w:rFonts w:eastAsia="Times New Roman" w:cs="Segoe UI"/>
          <w:i/>
          <w:iCs/>
          <w:sz w:val="16"/>
          <w:szCs w:val="16"/>
          <w:lang w:eastAsia="en-AU"/>
        </w:rPr>
        <w:t xml:space="preserve">, their families, </w:t>
      </w:r>
      <w:proofErr w:type="gramStart"/>
      <w:r w:rsidRPr="009709B7">
        <w:rPr>
          <w:rFonts w:eastAsia="Times New Roman" w:cs="Segoe UI"/>
          <w:i/>
          <w:iCs/>
          <w:sz w:val="16"/>
          <w:szCs w:val="16"/>
          <w:lang w:eastAsia="en-AU"/>
        </w:rPr>
        <w:t>friends</w:t>
      </w:r>
      <w:proofErr w:type="gramEnd"/>
      <w:r w:rsidRPr="009709B7">
        <w:rPr>
          <w:rFonts w:eastAsia="Times New Roman" w:cs="Segoe UI"/>
          <w:i/>
          <w:iCs/>
          <w:sz w:val="16"/>
          <w:szCs w:val="16"/>
          <w:lang w:eastAsia="en-AU"/>
        </w:rPr>
        <w:t xml:space="preserve"> and </w:t>
      </w:r>
      <w:r>
        <w:rPr>
          <w:rFonts w:eastAsia="Times New Roman" w:cs="Segoe UI"/>
          <w:i/>
          <w:iCs/>
          <w:sz w:val="16"/>
          <w:szCs w:val="16"/>
          <w:lang w:eastAsia="en-AU"/>
        </w:rPr>
        <w:t>carers</w:t>
      </w:r>
      <w:r w:rsidRPr="009709B7">
        <w:rPr>
          <w:rFonts w:eastAsia="Times New Roman" w:cs="Segoe UI"/>
          <w:i/>
          <w:iCs/>
          <w:sz w:val="16"/>
          <w:szCs w:val="16"/>
          <w:lang w:eastAsia="en-AU"/>
        </w:rPr>
        <w:t xml:space="preserve"> who provided input into </w:t>
      </w:r>
      <w:r>
        <w:rPr>
          <w:rFonts w:eastAsia="Times New Roman" w:cs="Segoe UI"/>
          <w:i/>
          <w:iCs/>
          <w:sz w:val="16"/>
          <w:szCs w:val="16"/>
          <w:lang w:eastAsia="en-AU"/>
        </w:rPr>
        <w:t>this Evaluation Framework development or will provide input into the evaluation</w:t>
      </w:r>
      <w:r w:rsidRPr="009709B7">
        <w:rPr>
          <w:rFonts w:eastAsia="Times New Roman" w:cs="Segoe UI"/>
          <w:i/>
          <w:iCs/>
          <w:sz w:val="16"/>
          <w:szCs w:val="16"/>
          <w:lang w:eastAsia="en-AU"/>
        </w:rPr>
        <w:t>.</w:t>
      </w:r>
    </w:p>
    <w:p w14:paraId="0910862A" w14:textId="1FBBE74C" w:rsidR="006D4DE5" w:rsidRPr="006C6932" w:rsidRDefault="006D4DE5" w:rsidP="006D4DE5">
      <w:pPr>
        <w:ind w:right="-1"/>
        <w:rPr>
          <w:rFonts w:ascii="Segoe UI Semibold" w:hAnsi="Segoe UI Semibold" w:cs="Segoe UI Semibold"/>
          <w:i/>
          <w:sz w:val="16"/>
          <w:szCs w:val="16"/>
        </w:rPr>
      </w:pPr>
      <w:r w:rsidRPr="006C6932">
        <w:rPr>
          <w:rFonts w:ascii="Segoe UI Semibold" w:hAnsi="Segoe UI Semibold" w:cs="Segoe UI Semibold"/>
          <w:i/>
          <w:sz w:val="16"/>
          <w:szCs w:val="16"/>
        </w:rPr>
        <w:t>Disclaimer:</w:t>
      </w:r>
    </w:p>
    <w:p w14:paraId="59F7AB29" w14:textId="1B368CD5" w:rsidR="006D4DE5" w:rsidRPr="00130FFF" w:rsidRDefault="006D4DE5" w:rsidP="006D4DE5">
      <w:pPr>
        <w:ind w:right="-1"/>
        <w:rPr>
          <w:i/>
          <w:sz w:val="16"/>
          <w:szCs w:val="16"/>
        </w:rPr>
      </w:pPr>
      <w:r w:rsidRPr="00130FFF">
        <w:rPr>
          <w:noProof/>
          <w:sz w:val="16"/>
          <w:szCs w:val="16"/>
          <w:lang w:eastAsia="en-AU"/>
        </w:rPr>
        <mc:AlternateContent>
          <mc:Choice Requires="wps">
            <w:drawing>
              <wp:anchor distT="0" distB="0" distL="114300" distR="114300" simplePos="0" relativeHeight="251655169" behindDoc="0" locked="0" layoutInCell="0" allowOverlap="1" wp14:anchorId="68EF726F" wp14:editId="42D0685A">
                <wp:simplePos x="0" y="0"/>
                <wp:positionH relativeFrom="margin">
                  <wp:posOffset>0</wp:posOffset>
                </wp:positionH>
                <wp:positionV relativeFrom="bottomMargin">
                  <wp:posOffset>0</wp:posOffset>
                </wp:positionV>
                <wp:extent cx="1720800" cy="313200"/>
                <wp:effectExtent l="0" t="0" r="0" b="0"/>
                <wp:wrapNone/>
                <wp:docPr id="820" name="Text Box 820"/>
                <wp:cNvGraphicFramePr/>
                <a:graphic xmlns:a="http://schemas.openxmlformats.org/drawingml/2006/main">
                  <a:graphicData uri="http://schemas.microsoft.com/office/word/2010/wordprocessingShape">
                    <wps:wsp>
                      <wps:cNvSpPr txBox="1"/>
                      <wps:spPr>
                        <a:xfrm>
                          <a:off x="0" y="0"/>
                          <a:ext cx="1720800" cy="31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4E52F4" w14:textId="0762E194" w:rsidR="008853AC" w:rsidRPr="00FD4AB1" w:rsidRDefault="008853AC" w:rsidP="006D4DE5">
                            <w:pPr>
                              <w:rPr>
                                <w:color w:val="A5A5A5"/>
                              </w:rPr>
                            </w:pPr>
                            <w:r w:rsidRPr="00FD4AB1">
                              <w:rPr>
                                <w:color w:val="A5A5A5"/>
                              </w:rPr>
                              <w:t>© Nous Group</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EF726F" id="_x0000_t202" coordsize="21600,21600" o:spt="202" path="m,l,21600r21600,l21600,xe">
                <v:stroke joinstyle="miter"/>
                <v:path gradientshapeok="t" o:connecttype="rect"/>
              </v:shapetype>
              <v:shape id="Text Box 820" o:spid="_x0000_s1026" type="#_x0000_t202" style="position:absolute;margin-left:0;margin-top:0;width:135.5pt;height:24.65pt;z-index:251655169;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" o:allowincell="f" fillcolor="white [3201]" stroked="f" strokeweight=".5pt">
                <v:textbox inset="0">
                  <w:txbxContent>
                    <w:p w14:paraId="354E52F4" w14:textId="0762E194" w:rsidR="008853AC" w:rsidRPr="00FD4AB1" w:rsidRDefault="008853AC" w:rsidP="006D4DE5">
                      <w:pPr>
                        <w:rPr>
                          <w:color w:val="A5A5A5"/>
                        </w:rPr>
                      </w:pPr>
                      <w:r w:rsidRPr="00FD4AB1">
                        <w:rPr>
                          <w:color w:val="A5A5A5"/>
                        </w:rPr>
                        <w:t>© Nous Group</w:t>
                      </w:r>
                    </w:p>
                  </w:txbxContent>
                </v:textbox>
                <w10:wrap anchorx="margin" anchory="margin"/>
              </v:shape>
            </w:pict>
          </mc:Fallback>
        </mc:AlternateContent>
      </w:r>
      <w:r w:rsidRPr="00130FFF">
        <w:rPr>
          <w:i/>
          <w:sz w:val="16"/>
          <w:szCs w:val="16"/>
        </w:rPr>
        <w:t>Nous Group (</w:t>
      </w:r>
      <w:r w:rsidRPr="00130FFF">
        <w:rPr>
          <w:b/>
          <w:i/>
          <w:sz w:val="16"/>
          <w:szCs w:val="16"/>
        </w:rPr>
        <w:t>Nous</w:t>
      </w:r>
      <w:r w:rsidRPr="00130FFF">
        <w:rPr>
          <w:i/>
          <w:sz w:val="16"/>
          <w:szCs w:val="16"/>
        </w:rPr>
        <w:t xml:space="preserve">) has prepared this report for the benefit </w:t>
      </w:r>
      <w:r>
        <w:rPr>
          <w:i/>
          <w:sz w:val="16"/>
          <w:szCs w:val="16"/>
        </w:rPr>
        <w:t xml:space="preserve">of the Australian Department of Health </w:t>
      </w:r>
      <w:r w:rsidRPr="00130FFF">
        <w:rPr>
          <w:i/>
          <w:sz w:val="16"/>
          <w:szCs w:val="16"/>
        </w:rPr>
        <w:t xml:space="preserve">(the </w:t>
      </w:r>
      <w:r w:rsidRPr="00130FFF">
        <w:rPr>
          <w:b/>
          <w:i/>
          <w:sz w:val="16"/>
          <w:szCs w:val="16"/>
        </w:rPr>
        <w:t>Client</w:t>
      </w:r>
      <w:r w:rsidRPr="00130FFF">
        <w:rPr>
          <w:i/>
          <w:sz w:val="16"/>
          <w:szCs w:val="16"/>
        </w:rPr>
        <w:t>).</w:t>
      </w:r>
    </w:p>
    <w:p w14:paraId="0D6E1CB0" w14:textId="77777777" w:rsidR="006D4DE5" w:rsidRPr="000970F6" w:rsidRDefault="006D4DE5" w:rsidP="006D4DE5">
      <w:pPr>
        <w:rPr>
          <w:i/>
          <w:sz w:val="16"/>
          <w:szCs w:val="16"/>
        </w:rPr>
      </w:pPr>
      <w:r w:rsidRPr="000970F6">
        <w:rPr>
          <w:i/>
          <w:sz w:val="16"/>
          <w:szCs w:val="16"/>
        </w:rPr>
        <w:t>The report should not be used or relied upon for any purpose other than as an expression of the conclusions and recommendations of Nous to the Client as to the matters within the scope of the report. Nous and its officers and employees expressly disclaim any liability to any person other than the Client who relies or purports to rely on the report for any other purpose.</w:t>
      </w:r>
    </w:p>
    <w:p w14:paraId="544F48C7" w14:textId="77777777" w:rsidR="006D4DE5" w:rsidRPr="00130FFF" w:rsidRDefault="006D4DE5" w:rsidP="006D4DE5">
      <w:pPr>
        <w:rPr>
          <w:sz w:val="16"/>
          <w:szCs w:val="16"/>
        </w:rPr>
        <w:sectPr w:rsidR="006D4DE5" w:rsidRPr="00130FFF" w:rsidSect="00A72E28">
          <w:headerReference w:type="default" r:id="rId16"/>
          <w:footerReference w:type="default" r:id="rId17"/>
          <w:pgSz w:w="11907" w:h="16839" w:code="9"/>
          <w:pgMar w:top="11624" w:right="1418" w:bottom="1701" w:left="1559" w:header="737" w:footer="720" w:gutter="0"/>
          <w:pgNumType w:start="1"/>
          <w:cols w:space="720"/>
          <w:docGrid w:linePitch="360"/>
        </w:sectPr>
      </w:pPr>
      <w:r w:rsidRPr="000970F6">
        <w:rPr>
          <w:i/>
          <w:sz w:val="16"/>
          <w:szCs w:val="16"/>
        </w:rPr>
        <w:t>Nous has prepared the report with care and diligence. The conclusions and recommendations given by Nous in the report are given in good faith and in the reasonable belief that they are correct and not misleading. The report has been prepared by Nous based on information provided by the Client and by other persons. Nous has relied on that information and has not independently verified or audited that information.</w:t>
      </w:r>
    </w:p>
    <w:p w14:paraId="22A20474" w14:textId="62728D0C" w:rsidR="006D4DE5" w:rsidRPr="007042ED" w:rsidRDefault="006D4DE5" w:rsidP="006D4DE5">
      <w:pPr>
        <w:rPr>
          <w:color w:val="00264D" w:themeColor="background2"/>
          <w:sz w:val="36"/>
          <w:szCs w:val="44"/>
        </w:rPr>
      </w:pPr>
      <w:r w:rsidRPr="001D6B0A">
        <w:rPr>
          <w:b/>
          <w:bCs/>
          <w:color w:val="00264D" w:themeColor="background2"/>
          <w:sz w:val="36"/>
          <w:szCs w:val="44"/>
        </w:rPr>
        <w:lastRenderedPageBreak/>
        <w:t xml:space="preserve">Contents </w:t>
      </w:r>
    </w:p>
    <w:p w14:paraId="38B4E8EA" w14:textId="77777777" w:rsidR="006D4DE5" w:rsidRPr="00A771A9" w:rsidRDefault="006D4DE5" w:rsidP="006D4DE5">
      <w:pPr>
        <w:pStyle w:val="TOC1"/>
        <w:rPr>
          <w:rFonts w:cs="Calibri"/>
          <w:b/>
          <w:lang w:val="en-AU"/>
        </w:rPr>
      </w:pPr>
    </w:p>
    <w:p w14:paraId="1D5C595D" w14:textId="39E200BD" w:rsidR="005B4766" w:rsidRDefault="005B4766">
      <w:pPr>
        <w:pStyle w:val="TOC1"/>
        <w:rPr>
          <w:rFonts w:asciiTheme="minorHAnsi" w:eastAsiaTheme="minorEastAsia" w:hAnsiTheme="minorHAnsi"/>
          <w:sz w:val="22"/>
        </w:rPr>
      </w:pPr>
      <w:r>
        <w:rPr>
          <w:rFonts w:cs="Calibri"/>
          <w:b/>
        </w:rPr>
        <w:fldChar w:fldCharType="begin"/>
      </w:r>
      <w:r>
        <w:rPr>
          <w:rFonts w:cs="Calibri"/>
          <w:b/>
        </w:rPr>
        <w:instrText xml:space="preserve"> TOC \o "1-3" \h \z \u </w:instrText>
      </w:r>
      <w:r>
        <w:rPr>
          <w:rFonts w:cs="Calibri"/>
          <w:b/>
        </w:rPr>
        <w:fldChar w:fldCharType="separate"/>
      </w:r>
      <w:hyperlink w:anchor="_Toc82767202" w:history="1">
        <w:r w:rsidRPr="00BF582B">
          <w:rPr>
            <w:rStyle w:val="Hyperlink"/>
          </w:rPr>
          <w:t>1</w:t>
        </w:r>
        <w:r>
          <w:rPr>
            <w:rFonts w:asciiTheme="minorHAnsi" w:eastAsiaTheme="minorEastAsia" w:hAnsiTheme="minorHAnsi"/>
            <w:sz w:val="22"/>
          </w:rPr>
          <w:tab/>
        </w:r>
        <w:r w:rsidRPr="00BF582B">
          <w:rPr>
            <w:rStyle w:val="Hyperlink"/>
          </w:rPr>
          <w:t>Introduction</w:t>
        </w:r>
        <w:r>
          <w:rPr>
            <w:webHidden/>
          </w:rPr>
          <w:tab/>
        </w:r>
        <w:r>
          <w:rPr>
            <w:webHidden/>
          </w:rPr>
          <w:fldChar w:fldCharType="begin"/>
        </w:r>
        <w:r>
          <w:rPr>
            <w:webHidden/>
          </w:rPr>
          <w:instrText xml:space="preserve"> PAGEREF _Toc82767202 \h </w:instrText>
        </w:r>
        <w:r>
          <w:rPr>
            <w:webHidden/>
          </w:rPr>
        </w:r>
        <w:r>
          <w:rPr>
            <w:webHidden/>
          </w:rPr>
          <w:fldChar w:fldCharType="separate"/>
        </w:r>
        <w:r>
          <w:rPr>
            <w:webHidden/>
          </w:rPr>
          <w:t>4</w:t>
        </w:r>
        <w:r>
          <w:rPr>
            <w:webHidden/>
          </w:rPr>
          <w:fldChar w:fldCharType="end"/>
        </w:r>
      </w:hyperlink>
    </w:p>
    <w:p w14:paraId="7ADCFDA7" w14:textId="6D46AC8D" w:rsidR="005B4766" w:rsidRDefault="007042ED">
      <w:pPr>
        <w:pStyle w:val="TOC1"/>
        <w:rPr>
          <w:rFonts w:asciiTheme="minorHAnsi" w:eastAsiaTheme="minorEastAsia" w:hAnsiTheme="minorHAnsi"/>
          <w:sz w:val="22"/>
        </w:rPr>
      </w:pPr>
      <w:hyperlink w:anchor="_Toc82767203" w:history="1">
        <w:r w:rsidR="005B4766" w:rsidRPr="00BF582B">
          <w:rPr>
            <w:rStyle w:val="Hyperlink"/>
          </w:rPr>
          <w:t>2</w:t>
        </w:r>
        <w:r w:rsidR="005B4766">
          <w:rPr>
            <w:rFonts w:asciiTheme="minorHAnsi" w:eastAsiaTheme="minorEastAsia" w:hAnsiTheme="minorHAnsi"/>
            <w:sz w:val="22"/>
          </w:rPr>
          <w:tab/>
        </w:r>
        <w:r w:rsidR="005B4766" w:rsidRPr="00BF582B">
          <w:rPr>
            <w:rStyle w:val="Hyperlink"/>
          </w:rPr>
          <w:t>Policy and stakeholder context for the evaluation</w:t>
        </w:r>
        <w:r w:rsidR="005B4766">
          <w:rPr>
            <w:webHidden/>
          </w:rPr>
          <w:tab/>
        </w:r>
        <w:r w:rsidR="005B4766">
          <w:rPr>
            <w:webHidden/>
          </w:rPr>
          <w:fldChar w:fldCharType="begin"/>
        </w:r>
        <w:r w:rsidR="005B4766">
          <w:rPr>
            <w:webHidden/>
          </w:rPr>
          <w:instrText xml:space="preserve"> PAGEREF _Toc82767203 \h </w:instrText>
        </w:r>
        <w:r w:rsidR="005B4766">
          <w:rPr>
            <w:webHidden/>
          </w:rPr>
        </w:r>
        <w:r w:rsidR="005B4766">
          <w:rPr>
            <w:webHidden/>
          </w:rPr>
          <w:fldChar w:fldCharType="separate"/>
        </w:r>
        <w:r w:rsidR="005B4766">
          <w:rPr>
            <w:webHidden/>
          </w:rPr>
          <w:t>7</w:t>
        </w:r>
        <w:r w:rsidR="005B4766">
          <w:rPr>
            <w:webHidden/>
          </w:rPr>
          <w:fldChar w:fldCharType="end"/>
        </w:r>
      </w:hyperlink>
    </w:p>
    <w:p w14:paraId="0AFBEAB4" w14:textId="3D20A1EC" w:rsidR="005B4766" w:rsidRDefault="007042ED">
      <w:pPr>
        <w:pStyle w:val="TOC2"/>
        <w:rPr>
          <w:rFonts w:asciiTheme="minorHAnsi" w:eastAsiaTheme="minorEastAsia" w:hAnsiTheme="minorHAnsi"/>
          <w:noProof/>
          <w:sz w:val="22"/>
        </w:rPr>
      </w:pPr>
      <w:hyperlink w:anchor="_Toc82767204" w:history="1">
        <w:r w:rsidR="005B4766" w:rsidRPr="00BF582B">
          <w:rPr>
            <w:rStyle w:val="Hyperlink"/>
            <w:noProof/>
          </w:rPr>
          <w:t>2.1</w:t>
        </w:r>
        <w:r w:rsidR="005B4766">
          <w:rPr>
            <w:rFonts w:asciiTheme="minorHAnsi" w:eastAsiaTheme="minorEastAsia" w:hAnsiTheme="minorHAnsi"/>
            <w:noProof/>
            <w:sz w:val="22"/>
          </w:rPr>
          <w:tab/>
        </w:r>
        <w:r w:rsidR="005B4766" w:rsidRPr="00BF582B">
          <w:rPr>
            <w:rStyle w:val="Hyperlink"/>
            <w:noProof/>
          </w:rPr>
          <w:t>Policy and stakeholder context of the Measure</w:t>
        </w:r>
        <w:r w:rsidR="005B4766">
          <w:rPr>
            <w:noProof/>
            <w:webHidden/>
          </w:rPr>
          <w:tab/>
        </w:r>
        <w:r w:rsidR="005B4766">
          <w:rPr>
            <w:noProof/>
            <w:webHidden/>
          </w:rPr>
          <w:fldChar w:fldCharType="begin"/>
        </w:r>
        <w:r w:rsidR="005B4766">
          <w:rPr>
            <w:noProof/>
            <w:webHidden/>
          </w:rPr>
          <w:instrText xml:space="preserve"> PAGEREF _Toc82767204 \h </w:instrText>
        </w:r>
        <w:r w:rsidR="005B4766">
          <w:rPr>
            <w:noProof/>
            <w:webHidden/>
          </w:rPr>
        </w:r>
        <w:r w:rsidR="005B4766">
          <w:rPr>
            <w:noProof/>
            <w:webHidden/>
          </w:rPr>
          <w:fldChar w:fldCharType="separate"/>
        </w:r>
        <w:r w:rsidR="005B4766">
          <w:rPr>
            <w:noProof/>
            <w:webHidden/>
          </w:rPr>
          <w:t>7</w:t>
        </w:r>
        <w:r w:rsidR="005B4766">
          <w:rPr>
            <w:noProof/>
            <w:webHidden/>
          </w:rPr>
          <w:fldChar w:fldCharType="end"/>
        </w:r>
      </w:hyperlink>
    </w:p>
    <w:p w14:paraId="7D67B8C1" w14:textId="620FFAE4" w:rsidR="005B4766" w:rsidRDefault="007042ED">
      <w:pPr>
        <w:pStyle w:val="TOC2"/>
        <w:rPr>
          <w:rFonts w:asciiTheme="minorHAnsi" w:eastAsiaTheme="minorEastAsia" w:hAnsiTheme="minorHAnsi"/>
          <w:noProof/>
          <w:sz w:val="22"/>
        </w:rPr>
      </w:pPr>
      <w:hyperlink w:anchor="_Toc82767205" w:history="1">
        <w:r w:rsidR="005B4766" w:rsidRPr="00BF582B">
          <w:rPr>
            <w:rStyle w:val="Hyperlink"/>
            <w:noProof/>
          </w:rPr>
          <w:t>2.2</w:t>
        </w:r>
        <w:r w:rsidR="005B4766">
          <w:rPr>
            <w:rFonts w:asciiTheme="minorHAnsi" w:eastAsiaTheme="minorEastAsia" w:hAnsiTheme="minorHAnsi"/>
            <w:noProof/>
            <w:sz w:val="22"/>
          </w:rPr>
          <w:tab/>
        </w:r>
        <w:r w:rsidR="005B4766" w:rsidRPr="00BF582B">
          <w:rPr>
            <w:rStyle w:val="Hyperlink"/>
            <w:noProof/>
          </w:rPr>
          <w:t>Key features of the Measure relevant to the evaluation</w:t>
        </w:r>
        <w:r w:rsidR="005B4766">
          <w:rPr>
            <w:noProof/>
            <w:webHidden/>
          </w:rPr>
          <w:tab/>
        </w:r>
        <w:r w:rsidR="005B4766">
          <w:rPr>
            <w:noProof/>
            <w:webHidden/>
          </w:rPr>
          <w:fldChar w:fldCharType="begin"/>
        </w:r>
        <w:r w:rsidR="005B4766">
          <w:rPr>
            <w:noProof/>
            <w:webHidden/>
          </w:rPr>
          <w:instrText xml:space="preserve"> PAGEREF _Toc82767205 \h </w:instrText>
        </w:r>
        <w:r w:rsidR="005B4766">
          <w:rPr>
            <w:noProof/>
            <w:webHidden/>
          </w:rPr>
        </w:r>
        <w:r w:rsidR="005B4766">
          <w:rPr>
            <w:noProof/>
            <w:webHidden/>
          </w:rPr>
          <w:fldChar w:fldCharType="separate"/>
        </w:r>
        <w:r w:rsidR="005B4766">
          <w:rPr>
            <w:noProof/>
            <w:webHidden/>
          </w:rPr>
          <w:t>9</w:t>
        </w:r>
        <w:r w:rsidR="005B4766">
          <w:rPr>
            <w:noProof/>
            <w:webHidden/>
          </w:rPr>
          <w:fldChar w:fldCharType="end"/>
        </w:r>
      </w:hyperlink>
    </w:p>
    <w:p w14:paraId="0F27BB41" w14:textId="6AF7975E" w:rsidR="005B4766" w:rsidRDefault="007042ED">
      <w:pPr>
        <w:pStyle w:val="TOC1"/>
        <w:rPr>
          <w:rFonts w:asciiTheme="minorHAnsi" w:eastAsiaTheme="minorEastAsia" w:hAnsiTheme="minorHAnsi"/>
          <w:sz w:val="22"/>
        </w:rPr>
      </w:pPr>
      <w:hyperlink w:anchor="_Toc82767206" w:history="1">
        <w:r w:rsidR="005B4766" w:rsidRPr="00BF582B">
          <w:rPr>
            <w:rStyle w:val="Hyperlink"/>
          </w:rPr>
          <w:t>3</w:t>
        </w:r>
        <w:r w:rsidR="005B4766">
          <w:rPr>
            <w:rFonts w:asciiTheme="minorHAnsi" w:eastAsiaTheme="minorEastAsia" w:hAnsiTheme="minorHAnsi"/>
            <w:sz w:val="22"/>
          </w:rPr>
          <w:tab/>
        </w:r>
        <w:r w:rsidR="005B4766" w:rsidRPr="00BF582B">
          <w:rPr>
            <w:rStyle w:val="Hyperlink"/>
          </w:rPr>
          <w:t>Evaluation approach</w:t>
        </w:r>
        <w:r w:rsidR="005B4766">
          <w:rPr>
            <w:webHidden/>
          </w:rPr>
          <w:tab/>
        </w:r>
        <w:r w:rsidR="005B4766">
          <w:rPr>
            <w:webHidden/>
          </w:rPr>
          <w:fldChar w:fldCharType="begin"/>
        </w:r>
        <w:r w:rsidR="005B4766">
          <w:rPr>
            <w:webHidden/>
          </w:rPr>
          <w:instrText xml:space="preserve"> PAGEREF _Toc82767206 \h </w:instrText>
        </w:r>
        <w:r w:rsidR="005B4766">
          <w:rPr>
            <w:webHidden/>
          </w:rPr>
        </w:r>
        <w:r w:rsidR="005B4766">
          <w:rPr>
            <w:webHidden/>
          </w:rPr>
          <w:fldChar w:fldCharType="separate"/>
        </w:r>
        <w:r w:rsidR="005B4766">
          <w:rPr>
            <w:webHidden/>
          </w:rPr>
          <w:t>10</w:t>
        </w:r>
        <w:r w:rsidR="005B4766">
          <w:rPr>
            <w:webHidden/>
          </w:rPr>
          <w:fldChar w:fldCharType="end"/>
        </w:r>
      </w:hyperlink>
    </w:p>
    <w:p w14:paraId="024758E6" w14:textId="2509697A" w:rsidR="005B4766" w:rsidRDefault="007042ED">
      <w:pPr>
        <w:pStyle w:val="TOC2"/>
        <w:rPr>
          <w:rFonts w:asciiTheme="minorHAnsi" w:eastAsiaTheme="minorEastAsia" w:hAnsiTheme="minorHAnsi"/>
          <w:noProof/>
          <w:sz w:val="22"/>
        </w:rPr>
      </w:pPr>
      <w:hyperlink w:anchor="_Toc82767207" w:history="1">
        <w:r w:rsidR="005B4766" w:rsidRPr="00BF582B">
          <w:rPr>
            <w:rStyle w:val="Hyperlink"/>
            <w:noProof/>
          </w:rPr>
          <w:t>3.1</w:t>
        </w:r>
        <w:r w:rsidR="005B4766">
          <w:rPr>
            <w:rFonts w:asciiTheme="minorHAnsi" w:eastAsiaTheme="minorEastAsia" w:hAnsiTheme="minorHAnsi"/>
            <w:noProof/>
            <w:sz w:val="22"/>
          </w:rPr>
          <w:tab/>
        </w:r>
        <w:r w:rsidR="005B4766" w:rsidRPr="00BF582B">
          <w:rPr>
            <w:rStyle w:val="Hyperlink"/>
            <w:noProof/>
          </w:rPr>
          <w:t>Evaluation approach</w:t>
        </w:r>
        <w:r w:rsidR="005B4766">
          <w:rPr>
            <w:noProof/>
            <w:webHidden/>
          </w:rPr>
          <w:tab/>
        </w:r>
        <w:r w:rsidR="005B4766">
          <w:rPr>
            <w:noProof/>
            <w:webHidden/>
          </w:rPr>
          <w:fldChar w:fldCharType="begin"/>
        </w:r>
        <w:r w:rsidR="005B4766">
          <w:rPr>
            <w:noProof/>
            <w:webHidden/>
          </w:rPr>
          <w:instrText xml:space="preserve"> PAGEREF _Toc82767207 \h </w:instrText>
        </w:r>
        <w:r w:rsidR="005B4766">
          <w:rPr>
            <w:noProof/>
            <w:webHidden/>
          </w:rPr>
        </w:r>
        <w:r w:rsidR="005B4766">
          <w:rPr>
            <w:noProof/>
            <w:webHidden/>
          </w:rPr>
          <w:fldChar w:fldCharType="separate"/>
        </w:r>
        <w:r w:rsidR="005B4766">
          <w:rPr>
            <w:noProof/>
            <w:webHidden/>
          </w:rPr>
          <w:t>10</w:t>
        </w:r>
        <w:r w:rsidR="005B4766">
          <w:rPr>
            <w:noProof/>
            <w:webHidden/>
          </w:rPr>
          <w:fldChar w:fldCharType="end"/>
        </w:r>
      </w:hyperlink>
    </w:p>
    <w:p w14:paraId="062A3072" w14:textId="060D6F8B" w:rsidR="005B4766" w:rsidRDefault="007042ED">
      <w:pPr>
        <w:pStyle w:val="TOC2"/>
        <w:rPr>
          <w:rFonts w:asciiTheme="minorHAnsi" w:eastAsiaTheme="minorEastAsia" w:hAnsiTheme="minorHAnsi"/>
          <w:noProof/>
          <w:sz w:val="22"/>
        </w:rPr>
      </w:pPr>
      <w:hyperlink w:anchor="_Toc82767208" w:history="1">
        <w:r w:rsidR="005B4766" w:rsidRPr="00BF582B">
          <w:rPr>
            <w:rStyle w:val="Hyperlink"/>
            <w:noProof/>
          </w:rPr>
          <w:t>3.2</w:t>
        </w:r>
        <w:r w:rsidR="005B4766">
          <w:rPr>
            <w:rFonts w:asciiTheme="minorHAnsi" w:eastAsiaTheme="minorEastAsia" w:hAnsiTheme="minorHAnsi"/>
            <w:noProof/>
            <w:sz w:val="22"/>
          </w:rPr>
          <w:tab/>
        </w:r>
        <w:r w:rsidR="005B4766" w:rsidRPr="00BF582B">
          <w:rPr>
            <w:rStyle w:val="Hyperlink"/>
            <w:noProof/>
          </w:rPr>
          <w:t>Program theory</w:t>
        </w:r>
        <w:r w:rsidR="005B4766">
          <w:rPr>
            <w:noProof/>
            <w:webHidden/>
          </w:rPr>
          <w:tab/>
        </w:r>
        <w:r w:rsidR="005B4766">
          <w:rPr>
            <w:noProof/>
            <w:webHidden/>
          </w:rPr>
          <w:fldChar w:fldCharType="begin"/>
        </w:r>
        <w:r w:rsidR="005B4766">
          <w:rPr>
            <w:noProof/>
            <w:webHidden/>
          </w:rPr>
          <w:instrText xml:space="preserve"> PAGEREF _Toc82767208 \h </w:instrText>
        </w:r>
        <w:r w:rsidR="005B4766">
          <w:rPr>
            <w:noProof/>
            <w:webHidden/>
          </w:rPr>
        </w:r>
        <w:r w:rsidR="005B4766">
          <w:rPr>
            <w:noProof/>
            <w:webHidden/>
          </w:rPr>
          <w:fldChar w:fldCharType="separate"/>
        </w:r>
        <w:r w:rsidR="005B4766">
          <w:rPr>
            <w:noProof/>
            <w:webHidden/>
          </w:rPr>
          <w:t>10</w:t>
        </w:r>
        <w:r w:rsidR="005B4766">
          <w:rPr>
            <w:noProof/>
            <w:webHidden/>
          </w:rPr>
          <w:fldChar w:fldCharType="end"/>
        </w:r>
      </w:hyperlink>
    </w:p>
    <w:p w14:paraId="1B91446F" w14:textId="4F77576C" w:rsidR="005B4766" w:rsidRDefault="007042ED">
      <w:pPr>
        <w:pStyle w:val="TOC2"/>
        <w:rPr>
          <w:rFonts w:asciiTheme="minorHAnsi" w:eastAsiaTheme="minorEastAsia" w:hAnsiTheme="minorHAnsi"/>
          <w:noProof/>
          <w:sz w:val="22"/>
        </w:rPr>
      </w:pPr>
      <w:hyperlink w:anchor="_Toc82767209" w:history="1">
        <w:r w:rsidR="005B4766" w:rsidRPr="00BF582B">
          <w:rPr>
            <w:rStyle w:val="Hyperlink"/>
            <w:noProof/>
          </w:rPr>
          <w:t>3.3</w:t>
        </w:r>
        <w:r w:rsidR="005B4766">
          <w:rPr>
            <w:rFonts w:asciiTheme="minorHAnsi" w:eastAsiaTheme="minorEastAsia" w:hAnsiTheme="minorHAnsi"/>
            <w:noProof/>
            <w:sz w:val="22"/>
          </w:rPr>
          <w:tab/>
        </w:r>
        <w:r w:rsidR="005B4766" w:rsidRPr="00BF582B">
          <w:rPr>
            <w:rStyle w:val="Hyperlink"/>
            <w:noProof/>
          </w:rPr>
          <w:t>National outcomes</w:t>
        </w:r>
        <w:r w:rsidR="005B4766">
          <w:rPr>
            <w:noProof/>
            <w:webHidden/>
          </w:rPr>
          <w:tab/>
        </w:r>
        <w:r w:rsidR="005B4766">
          <w:rPr>
            <w:noProof/>
            <w:webHidden/>
          </w:rPr>
          <w:fldChar w:fldCharType="begin"/>
        </w:r>
        <w:r w:rsidR="005B4766">
          <w:rPr>
            <w:noProof/>
            <w:webHidden/>
          </w:rPr>
          <w:instrText xml:space="preserve"> PAGEREF _Toc82767209 \h </w:instrText>
        </w:r>
        <w:r w:rsidR="005B4766">
          <w:rPr>
            <w:noProof/>
            <w:webHidden/>
          </w:rPr>
        </w:r>
        <w:r w:rsidR="005B4766">
          <w:rPr>
            <w:noProof/>
            <w:webHidden/>
          </w:rPr>
          <w:fldChar w:fldCharType="separate"/>
        </w:r>
        <w:r w:rsidR="005B4766">
          <w:rPr>
            <w:noProof/>
            <w:webHidden/>
          </w:rPr>
          <w:t>12</w:t>
        </w:r>
        <w:r w:rsidR="005B4766">
          <w:rPr>
            <w:noProof/>
            <w:webHidden/>
          </w:rPr>
          <w:fldChar w:fldCharType="end"/>
        </w:r>
      </w:hyperlink>
    </w:p>
    <w:p w14:paraId="2EFB1794" w14:textId="226B89BC" w:rsidR="005B4766" w:rsidRDefault="007042ED">
      <w:pPr>
        <w:pStyle w:val="TOC2"/>
        <w:rPr>
          <w:rFonts w:asciiTheme="minorHAnsi" w:eastAsiaTheme="minorEastAsia" w:hAnsiTheme="minorHAnsi"/>
          <w:noProof/>
          <w:sz w:val="22"/>
        </w:rPr>
      </w:pPr>
      <w:hyperlink w:anchor="_Toc82767210" w:history="1">
        <w:r w:rsidR="005B4766" w:rsidRPr="00BF582B">
          <w:rPr>
            <w:rStyle w:val="Hyperlink"/>
            <w:noProof/>
          </w:rPr>
          <w:t>3.4</w:t>
        </w:r>
        <w:r w:rsidR="005B4766">
          <w:rPr>
            <w:rFonts w:asciiTheme="minorHAnsi" w:eastAsiaTheme="minorEastAsia" w:hAnsiTheme="minorHAnsi"/>
            <w:noProof/>
            <w:sz w:val="22"/>
          </w:rPr>
          <w:tab/>
        </w:r>
        <w:r w:rsidR="005B4766" w:rsidRPr="00BF582B">
          <w:rPr>
            <w:rStyle w:val="Hyperlink"/>
            <w:noProof/>
          </w:rPr>
          <w:t>Governance arrangements</w:t>
        </w:r>
        <w:r w:rsidR="005B4766">
          <w:rPr>
            <w:noProof/>
            <w:webHidden/>
          </w:rPr>
          <w:tab/>
        </w:r>
        <w:r w:rsidR="005B4766">
          <w:rPr>
            <w:noProof/>
            <w:webHidden/>
          </w:rPr>
          <w:fldChar w:fldCharType="begin"/>
        </w:r>
        <w:r w:rsidR="005B4766">
          <w:rPr>
            <w:noProof/>
            <w:webHidden/>
          </w:rPr>
          <w:instrText xml:space="preserve"> PAGEREF _Toc82767210 \h </w:instrText>
        </w:r>
        <w:r w:rsidR="005B4766">
          <w:rPr>
            <w:noProof/>
            <w:webHidden/>
          </w:rPr>
        </w:r>
        <w:r w:rsidR="005B4766">
          <w:rPr>
            <w:noProof/>
            <w:webHidden/>
          </w:rPr>
          <w:fldChar w:fldCharType="separate"/>
        </w:r>
        <w:r w:rsidR="005B4766">
          <w:rPr>
            <w:noProof/>
            <w:webHidden/>
          </w:rPr>
          <w:t>13</w:t>
        </w:r>
        <w:r w:rsidR="005B4766">
          <w:rPr>
            <w:noProof/>
            <w:webHidden/>
          </w:rPr>
          <w:fldChar w:fldCharType="end"/>
        </w:r>
      </w:hyperlink>
    </w:p>
    <w:p w14:paraId="71C45B5F" w14:textId="0DD8880E" w:rsidR="005B4766" w:rsidRDefault="007042ED">
      <w:pPr>
        <w:pStyle w:val="TOC2"/>
        <w:rPr>
          <w:rFonts w:asciiTheme="minorHAnsi" w:eastAsiaTheme="minorEastAsia" w:hAnsiTheme="minorHAnsi"/>
          <w:noProof/>
          <w:sz w:val="22"/>
        </w:rPr>
      </w:pPr>
      <w:hyperlink w:anchor="_Toc82767211" w:history="1">
        <w:r w:rsidR="005B4766" w:rsidRPr="00BF582B">
          <w:rPr>
            <w:rStyle w:val="Hyperlink"/>
            <w:noProof/>
          </w:rPr>
          <w:t>3.5</w:t>
        </w:r>
        <w:r w:rsidR="005B4766">
          <w:rPr>
            <w:rFonts w:asciiTheme="minorHAnsi" w:eastAsiaTheme="minorEastAsia" w:hAnsiTheme="minorHAnsi"/>
            <w:noProof/>
            <w:sz w:val="22"/>
          </w:rPr>
          <w:tab/>
        </w:r>
        <w:r w:rsidR="005B4766" w:rsidRPr="00BF582B">
          <w:rPr>
            <w:rStyle w:val="Hyperlink"/>
            <w:noProof/>
          </w:rPr>
          <w:t>Key evaluation questions</w:t>
        </w:r>
        <w:r w:rsidR="005B4766">
          <w:rPr>
            <w:noProof/>
            <w:webHidden/>
          </w:rPr>
          <w:tab/>
        </w:r>
        <w:r w:rsidR="005B4766">
          <w:rPr>
            <w:noProof/>
            <w:webHidden/>
          </w:rPr>
          <w:fldChar w:fldCharType="begin"/>
        </w:r>
        <w:r w:rsidR="005B4766">
          <w:rPr>
            <w:noProof/>
            <w:webHidden/>
          </w:rPr>
          <w:instrText xml:space="preserve"> PAGEREF _Toc82767211 \h </w:instrText>
        </w:r>
        <w:r w:rsidR="005B4766">
          <w:rPr>
            <w:noProof/>
            <w:webHidden/>
          </w:rPr>
        </w:r>
        <w:r w:rsidR="005B4766">
          <w:rPr>
            <w:noProof/>
            <w:webHidden/>
          </w:rPr>
          <w:fldChar w:fldCharType="separate"/>
        </w:r>
        <w:r w:rsidR="005B4766">
          <w:rPr>
            <w:noProof/>
            <w:webHidden/>
          </w:rPr>
          <w:t>14</w:t>
        </w:r>
        <w:r w:rsidR="005B4766">
          <w:rPr>
            <w:noProof/>
            <w:webHidden/>
          </w:rPr>
          <w:fldChar w:fldCharType="end"/>
        </w:r>
      </w:hyperlink>
    </w:p>
    <w:p w14:paraId="14F24277" w14:textId="3A1C3D19" w:rsidR="005B4766" w:rsidRDefault="007042ED">
      <w:pPr>
        <w:pStyle w:val="TOC1"/>
        <w:rPr>
          <w:rFonts w:asciiTheme="minorHAnsi" w:eastAsiaTheme="minorEastAsia" w:hAnsiTheme="minorHAnsi"/>
          <w:sz w:val="22"/>
        </w:rPr>
      </w:pPr>
      <w:hyperlink w:anchor="_Toc82767212" w:history="1">
        <w:r w:rsidR="005B4766" w:rsidRPr="00BF582B">
          <w:rPr>
            <w:rStyle w:val="Hyperlink"/>
          </w:rPr>
          <w:t>4</w:t>
        </w:r>
        <w:r w:rsidR="005B4766">
          <w:rPr>
            <w:rFonts w:asciiTheme="minorHAnsi" w:eastAsiaTheme="minorEastAsia" w:hAnsiTheme="minorHAnsi"/>
            <w:sz w:val="22"/>
          </w:rPr>
          <w:tab/>
        </w:r>
        <w:r w:rsidR="005B4766" w:rsidRPr="00BF582B">
          <w:rPr>
            <w:rStyle w:val="Hyperlink"/>
          </w:rPr>
          <w:t>Evaluation methodology</w:t>
        </w:r>
        <w:r w:rsidR="005B4766">
          <w:rPr>
            <w:webHidden/>
          </w:rPr>
          <w:tab/>
        </w:r>
        <w:r w:rsidR="005B4766">
          <w:rPr>
            <w:webHidden/>
          </w:rPr>
          <w:fldChar w:fldCharType="begin"/>
        </w:r>
        <w:r w:rsidR="005B4766">
          <w:rPr>
            <w:webHidden/>
          </w:rPr>
          <w:instrText xml:space="preserve"> PAGEREF _Toc82767212 \h </w:instrText>
        </w:r>
        <w:r w:rsidR="005B4766">
          <w:rPr>
            <w:webHidden/>
          </w:rPr>
        </w:r>
        <w:r w:rsidR="005B4766">
          <w:rPr>
            <w:webHidden/>
          </w:rPr>
          <w:fldChar w:fldCharType="separate"/>
        </w:r>
        <w:r w:rsidR="005B4766">
          <w:rPr>
            <w:webHidden/>
          </w:rPr>
          <w:t>16</w:t>
        </w:r>
        <w:r w:rsidR="005B4766">
          <w:rPr>
            <w:webHidden/>
          </w:rPr>
          <w:fldChar w:fldCharType="end"/>
        </w:r>
      </w:hyperlink>
    </w:p>
    <w:p w14:paraId="2CEC7D2A" w14:textId="2667197E" w:rsidR="005B4766" w:rsidRDefault="007042ED">
      <w:pPr>
        <w:pStyle w:val="TOC1"/>
        <w:rPr>
          <w:rFonts w:asciiTheme="minorHAnsi" w:eastAsiaTheme="minorEastAsia" w:hAnsiTheme="minorHAnsi"/>
          <w:sz w:val="22"/>
        </w:rPr>
      </w:pPr>
      <w:hyperlink w:anchor="_Toc82767213" w:history="1">
        <w:r w:rsidR="005B4766" w:rsidRPr="00BF582B">
          <w:rPr>
            <w:rStyle w:val="Hyperlink"/>
          </w:rPr>
          <w:t>5</w:t>
        </w:r>
        <w:r w:rsidR="005B4766">
          <w:rPr>
            <w:rFonts w:asciiTheme="minorHAnsi" w:eastAsiaTheme="minorEastAsia" w:hAnsiTheme="minorHAnsi"/>
            <w:sz w:val="22"/>
          </w:rPr>
          <w:tab/>
        </w:r>
        <w:r w:rsidR="005B4766" w:rsidRPr="00BF582B">
          <w:rPr>
            <w:rStyle w:val="Hyperlink"/>
          </w:rPr>
          <w:t>Data collection and analysis</w:t>
        </w:r>
        <w:r w:rsidR="005B4766">
          <w:rPr>
            <w:webHidden/>
          </w:rPr>
          <w:tab/>
        </w:r>
        <w:r w:rsidR="005B4766">
          <w:rPr>
            <w:webHidden/>
          </w:rPr>
          <w:fldChar w:fldCharType="begin"/>
        </w:r>
        <w:r w:rsidR="005B4766">
          <w:rPr>
            <w:webHidden/>
          </w:rPr>
          <w:instrText xml:space="preserve"> PAGEREF _Toc82767213 \h </w:instrText>
        </w:r>
        <w:r w:rsidR="005B4766">
          <w:rPr>
            <w:webHidden/>
          </w:rPr>
        </w:r>
        <w:r w:rsidR="005B4766">
          <w:rPr>
            <w:webHidden/>
          </w:rPr>
          <w:fldChar w:fldCharType="separate"/>
        </w:r>
        <w:r w:rsidR="005B4766">
          <w:rPr>
            <w:webHidden/>
          </w:rPr>
          <w:t>19</w:t>
        </w:r>
        <w:r w:rsidR="005B4766">
          <w:rPr>
            <w:webHidden/>
          </w:rPr>
          <w:fldChar w:fldCharType="end"/>
        </w:r>
      </w:hyperlink>
    </w:p>
    <w:p w14:paraId="078A7500" w14:textId="09DB4289" w:rsidR="005B4766" w:rsidRDefault="007042ED">
      <w:pPr>
        <w:pStyle w:val="TOC2"/>
        <w:rPr>
          <w:rFonts w:asciiTheme="minorHAnsi" w:eastAsiaTheme="minorEastAsia" w:hAnsiTheme="minorHAnsi"/>
          <w:noProof/>
          <w:sz w:val="22"/>
        </w:rPr>
      </w:pPr>
      <w:hyperlink w:anchor="_Toc82767214" w:history="1">
        <w:r w:rsidR="005B4766" w:rsidRPr="00BF582B">
          <w:rPr>
            <w:rStyle w:val="Hyperlink"/>
            <w:noProof/>
          </w:rPr>
          <w:t>5.1</w:t>
        </w:r>
        <w:r w:rsidR="005B4766">
          <w:rPr>
            <w:rFonts w:asciiTheme="minorHAnsi" w:eastAsiaTheme="minorEastAsia" w:hAnsiTheme="minorHAnsi"/>
            <w:noProof/>
            <w:sz w:val="22"/>
          </w:rPr>
          <w:tab/>
        </w:r>
        <w:r w:rsidR="005B4766" w:rsidRPr="00BF582B">
          <w:rPr>
            <w:rStyle w:val="Hyperlink"/>
            <w:noProof/>
          </w:rPr>
          <w:t>Data collection methods</w:t>
        </w:r>
        <w:r w:rsidR="005B4766">
          <w:rPr>
            <w:noProof/>
            <w:webHidden/>
          </w:rPr>
          <w:tab/>
        </w:r>
        <w:r w:rsidR="005B4766">
          <w:rPr>
            <w:noProof/>
            <w:webHidden/>
          </w:rPr>
          <w:fldChar w:fldCharType="begin"/>
        </w:r>
        <w:r w:rsidR="005B4766">
          <w:rPr>
            <w:noProof/>
            <w:webHidden/>
          </w:rPr>
          <w:instrText xml:space="preserve"> PAGEREF _Toc82767214 \h </w:instrText>
        </w:r>
        <w:r w:rsidR="005B4766">
          <w:rPr>
            <w:noProof/>
            <w:webHidden/>
          </w:rPr>
        </w:r>
        <w:r w:rsidR="005B4766">
          <w:rPr>
            <w:noProof/>
            <w:webHidden/>
          </w:rPr>
          <w:fldChar w:fldCharType="separate"/>
        </w:r>
        <w:r w:rsidR="005B4766">
          <w:rPr>
            <w:noProof/>
            <w:webHidden/>
          </w:rPr>
          <w:t>19</w:t>
        </w:r>
        <w:r w:rsidR="005B4766">
          <w:rPr>
            <w:noProof/>
            <w:webHidden/>
          </w:rPr>
          <w:fldChar w:fldCharType="end"/>
        </w:r>
      </w:hyperlink>
    </w:p>
    <w:p w14:paraId="65B73213" w14:textId="633DA6AB" w:rsidR="005B4766" w:rsidRDefault="007042ED">
      <w:pPr>
        <w:pStyle w:val="TOC2"/>
        <w:rPr>
          <w:rFonts w:asciiTheme="minorHAnsi" w:eastAsiaTheme="minorEastAsia" w:hAnsiTheme="minorHAnsi"/>
          <w:noProof/>
          <w:sz w:val="22"/>
        </w:rPr>
      </w:pPr>
      <w:hyperlink w:anchor="_Toc82767215" w:history="1">
        <w:r w:rsidR="005B4766" w:rsidRPr="00BF582B">
          <w:rPr>
            <w:rStyle w:val="Hyperlink"/>
            <w:noProof/>
          </w:rPr>
          <w:t>5.2</w:t>
        </w:r>
        <w:r w:rsidR="005B4766">
          <w:rPr>
            <w:rFonts w:asciiTheme="minorHAnsi" w:eastAsiaTheme="minorEastAsia" w:hAnsiTheme="minorHAnsi"/>
            <w:noProof/>
            <w:sz w:val="22"/>
          </w:rPr>
          <w:tab/>
        </w:r>
        <w:r w:rsidR="005B4766" w:rsidRPr="00BF582B">
          <w:rPr>
            <w:rStyle w:val="Hyperlink"/>
            <w:noProof/>
          </w:rPr>
          <w:t>Data sources considered; however, not included in evaluation</w:t>
        </w:r>
        <w:r w:rsidR="005B4766">
          <w:rPr>
            <w:noProof/>
            <w:webHidden/>
          </w:rPr>
          <w:tab/>
        </w:r>
        <w:r w:rsidR="005B4766">
          <w:rPr>
            <w:noProof/>
            <w:webHidden/>
          </w:rPr>
          <w:fldChar w:fldCharType="begin"/>
        </w:r>
        <w:r w:rsidR="005B4766">
          <w:rPr>
            <w:noProof/>
            <w:webHidden/>
          </w:rPr>
          <w:instrText xml:space="preserve"> PAGEREF _Toc82767215 \h </w:instrText>
        </w:r>
        <w:r w:rsidR="005B4766">
          <w:rPr>
            <w:noProof/>
            <w:webHidden/>
          </w:rPr>
        </w:r>
        <w:r w:rsidR="005B4766">
          <w:rPr>
            <w:noProof/>
            <w:webHidden/>
          </w:rPr>
          <w:fldChar w:fldCharType="separate"/>
        </w:r>
        <w:r w:rsidR="005B4766">
          <w:rPr>
            <w:noProof/>
            <w:webHidden/>
          </w:rPr>
          <w:t>30</w:t>
        </w:r>
        <w:r w:rsidR="005B4766">
          <w:rPr>
            <w:noProof/>
            <w:webHidden/>
          </w:rPr>
          <w:fldChar w:fldCharType="end"/>
        </w:r>
      </w:hyperlink>
    </w:p>
    <w:p w14:paraId="40090222" w14:textId="317389D8" w:rsidR="005B4766" w:rsidRDefault="007042ED">
      <w:pPr>
        <w:pStyle w:val="TOC2"/>
        <w:rPr>
          <w:rFonts w:asciiTheme="minorHAnsi" w:eastAsiaTheme="minorEastAsia" w:hAnsiTheme="minorHAnsi"/>
          <w:noProof/>
          <w:sz w:val="22"/>
        </w:rPr>
      </w:pPr>
      <w:hyperlink w:anchor="_Toc82767216" w:history="1">
        <w:r w:rsidR="005B4766" w:rsidRPr="00BF582B">
          <w:rPr>
            <w:rStyle w:val="Hyperlink"/>
            <w:noProof/>
          </w:rPr>
          <w:t>5.3</w:t>
        </w:r>
        <w:r w:rsidR="005B4766">
          <w:rPr>
            <w:rFonts w:asciiTheme="minorHAnsi" w:eastAsiaTheme="minorEastAsia" w:hAnsiTheme="minorHAnsi"/>
            <w:noProof/>
            <w:sz w:val="22"/>
          </w:rPr>
          <w:tab/>
        </w:r>
        <w:r w:rsidR="005B4766" w:rsidRPr="00BF582B">
          <w:rPr>
            <w:rStyle w:val="Hyperlink"/>
            <w:noProof/>
          </w:rPr>
          <w:t>Analysis methods</w:t>
        </w:r>
        <w:r w:rsidR="005B4766">
          <w:rPr>
            <w:noProof/>
            <w:webHidden/>
          </w:rPr>
          <w:tab/>
        </w:r>
        <w:r w:rsidR="005B4766">
          <w:rPr>
            <w:noProof/>
            <w:webHidden/>
          </w:rPr>
          <w:fldChar w:fldCharType="begin"/>
        </w:r>
        <w:r w:rsidR="005B4766">
          <w:rPr>
            <w:noProof/>
            <w:webHidden/>
          </w:rPr>
          <w:instrText xml:space="preserve"> PAGEREF _Toc82767216 \h </w:instrText>
        </w:r>
        <w:r w:rsidR="005B4766">
          <w:rPr>
            <w:noProof/>
            <w:webHidden/>
          </w:rPr>
        </w:r>
        <w:r w:rsidR="005B4766">
          <w:rPr>
            <w:noProof/>
            <w:webHidden/>
          </w:rPr>
          <w:fldChar w:fldCharType="separate"/>
        </w:r>
        <w:r w:rsidR="005B4766">
          <w:rPr>
            <w:noProof/>
            <w:webHidden/>
          </w:rPr>
          <w:t>31</w:t>
        </w:r>
        <w:r w:rsidR="005B4766">
          <w:rPr>
            <w:noProof/>
            <w:webHidden/>
          </w:rPr>
          <w:fldChar w:fldCharType="end"/>
        </w:r>
      </w:hyperlink>
    </w:p>
    <w:p w14:paraId="34A3962A" w14:textId="35108100" w:rsidR="005B4766" w:rsidRDefault="007042ED">
      <w:pPr>
        <w:pStyle w:val="TOC3"/>
        <w:tabs>
          <w:tab w:val="left" w:pos="1320"/>
          <w:tab w:val="right" w:leader="dot" w:pos="9288"/>
        </w:tabs>
        <w:rPr>
          <w:noProof/>
        </w:rPr>
      </w:pPr>
      <w:hyperlink w:anchor="_Toc82767217" w:history="1">
        <w:r w:rsidR="005B4766" w:rsidRPr="00BF582B">
          <w:rPr>
            <w:rStyle w:val="Hyperlink"/>
            <w:noProof/>
          </w:rPr>
          <w:t>5.3.1</w:t>
        </w:r>
        <w:r w:rsidR="005B4766">
          <w:rPr>
            <w:noProof/>
          </w:rPr>
          <w:tab/>
        </w:r>
        <w:r w:rsidR="005B4766" w:rsidRPr="00BF582B">
          <w:rPr>
            <w:rStyle w:val="Hyperlink"/>
            <w:noProof/>
          </w:rPr>
          <w:t>Qualitative analysis</w:t>
        </w:r>
        <w:r w:rsidR="006C0DDA">
          <w:rPr>
            <w:noProof/>
            <w:webHidden/>
          </w:rPr>
          <w:t>……………………………………………………………………………………………………………..</w:t>
        </w:r>
        <w:r w:rsidR="005B4766">
          <w:rPr>
            <w:noProof/>
            <w:webHidden/>
          </w:rPr>
          <w:fldChar w:fldCharType="begin"/>
        </w:r>
        <w:r w:rsidR="005B4766">
          <w:rPr>
            <w:noProof/>
            <w:webHidden/>
          </w:rPr>
          <w:instrText xml:space="preserve"> PAGEREF _Toc82767217 \h </w:instrText>
        </w:r>
        <w:r w:rsidR="005B4766">
          <w:rPr>
            <w:noProof/>
            <w:webHidden/>
          </w:rPr>
        </w:r>
        <w:r w:rsidR="005B4766">
          <w:rPr>
            <w:noProof/>
            <w:webHidden/>
          </w:rPr>
          <w:fldChar w:fldCharType="separate"/>
        </w:r>
        <w:r w:rsidR="005B4766">
          <w:rPr>
            <w:noProof/>
            <w:webHidden/>
          </w:rPr>
          <w:t>31</w:t>
        </w:r>
        <w:r w:rsidR="005B4766">
          <w:rPr>
            <w:noProof/>
            <w:webHidden/>
          </w:rPr>
          <w:fldChar w:fldCharType="end"/>
        </w:r>
      </w:hyperlink>
    </w:p>
    <w:p w14:paraId="02C48B80" w14:textId="3C473F0A" w:rsidR="005B4766" w:rsidRDefault="007042ED">
      <w:pPr>
        <w:pStyle w:val="TOC3"/>
        <w:tabs>
          <w:tab w:val="left" w:pos="1320"/>
          <w:tab w:val="right" w:leader="dot" w:pos="9288"/>
        </w:tabs>
        <w:rPr>
          <w:noProof/>
        </w:rPr>
      </w:pPr>
      <w:hyperlink w:anchor="_Toc82767218" w:history="1">
        <w:r w:rsidR="005B4766" w:rsidRPr="00BF582B">
          <w:rPr>
            <w:rStyle w:val="Hyperlink"/>
            <w:noProof/>
          </w:rPr>
          <w:t>5.3.2</w:t>
        </w:r>
        <w:r w:rsidR="005B4766">
          <w:rPr>
            <w:noProof/>
          </w:rPr>
          <w:tab/>
        </w:r>
        <w:r w:rsidR="005B4766" w:rsidRPr="00BF582B">
          <w:rPr>
            <w:rStyle w:val="Hyperlink"/>
            <w:noProof/>
          </w:rPr>
          <w:t>Quantitative analysis</w:t>
        </w:r>
        <w:r w:rsidR="006C0DDA">
          <w:rPr>
            <w:noProof/>
            <w:webHidden/>
          </w:rPr>
          <w:t>…………………………………………………………………………………………………………...</w:t>
        </w:r>
        <w:r w:rsidR="005B4766">
          <w:rPr>
            <w:noProof/>
            <w:webHidden/>
          </w:rPr>
          <w:fldChar w:fldCharType="begin"/>
        </w:r>
        <w:r w:rsidR="005B4766">
          <w:rPr>
            <w:noProof/>
            <w:webHidden/>
          </w:rPr>
          <w:instrText xml:space="preserve"> PAGEREF _Toc82767218 \h </w:instrText>
        </w:r>
        <w:r w:rsidR="005B4766">
          <w:rPr>
            <w:noProof/>
            <w:webHidden/>
          </w:rPr>
        </w:r>
        <w:r w:rsidR="005B4766">
          <w:rPr>
            <w:noProof/>
            <w:webHidden/>
          </w:rPr>
          <w:fldChar w:fldCharType="separate"/>
        </w:r>
        <w:r w:rsidR="005B4766">
          <w:rPr>
            <w:noProof/>
            <w:webHidden/>
          </w:rPr>
          <w:t>31</w:t>
        </w:r>
        <w:r w:rsidR="005B4766">
          <w:rPr>
            <w:noProof/>
            <w:webHidden/>
          </w:rPr>
          <w:fldChar w:fldCharType="end"/>
        </w:r>
      </w:hyperlink>
    </w:p>
    <w:p w14:paraId="4928507E" w14:textId="1DF70A1D" w:rsidR="005B4766" w:rsidRDefault="007042ED">
      <w:pPr>
        <w:pStyle w:val="TOC2"/>
        <w:rPr>
          <w:rFonts w:asciiTheme="minorHAnsi" w:eastAsiaTheme="minorEastAsia" w:hAnsiTheme="minorHAnsi"/>
          <w:noProof/>
          <w:sz w:val="22"/>
        </w:rPr>
      </w:pPr>
      <w:hyperlink w:anchor="_Toc82767219" w:history="1">
        <w:r w:rsidR="005B4766" w:rsidRPr="00BF582B">
          <w:rPr>
            <w:rStyle w:val="Hyperlink"/>
            <w:noProof/>
          </w:rPr>
          <w:t>5.4</w:t>
        </w:r>
        <w:r w:rsidR="005B4766">
          <w:rPr>
            <w:rFonts w:asciiTheme="minorHAnsi" w:eastAsiaTheme="minorEastAsia" w:hAnsiTheme="minorHAnsi"/>
            <w:noProof/>
            <w:sz w:val="22"/>
          </w:rPr>
          <w:tab/>
        </w:r>
        <w:r w:rsidR="005B4766" w:rsidRPr="00BF582B">
          <w:rPr>
            <w:rStyle w:val="Hyperlink"/>
            <w:noProof/>
          </w:rPr>
          <w:t>Data synthesis and triangulation</w:t>
        </w:r>
        <w:r w:rsidR="005B4766">
          <w:rPr>
            <w:noProof/>
            <w:webHidden/>
          </w:rPr>
          <w:tab/>
        </w:r>
        <w:r w:rsidR="005B4766">
          <w:rPr>
            <w:noProof/>
            <w:webHidden/>
          </w:rPr>
          <w:fldChar w:fldCharType="begin"/>
        </w:r>
        <w:r w:rsidR="005B4766">
          <w:rPr>
            <w:noProof/>
            <w:webHidden/>
          </w:rPr>
          <w:instrText xml:space="preserve"> PAGEREF _Toc82767219 \h </w:instrText>
        </w:r>
        <w:r w:rsidR="005B4766">
          <w:rPr>
            <w:noProof/>
            <w:webHidden/>
          </w:rPr>
        </w:r>
        <w:r w:rsidR="005B4766">
          <w:rPr>
            <w:noProof/>
            <w:webHidden/>
          </w:rPr>
          <w:fldChar w:fldCharType="separate"/>
        </w:r>
        <w:r w:rsidR="005B4766">
          <w:rPr>
            <w:noProof/>
            <w:webHidden/>
          </w:rPr>
          <w:t>35</w:t>
        </w:r>
        <w:r w:rsidR="005B4766">
          <w:rPr>
            <w:noProof/>
            <w:webHidden/>
          </w:rPr>
          <w:fldChar w:fldCharType="end"/>
        </w:r>
      </w:hyperlink>
    </w:p>
    <w:p w14:paraId="2AA4C4F3" w14:textId="241F6D00" w:rsidR="005B4766" w:rsidRDefault="007042ED">
      <w:pPr>
        <w:pStyle w:val="TOC1"/>
        <w:rPr>
          <w:rFonts w:asciiTheme="minorHAnsi" w:eastAsiaTheme="minorEastAsia" w:hAnsiTheme="minorHAnsi"/>
          <w:sz w:val="22"/>
        </w:rPr>
      </w:pPr>
      <w:hyperlink w:anchor="_Toc82767220" w:history="1">
        <w:r w:rsidR="005B4766" w:rsidRPr="00BF582B">
          <w:rPr>
            <w:rStyle w:val="Hyperlink"/>
          </w:rPr>
          <w:t>6</w:t>
        </w:r>
        <w:r w:rsidR="005B4766">
          <w:rPr>
            <w:rFonts w:asciiTheme="minorHAnsi" w:eastAsiaTheme="minorEastAsia" w:hAnsiTheme="minorHAnsi"/>
            <w:sz w:val="22"/>
          </w:rPr>
          <w:tab/>
        </w:r>
        <w:r w:rsidR="005B4766" w:rsidRPr="00BF582B">
          <w:rPr>
            <w:rStyle w:val="Hyperlink"/>
          </w:rPr>
          <w:t>Stakeholder communication plan</w:t>
        </w:r>
        <w:r w:rsidR="005B4766">
          <w:rPr>
            <w:webHidden/>
          </w:rPr>
          <w:tab/>
        </w:r>
        <w:r w:rsidR="005B4766">
          <w:rPr>
            <w:webHidden/>
          </w:rPr>
          <w:fldChar w:fldCharType="begin"/>
        </w:r>
        <w:r w:rsidR="005B4766">
          <w:rPr>
            <w:webHidden/>
          </w:rPr>
          <w:instrText xml:space="preserve"> PAGEREF _Toc82767220 \h </w:instrText>
        </w:r>
        <w:r w:rsidR="005B4766">
          <w:rPr>
            <w:webHidden/>
          </w:rPr>
        </w:r>
        <w:r w:rsidR="005B4766">
          <w:rPr>
            <w:webHidden/>
          </w:rPr>
          <w:fldChar w:fldCharType="separate"/>
        </w:r>
        <w:r w:rsidR="005B4766">
          <w:rPr>
            <w:webHidden/>
          </w:rPr>
          <w:t>36</w:t>
        </w:r>
        <w:r w:rsidR="005B4766">
          <w:rPr>
            <w:webHidden/>
          </w:rPr>
          <w:fldChar w:fldCharType="end"/>
        </w:r>
      </w:hyperlink>
    </w:p>
    <w:p w14:paraId="0E245A39" w14:textId="052CCC53" w:rsidR="005B4766" w:rsidRDefault="007042ED">
      <w:pPr>
        <w:pStyle w:val="TOC2"/>
        <w:rPr>
          <w:rFonts w:asciiTheme="minorHAnsi" w:eastAsiaTheme="minorEastAsia" w:hAnsiTheme="minorHAnsi"/>
          <w:noProof/>
          <w:sz w:val="22"/>
        </w:rPr>
      </w:pPr>
      <w:hyperlink w:anchor="_Toc82767221" w:history="1">
        <w:r w:rsidR="005B4766" w:rsidRPr="00BF582B">
          <w:rPr>
            <w:rStyle w:val="Hyperlink"/>
            <w:noProof/>
          </w:rPr>
          <w:t>6.1</w:t>
        </w:r>
        <w:r w:rsidR="005B4766">
          <w:rPr>
            <w:rFonts w:asciiTheme="minorHAnsi" w:eastAsiaTheme="minorEastAsia" w:hAnsiTheme="minorHAnsi"/>
            <w:noProof/>
            <w:sz w:val="22"/>
          </w:rPr>
          <w:tab/>
        </w:r>
        <w:r w:rsidR="005B4766" w:rsidRPr="00BF582B">
          <w:rPr>
            <w:rStyle w:val="Hyperlink"/>
            <w:noProof/>
          </w:rPr>
          <w:t>Principles for engagement</w:t>
        </w:r>
        <w:r w:rsidR="005B4766">
          <w:rPr>
            <w:noProof/>
            <w:webHidden/>
          </w:rPr>
          <w:tab/>
        </w:r>
        <w:r w:rsidR="005B4766">
          <w:rPr>
            <w:noProof/>
            <w:webHidden/>
          </w:rPr>
          <w:fldChar w:fldCharType="begin"/>
        </w:r>
        <w:r w:rsidR="005B4766">
          <w:rPr>
            <w:noProof/>
            <w:webHidden/>
          </w:rPr>
          <w:instrText xml:space="preserve"> PAGEREF _Toc82767221 \h </w:instrText>
        </w:r>
        <w:r w:rsidR="005B4766">
          <w:rPr>
            <w:noProof/>
            <w:webHidden/>
          </w:rPr>
        </w:r>
        <w:r w:rsidR="005B4766">
          <w:rPr>
            <w:noProof/>
            <w:webHidden/>
          </w:rPr>
          <w:fldChar w:fldCharType="separate"/>
        </w:r>
        <w:r w:rsidR="005B4766">
          <w:rPr>
            <w:noProof/>
            <w:webHidden/>
          </w:rPr>
          <w:t>36</w:t>
        </w:r>
        <w:r w:rsidR="005B4766">
          <w:rPr>
            <w:noProof/>
            <w:webHidden/>
          </w:rPr>
          <w:fldChar w:fldCharType="end"/>
        </w:r>
      </w:hyperlink>
    </w:p>
    <w:p w14:paraId="23A5FC2C" w14:textId="199B7650" w:rsidR="005B4766" w:rsidRDefault="007042ED">
      <w:pPr>
        <w:pStyle w:val="TOC2"/>
        <w:rPr>
          <w:rFonts w:asciiTheme="minorHAnsi" w:eastAsiaTheme="minorEastAsia" w:hAnsiTheme="minorHAnsi"/>
          <w:noProof/>
          <w:sz w:val="22"/>
        </w:rPr>
      </w:pPr>
      <w:hyperlink w:anchor="_Toc82767222" w:history="1">
        <w:r w:rsidR="005B4766" w:rsidRPr="00BF582B">
          <w:rPr>
            <w:rStyle w:val="Hyperlink"/>
            <w:noProof/>
          </w:rPr>
          <w:t>6.2</w:t>
        </w:r>
        <w:r w:rsidR="005B4766">
          <w:rPr>
            <w:rFonts w:asciiTheme="minorHAnsi" w:eastAsiaTheme="minorEastAsia" w:hAnsiTheme="minorHAnsi"/>
            <w:noProof/>
            <w:sz w:val="22"/>
          </w:rPr>
          <w:tab/>
        </w:r>
        <w:r w:rsidR="005B4766" w:rsidRPr="00BF582B">
          <w:rPr>
            <w:rStyle w:val="Hyperlink"/>
            <w:noProof/>
          </w:rPr>
          <w:t>Stakeholder communication plan</w:t>
        </w:r>
        <w:r w:rsidR="005B4766">
          <w:rPr>
            <w:noProof/>
            <w:webHidden/>
          </w:rPr>
          <w:tab/>
        </w:r>
        <w:r w:rsidR="005B4766">
          <w:rPr>
            <w:noProof/>
            <w:webHidden/>
          </w:rPr>
          <w:fldChar w:fldCharType="begin"/>
        </w:r>
        <w:r w:rsidR="005B4766">
          <w:rPr>
            <w:noProof/>
            <w:webHidden/>
          </w:rPr>
          <w:instrText xml:space="preserve"> PAGEREF _Toc82767222 \h </w:instrText>
        </w:r>
        <w:r w:rsidR="005B4766">
          <w:rPr>
            <w:noProof/>
            <w:webHidden/>
          </w:rPr>
        </w:r>
        <w:r w:rsidR="005B4766">
          <w:rPr>
            <w:noProof/>
            <w:webHidden/>
          </w:rPr>
          <w:fldChar w:fldCharType="separate"/>
        </w:r>
        <w:r w:rsidR="005B4766">
          <w:rPr>
            <w:noProof/>
            <w:webHidden/>
          </w:rPr>
          <w:t>36</w:t>
        </w:r>
        <w:r w:rsidR="005B4766">
          <w:rPr>
            <w:noProof/>
            <w:webHidden/>
          </w:rPr>
          <w:fldChar w:fldCharType="end"/>
        </w:r>
      </w:hyperlink>
    </w:p>
    <w:p w14:paraId="31C7F80E" w14:textId="753C45B1" w:rsidR="005B4766" w:rsidRDefault="007042ED">
      <w:pPr>
        <w:pStyle w:val="TOC1"/>
        <w:rPr>
          <w:rFonts w:asciiTheme="minorHAnsi" w:eastAsiaTheme="minorEastAsia" w:hAnsiTheme="minorHAnsi"/>
          <w:sz w:val="22"/>
        </w:rPr>
      </w:pPr>
      <w:hyperlink w:anchor="_Toc82767223" w:history="1">
        <w:r w:rsidR="005B4766" w:rsidRPr="00BF582B">
          <w:rPr>
            <w:rStyle w:val="Hyperlink"/>
          </w:rPr>
          <w:t>7</w:t>
        </w:r>
        <w:r w:rsidR="005B4766">
          <w:rPr>
            <w:rFonts w:asciiTheme="minorHAnsi" w:eastAsiaTheme="minorEastAsia" w:hAnsiTheme="minorHAnsi"/>
            <w:sz w:val="22"/>
          </w:rPr>
          <w:tab/>
        </w:r>
        <w:r w:rsidR="005B4766" w:rsidRPr="00BF582B">
          <w:rPr>
            <w:rStyle w:val="Hyperlink"/>
          </w:rPr>
          <w:t>Dependencies, challenges and risks</w:t>
        </w:r>
        <w:r w:rsidR="005B4766">
          <w:rPr>
            <w:webHidden/>
          </w:rPr>
          <w:tab/>
        </w:r>
        <w:r w:rsidR="005B4766">
          <w:rPr>
            <w:webHidden/>
          </w:rPr>
          <w:fldChar w:fldCharType="begin"/>
        </w:r>
        <w:r w:rsidR="005B4766">
          <w:rPr>
            <w:webHidden/>
          </w:rPr>
          <w:instrText xml:space="preserve"> PAGEREF _Toc82767223 \h </w:instrText>
        </w:r>
        <w:r w:rsidR="005B4766">
          <w:rPr>
            <w:webHidden/>
          </w:rPr>
        </w:r>
        <w:r w:rsidR="005B4766">
          <w:rPr>
            <w:webHidden/>
          </w:rPr>
          <w:fldChar w:fldCharType="separate"/>
        </w:r>
        <w:r w:rsidR="005B4766">
          <w:rPr>
            <w:webHidden/>
          </w:rPr>
          <w:t>39</w:t>
        </w:r>
        <w:r w:rsidR="005B4766">
          <w:rPr>
            <w:webHidden/>
          </w:rPr>
          <w:fldChar w:fldCharType="end"/>
        </w:r>
      </w:hyperlink>
    </w:p>
    <w:p w14:paraId="5F840348" w14:textId="279F19E0" w:rsidR="005B4766" w:rsidRDefault="007042ED">
      <w:pPr>
        <w:pStyle w:val="TOC2"/>
        <w:rPr>
          <w:rFonts w:asciiTheme="minorHAnsi" w:eastAsiaTheme="minorEastAsia" w:hAnsiTheme="minorHAnsi"/>
          <w:noProof/>
          <w:sz w:val="22"/>
        </w:rPr>
      </w:pPr>
      <w:hyperlink w:anchor="_Toc82767224" w:history="1">
        <w:r w:rsidR="005B4766" w:rsidRPr="00BF582B">
          <w:rPr>
            <w:rStyle w:val="Hyperlink"/>
            <w:noProof/>
          </w:rPr>
          <w:t>7.1</w:t>
        </w:r>
        <w:r w:rsidR="005B4766">
          <w:rPr>
            <w:rFonts w:asciiTheme="minorHAnsi" w:eastAsiaTheme="minorEastAsia" w:hAnsiTheme="minorHAnsi"/>
            <w:noProof/>
            <w:sz w:val="22"/>
          </w:rPr>
          <w:tab/>
        </w:r>
        <w:r w:rsidR="005B4766" w:rsidRPr="00BF582B">
          <w:rPr>
            <w:rStyle w:val="Hyperlink"/>
            <w:noProof/>
          </w:rPr>
          <w:t>Boundaries and dependencies of the evaluation</w:t>
        </w:r>
        <w:r w:rsidR="005B4766">
          <w:rPr>
            <w:noProof/>
            <w:webHidden/>
          </w:rPr>
          <w:tab/>
        </w:r>
        <w:r w:rsidR="005B4766">
          <w:rPr>
            <w:noProof/>
            <w:webHidden/>
          </w:rPr>
          <w:fldChar w:fldCharType="begin"/>
        </w:r>
        <w:r w:rsidR="005B4766">
          <w:rPr>
            <w:noProof/>
            <w:webHidden/>
          </w:rPr>
          <w:instrText xml:space="preserve"> PAGEREF _Toc82767224 \h </w:instrText>
        </w:r>
        <w:r w:rsidR="005B4766">
          <w:rPr>
            <w:noProof/>
            <w:webHidden/>
          </w:rPr>
        </w:r>
        <w:r w:rsidR="005B4766">
          <w:rPr>
            <w:noProof/>
            <w:webHidden/>
          </w:rPr>
          <w:fldChar w:fldCharType="separate"/>
        </w:r>
        <w:r w:rsidR="005B4766">
          <w:rPr>
            <w:noProof/>
            <w:webHidden/>
          </w:rPr>
          <w:t>39</w:t>
        </w:r>
        <w:r w:rsidR="005B4766">
          <w:rPr>
            <w:noProof/>
            <w:webHidden/>
          </w:rPr>
          <w:fldChar w:fldCharType="end"/>
        </w:r>
      </w:hyperlink>
    </w:p>
    <w:p w14:paraId="667EC4F5" w14:textId="73B79D3C" w:rsidR="005B4766" w:rsidRDefault="007042ED">
      <w:pPr>
        <w:pStyle w:val="TOC2"/>
        <w:rPr>
          <w:rFonts w:asciiTheme="minorHAnsi" w:eastAsiaTheme="minorEastAsia" w:hAnsiTheme="minorHAnsi"/>
          <w:noProof/>
          <w:sz w:val="22"/>
        </w:rPr>
      </w:pPr>
      <w:hyperlink w:anchor="_Toc82767225" w:history="1">
        <w:r w:rsidR="005B4766" w:rsidRPr="00BF582B">
          <w:rPr>
            <w:rStyle w:val="Hyperlink"/>
            <w:noProof/>
          </w:rPr>
          <w:t>7.2</w:t>
        </w:r>
        <w:r w:rsidR="005B4766">
          <w:rPr>
            <w:rFonts w:asciiTheme="minorHAnsi" w:eastAsiaTheme="minorEastAsia" w:hAnsiTheme="minorHAnsi"/>
            <w:noProof/>
            <w:sz w:val="22"/>
          </w:rPr>
          <w:tab/>
        </w:r>
        <w:r w:rsidR="005B4766" w:rsidRPr="00BF582B">
          <w:rPr>
            <w:rStyle w:val="Hyperlink"/>
            <w:noProof/>
          </w:rPr>
          <w:t>Key challenges and risks for the evaluation</w:t>
        </w:r>
        <w:r w:rsidR="005B4766">
          <w:rPr>
            <w:noProof/>
            <w:webHidden/>
          </w:rPr>
          <w:tab/>
        </w:r>
        <w:r w:rsidR="005B4766">
          <w:rPr>
            <w:noProof/>
            <w:webHidden/>
          </w:rPr>
          <w:fldChar w:fldCharType="begin"/>
        </w:r>
        <w:r w:rsidR="005B4766">
          <w:rPr>
            <w:noProof/>
            <w:webHidden/>
          </w:rPr>
          <w:instrText xml:space="preserve"> PAGEREF _Toc82767225 \h </w:instrText>
        </w:r>
        <w:r w:rsidR="005B4766">
          <w:rPr>
            <w:noProof/>
            <w:webHidden/>
          </w:rPr>
        </w:r>
        <w:r w:rsidR="005B4766">
          <w:rPr>
            <w:noProof/>
            <w:webHidden/>
          </w:rPr>
          <w:fldChar w:fldCharType="separate"/>
        </w:r>
        <w:r w:rsidR="005B4766">
          <w:rPr>
            <w:noProof/>
            <w:webHidden/>
          </w:rPr>
          <w:t>39</w:t>
        </w:r>
        <w:r w:rsidR="005B4766">
          <w:rPr>
            <w:noProof/>
            <w:webHidden/>
          </w:rPr>
          <w:fldChar w:fldCharType="end"/>
        </w:r>
      </w:hyperlink>
    </w:p>
    <w:p w14:paraId="2856E91C" w14:textId="104F65DC" w:rsidR="005B4766" w:rsidRDefault="007042ED">
      <w:pPr>
        <w:pStyle w:val="TOC2"/>
        <w:rPr>
          <w:rFonts w:asciiTheme="minorHAnsi" w:eastAsiaTheme="minorEastAsia" w:hAnsiTheme="minorHAnsi"/>
          <w:noProof/>
          <w:sz w:val="22"/>
        </w:rPr>
      </w:pPr>
      <w:hyperlink w:anchor="_Toc82767226" w:history="1">
        <w:r w:rsidR="005B4766" w:rsidRPr="00BF582B">
          <w:rPr>
            <w:rStyle w:val="Hyperlink"/>
            <w:noProof/>
          </w:rPr>
          <w:t>7.3</w:t>
        </w:r>
        <w:r w:rsidR="005B4766">
          <w:rPr>
            <w:rFonts w:asciiTheme="minorHAnsi" w:eastAsiaTheme="minorEastAsia" w:hAnsiTheme="minorHAnsi"/>
            <w:noProof/>
            <w:sz w:val="22"/>
          </w:rPr>
          <w:tab/>
        </w:r>
        <w:r w:rsidR="005B4766" w:rsidRPr="00BF582B">
          <w:rPr>
            <w:rStyle w:val="Hyperlink"/>
            <w:noProof/>
          </w:rPr>
          <w:t>Risk management approach</w:t>
        </w:r>
        <w:r w:rsidR="005B4766">
          <w:rPr>
            <w:noProof/>
            <w:webHidden/>
          </w:rPr>
          <w:tab/>
        </w:r>
        <w:r w:rsidR="005B4766">
          <w:rPr>
            <w:noProof/>
            <w:webHidden/>
          </w:rPr>
          <w:fldChar w:fldCharType="begin"/>
        </w:r>
        <w:r w:rsidR="005B4766">
          <w:rPr>
            <w:noProof/>
            <w:webHidden/>
          </w:rPr>
          <w:instrText xml:space="preserve"> PAGEREF _Toc82767226 \h </w:instrText>
        </w:r>
        <w:r w:rsidR="005B4766">
          <w:rPr>
            <w:noProof/>
            <w:webHidden/>
          </w:rPr>
        </w:r>
        <w:r w:rsidR="005B4766">
          <w:rPr>
            <w:noProof/>
            <w:webHidden/>
          </w:rPr>
          <w:fldChar w:fldCharType="separate"/>
        </w:r>
        <w:r w:rsidR="005B4766">
          <w:rPr>
            <w:noProof/>
            <w:webHidden/>
          </w:rPr>
          <w:t>41</w:t>
        </w:r>
        <w:r w:rsidR="005B4766">
          <w:rPr>
            <w:noProof/>
            <w:webHidden/>
          </w:rPr>
          <w:fldChar w:fldCharType="end"/>
        </w:r>
      </w:hyperlink>
    </w:p>
    <w:p w14:paraId="2939A58C" w14:textId="4C1DF158" w:rsidR="005B4766" w:rsidRDefault="007042ED">
      <w:pPr>
        <w:pStyle w:val="TOC1"/>
        <w:rPr>
          <w:rFonts w:asciiTheme="minorHAnsi" w:eastAsiaTheme="minorEastAsia" w:hAnsiTheme="minorHAnsi"/>
          <w:sz w:val="22"/>
        </w:rPr>
      </w:pPr>
      <w:hyperlink w:anchor="_Toc82767227" w:history="1">
        <w:r w:rsidR="005B4766" w:rsidRPr="00BF582B">
          <w:rPr>
            <w:rStyle w:val="Hyperlink"/>
          </w:rPr>
          <w:t>8</w:t>
        </w:r>
        <w:r w:rsidR="005B4766">
          <w:rPr>
            <w:rFonts w:asciiTheme="minorHAnsi" w:eastAsiaTheme="minorEastAsia" w:hAnsiTheme="minorHAnsi"/>
            <w:sz w:val="22"/>
          </w:rPr>
          <w:tab/>
        </w:r>
        <w:r w:rsidR="005B4766" w:rsidRPr="00BF582B">
          <w:rPr>
            <w:rStyle w:val="Hyperlink"/>
          </w:rPr>
          <w:t>Ethics considerations</w:t>
        </w:r>
        <w:r w:rsidR="005B4766">
          <w:rPr>
            <w:webHidden/>
          </w:rPr>
          <w:tab/>
        </w:r>
        <w:r w:rsidR="005B4766">
          <w:rPr>
            <w:webHidden/>
          </w:rPr>
          <w:fldChar w:fldCharType="begin"/>
        </w:r>
        <w:r w:rsidR="005B4766">
          <w:rPr>
            <w:webHidden/>
          </w:rPr>
          <w:instrText xml:space="preserve"> PAGEREF _Toc82767227 \h </w:instrText>
        </w:r>
        <w:r w:rsidR="005B4766">
          <w:rPr>
            <w:webHidden/>
          </w:rPr>
        </w:r>
        <w:r w:rsidR="005B4766">
          <w:rPr>
            <w:webHidden/>
          </w:rPr>
          <w:fldChar w:fldCharType="separate"/>
        </w:r>
        <w:r w:rsidR="005B4766">
          <w:rPr>
            <w:webHidden/>
          </w:rPr>
          <w:t>42</w:t>
        </w:r>
        <w:r w:rsidR="005B4766">
          <w:rPr>
            <w:webHidden/>
          </w:rPr>
          <w:fldChar w:fldCharType="end"/>
        </w:r>
      </w:hyperlink>
    </w:p>
    <w:p w14:paraId="2390C58D" w14:textId="0BEB2BDC" w:rsidR="005B4766" w:rsidRDefault="007042ED">
      <w:pPr>
        <w:pStyle w:val="TOC2"/>
        <w:rPr>
          <w:rFonts w:asciiTheme="minorHAnsi" w:eastAsiaTheme="minorEastAsia" w:hAnsiTheme="minorHAnsi"/>
          <w:noProof/>
          <w:sz w:val="22"/>
        </w:rPr>
      </w:pPr>
      <w:hyperlink w:anchor="_Toc82767228" w:history="1">
        <w:r w:rsidR="005B4766" w:rsidRPr="00BF582B">
          <w:rPr>
            <w:rStyle w:val="Hyperlink"/>
            <w:noProof/>
          </w:rPr>
          <w:t>8.1</w:t>
        </w:r>
        <w:r w:rsidR="005B4766">
          <w:rPr>
            <w:rFonts w:asciiTheme="minorHAnsi" w:eastAsiaTheme="minorEastAsia" w:hAnsiTheme="minorHAnsi"/>
            <w:noProof/>
            <w:sz w:val="22"/>
          </w:rPr>
          <w:tab/>
        </w:r>
        <w:r w:rsidR="005B4766" w:rsidRPr="00BF582B">
          <w:rPr>
            <w:rStyle w:val="Hyperlink"/>
            <w:noProof/>
          </w:rPr>
          <w:t>Ethics management</w:t>
        </w:r>
        <w:r w:rsidR="005B4766">
          <w:rPr>
            <w:noProof/>
            <w:webHidden/>
          </w:rPr>
          <w:tab/>
        </w:r>
        <w:r w:rsidR="005B4766">
          <w:rPr>
            <w:noProof/>
            <w:webHidden/>
          </w:rPr>
          <w:fldChar w:fldCharType="begin"/>
        </w:r>
        <w:r w:rsidR="005B4766">
          <w:rPr>
            <w:noProof/>
            <w:webHidden/>
          </w:rPr>
          <w:instrText xml:space="preserve"> PAGEREF _Toc82767228 \h </w:instrText>
        </w:r>
        <w:r w:rsidR="005B4766">
          <w:rPr>
            <w:noProof/>
            <w:webHidden/>
          </w:rPr>
        </w:r>
        <w:r w:rsidR="005B4766">
          <w:rPr>
            <w:noProof/>
            <w:webHidden/>
          </w:rPr>
          <w:fldChar w:fldCharType="separate"/>
        </w:r>
        <w:r w:rsidR="005B4766">
          <w:rPr>
            <w:noProof/>
            <w:webHidden/>
          </w:rPr>
          <w:t>42</w:t>
        </w:r>
        <w:r w:rsidR="005B4766">
          <w:rPr>
            <w:noProof/>
            <w:webHidden/>
          </w:rPr>
          <w:fldChar w:fldCharType="end"/>
        </w:r>
      </w:hyperlink>
    </w:p>
    <w:p w14:paraId="03F775F6" w14:textId="4931E289" w:rsidR="005B4766" w:rsidRDefault="007042ED">
      <w:pPr>
        <w:pStyle w:val="TOC3"/>
        <w:tabs>
          <w:tab w:val="left" w:pos="1320"/>
          <w:tab w:val="right" w:leader="dot" w:pos="9288"/>
        </w:tabs>
        <w:rPr>
          <w:noProof/>
        </w:rPr>
      </w:pPr>
      <w:hyperlink w:anchor="_Toc82767229" w:history="1">
        <w:r w:rsidR="005B4766" w:rsidRPr="00BF582B">
          <w:rPr>
            <w:rStyle w:val="Hyperlink"/>
            <w:noProof/>
          </w:rPr>
          <w:t>8.1.1</w:t>
        </w:r>
        <w:r w:rsidR="005B4766">
          <w:rPr>
            <w:noProof/>
          </w:rPr>
          <w:tab/>
        </w:r>
        <w:r w:rsidR="005B4766" w:rsidRPr="00BF582B">
          <w:rPr>
            <w:rStyle w:val="Hyperlink"/>
            <w:noProof/>
          </w:rPr>
          <w:t>Privacy and data management</w:t>
        </w:r>
        <w:r w:rsidR="006C0DDA">
          <w:rPr>
            <w:webHidden/>
          </w:rPr>
          <w:t>…………………………………………………………………………………………...</w:t>
        </w:r>
        <w:r w:rsidR="005B4766">
          <w:rPr>
            <w:noProof/>
            <w:webHidden/>
          </w:rPr>
          <w:fldChar w:fldCharType="begin"/>
        </w:r>
        <w:r w:rsidR="005B4766">
          <w:rPr>
            <w:noProof/>
            <w:webHidden/>
          </w:rPr>
          <w:instrText xml:space="preserve"> PAGEREF _Toc82767229 \h </w:instrText>
        </w:r>
        <w:r w:rsidR="005B4766">
          <w:rPr>
            <w:noProof/>
            <w:webHidden/>
          </w:rPr>
        </w:r>
        <w:r w:rsidR="005B4766">
          <w:rPr>
            <w:noProof/>
            <w:webHidden/>
          </w:rPr>
          <w:fldChar w:fldCharType="separate"/>
        </w:r>
        <w:r w:rsidR="005B4766">
          <w:rPr>
            <w:noProof/>
            <w:webHidden/>
          </w:rPr>
          <w:t>43</w:t>
        </w:r>
        <w:r w:rsidR="005B4766">
          <w:rPr>
            <w:noProof/>
            <w:webHidden/>
          </w:rPr>
          <w:fldChar w:fldCharType="end"/>
        </w:r>
      </w:hyperlink>
    </w:p>
    <w:p w14:paraId="477519A3" w14:textId="5E81979F" w:rsidR="005B4766" w:rsidRDefault="007042ED">
      <w:pPr>
        <w:pStyle w:val="TOC1"/>
        <w:rPr>
          <w:rFonts w:asciiTheme="minorHAnsi" w:eastAsiaTheme="minorEastAsia" w:hAnsiTheme="minorHAnsi"/>
          <w:sz w:val="22"/>
        </w:rPr>
      </w:pPr>
      <w:hyperlink w:anchor="_Toc82767230" w:history="1">
        <w:r w:rsidR="005B4766" w:rsidRPr="00BF582B">
          <w:rPr>
            <w:rStyle w:val="Hyperlink"/>
          </w:rPr>
          <w:t>Appendix A</w:t>
        </w:r>
        <w:r w:rsidR="005B4766">
          <w:rPr>
            <w:rFonts w:asciiTheme="minorHAnsi" w:eastAsiaTheme="minorEastAsia" w:hAnsiTheme="minorHAnsi"/>
            <w:sz w:val="22"/>
          </w:rPr>
          <w:tab/>
        </w:r>
        <w:r w:rsidR="005B4766" w:rsidRPr="00BF582B">
          <w:rPr>
            <w:rStyle w:val="Hyperlink"/>
          </w:rPr>
          <w:t>Stakeholders consulted in development of this Framework</w:t>
        </w:r>
        <w:r w:rsidR="005B4766">
          <w:rPr>
            <w:webHidden/>
          </w:rPr>
          <w:tab/>
        </w:r>
        <w:r w:rsidR="005B4766">
          <w:rPr>
            <w:webHidden/>
          </w:rPr>
          <w:fldChar w:fldCharType="begin"/>
        </w:r>
        <w:r w:rsidR="005B4766">
          <w:rPr>
            <w:webHidden/>
          </w:rPr>
          <w:instrText xml:space="preserve"> PAGEREF _Toc82767230 \h </w:instrText>
        </w:r>
        <w:r w:rsidR="005B4766">
          <w:rPr>
            <w:webHidden/>
          </w:rPr>
        </w:r>
        <w:r w:rsidR="005B4766">
          <w:rPr>
            <w:webHidden/>
          </w:rPr>
          <w:fldChar w:fldCharType="separate"/>
        </w:r>
        <w:r w:rsidR="005B4766">
          <w:rPr>
            <w:webHidden/>
          </w:rPr>
          <w:t>44</w:t>
        </w:r>
        <w:r w:rsidR="005B4766">
          <w:rPr>
            <w:webHidden/>
          </w:rPr>
          <w:fldChar w:fldCharType="end"/>
        </w:r>
      </w:hyperlink>
    </w:p>
    <w:p w14:paraId="72654FB0" w14:textId="7010DAA0" w:rsidR="005B4766" w:rsidRDefault="007042ED">
      <w:pPr>
        <w:pStyle w:val="TOC1"/>
        <w:rPr>
          <w:rFonts w:asciiTheme="minorHAnsi" w:eastAsiaTheme="minorEastAsia" w:hAnsiTheme="minorHAnsi"/>
          <w:sz w:val="22"/>
        </w:rPr>
      </w:pPr>
      <w:hyperlink w:anchor="_Toc82767231" w:history="1">
        <w:r w:rsidR="005B4766" w:rsidRPr="00BF582B">
          <w:rPr>
            <w:rStyle w:val="Hyperlink"/>
          </w:rPr>
          <w:t>Appendix B</w:t>
        </w:r>
        <w:r w:rsidR="005B4766">
          <w:rPr>
            <w:rFonts w:asciiTheme="minorHAnsi" w:eastAsiaTheme="minorEastAsia" w:hAnsiTheme="minorHAnsi"/>
            <w:sz w:val="22"/>
          </w:rPr>
          <w:tab/>
        </w:r>
        <w:r w:rsidR="005B4766" w:rsidRPr="00BF582B">
          <w:rPr>
            <w:rStyle w:val="Hyperlink"/>
          </w:rPr>
          <w:t>Data collection tools</w:t>
        </w:r>
        <w:r w:rsidR="005B4766">
          <w:rPr>
            <w:webHidden/>
          </w:rPr>
          <w:tab/>
        </w:r>
        <w:r w:rsidR="005B4766">
          <w:rPr>
            <w:webHidden/>
          </w:rPr>
          <w:fldChar w:fldCharType="begin"/>
        </w:r>
        <w:r w:rsidR="005B4766">
          <w:rPr>
            <w:webHidden/>
          </w:rPr>
          <w:instrText xml:space="preserve"> PAGEREF _Toc82767231 \h </w:instrText>
        </w:r>
        <w:r w:rsidR="005B4766">
          <w:rPr>
            <w:webHidden/>
          </w:rPr>
        </w:r>
        <w:r w:rsidR="005B4766">
          <w:rPr>
            <w:webHidden/>
          </w:rPr>
          <w:fldChar w:fldCharType="separate"/>
        </w:r>
        <w:r w:rsidR="005B4766">
          <w:rPr>
            <w:webHidden/>
          </w:rPr>
          <w:t>47</w:t>
        </w:r>
        <w:r w:rsidR="005B4766">
          <w:rPr>
            <w:webHidden/>
          </w:rPr>
          <w:fldChar w:fldCharType="end"/>
        </w:r>
      </w:hyperlink>
    </w:p>
    <w:p w14:paraId="33AF0C19" w14:textId="47D765E5" w:rsidR="005B4766" w:rsidRDefault="007042ED">
      <w:pPr>
        <w:pStyle w:val="TOC2"/>
        <w:rPr>
          <w:rFonts w:asciiTheme="minorHAnsi" w:eastAsiaTheme="minorEastAsia" w:hAnsiTheme="minorHAnsi"/>
          <w:noProof/>
          <w:sz w:val="22"/>
        </w:rPr>
      </w:pPr>
      <w:hyperlink w:anchor="_Toc82767232" w:history="1">
        <w:r w:rsidR="005B4766" w:rsidRPr="00BF582B">
          <w:rPr>
            <w:rStyle w:val="Hyperlink"/>
            <w:noProof/>
          </w:rPr>
          <w:t>B.1</w:t>
        </w:r>
        <w:r w:rsidR="005B4766">
          <w:rPr>
            <w:rFonts w:asciiTheme="minorHAnsi" w:eastAsiaTheme="minorEastAsia" w:hAnsiTheme="minorHAnsi"/>
            <w:noProof/>
            <w:sz w:val="22"/>
          </w:rPr>
          <w:tab/>
        </w:r>
        <w:r w:rsidR="005B4766" w:rsidRPr="00BF582B">
          <w:rPr>
            <w:rStyle w:val="Hyperlink"/>
            <w:noProof/>
          </w:rPr>
          <w:t>RACF survey</w:t>
        </w:r>
        <w:r w:rsidR="005B4766">
          <w:rPr>
            <w:noProof/>
            <w:webHidden/>
          </w:rPr>
          <w:tab/>
        </w:r>
        <w:r w:rsidR="005B4766">
          <w:rPr>
            <w:noProof/>
            <w:webHidden/>
          </w:rPr>
          <w:fldChar w:fldCharType="begin"/>
        </w:r>
        <w:r w:rsidR="005B4766">
          <w:rPr>
            <w:noProof/>
            <w:webHidden/>
          </w:rPr>
          <w:instrText xml:space="preserve"> PAGEREF _Toc82767232 \h </w:instrText>
        </w:r>
        <w:r w:rsidR="005B4766">
          <w:rPr>
            <w:noProof/>
            <w:webHidden/>
          </w:rPr>
        </w:r>
        <w:r w:rsidR="005B4766">
          <w:rPr>
            <w:noProof/>
            <w:webHidden/>
          </w:rPr>
          <w:fldChar w:fldCharType="separate"/>
        </w:r>
        <w:r w:rsidR="005B4766">
          <w:rPr>
            <w:noProof/>
            <w:webHidden/>
          </w:rPr>
          <w:t>47</w:t>
        </w:r>
        <w:r w:rsidR="005B4766">
          <w:rPr>
            <w:noProof/>
            <w:webHidden/>
          </w:rPr>
          <w:fldChar w:fldCharType="end"/>
        </w:r>
      </w:hyperlink>
    </w:p>
    <w:p w14:paraId="5D6FE9FB" w14:textId="774F79FF" w:rsidR="005B4766" w:rsidRDefault="007042ED">
      <w:pPr>
        <w:pStyle w:val="TOC2"/>
        <w:rPr>
          <w:rFonts w:asciiTheme="minorHAnsi" w:eastAsiaTheme="minorEastAsia" w:hAnsiTheme="minorHAnsi"/>
          <w:noProof/>
          <w:sz w:val="22"/>
        </w:rPr>
      </w:pPr>
      <w:hyperlink w:anchor="_Toc82767233" w:history="1">
        <w:r w:rsidR="005B4766" w:rsidRPr="00BF582B">
          <w:rPr>
            <w:rStyle w:val="Hyperlink"/>
            <w:noProof/>
          </w:rPr>
          <w:t>B.2</w:t>
        </w:r>
        <w:r w:rsidR="005B4766">
          <w:rPr>
            <w:rFonts w:asciiTheme="minorHAnsi" w:eastAsiaTheme="minorEastAsia" w:hAnsiTheme="minorHAnsi"/>
            <w:noProof/>
            <w:sz w:val="22"/>
          </w:rPr>
          <w:tab/>
        </w:r>
        <w:r w:rsidR="005B4766" w:rsidRPr="00BF582B">
          <w:rPr>
            <w:rStyle w:val="Hyperlink"/>
            <w:noProof/>
          </w:rPr>
          <w:t>State and territory biannual reporting template</w:t>
        </w:r>
        <w:r w:rsidR="005B4766">
          <w:rPr>
            <w:noProof/>
            <w:webHidden/>
          </w:rPr>
          <w:tab/>
        </w:r>
        <w:r w:rsidR="005B4766">
          <w:rPr>
            <w:noProof/>
            <w:webHidden/>
          </w:rPr>
          <w:fldChar w:fldCharType="begin"/>
        </w:r>
        <w:r w:rsidR="005B4766">
          <w:rPr>
            <w:noProof/>
            <w:webHidden/>
          </w:rPr>
          <w:instrText xml:space="preserve"> PAGEREF _Toc82767233 \h </w:instrText>
        </w:r>
        <w:r w:rsidR="005B4766">
          <w:rPr>
            <w:noProof/>
            <w:webHidden/>
          </w:rPr>
        </w:r>
        <w:r w:rsidR="005B4766">
          <w:rPr>
            <w:noProof/>
            <w:webHidden/>
          </w:rPr>
          <w:fldChar w:fldCharType="separate"/>
        </w:r>
        <w:r w:rsidR="005B4766">
          <w:rPr>
            <w:noProof/>
            <w:webHidden/>
          </w:rPr>
          <w:t>50</w:t>
        </w:r>
        <w:r w:rsidR="005B4766">
          <w:rPr>
            <w:noProof/>
            <w:webHidden/>
          </w:rPr>
          <w:fldChar w:fldCharType="end"/>
        </w:r>
      </w:hyperlink>
    </w:p>
    <w:p w14:paraId="2970264A" w14:textId="59F4E835" w:rsidR="005B4766" w:rsidRDefault="007042ED">
      <w:pPr>
        <w:pStyle w:val="TOC2"/>
        <w:rPr>
          <w:rFonts w:asciiTheme="minorHAnsi" w:eastAsiaTheme="minorEastAsia" w:hAnsiTheme="minorHAnsi"/>
          <w:noProof/>
          <w:sz w:val="22"/>
        </w:rPr>
      </w:pPr>
      <w:hyperlink w:anchor="_Toc82767234" w:history="1">
        <w:r w:rsidR="005B4766" w:rsidRPr="00BF582B">
          <w:rPr>
            <w:rStyle w:val="Hyperlink"/>
            <w:noProof/>
          </w:rPr>
          <w:t>B.3</w:t>
        </w:r>
        <w:r w:rsidR="005B4766">
          <w:rPr>
            <w:rFonts w:asciiTheme="minorHAnsi" w:eastAsiaTheme="minorEastAsia" w:hAnsiTheme="minorHAnsi"/>
            <w:noProof/>
            <w:sz w:val="22"/>
          </w:rPr>
          <w:tab/>
        </w:r>
        <w:r w:rsidR="005B4766" w:rsidRPr="00BF582B">
          <w:rPr>
            <w:rStyle w:val="Hyperlink"/>
            <w:noProof/>
          </w:rPr>
          <w:t>PCA consumer representative group interview guide</w:t>
        </w:r>
        <w:r w:rsidR="005B4766">
          <w:rPr>
            <w:noProof/>
            <w:webHidden/>
          </w:rPr>
          <w:tab/>
        </w:r>
        <w:r w:rsidR="005B4766">
          <w:rPr>
            <w:noProof/>
            <w:webHidden/>
          </w:rPr>
          <w:fldChar w:fldCharType="begin"/>
        </w:r>
        <w:r w:rsidR="005B4766">
          <w:rPr>
            <w:noProof/>
            <w:webHidden/>
          </w:rPr>
          <w:instrText xml:space="preserve"> PAGEREF _Toc82767234 \h </w:instrText>
        </w:r>
        <w:r w:rsidR="005B4766">
          <w:rPr>
            <w:noProof/>
            <w:webHidden/>
          </w:rPr>
        </w:r>
        <w:r w:rsidR="005B4766">
          <w:rPr>
            <w:noProof/>
            <w:webHidden/>
          </w:rPr>
          <w:fldChar w:fldCharType="separate"/>
        </w:r>
        <w:r w:rsidR="005B4766">
          <w:rPr>
            <w:noProof/>
            <w:webHidden/>
          </w:rPr>
          <w:t>51</w:t>
        </w:r>
        <w:r w:rsidR="005B4766">
          <w:rPr>
            <w:noProof/>
            <w:webHidden/>
          </w:rPr>
          <w:fldChar w:fldCharType="end"/>
        </w:r>
      </w:hyperlink>
    </w:p>
    <w:p w14:paraId="4E79B222" w14:textId="19A449BA" w:rsidR="005B4766" w:rsidRDefault="007042ED">
      <w:pPr>
        <w:pStyle w:val="TOC1"/>
        <w:rPr>
          <w:rFonts w:asciiTheme="minorHAnsi" w:eastAsiaTheme="minorEastAsia" w:hAnsiTheme="minorHAnsi"/>
          <w:sz w:val="22"/>
        </w:rPr>
      </w:pPr>
      <w:hyperlink w:anchor="_Toc82767235" w:history="1">
        <w:r w:rsidR="005B4766" w:rsidRPr="00BF582B">
          <w:rPr>
            <w:rStyle w:val="Hyperlink"/>
          </w:rPr>
          <w:t>Appendix C</w:t>
        </w:r>
        <w:r w:rsidR="005B4766">
          <w:rPr>
            <w:rFonts w:asciiTheme="minorHAnsi" w:eastAsiaTheme="minorEastAsia" w:hAnsiTheme="minorHAnsi"/>
            <w:sz w:val="22"/>
          </w:rPr>
          <w:tab/>
        </w:r>
        <w:r w:rsidR="005B4766" w:rsidRPr="00BF582B">
          <w:rPr>
            <w:rStyle w:val="Hyperlink"/>
          </w:rPr>
          <w:t>Evaluation indicators</w:t>
        </w:r>
        <w:r w:rsidR="005B4766">
          <w:rPr>
            <w:webHidden/>
          </w:rPr>
          <w:tab/>
        </w:r>
        <w:r w:rsidR="005B4766">
          <w:rPr>
            <w:webHidden/>
          </w:rPr>
          <w:fldChar w:fldCharType="begin"/>
        </w:r>
        <w:r w:rsidR="005B4766">
          <w:rPr>
            <w:webHidden/>
          </w:rPr>
          <w:instrText xml:space="preserve"> PAGEREF _Toc82767235 \h </w:instrText>
        </w:r>
        <w:r w:rsidR="005B4766">
          <w:rPr>
            <w:webHidden/>
          </w:rPr>
        </w:r>
        <w:r w:rsidR="005B4766">
          <w:rPr>
            <w:webHidden/>
          </w:rPr>
          <w:fldChar w:fldCharType="separate"/>
        </w:r>
        <w:r w:rsidR="005B4766">
          <w:rPr>
            <w:webHidden/>
          </w:rPr>
          <w:t>54</w:t>
        </w:r>
        <w:r w:rsidR="005B4766">
          <w:rPr>
            <w:webHidden/>
          </w:rPr>
          <w:fldChar w:fldCharType="end"/>
        </w:r>
      </w:hyperlink>
    </w:p>
    <w:p w14:paraId="2DB3A69B" w14:textId="52F936FA" w:rsidR="005B4766" w:rsidRDefault="007042ED">
      <w:pPr>
        <w:pStyle w:val="TOC1"/>
        <w:rPr>
          <w:rFonts w:asciiTheme="minorHAnsi" w:eastAsiaTheme="minorEastAsia" w:hAnsiTheme="minorHAnsi"/>
          <w:sz w:val="22"/>
        </w:rPr>
      </w:pPr>
      <w:hyperlink w:anchor="_Toc82767236" w:history="1">
        <w:r w:rsidR="005B4766" w:rsidRPr="00BF582B">
          <w:rPr>
            <w:rStyle w:val="Hyperlink"/>
          </w:rPr>
          <w:t>Appendix D</w:t>
        </w:r>
        <w:r w:rsidR="005B4766">
          <w:rPr>
            <w:rFonts w:asciiTheme="minorHAnsi" w:eastAsiaTheme="minorEastAsia" w:hAnsiTheme="minorHAnsi"/>
            <w:sz w:val="22"/>
          </w:rPr>
          <w:tab/>
        </w:r>
        <w:r w:rsidR="005B4766" w:rsidRPr="00BF582B">
          <w:rPr>
            <w:rStyle w:val="Hyperlink"/>
          </w:rPr>
          <w:t>Risk management plan</w:t>
        </w:r>
        <w:r w:rsidR="005B4766">
          <w:rPr>
            <w:webHidden/>
          </w:rPr>
          <w:tab/>
        </w:r>
        <w:r w:rsidR="005B4766">
          <w:rPr>
            <w:webHidden/>
          </w:rPr>
          <w:fldChar w:fldCharType="begin"/>
        </w:r>
        <w:r w:rsidR="005B4766">
          <w:rPr>
            <w:webHidden/>
          </w:rPr>
          <w:instrText xml:space="preserve"> PAGEREF _Toc82767236 \h </w:instrText>
        </w:r>
        <w:r w:rsidR="005B4766">
          <w:rPr>
            <w:webHidden/>
          </w:rPr>
        </w:r>
        <w:r w:rsidR="005B4766">
          <w:rPr>
            <w:webHidden/>
          </w:rPr>
          <w:fldChar w:fldCharType="separate"/>
        </w:r>
        <w:r w:rsidR="005B4766">
          <w:rPr>
            <w:webHidden/>
          </w:rPr>
          <w:t>57</w:t>
        </w:r>
        <w:r w:rsidR="005B4766">
          <w:rPr>
            <w:webHidden/>
          </w:rPr>
          <w:fldChar w:fldCharType="end"/>
        </w:r>
      </w:hyperlink>
    </w:p>
    <w:p w14:paraId="600B637F" w14:textId="72100DFB" w:rsidR="005B4766" w:rsidRDefault="007042ED">
      <w:pPr>
        <w:pStyle w:val="TOC1"/>
        <w:rPr>
          <w:rFonts w:asciiTheme="minorHAnsi" w:eastAsiaTheme="minorEastAsia" w:hAnsiTheme="minorHAnsi"/>
          <w:sz w:val="22"/>
        </w:rPr>
      </w:pPr>
      <w:hyperlink w:anchor="_Toc82767237" w:history="1">
        <w:r w:rsidR="005B4766" w:rsidRPr="00BF582B">
          <w:rPr>
            <w:rStyle w:val="Hyperlink"/>
          </w:rPr>
          <w:t>Appendix E</w:t>
        </w:r>
        <w:r w:rsidR="005B4766">
          <w:rPr>
            <w:rFonts w:asciiTheme="minorHAnsi" w:eastAsiaTheme="minorEastAsia" w:hAnsiTheme="minorHAnsi"/>
            <w:sz w:val="22"/>
          </w:rPr>
          <w:tab/>
        </w:r>
        <w:r w:rsidR="005B4766" w:rsidRPr="00BF582B">
          <w:rPr>
            <w:rStyle w:val="Hyperlink"/>
          </w:rPr>
          <w:t>Glossary</w:t>
        </w:r>
        <w:r w:rsidR="005B4766">
          <w:rPr>
            <w:webHidden/>
          </w:rPr>
          <w:tab/>
        </w:r>
        <w:r w:rsidR="005B4766">
          <w:rPr>
            <w:webHidden/>
          </w:rPr>
          <w:fldChar w:fldCharType="begin"/>
        </w:r>
        <w:r w:rsidR="005B4766">
          <w:rPr>
            <w:webHidden/>
          </w:rPr>
          <w:instrText xml:space="preserve"> PAGEREF _Toc82767237 \h </w:instrText>
        </w:r>
        <w:r w:rsidR="005B4766">
          <w:rPr>
            <w:webHidden/>
          </w:rPr>
        </w:r>
        <w:r w:rsidR="005B4766">
          <w:rPr>
            <w:webHidden/>
          </w:rPr>
          <w:fldChar w:fldCharType="separate"/>
        </w:r>
        <w:r w:rsidR="005B4766">
          <w:rPr>
            <w:webHidden/>
          </w:rPr>
          <w:t>61</w:t>
        </w:r>
        <w:r w:rsidR="005B4766">
          <w:rPr>
            <w:webHidden/>
          </w:rPr>
          <w:fldChar w:fldCharType="end"/>
        </w:r>
      </w:hyperlink>
    </w:p>
    <w:p w14:paraId="059B3E0A" w14:textId="045523D8" w:rsidR="00F428FC" w:rsidRDefault="005B4766" w:rsidP="00304753">
      <w:pPr>
        <w:rPr>
          <w:rFonts w:cs="Calibri"/>
          <w:b/>
        </w:rPr>
      </w:pPr>
      <w:r>
        <w:rPr>
          <w:rFonts w:cs="Calibri"/>
          <w:b/>
          <w:noProof/>
        </w:rPr>
        <w:fldChar w:fldCharType="end"/>
      </w:r>
    </w:p>
    <w:p w14:paraId="6F86B043" w14:textId="2CF322C1" w:rsidR="006D4DE5" w:rsidRDefault="006D4DE5" w:rsidP="006D4DE5">
      <w:pPr>
        <w:pStyle w:val="Heading1"/>
      </w:pPr>
      <w:bookmarkStart w:id="1" w:name="_Ref58570177"/>
      <w:bookmarkStart w:id="2" w:name="_Toc82767202"/>
      <w:r w:rsidRPr="001D6B0A">
        <w:lastRenderedPageBreak/>
        <w:t>Introduction</w:t>
      </w:r>
      <w:bookmarkEnd w:id="1"/>
      <w:bookmarkEnd w:id="2"/>
      <w:r>
        <w:t xml:space="preserve"> </w:t>
      </w:r>
    </w:p>
    <w:tbl>
      <w:tblPr>
        <w:tblStyle w:val="TableGrid"/>
        <w:tblW w:w="0" w:type="auto"/>
        <w:tblInd w:w="85" w:type="dxa"/>
        <w:tblBorders>
          <w:top w:val="none" w:sz="0" w:space="0" w:color="auto"/>
          <w:bottom w:val="none" w:sz="0" w:space="0" w:color="auto"/>
          <w:insideH w:val="none" w:sz="0" w:space="0" w:color="auto"/>
        </w:tblBorders>
        <w:shd w:val="clear" w:color="auto" w:fill="00264D" w:themeFill="background2"/>
        <w:tblLook w:val="0600" w:firstRow="0" w:lastRow="0" w:firstColumn="0" w:lastColumn="0" w:noHBand="1" w:noVBand="1"/>
        <w:tblCaption w:val="Introduction section overview"/>
        <w:tblDescription w:val="This section outlines the background and context for the evaluation, purpose of the evaluation and structure of this document - the Evaluation Framework"/>
      </w:tblPr>
      <w:tblGrid>
        <w:gridCol w:w="1640"/>
        <w:gridCol w:w="7573"/>
      </w:tblGrid>
      <w:tr w:rsidR="00B66A41" w:rsidRPr="001D6B0A" w14:paraId="0B0D2081" w14:textId="77777777" w:rsidTr="006F7729">
        <w:tc>
          <w:tcPr>
            <w:tcW w:w="1640" w:type="dxa"/>
            <w:shd w:val="clear" w:color="auto" w:fill="FFFFFF" w:themeFill="background1"/>
          </w:tcPr>
          <w:p w14:paraId="17DDFD8B" w14:textId="2F6AE207" w:rsidR="00CF45F4" w:rsidRPr="00EC36A5" w:rsidRDefault="00877AD2" w:rsidP="00877AD2">
            <w:pPr>
              <w:pStyle w:val="TableNText"/>
            </w:pPr>
            <w:r w:rsidRPr="00877AD2">
              <w:rPr>
                <w:noProof/>
                <w:lang w:eastAsia="en-AU"/>
              </w:rPr>
              <w:drawing>
                <wp:inline distT="0" distB="0" distL="0" distR="0" wp14:anchorId="7EE91B96" wp14:editId="50401A7D">
                  <wp:extent cx="930302" cy="741040"/>
                  <wp:effectExtent l="0" t="0" r="3175" b="254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6137" cy="745688"/>
                          </a:xfrm>
                          <a:prstGeom prst="rect">
                            <a:avLst/>
                          </a:prstGeom>
                          <a:noFill/>
                          <a:ln>
                            <a:noFill/>
                          </a:ln>
                        </pic:spPr>
                      </pic:pic>
                    </a:graphicData>
                  </a:graphic>
                </wp:inline>
              </w:drawing>
            </w:r>
          </w:p>
        </w:tc>
        <w:tc>
          <w:tcPr>
            <w:tcW w:w="7743" w:type="dxa"/>
            <w:shd w:val="clear" w:color="auto" w:fill="00264D" w:themeFill="background2"/>
          </w:tcPr>
          <w:p w14:paraId="460B28A1" w14:textId="1A1AF963" w:rsidR="00CF45F4" w:rsidRPr="00EC36A5" w:rsidRDefault="00CF45F4" w:rsidP="00B25FA6">
            <w:pPr>
              <w:pStyle w:val="TableNText"/>
              <w:rPr>
                <w:color w:val="FFFFFF" w:themeColor="background1"/>
                <w:szCs w:val="17"/>
              </w:rPr>
            </w:pPr>
            <w:r w:rsidRPr="00EC36A5">
              <w:t xml:space="preserve">This section outlines the: </w:t>
            </w:r>
          </w:p>
          <w:p w14:paraId="352293DD" w14:textId="42E0C909" w:rsidR="00CF45F4" w:rsidRPr="00EC36A5" w:rsidRDefault="00CF45F4" w:rsidP="006D4DE5">
            <w:pPr>
              <w:pStyle w:val="TableNBullet"/>
              <w:rPr>
                <w:color w:val="FFFFFF" w:themeColor="background1"/>
                <w:szCs w:val="17"/>
              </w:rPr>
            </w:pPr>
            <w:r w:rsidRPr="00EC36A5">
              <w:t>background</w:t>
            </w:r>
            <w:r w:rsidRPr="00EC36A5">
              <w:rPr>
                <w:color w:val="FFFFFF" w:themeColor="background1"/>
                <w:szCs w:val="17"/>
              </w:rPr>
              <w:t xml:space="preserve"> and context for the evaluation</w:t>
            </w:r>
          </w:p>
          <w:p w14:paraId="0A8F43EE" w14:textId="448D2BF8" w:rsidR="00CF45F4" w:rsidRPr="00EC36A5" w:rsidRDefault="00CF45F4" w:rsidP="006D4DE5">
            <w:pPr>
              <w:pStyle w:val="TableNBullet"/>
              <w:rPr>
                <w:color w:val="FFFFFF" w:themeColor="background1"/>
                <w:szCs w:val="17"/>
              </w:rPr>
            </w:pPr>
            <w:r w:rsidRPr="00EC36A5">
              <w:t>purpose of the evaluation</w:t>
            </w:r>
          </w:p>
          <w:p w14:paraId="3D8DFC19" w14:textId="5282F5BE" w:rsidR="00CF45F4" w:rsidRPr="00EC36A5" w:rsidRDefault="00CF45F4" w:rsidP="006D4DE5">
            <w:pPr>
              <w:pStyle w:val="TableNBullet"/>
            </w:pPr>
            <w:r w:rsidRPr="00EC36A5">
              <w:t xml:space="preserve">structure of this document – the </w:t>
            </w:r>
            <w:r>
              <w:t>Evaluation Framework</w:t>
            </w:r>
            <w:r w:rsidRPr="00EC36A5">
              <w:t xml:space="preserve">. </w:t>
            </w:r>
          </w:p>
        </w:tc>
      </w:tr>
    </w:tbl>
    <w:p w14:paraId="0D1E9460" w14:textId="19ED5FBD" w:rsidR="006D4DE5" w:rsidRDefault="006D4DE5" w:rsidP="00257D3D">
      <w:pPr>
        <w:pStyle w:val="Heading4"/>
        <w:ind w:left="864" w:hanging="864"/>
      </w:pPr>
      <w:r>
        <w:t>Background and context</w:t>
      </w:r>
    </w:p>
    <w:p w14:paraId="55308330" w14:textId="0AC1BB5D" w:rsidR="006D4DE5" w:rsidRDefault="006D4DE5" w:rsidP="006D4DE5">
      <w:r>
        <w:t xml:space="preserve">The Comprehensive Palliative Care in Aged Care Measure (the Measure) provides </w:t>
      </w:r>
      <w:r w:rsidRPr="00AF14E7">
        <w:t>$</w:t>
      </w:r>
      <w:r w:rsidR="00514362">
        <w:t>57.2</w:t>
      </w:r>
      <w:r w:rsidRPr="00AF14E7">
        <w:t xml:space="preserve"> million</w:t>
      </w:r>
      <w:r>
        <w:t xml:space="preserve"> in Australian Government funding from 2018-</w:t>
      </w:r>
      <w:r w:rsidR="003362A3">
        <w:t>20</w:t>
      </w:r>
      <w:r>
        <w:t>24, with funding to jurisdictions starting from 2019-20. The Measure aims to help older Australians living in residential aged care who are nearing the end of their life. It will:</w:t>
      </w:r>
    </w:p>
    <w:p w14:paraId="4125A953" w14:textId="3881865B" w:rsidR="006D4DE5" w:rsidRDefault="006D4DE5" w:rsidP="006D4DE5">
      <w:pPr>
        <w:pStyle w:val="Bullet"/>
      </w:pPr>
      <w:r>
        <w:t>support the delivery of projects that expand existing models of care or new approaches to the way care is delivered or commissioned, to improve palliative and end-of-life care coordination for older Australians living in residential aged care facilities (RACFs)</w:t>
      </w:r>
      <w:r w:rsidR="00C50BE2">
        <w:t>.</w:t>
      </w:r>
    </w:p>
    <w:p w14:paraId="5B568A70" w14:textId="77777777" w:rsidR="00DD02E1" w:rsidRDefault="006D4DE5" w:rsidP="00DD02E1">
      <w:pPr>
        <w:pStyle w:val="Bullet"/>
      </w:pPr>
      <w:r>
        <w:t>strengthen national efforts to improve access to quality palliative care as a component of an integrated health-aged care system.</w:t>
      </w:r>
    </w:p>
    <w:p w14:paraId="590413A0" w14:textId="06147EF1" w:rsidR="006D4DE5" w:rsidRDefault="006D4DE5" w:rsidP="00DD02E1">
      <w:pPr>
        <w:pStyle w:val="Bullet"/>
      </w:pPr>
      <w:r>
        <w:t>The Measure is provided through a cost-</w:t>
      </w:r>
      <w:r w:rsidR="003362A3">
        <w:t xml:space="preserve">shared </w:t>
      </w:r>
      <w:r>
        <w:t xml:space="preserve">model, meaning states and territories match Australian Government funding. States and territories implement initiatives based on local needs and </w:t>
      </w:r>
      <w:r w:rsidR="003362A3">
        <w:t>are required to</w:t>
      </w:r>
      <w:r w:rsidR="003362A3" w:rsidDel="009211CC">
        <w:t xml:space="preserve"> </w:t>
      </w:r>
      <w:r>
        <w:t>evaluate initiatives in their jurisdiction</w:t>
      </w:r>
      <w:r w:rsidR="003362A3">
        <w:t xml:space="preserve"> </w:t>
      </w:r>
      <w:r w:rsidR="00834E34">
        <w:t>to contribute to the national evaluation</w:t>
      </w:r>
      <w:r>
        <w:t xml:space="preserve">. </w:t>
      </w:r>
    </w:p>
    <w:p w14:paraId="11180486" w14:textId="176E83E4" w:rsidR="006D4DE5" w:rsidRDefault="006D4DE5" w:rsidP="00257D3D">
      <w:pPr>
        <w:pStyle w:val="Heading4"/>
        <w:ind w:left="864" w:hanging="864"/>
      </w:pPr>
      <w:r>
        <w:t>Purpose of the national evaluation</w:t>
      </w:r>
    </w:p>
    <w:p w14:paraId="4B9CEE5C" w14:textId="33367203" w:rsidR="006D4DE5" w:rsidRDefault="006D4DE5" w:rsidP="006D4DE5">
      <w:pPr>
        <w:rPr>
          <w:lang w:eastAsia="en-AU"/>
        </w:rPr>
      </w:pPr>
      <w:r>
        <w:rPr>
          <w:lang w:eastAsia="en-AU"/>
        </w:rPr>
        <w:t xml:space="preserve">Nous Group (Nous) has been engaged by the Australian Government Department of Health (the Department) to undertake a national evaluation (the evaluation) of the Measure between July 2020 and November 2023. </w:t>
      </w:r>
    </w:p>
    <w:p w14:paraId="5E710AE0" w14:textId="748716BE" w:rsidR="006D4DE5" w:rsidRDefault="006D4DE5" w:rsidP="006D4DE5">
      <w:pPr>
        <w:rPr>
          <w:lang w:eastAsia="en-AU"/>
        </w:rPr>
      </w:pPr>
      <w:r>
        <w:rPr>
          <w:lang w:eastAsia="en-AU"/>
        </w:rPr>
        <w:t xml:space="preserve">The evaluation will determine the extent to which the aims of the Measure have been achieved. The evaluation outcomes will contribute to the national evidence base and inform policy decisions about palliative care in aged care, including on best practice models of care. </w:t>
      </w:r>
    </w:p>
    <w:p w14:paraId="31BB09D8" w14:textId="77777777" w:rsidR="006D4DE5" w:rsidRDefault="006D4DE5" w:rsidP="006D4DE5">
      <w:pPr>
        <w:rPr>
          <w:lang w:eastAsia="en-AU"/>
        </w:rPr>
      </w:pPr>
      <w:r>
        <w:rPr>
          <w:lang w:eastAsia="en-AU"/>
        </w:rPr>
        <w:t>The evaluation objectives are to:</w:t>
      </w:r>
    </w:p>
    <w:p w14:paraId="6F756E78" w14:textId="798E735F" w:rsidR="006D4DE5" w:rsidRPr="00672515" w:rsidRDefault="006D4DE5" w:rsidP="006D4DE5">
      <w:pPr>
        <w:pStyle w:val="Bullet"/>
        <w:spacing w:after="80" w:line="240" w:lineRule="auto"/>
      </w:pPr>
      <w:r w:rsidRPr="00672515">
        <w:t>assess the implementation, appropriateness, effectiveness and cost-effective</w:t>
      </w:r>
      <w:r>
        <w:t>nes</w:t>
      </w:r>
      <w:r w:rsidRPr="00672515">
        <w:t>s of the activities and approaches undertaken in each jurisdiction</w:t>
      </w:r>
    </w:p>
    <w:p w14:paraId="071BEAFB" w14:textId="68ECF7A6" w:rsidR="006D4DE5" w:rsidRPr="00672515" w:rsidRDefault="006D4DE5" w:rsidP="006D4DE5">
      <w:pPr>
        <w:pStyle w:val="Bullet"/>
        <w:spacing w:after="80" w:line="240" w:lineRule="auto"/>
      </w:pPr>
      <w:r w:rsidRPr="00672515">
        <w:t xml:space="preserve">measure and analyse the impact of each of the </w:t>
      </w:r>
      <w:r>
        <w:t>s</w:t>
      </w:r>
      <w:r w:rsidRPr="00672515">
        <w:t xml:space="preserve">tate and </w:t>
      </w:r>
      <w:r>
        <w:t>t</w:t>
      </w:r>
      <w:r w:rsidRPr="00672515">
        <w:t>erritory activities in relation to the Measure’s program objectives</w:t>
      </w:r>
    </w:p>
    <w:p w14:paraId="55125C8D" w14:textId="65E58A1F" w:rsidR="006D4DE5" w:rsidRPr="00672515" w:rsidRDefault="006D4DE5" w:rsidP="006D4DE5">
      <w:pPr>
        <w:pStyle w:val="Bullet"/>
        <w:spacing w:after="80" w:line="240" w:lineRule="auto"/>
      </w:pPr>
      <w:r w:rsidRPr="00672515">
        <w:t>identify the barriers and enablers to achieving the intended outcomes</w:t>
      </w:r>
    </w:p>
    <w:p w14:paraId="3C755DFF" w14:textId="31F0B9E7" w:rsidR="006D4DE5" w:rsidRPr="00672515" w:rsidRDefault="006D4DE5" w:rsidP="006D4DE5">
      <w:pPr>
        <w:pStyle w:val="Bullet"/>
        <w:spacing w:after="80" w:line="240" w:lineRule="auto"/>
      </w:pPr>
      <w:r w:rsidRPr="00672515">
        <w:t>assess the effectiveness of the governance model of the Measure</w:t>
      </w:r>
    </w:p>
    <w:p w14:paraId="7DA3D221" w14:textId="7B18A94F" w:rsidR="006D4DE5" w:rsidRPr="00672515" w:rsidRDefault="006D4DE5" w:rsidP="006D4DE5">
      <w:pPr>
        <w:pStyle w:val="Bullet"/>
        <w:spacing w:after="80" w:line="240" w:lineRule="auto"/>
      </w:pPr>
      <w:r w:rsidRPr="00672515">
        <w:t>identify issues to be considered for future priorities for the Measure, taking into consideration demographics and health and aged care reforms</w:t>
      </w:r>
    </w:p>
    <w:p w14:paraId="10C13BAB" w14:textId="7C242618" w:rsidR="006D4DE5" w:rsidRPr="00672515" w:rsidRDefault="006D4DE5" w:rsidP="006D4DE5">
      <w:pPr>
        <w:pStyle w:val="Bullet"/>
        <w:spacing w:after="80" w:line="240" w:lineRule="auto"/>
      </w:pPr>
      <w:r w:rsidRPr="00672515">
        <w:t>analyse the achievements of the program in relation to the National Palliative Care Strategy</w:t>
      </w:r>
    </w:p>
    <w:p w14:paraId="601AD660" w14:textId="77777777" w:rsidR="006D4DE5" w:rsidRDefault="006D4DE5" w:rsidP="006D4DE5">
      <w:pPr>
        <w:pStyle w:val="Bullet"/>
        <w:spacing w:after="80" w:line="240" w:lineRule="auto"/>
      </w:pPr>
      <w:r w:rsidRPr="00672515">
        <w:t>develop recommendations to inform palliative care policy development.</w:t>
      </w:r>
    </w:p>
    <w:p w14:paraId="07E40A07" w14:textId="32A3B00A" w:rsidR="006D4DE5" w:rsidRPr="001320B8" w:rsidRDefault="006D4DE5" w:rsidP="006D4DE5">
      <w:r>
        <w:rPr>
          <w:highlight w:val="yellow"/>
        </w:rPr>
        <w:fldChar w:fldCharType="begin"/>
      </w:r>
      <w:r>
        <w:rPr>
          <w:highlight w:val="yellow"/>
        </w:rPr>
        <w:instrText xml:space="preserve"> REF _Ref58827032 \h </w:instrText>
      </w:r>
      <w:r>
        <w:rPr>
          <w:highlight w:val="yellow"/>
        </w:rPr>
      </w:r>
      <w:r>
        <w:rPr>
          <w:highlight w:val="yellow"/>
        </w:rPr>
        <w:fldChar w:fldCharType="separate"/>
      </w:r>
      <w:r w:rsidR="00DF258C">
        <w:t xml:space="preserve">Figure </w:t>
      </w:r>
      <w:r w:rsidR="00DF258C">
        <w:rPr>
          <w:noProof/>
        </w:rPr>
        <w:t>1</w:t>
      </w:r>
      <w:r>
        <w:rPr>
          <w:highlight w:val="yellow"/>
        </w:rPr>
        <w:fldChar w:fldCharType="end"/>
      </w:r>
      <w:r>
        <w:t xml:space="preserve"> summarises the context, key </w:t>
      </w:r>
      <w:proofErr w:type="gramStart"/>
      <w:r>
        <w:t>components</w:t>
      </w:r>
      <w:proofErr w:type="gramEnd"/>
      <w:r>
        <w:t xml:space="preserve"> and evaluation of the Measure. The evaluation will measure implementation and national-level outcomes (jurisdictional-level evaluations are out-of-scope, see section </w:t>
      </w:r>
      <w:r>
        <w:fldChar w:fldCharType="begin"/>
      </w:r>
      <w:r>
        <w:instrText xml:space="preserve"> REF _Ref58570158 \w \h </w:instrText>
      </w:r>
      <w:r>
        <w:fldChar w:fldCharType="separate"/>
      </w:r>
      <w:r w:rsidR="00DF258C">
        <w:t>3</w:t>
      </w:r>
      <w:r>
        <w:fldChar w:fldCharType="end"/>
      </w:r>
      <w:r>
        <w:t xml:space="preserve">). </w:t>
      </w:r>
    </w:p>
    <w:p w14:paraId="299181DF" w14:textId="4EDE310E" w:rsidR="00B66A41" w:rsidRDefault="006D4DE5" w:rsidP="006D4DE5">
      <w:pPr>
        <w:pStyle w:val="Caption"/>
      </w:pPr>
      <w:bookmarkStart w:id="3" w:name="_Ref58827032"/>
      <w:r>
        <w:lastRenderedPageBreak/>
        <w:t xml:space="preserve">Figure </w:t>
      </w:r>
      <w:r>
        <w:fldChar w:fldCharType="begin"/>
      </w:r>
      <w:r>
        <w:instrText xml:space="preserve"> SEQ Figure \* ARABIC </w:instrText>
      </w:r>
      <w:r>
        <w:fldChar w:fldCharType="separate"/>
      </w:r>
      <w:r w:rsidR="00DF258C">
        <w:rPr>
          <w:noProof/>
        </w:rPr>
        <w:t>1</w:t>
      </w:r>
      <w:r>
        <w:fldChar w:fldCharType="end"/>
      </w:r>
      <w:bookmarkEnd w:id="3"/>
      <w:r>
        <w:t xml:space="preserve"> | Summary of context and design of the Measure</w:t>
      </w:r>
    </w:p>
    <w:p w14:paraId="1DBA05A1" w14:textId="1BEE6180" w:rsidR="006D4DE5" w:rsidRDefault="000C36D8" w:rsidP="006D4DE5">
      <w:pPr>
        <w:pStyle w:val="Caption"/>
      </w:pPr>
      <w:r>
        <w:rPr>
          <w:noProof/>
        </w:rPr>
        <w:drawing>
          <wp:inline distT="0" distB="0" distL="0" distR="0" wp14:anchorId="39E55411" wp14:editId="4645066D">
            <wp:extent cx="5799600" cy="5133600"/>
            <wp:effectExtent l="0" t="0" r="0" b="0"/>
            <wp:docPr id="2" name="Picture 2" descr="Figure 1 summarises the context and design of the Measure.&#10;&#10;A need for improved access to and quality of palliative and end-of-life care in RAFs while taking in the complexity of Federal and state responsibilities in health and aged care, and the complexity of palliative care delivery workforces was identified. The  Measure responds to this need and considers other factors such as the impacts of COVID-19, other nationally funded palliative care projects, Royal Commission recommendations, other aged care reforms and health and aged care interface issues into the design of the Measure. &#10;&#10;The Measure provides $57.2 million in Australian Government funding, matched 50:50 by jurisdictions. The department will oversee national implementation, provide resources to support implementation and advise on implementation and evaluation. Each jurisdiction will design local-level initiatives that may include in-reach models to establish and meet resident's current and emerging palliative care needs, models which support end-of-life care decision making and development of agreed goals of care and training, education, assurance and mentoring to focus on building the palliative care capacity of the aged care workforce.&#10;&#10;The National Evaluation is a national process, outcome and economic evaluation that will measure national implementation and a suite of national-level outcomes over time, and monitor jurisdictional-level implementation progress. Palliative care activities delivered by states and territories prior to the Measure and jurisdictional-level evaluations of the Measure which are specific to each jurisdiction are out of scope of the National Evaluation. &#10;&#10;The National Evaluation will also assess the Measure's goals of supporting delivery of projects that expand existing models of care or new approached to improve palliative and end-of-life care coordination for older Australians living in RACFs, strengthen national efforts to improve access to quality palliative care as a key component of an integrated health-aged care system, and contribute to the achievement of the National Palliative Care Strateg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 summarises the context and design of the Measure.&#10;&#10;A need for improved access to and quality of palliative and end-of-life care in RAFs while taking in the complexity of Federal and state responsibilities in health and aged care, and the complexity of palliative care delivery workforces was identified. The  Measure responds to this need and considers other factors such as the impacts of COVID-19, other nationally funded palliative care projects, Royal Commission recommendations, other aged care reforms and health and aged care interface issues into the design of the Measure. &#10;&#10;The Measure provides $57.2 million in Australian Government funding, matched 50:50 by jurisdictions. The department will oversee national implementation, provide resources to support implementation and advise on implementation and evaluation. Each jurisdiction will design local-level initiatives that may include in-reach models to establish and meet resident's current and emerging palliative care needs, models which support end-of-life care decision making and development of agreed goals of care and training, education, assurance and mentoring to focus on building the palliative care capacity of the aged care workforce.&#10;&#10;The National Evaluation is a national process, outcome and economic evaluation that will measure national implementation and a suite of national-level outcomes over time, and monitor jurisdictional-level implementation progress. Palliative care activities delivered by states and territories prior to the Measure and jurisdictional-level evaluations of the Measure which are specific to each jurisdiction are out of scope of the National Evaluation. &#10;&#10;The National Evaluation will also assess the Measure's goals of supporting delivery of projects that expand existing models of care or new approached to improve palliative and end-of-life care coordination for older Australians living in RACFs, strengthen national efforts to improve access to quality palliative care as a key component of an integrated health-aged care system, and contribute to the achievement of the National Palliative Care Strategy.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9600" cy="5133600"/>
                    </a:xfrm>
                    <a:prstGeom prst="rect">
                      <a:avLst/>
                    </a:prstGeom>
                    <a:noFill/>
                  </pic:spPr>
                </pic:pic>
              </a:graphicData>
            </a:graphic>
          </wp:inline>
        </w:drawing>
      </w:r>
      <w:r w:rsidR="0052718C">
        <w:t xml:space="preserve"> </w:t>
      </w:r>
    </w:p>
    <w:p w14:paraId="23C8CC29" w14:textId="77777777" w:rsidR="006D4DE5" w:rsidRDefault="006D4DE5" w:rsidP="00257D3D">
      <w:pPr>
        <w:pStyle w:val="Heading4"/>
        <w:ind w:left="864" w:hanging="864"/>
      </w:pPr>
      <w:bookmarkStart w:id="4" w:name="_Toc38450542"/>
      <w:r>
        <w:t>Purpose</w:t>
      </w:r>
      <w:bookmarkEnd w:id="4"/>
      <w:r>
        <w:t xml:space="preserve"> of this document </w:t>
      </w:r>
    </w:p>
    <w:p w14:paraId="338DDF74" w14:textId="0E01C848" w:rsidR="006D4DE5" w:rsidRDefault="006D4DE5" w:rsidP="006D4DE5">
      <w:pPr>
        <w:rPr>
          <w:iCs/>
          <w:lang w:eastAsia="en-AU"/>
        </w:rPr>
      </w:pPr>
      <w:r w:rsidRPr="00A771A9">
        <w:t xml:space="preserve">The Evaluation Framework </w:t>
      </w:r>
      <w:r w:rsidR="00A4533E">
        <w:t>covers</w:t>
      </w:r>
      <w:r w:rsidR="00A4533E" w:rsidRPr="00A771A9">
        <w:t xml:space="preserve"> </w:t>
      </w:r>
      <w:r w:rsidRPr="00A771A9">
        <w:t xml:space="preserve">evaluation activities from April 2021 to November 2023. </w:t>
      </w:r>
      <w:r w:rsidRPr="00EF5C9B">
        <w:rPr>
          <w:iCs/>
          <w:lang w:eastAsia="en-AU"/>
        </w:rPr>
        <w:t>The primary audience for t</w:t>
      </w:r>
      <w:r>
        <w:rPr>
          <w:iCs/>
          <w:lang w:eastAsia="en-AU"/>
        </w:rPr>
        <w:t xml:space="preserve">he </w:t>
      </w:r>
      <w:r w:rsidRPr="00EF5C9B">
        <w:rPr>
          <w:iCs/>
          <w:lang w:eastAsia="en-AU"/>
        </w:rPr>
        <w:t xml:space="preserve">evaluation </w:t>
      </w:r>
      <w:r>
        <w:rPr>
          <w:iCs/>
          <w:lang w:eastAsia="en-AU"/>
        </w:rPr>
        <w:t xml:space="preserve">is the Department and state and territory government representatives. This Evaluation Framework provides: </w:t>
      </w:r>
    </w:p>
    <w:p w14:paraId="12DE14FE" w14:textId="4B9634A7" w:rsidR="006D4DE5" w:rsidRDefault="00150D65" w:rsidP="006D4DE5">
      <w:pPr>
        <w:pStyle w:val="Bullet"/>
      </w:pPr>
      <w:r>
        <w:t>a</w:t>
      </w:r>
      <w:r w:rsidR="006D4DE5">
        <w:t xml:space="preserve">n introduction to the Measure and evaluation (section </w:t>
      </w:r>
      <w:r w:rsidR="006D4DE5">
        <w:rPr>
          <w:highlight w:val="yellow"/>
        </w:rPr>
        <w:fldChar w:fldCharType="begin"/>
      </w:r>
      <w:r w:rsidR="006D4DE5">
        <w:instrText xml:space="preserve"> REF _Ref58570177 \w \h </w:instrText>
      </w:r>
      <w:r w:rsidR="006D4DE5">
        <w:rPr>
          <w:highlight w:val="yellow"/>
        </w:rPr>
      </w:r>
      <w:r w:rsidR="006D4DE5">
        <w:rPr>
          <w:highlight w:val="yellow"/>
        </w:rPr>
        <w:fldChar w:fldCharType="separate"/>
      </w:r>
      <w:r w:rsidR="00DF258C">
        <w:t>1</w:t>
      </w:r>
      <w:r w:rsidR="006D4DE5">
        <w:rPr>
          <w:highlight w:val="yellow"/>
        </w:rPr>
        <w:fldChar w:fldCharType="end"/>
      </w:r>
      <w:r w:rsidR="006D4DE5">
        <w:t>)</w:t>
      </w:r>
    </w:p>
    <w:p w14:paraId="5C1C4C37" w14:textId="2067218C" w:rsidR="006D4DE5" w:rsidRDefault="00150D65" w:rsidP="006D4DE5">
      <w:pPr>
        <w:pStyle w:val="Bullet"/>
      </w:pPr>
      <w:r>
        <w:t>a</w:t>
      </w:r>
      <w:r w:rsidR="006D4DE5">
        <w:t xml:space="preserve"> description of the policy and stakeholder context (section </w:t>
      </w:r>
      <w:r w:rsidR="006D4DE5">
        <w:rPr>
          <w:highlight w:val="yellow"/>
        </w:rPr>
        <w:fldChar w:fldCharType="begin"/>
      </w:r>
      <w:r w:rsidR="006D4DE5">
        <w:instrText xml:space="preserve"> REF _Ref58570180 \w \h </w:instrText>
      </w:r>
      <w:r w:rsidR="006D4DE5">
        <w:rPr>
          <w:highlight w:val="yellow"/>
        </w:rPr>
      </w:r>
      <w:r w:rsidR="006D4DE5">
        <w:rPr>
          <w:highlight w:val="yellow"/>
        </w:rPr>
        <w:fldChar w:fldCharType="separate"/>
      </w:r>
      <w:r w:rsidR="00DF258C">
        <w:t>2</w:t>
      </w:r>
      <w:r w:rsidR="006D4DE5">
        <w:rPr>
          <w:highlight w:val="yellow"/>
        </w:rPr>
        <w:fldChar w:fldCharType="end"/>
      </w:r>
      <w:r w:rsidR="006D4DE5">
        <w:t>)</w:t>
      </w:r>
    </w:p>
    <w:p w14:paraId="73A0F5F2" w14:textId="26AF59A6" w:rsidR="006D4DE5" w:rsidRDefault="00150D65" w:rsidP="006D4DE5">
      <w:pPr>
        <w:pStyle w:val="Bullet"/>
      </w:pPr>
      <w:r>
        <w:t>t</w:t>
      </w:r>
      <w:r w:rsidR="006D4DE5">
        <w:t>he evaluation approach, key questions and data collection and analysis methods (section</w:t>
      </w:r>
      <w:r>
        <w:t>s</w:t>
      </w:r>
      <w:r w:rsidR="006D4DE5">
        <w:t xml:space="preserve"> </w:t>
      </w:r>
      <w:r w:rsidR="006D4DE5">
        <w:rPr>
          <w:highlight w:val="yellow"/>
        </w:rPr>
        <w:fldChar w:fldCharType="begin"/>
      </w:r>
      <w:r w:rsidR="006D4DE5">
        <w:instrText xml:space="preserve"> REF _Ref58570186 \w \h </w:instrText>
      </w:r>
      <w:r w:rsidR="006D4DE5">
        <w:rPr>
          <w:highlight w:val="yellow"/>
        </w:rPr>
      </w:r>
      <w:r w:rsidR="006D4DE5">
        <w:rPr>
          <w:highlight w:val="yellow"/>
        </w:rPr>
        <w:fldChar w:fldCharType="separate"/>
      </w:r>
      <w:r w:rsidR="00DF258C">
        <w:t>3</w:t>
      </w:r>
      <w:r w:rsidR="006D4DE5">
        <w:rPr>
          <w:highlight w:val="yellow"/>
        </w:rPr>
        <w:fldChar w:fldCharType="end"/>
      </w:r>
      <w:r w:rsidR="006D4DE5">
        <w:t xml:space="preserve">, </w:t>
      </w:r>
      <w:r w:rsidR="006D4DE5">
        <w:rPr>
          <w:highlight w:val="yellow"/>
        </w:rPr>
        <w:fldChar w:fldCharType="begin"/>
      </w:r>
      <w:r w:rsidR="006D4DE5">
        <w:instrText xml:space="preserve"> REF _Ref58570203 \w \h </w:instrText>
      </w:r>
      <w:r w:rsidR="006D4DE5">
        <w:rPr>
          <w:highlight w:val="yellow"/>
        </w:rPr>
      </w:r>
      <w:r w:rsidR="006D4DE5">
        <w:rPr>
          <w:highlight w:val="yellow"/>
        </w:rPr>
        <w:fldChar w:fldCharType="separate"/>
      </w:r>
      <w:r w:rsidR="00DF258C">
        <w:t>4</w:t>
      </w:r>
      <w:r w:rsidR="006D4DE5">
        <w:rPr>
          <w:highlight w:val="yellow"/>
        </w:rPr>
        <w:fldChar w:fldCharType="end"/>
      </w:r>
      <w:r w:rsidR="006D4DE5">
        <w:t xml:space="preserve">, </w:t>
      </w:r>
      <w:r w:rsidR="006D4DE5">
        <w:rPr>
          <w:highlight w:val="yellow"/>
        </w:rPr>
        <w:fldChar w:fldCharType="begin"/>
      </w:r>
      <w:r w:rsidR="006D4DE5">
        <w:instrText xml:space="preserve"> REF _Ref58570217 \w \h </w:instrText>
      </w:r>
      <w:r w:rsidR="006D4DE5">
        <w:rPr>
          <w:highlight w:val="yellow"/>
        </w:rPr>
      </w:r>
      <w:r w:rsidR="006D4DE5">
        <w:rPr>
          <w:highlight w:val="yellow"/>
        </w:rPr>
        <w:fldChar w:fldCharType="separate"/>
      </w:r>
      <w:r w:rsidR="00DF258C">
        <w:t>5</w:t>
      </w:r>
      <w:r w:rsidR="006D4DE5">
        <w:rPr>
          <w:highlight w:val="yellow"/>
        </w:rPr>
        <w:fldChar w:fldCharType="end"/>
      </w:r>
      <w:r w:rsidR="006D4DE5">
        <w:t xml:space="preserve">, </w:t>
      </w:r>
      <w:r w:rsidR="006D4DE5">
        <w:rPr>
          <w:highlight w:val="yellow"/>
        </w:rPr>
        <w:fldChar w:fldCharType="begin"/>
      </w:r>
      <w:r w:rsidR="006D4DE5">
        <w:instrText xml:space="preserve"> REF _Ref58570223 \w \h </w:instrText>
      </w:r>
      <w:r w:rsidR="006D4DE5">
        <w:rPr>
          <w:highlight w:val="yellow"/>
        </w:rPr>
      </w:r>
      <w:r w:rsidR="006D4DE5">
        <w:rPr>
          <w:highlight w:val="yellow"/>
        </w:rPr>
        <w:fldChar w:fldCharType="separate"/>
      </w:r>
      <w:r w:rsidR="00DF258C">
        <w:t>6</w:t>
      </w:r>
      <w:r w:rsidR="006D4DE5">
        <w:rPr>
          <w:highlight w:val="yellow"/>
        </w:rPr>
        <w:fldChar w:fldCharType="end"/>
      </w:r>
      <w:r w:rsidR="006D4DE5">
        <w:t>)</w:t>
      </w:r>
    </w:p>
    <w:p w14:paraId="7513CBA2" w14:textId="492739C2" w:rsidR="006D4DE5" w:rsidRDefault="00150D65" w:rsidP="006D4DE5">
      <w:pPr>
        <w:pStyle w:val="Bullet"/>
      </w:pPr>
      <w:r>
        <w:t>t</w:t>
      </w:r>
      <w:r w:rsidR="006D4DE5">
        <w:t xml:space="preserve">he stakeholder communication plan (section </w:t>
      </w:r>
      <w:r w:rsidR="006D4DE5">
        <w:fldChar w:fldCharType="begin"/>
      </w:r>
      <w:r w:rsidR="006D4DE5">
        <w:instrText xml:space="preserve"> REF _Ref57898766 \w \h </w:instrText>
      </w:r>
      <w:r w:rsidR="006D4DE5">
        <w:fldChar w:fldCharType="separate"/>
      </w:r>
      <w:r w:rsidR="00DF258C">
        <w:t>7</w:t>
      </w:r>
      <w:r w:rsidR="006D4DE5">
        <w:fldChar w:fldCharType="end"/>
      </w:r>
      <w:r w:rsidR="006D4DE5">
        <w:t>)</w:t>
      </w:r>
    </w:p>
    <w:p w14:paraId="4348369B" w14:textId="1BCF8E09" w:rsidR="006D4DE5" w:rsidRDefault="00150D65" w:rsidP="006D4DE5">
      <w:pPr>
        <w:pStyle w:val="Bullet"/>
      </w:pPr>
      <w:r>
        <w:t>d</w:t>
      </w:r>
      <w:r w:rsidR="006D4DE5">
        <w:t xml:space="preserve">ependencies, </w:t>
      </w:r>
      <w:proofErr w:type="gramStart"/>
      <w:r w:rsidR="006D4DE5">
        <w:t>challenges</w:t>
      </w:r>
      <w:proofErr w:type="gramEnd"/>
      <w:r w:rsidR="006D4DE5">
        <w:t xml:space="preserve"> and risks (section </w:t>
      </w:r>
      <w:r w:rsidR="006D4DE5">
        <w:fldChar w:fldCharType="begin"/>
      </w:r>
      <w:r w:rsidR="006D4DE5">
        <w:instrText xml:space="preserve"> REF _Ref58570233 \w \h </w:instrText>
      </w:r>
      <w:r w:rsidR="006D4DE5">
        <w:fldChar w:fldCharType="separate"/>
      </w:r>
      <w:r w:rsidR="00DF258C">
        <w:t>8</w:t>
      </w:r>
      <w:r w:rsidR="006D4DE5">
        <w:fldChar w:fldCharType="end"/>
      </w:r>
      <w:r w:rsidR="006D4DE5">
        <w:t>)</w:t>
      </w:r>
    </w:p>
    <w:p w14:paraId="5292C4B3" w14:textId="09F209E4" w:rsidR="006D4DE5" w:rsidRDefault="00150D65" w:rsidP="006D4DE5">
      <w:pPr>
        <w:pStyle w:val="Bullet"/>
      </w:pPr>
      <w:r>
        <w:t>e</w:t>
      </w:r>
      <w:r w:rsidR="006D4DE5">
        <w:t xml:space="preserve">thics considerations (section </w:t>
      </w:r>
      <w:r w:rsidR="006D4DE5">
        <w:fldChar w:fldCharType="begin"/>
      </w:r>
      <w:r w:rsidR="006D4DE5">
        <w:instrText xml:space="preserve"> REF _Ref58570238 \w \h </w:instrText>
      </w:r>
      <w:r w:rsidR="006D4DE5">
        <w:fldChar w:fldCharType="separate"/>
      </w:r>
      <w:r w:rsidR="00DF258C">
        <w:t>9</w:t>
      </w:r>
      <w:r w:rsidR="006D4DE5">
        <w:fldChar w:fldCharType="end"/>
      </w:r>
      <w:r w:rsidR="006D4DE5">
        <w:t>).</w:t>
      </w:r>
    </w:p>
    <w:p w14:paraId="25BBFDA8" w14:textId="77777777" w:rsidR="00E9214E" w:rsidRDefault="00E9214E">
      <w:pPr>
        <w:spacing w:after="165" w:line="259" w:lineRule="auto"/>
        <w:rPr>
          <w:rFonts w:eastAsia="Times New Roman" w:cs="Times New Roman"/>
          <w:szCs w:val="19"/>
          <w:lang w:eastAsia="en-AU"/>
        </w:rPr>
      </w:pPr>
      <w:r>
        <w:br w:type="page"/>
      </w:r>
    </w:p>
    <w:tbl>
      <w:tblPr>
        <w:tblStyle w:val="TableGrid"/>
        <w:tblW w:w="0" w:type="auto"/>
        <w:tblLook w:val="0400" w:firstRow="0" w:lastRow="0" w:firstColumn="0" w:lastColumn="0" w:noHBand="0" w:noVBand="1"/>
        <w:tblCaption w:val="Development of the Evaluation Framework"/>
        <w:tblDescription w:val="Collaboration with states and territories is critical to develop a feasible Evaluation Framework and conduct the evaluation. Nous requires a deep understanding of jurisdictions’ activities, specific circumstances, timing and approach to measurement and evaluation to conduct the national evaluation. &#10;&#10;Nous worked with state and territory representatives between September 2020 and January 2021 to develop the draft Evaluation Framework. Nous will continue to do so during the evaluation, noting that many jurisdictional approaches are unlikely to be finalised by end of January 2021. The Evaluation Framework will be updated accordingly.&#10;&#10;There are many activities underway in the palliative care, health and aged care sectors that will likely impact on Measure activities and evaluation findings. Nous engaged with peak bodies, national agencies and data experts to best understand the context and data availability (see Appendix A). "/>
      </w:tblPr>
      <w:tblGrid>
        <w:gridCol w:w="9146"/>
      </w:tblGrid>
      <w:tr w:rsidR="006D4DE5" w14:paraId="4AADB05E" w14:textId="77777777" w:rsidTr="00B25FA6">
        <w:trPr>
          <w:cnfStyle w:val="000000100000" w:firstRow="0" w:lastRow="0" w:firstColumn="0" w:lastColumn="0" w:oddVBand="0" w:evenVBand="0" w:oddHBand="1" w:evenHBand="0" w:firstRowFirstColumn="0" w:firstRowLastColumn="0" w:lastRowFirstColumn="0" w:lastRowLastColumn="0"/>
        </w:trPr>
        <w:tc>
          <w:tcPr>
            <w:tcW w:w="9146" w:type="dxa"/>
            <w:tcBorders>
              <w:top w:val="single" w:sz="12" w:space="0" w:color="00264D" w:themeColor="background2"/>
              <w:bottom w:val="single" w:sz="12" w:space="0" w:color="00264D" w:themeColor="background2"/>
            </w:tcBorders>
            <w:shd w:val="clear" w:color="auto" w:fill="E6E6E1" w:themeFill="accent5"/>
          </w:tcPr>
          <w:p w14:paraId="4DF3D2E2" w14:textId="533ABD07" w:rsidR="006D4DE5" w:rsidRPr="00247477" w:rsidRDefault="006D4DE5" w:rsidP="00B25FA6">
            <w:pPr>
              <w:rPr>
                <w:rFonts w:asciiTheme="majorHAnsi" w:hAnsiTheme="majorHAnsi" w:cstheme="majorHAnsi"/>
                <w:color w:val="00264D" w:themeColor="background2"/>
              </w:rPr>
            </w:pPr>
            <w:r w:rsidRPr="00247477">
              <w:rPr>
                <w:rFonts w:asciiTheme="majorHAnsi" w:hAnsiTheme="majorHAnsi" w:cstheme="majorHAnsi"/>
                <w:color w:val="00264D" w:themeColor="background2"/>
              </w:rPr>
              <w:lastRenderedPageBreak/>
              <w:t xml:space="preserve">Development of the </w:t>
            </w:r>
            <w:r>
              <w:rPr>
                <w:rFonts w:asciiTheme="majorHAnsi" w:hAnsiTheme="majorHAnsi" w:cstheme="majorHAnsi"/>
                <w:color w:val="00264D" w:themeColor="background2"/>
              </w:rPr>
              <w:t>Evaluation</w:t>
            </w:r>
            <w:r w:rsidRPr="00247477">
              <w:rPr>
                <w:rFonts w:asciiTheme="majorHAnsi" w:hAnsiTheme="majorHAnsi" w:cstheme="majorHAnsi"/>
                <w:color w:val="00264D" w:themeColor="background2"/>
              </w:rPr>
              <w:t xml:space="preserve"> Framework</w:t>
            </w:r>
          </w:p>
          <w:p w14:paraId="1B0AA261" w14:textId="756D3D3B" w:rsidR="006D4DE5" w:rsidRDefault="006D4DE5" w:rsidP="00B25FA6">
            <w:r>
              <w:t xml:space="preserve">Collaboration with states and territories is critical to develop a feasible Evaluation Framework and conduct the evaluation. Nous </w:t>
            </w:r>
            <w:r w:rsidR="000B1B8E">
              <w:t xml:space="preserve">requires </w:t>
            </w:r>
            <w:r>
              <w:t>a deep understanding of jurisdictions’ activities,</w:t>
            </w:r>
            <w:r w:rsidR="000B1B8E">
              <w:t xml:space="preserve"> specific circumstances,</w:t>
            </w:r>
            <w:r>
              <w:t xml:space="preserve"> timing and approach to measurement and evaluation to conduct the national evaluation. </w:t>
            </w:r>
          </w:p>
          <w:p w14:paraId="6E05309C" w14:textId="663BD82A" w:rsidR="006D4DE5" w:rsidRDefault="006D4DE5" w:rsidP="00B25FA6">
            <w:r>
              <w:t xml:space="preserve">Nous worked with state and territory representatives between September 2020 and January 2021 to develop the draft Evaluation Framework. Nous will continue to do so during the evaluation, noting that many jurisdictional approaches are unlikely to be finalised by end of January 2021. </w:t>
            </w:r>
            <w:r w:rsidR="008853AC">
              <w:t>The Evaluation Framework will be updated accordingly.</w:t>
            </w:r>
          </w:p>
          <w:p w14:paraId="591661AB" w14:textId="25D9D36C" w:rsidR="006D4DE5" w:rsidRDefault="006D4DE5" w:rsidP="00B25FA6">
            <w:r>
              <w:t xml:space="preserve">There are many activities underway in the palliative care, health and aged care sectors that will likely impact on Measure activities and evaluation findings. Nous engaged with peak bodies, national </w:t>
            </w:r>
            <w:proofErr w:type="gramStart"/>
            <w:r>
              <w:t>agencies</w:t>
            </w:r>
            <w:proofErr w:type="gramEnd"/>
            <w:r>
              <w:t xml:space="preserve"> and data experts to best understand the context and data availability (see </w:t>
            </w:r>
            <w:r>
              <w:rPr>
                <w:highlight w:val="yellow"/>
              </w:rPr>
              <w:fldChar w:fldCharType="begin"/>
            </w:r>
            <w:r>
              <w:instrText xml:space="preserve"> REF _Ref61957259 \r \h </w:instrText>
            </w:r>
            <w:r>
              <w:rPr>
                <w:highlight w:val="yellow"/>
              </w:rPr>
            </w:r>
            <w:r>
              <w:rPr>
                <w:highlight w:val="yellow"/>
              </w:rPr>
              <w:fldChar w:fldCharType="separate"/>
            </w:r>
            <w:r w:rsidR="00DF258C">
              <w:t>Appendix A</w:t>
            </w:r>
            <w:r>
              <w:rPr>
                <w:highlight w:val="yellow"/>
              </w:rPr>
              <w:fldChar w:fldCharType="end"/>
            </w:r>
            <w:r>
              <w:t xml:space="preserve">). </w:t>
            </w:r>
          </w:p>
        </w:tc>
      </w:tr>
    </w:tbl>
    <w:p w14:paraId="30984F10" w14:textId="5DD9C782" w:rsidR="006D4DE5" w:rsidRDefault="006D4DE5" w:rsidP="006D4DE5"/>
    <w:p w14:paraId="778C64B3" w14:textId="33C95906" w:rsidR="006D4DE5" w:rsidRDefault="006D4DE5" w:rsidP="006D4DE5">
      <w:pPr>
        <w:pStyle w:val="Heading1"/>
      </w:pPr>
      <w:bookmarkStart w:id="5" w:name="_Ref58570180"/>
      <w:bookmarkStart w:id="6" w:name="_Toc82767203"/>
      <w:r>
        <w:lastRenderedPageBreak/>
        <w:t>Policy and stakeholder context for the evaluation</w:t>
      </w:r>
      <w:bookmarkEnd w:id="5"/>
      <w:bookmarkEnd w:id="6"/>
      <w:r>
        <w:t xml:space="preserve"> </w:t>
      </w:r>
    </w:p>
    <w:tbl>
      <w:tblPr>
        <w:tblStyle w:val="TableGrid"/>
        <w:tblW w:w="0" w:type="auto"/>
        <w:tblInd w:w="85" w:type="dxa"/>
        <w:tblBorders>
          <w:top w:val="none" w:sz="0" w:space="0" w:color="auto"/>
          <w:bottom w:val="none" w:sz="0" w:space="0" w:color="auto"/>
          <w:insideH w:val="none" w:sz="0" w:space="0" w:color="auto"/>
        </w:tblBorders>
        <w:shd w:val="clear" w:color="auto" w:fill="00264D" w:themeFill="background2"/>
        <w:tblLook w:val="0600" w:firstRow="0" w:lastRow="0" w:firstColumn="0" w:lastColumn="0" w:noHBand="1" w:noVBand="1"/>
        <w:tblCaption w:val="Overview of the policy and stakeholder context for the evaluation"/>
        <w:tblDescription w:val="The context for the evaluation includes the policy, operational and stakeholder environment in which the evaluation sits, and the key features of the Measure that impact on the conduct and interpretation of findings from the evaluation."/>
      </w:tblPr>
      <w:tblGrid>
        <w:gridCol w:w="1640"/>
        <w:gridCol w:w="7573"/>
      </w:tblGrid>
      <w:tr w:rsidR="00230A20" w:rsidRPr="001D6B0A" w14:paraId="562906B5" w14:textId="77777777" w:rsidTr="000A6F8A">
        <w:tc>
          <w:tcPr>
            <w:tcW w:w="1640" w:type="dxa"/>
            <w:shd w:val="clear" w:color="auto" w:fill="FFFFFF" w:themeFill="background1"/>
          </w:tcPr>
          <w:p w14:paraId="21FB89EB" w14:textId="77777777" w:rsidR="00230A20" w:rsidRPr="00EC36A5" w:rsidRDefault="00230A20" w:rsidP="00DB065F">
            <w:pPr>
              <w:pStyle w:val="TableNText"/>
            </w:pPr>
            <w:r w:rsidRPr="00877AD2">
              <w:rPr>
                <w:noProof/>
                <w:lang w:eastAsia="en-AU"/>
              </w:rPr>
              <w:drawing>
                <wp:inline distT="0" distB="0" distL="0" distR="0" wp14:anchorId="7EF32A96" wp14:editId="61145558">
                  <wp:extent cx="930302" cy="741040"/>
                  <wp:effectExtent l="0" t="0" r="3175" b="2540"/>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6137" cy="745688"/>
                          </a:xfrm>
                          <a:prstGeom prst="rect">
                            <a:avLst/>
                          </a:prstGeom>
                          <a:noFill/>
                          <a:ln>
                            <a:noFill/>
                          </a:ln>
                        </pic:spPr>
                      </pic:pic>
                    </a:graphicData>
                  </a:graphic>
                </wp:inline>
              </w:drawing>
            </w:r>
          </w:p>
        </w:tc>
        <w:tc>
          <w:tcPr>
            <w:tcW w:w="7743" w:type="dxa"/>
            <w:shd w:val="clear" w:color="auto" w:fill="00264D" w:themeFill="background2"/>
          </w:tcPr>
          <w:p w14:paraId="57FD500A" w14:textId="77777777" w:rsidR="00230A20" w:rsidRPr="00CF115B" w:rsidRDefault="00230A20" w:rsidP="00230A20">
            <w:pPr>
              <w:pStyle w:val="TableNText"/>
              <w:rPr>
                <w:color w:val="FFFFFF" w:themeColor="background1"/>
                <w:szCs w:val="17"/>
              </w:rPr>
            </w:pPr>
            <w:r w:rsidRPr="00CF115B">
              <w:t xml:space="preserve">This section </w:t>
            </w:r>
            <w:r>
              <w:t>describes the</w:t>
            </w:r>
            <w:r w:rsidRPr="00CF115B">
              <w:t xml:space="preserve"> context for the evaluation</w:t>
            </w:r>
            <w:r>
              <w:t xml:space="preserve"> including</w:t>
            </w:r>
            <w:r w:rsidRPr="00CF115B">
              <w:rPr>
                <w:color w:val="FFFFFF" w:themeColor="background1"/>
                <w:szCs w:val="17"/>
              </w:rPr>
              <w:t>:</w:t>
            </w:r>
          </w:p>
          <w:p w14:paraId="2BF47709" w14:textId="77777777" w:rsidR="00230A20" w:rsidRPr="00CF115B" w:rsidRDefault="00230A20" w:rsidP="00230A20">
            <w:pPr>
              <w:pStyle w:val="TableNBullet"/>
            </w:pPr>
            <w:r>
              <w:t>t</w:t>
            </w:r>
            <w:r w:rsidRPr="00CF115B">
              <w:t>he</w:t>
            </w:r>
            <w:r>
              <w:t xml:space="preserve"> policy, operational and stakeholder</w:t>
            </w:r>
            <w:r w:rsidRPr="00CF115B">
              <w:t xml:space="preserve"> environment in which the evaluation sits </w:t>
            </w:r>
          </w:p>
          <w:p w14:paraId="7EE5EFAF" w14:textId="5C876138" w:rsidR="00230A20" w:rsidRPr="00EC36A5" w:rsidRDefault="00230A20" w:rsidP="00230A20">
            <w:pPr>
              <w:pStyle w:val="TableNBullet"/>
            </w:pPr>
            <w:r w:rsidRPr="00CF115B">
              <w:t xml:space="preserve">key features of the Measure that impact </w:t>
            </w:r>
            <w:r>
              <w:t>on</w:t>
            </w:r>
            <w:r w:rsidRPr="00CF115B">
              <w:t xml:space="preserve"> the </w:t>
            </w:r>
            <w:r>
              <w:t xml:space="preserve">conduct and interpretation of findings from the </w:t>
            </w:r>
            <w:r w:rsidRPr="00CF115B">
              <w:t>evaluation.</w:t>
            </w:r>
          </w:p>
        </w:tc>
      </w:tr>
    </w:tbl>
    <w:p w14:paraId="5E2B94D8" w14:textId="50AFE455" w:rsidR="006D4DE5" w:rsidRDefault="006D4DE5" w:rsidP="006D4DE5">
      <w:pPr>
        <w:pStyle w:val="Heading2"/>
      </w:pPr>
      <w:bookmarkStart w:id="7" w:name="_Toc82767204"/>
      <w:r>
        <w:t xml:space="preserve">Policy and stakeholder context </w:t>
      </w:r>
      <w:r w:rsidR="008B2B2D">
        <w:t xml:space="preserve">of </w:t>
      </w:r>
      <w:r>
        <w:t>the Measure</w:t>
      </w:r>
      <w:bookmarkEnd w:id="7"/>
      <w:r>
        <w:t xml:space="preserve"> </w:t>
      </w:r>
    </w:p>
    <w:p w14:paraId="33D0A7DB" w14:textId="7156A6E3" w:rsidR="006D4DE5" w:rsidRDefault="006D4DE5" w:rsidP="006D4DE5">
      <w:pPr>
        <w:rPr>
          <w:lang w:eastAsia="en-AU"/>
        </w:rPr>
      </w:pPr>
      <w:r>
        <w:rPr>
          <w:lang w:eastAsia="en-AU"/>
        </w:rPr>
        <w:t xml:space="preserve">The policy and operational context and reforms of the health and aged care sectors are complex, as shown </w:t>
      </w:r>
      <w:r>
        <w:t xml:space="preserve">in </w:t>
      </w:r>
      <w:r>
        <w:fldChar w:fldCharType="begin"/>
      </w:r>
      <w:r>
        <w:instrText xml:space="preserve"> REF _Ref58838159 \h </w:instrText>
      </w:r>
      <w:r>
        <w:fldChar w:fldCharType="separate"/>
      </w:r>
      <w:r w:rsidR="00DF258C">
        <w:t xml:space="preserve">Figure </w:t>
      </w:r>
      <w:r w:rsidR="00DF258C">
        <w:rPr>
          <w:noProof/>
        </w:rPr>
        <w:t>2</w:t>
      </w:r>
      <w:r>
        <w:fldChar w:fldCharType="end"/>
      </w:r>
      <w:r>
        <w:t>.</w:t>
      </w:r>
      <w:r>
        <w:rPr>
          <w:lang w:eastAsia="en-AU"/>
        </w:rPr>
        <w:t xml:space="preserve"> The context is characterised by the following:</w:t>
      </w:r>
    </w:p>
    <w:p w14:paraId="6BA8C907" w14:textId="68CFC222" w:rsidR="006D4DE5" w:rsidRPr="000908BC" w:rsidRDefault="006D4DE5" w:rsidP="007E6EEF">
      <w:pPr>
        <w:pStyle w:val="Bullet"/>
      </w:pPr>
      <w:r w:rsidRPr="000908BC">
        <w:rPr>
          <w:rFonts w:asciiTheme="majorHAnsi" w:hAnsiTheme="majorHAnsi" w:cstheme="majorHAnsi"/>
        </w:rPr>
        <w:t>There are many stakeholders working in the palliative care in residential aged care environment</w:t>
      </w:r>
      <w:r w:rsidRPr="000908BC">
        <w:t xml:space="preserve">. States, </w:t>
      </w:r>
      <w:proofErr w:type="gramStart"/>
      <w:r w:rsidRPr="000908BC">
        <w:t>territories</w:t>
      </w:r>
      <w:proofErr w:type="gramEnd"/>
      <w:r w:rsidRPr="000908BC">
        <w:t xml:space="preserve"> and the </w:t>
      </w:r>
      <w:r>
        <w:t>Australian</w:t>
      </w:r>
      <w:r w:rsidRPr="000908BC">
        <w:t xml:space="preserve"> </w:t>
      </w:r>
      <w:r w:rsidR="00250B47">
        <w:t>G</w:t>
      </w:r>
      <w:r w:rsidR="000A0613">
        <w:t xml:space="preserve">overnment </w:t>
      </w:r>
      <w:r w:rsidRPr="000908BC">
        <w:t>have different roles in the provision of palliative care in RACFs.</w:t>
      </w:r>
    </w:p>
    <w:p w14:paraId="66C44204" w14:textId="71A81FC0" w:rsidR="006D4DE5" w:rsidRPr="000908BC" w:rsidRDefault="006D4DE5" w:rsidP="007E6EEF">
      <w:pPr>
        <w:pStyle w:val="Bullet"/>
      </w:pPr>
      <w:r w:rsidRPr="000908BC">
        <w:rPr>
          <w:rFonts w:asciiTheme="majorHAnsi" w:hAnsiTheme="majorHAnsi" w:cstheme="majorHAnsi"/>
        </w:rPr>
        <w:t>Palliative care is multifaceted and there is a need to improve its delivery in RACFs</w:t>
      </w:r>
      <w:r w:rsidRPr="000908BC">
        <w:t xml:space="preserve">. Much work has been done – as evidenced by the many strategies, </w:t>
      </w:r>
      <w:proofErr w:type="gramStart"/>
      <w:r w:rsidRPr="000908BC">
        <w:t>standards</w:t>
      </w:r>
      <w:proofErr w:type="gramEnd"/>
      <w:r w:rsidRPr="000908BC">
        <w:t xml:space="preserve"> and indicators – </w:t>
      </w:r>
      <w:r w:rsidR="00D20857">
        <w:t>however,</w:t>
      </w:r>
      <w:r w:rsidR="00D20857" w:rsidRPr="000908BC">
        <w:t xml:space="preserve"> </w:t>
      </w:r>
      <w:r w:rsidRPr="000908BC">
        <w:t>there is more to do.</w:t>
      </w:r>
    </w:p>
    <w:p w14:paraId="12257BE8" w14:textId="0E36E79F" w:rsidR="006D4DE5" w:rsidRPr="00DF32A4" w:rsidRDefault="006D4DE5" w:rsidP="007E6EEF">
      <w:pPr>
        <w:pStyle w:val="Bullet"/>
      </w:pPr>
      <w:r w:rsidRPr="000908BC">
        <w:rPr>
          <w:rFonts w:asciiTheme="majorHAnsi" w:hAnsiTheme="majorHAnsi" w:cstheme="majorHAnsi"/>
        </w:rPr>
        <w:t>The operating environment is complex and changing</w:t>
      </w:r>
      <w:r w:rsidRPr="000908BC">
        <w:t>. Many external factors and reforms in the aged care and palliative care sectors will impact upon the Measure</w:t>
      </w:r>
      <w:r w:rsidR="000B1B8E">
        <w:t>’s</w:t>
      </w:r>
      <w:r w:rsidRPr="000908BC">
        <w:t xml:space="preserve"> </w:t>
      </w:r>
      <w:r>
        <w:t xml:space="preserve">implementation and outcomes. </w:t>
      </w:r>
    </w:p>
    <w:p w14:paraId="387F6471" w14:textId="47D8E32E" w:rsidR="006D4DE5" w:rsidRPr="009D55F2" w:rsidRDefault="006D4DE5" w:rsidP="006D4DE5">
      <w:bookmarkStart w:id="8" w:name="_Ref57814781"/>
      <w:r>
        <w:t xml:space="preserve">Each of these points are expanded below. </w:t>
      </w:r>
    </w:p>
    <w:p w14:paraId="0A3D0D9C" w14:textId="62CFE23F" w:rsidR="006D4DE5" w:rsidRDefault="006D4DE5" w:rsidP="006D4DE5">
      <w:pPr>
        <w:pStyle w:val="Caption"/>
      </w:pPr>
      <w:bookmarkStart w:id="9" w:name="_Ref58838159"/>
      <w:r>
        <w:t xml:space="preserve">Figure </w:t>
      </w:r>
      <w:r>
        <w:fldChar w:fldCharType="begin"/>
      </w:r>
      <w:r>
        <w:instrText xml:space="preserve"> SEQ Figure \* ARABIC </w:instrText>
      </w:r>
      <w:r>
        <w:fldChar w:fldCharType="separate"/>
      </w:r>
      <w:r w:rsidR="00DF258C">
        <w:rPr>
          <w:noProof/>
        </w:rPr>
        <w:t>2</w:t>
      </w:r>
      <w:r>
        <w:fldChar w:fldCharType="end"/>
      </w:r>
      <w:bookmarkEnd w:id="8"/>
      <w:bookmarkEnd w:id="9"/>
      <w:r>
        <w:t xml:space="preserve"> | The policy, </w:t>
      </w:r>
      <w:proofErr w:type="gramStart"/>
      <w:r>
        <w:t>stakeholder</w:t>
      </w:r>
      <w:proofErr w:type="gramEnd"/>
      <w:r>
        <w:t xml:space="preserve"> and operating environment for the evaluation of the Measure</w:t>
      </w:r>
    </w:p>
    <w:p w14:paraId="249246DD" w14:textId="7870FC0B" w:rsidR="00733C67" w:rsidRPr="00733C67" w:rsidRDefault="00DC7668" w:rsidP="00733C67">
      <w:r w:rsidRPr="00DC7668">
        <w:rPr>
          <w:noProof/>
        </w:rPr>
        <w:drawing>
          <wp:inline distT="0" distB="0" distL="0" distR="0" wp14:anchorId="67071259" wp14:editId="641AF153">
            <wp:extent cx="5904230" cy="3475990"/>
            <wp:effectExtent l="0" t="0" r="1270" b="0"/>
            <wp:docPr id="5" name="Picture 5" descr="Figure 2 depicts the policy, stakeholder and operating environment for the evaluation of the Measure.&#10;&#10;The Stakeholder Environment includes the Australian and state and territory governments, residential aged care facilities, generalist and specialist palliative care providers. and aged care and palliative care peak bodies. &#10;&#10;The policy and strategy context revolves around the residents and the families, carers, community and RACFs. These include the National Palliative Care Strategy, the Aged Care Quality Standards, the Jurisdictional strategies and policy frameworks, the Mandatory Quality Indicator Program, the National Safety and Quality Health Standards, and Palliative Care Standards.&#10;&#10;The Operating Environment for the evaluation include the Royal Commission into Aged Care Quality and Safety, COVID-19, shifting community expectations for person-centred and holistic care, and health and aged-care trends such as trends towards integrate care, values-based care and digital heal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2 depicts the policy, stakeholder and operating environment for the evaluation of the Measure.&#10;&#10;The Stakeholder Environment includes the Australian and state and territory governments, residential aged care facilities, generalist and specialist palliative care providers. and aged care and palliative care peak bodies. &#10;&#10;The policy and strategy context revolves around the residents and the families, carers, community and RACFs. These include the National Palliative Care Strategy, the Aged Care Quality Standards, the Jurisdictional strategies and policy frameworks, the Mandatory Quality Indicator Program, the National Safety and Quality Health Standards, and Palliative Care Standards.&#10;&#10;The Operating Environment for the evaluation include the Royal Commission into Aged Care Quality and Safety, COVID-19, shifting community expectations for person-centred and holistic care, and health and aged-care trends such as trends towards integrate care, values-based care and digital health.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04230" cy="3475990"/>
                    </a:xfrm>
                    <a:prstGeom prst="rect">
                      <a:avLst/>
                    </a:prstGeom>
                    <a:noFill/>
                    <a:ln>
                      <a:noFill/>
                    </a:ln>
                  </pic:spPr>
                </pic:pic>
              </a:graphicData>
            </a:graphic>
          </wp:inline>
        </w:drawing>
      </w:r>
    </w:p>
    <w:p w14:paraId="4E47DFF1" w14:textId="6BA63DB1" w:rsidR="006D4DE5" w:rsidRPr="00206E3C" w:rsidRDefault="006D4DE5" w:rsidP="006D4DE5">
      <w:pPr>
        <w:pStyle w:val="Heading5"/>
      </w:pPr>
      <w:r>
        <w:t xml:space="preserve">States, </w:t>
      </w:r>
      <w:proofErr w:type="gramStart"/>
      <w:r>
        <w:t>territories</w:t>
      </w:r>
      <w:proofErr w:type="gramEnd"/>
      <w:r>
        <w:t xml:space="preserve"> and the </w:t>
      </w:r>
      <w:r w:rsidR="006B4692">
        <w:t>Australian Gover</w:t>
      </w:r>
      <w:r w:rsidR="008E1175">
        <w:t>nment</w:t>
      </w:r>
      <w:r>
        <w:t xml:space="preserve"> have different roles in the provision of palliative care in RACFs</w:t>
      </w:r>
    </w:p>
    <w:p w14:paraId="6EAE24FE" w14:textId="77777777" w:rsidR="00083F86" w:rsidRDefault="006D4DE5" w:rsidP="006D4DE5">
      <w:pPr>
        <w:rPr>
          <w:lang w:eastAsia="en-AU"/>
        </w:rPr>
      </w:pPr>
      <w:r>
        <w:rPr>
          <w:lang w:eastAsia="en-AU"/>
        </w:rPr>
        <w:t xml:space="preserve">Provision of palliative care in RACFs brings health and aged care service delivery together, with many differently funded and managed parties holding a role in the delivery of care. </w:t>
      </w:r>
      <w:r w:rsidR="00083F86">
        <w:rPr>
          <w:lang w:eastAsia="en-AU"/>
        </w:rPr>
        <w:t xml:space="preserve">This includes: </w:t>
      </w:r>
    </w:p>
    <w:p w14:paraId="083060A5" w14:textId="02D2E602" w:rsidR="00083F86" w:rsidRDefault="006D4DE5" w:rsidP="00083F86">
      <w:pPr>
        <w:pStyle w:val="Bullet"/>
      </w:pPr>
      <w:r>
        <w:lastRenderedPageBreak/>
        <w:t xml:space="preserve">The Australian Government acts as steward of the aged care system and primary funder and holds responsibility for general practice and primary health care funding and policy. </w:t>
      </w:r>
      <w:r w:rsidR="00041343">
        <w:t>The Australian Government also fun</w:t>
      </w:r>
      <w:r w:rsidR="00674AE4">
        <w:t xml:space="preserve">ds palliative care through </w:t>
      </w:r>
      <w:r w:rsidR="00ED4BC1">
        <w:t>agreements with hospitals</w:t>
      </w:r>
      <w:r w:rsidR="00674AE4">
        <w:t>.</w:t>
      </w:r>
    </w:p>
    <w:p w14:paraId="4BC187E7" w14:textId="7DE2021A" w:rsidR="00083F86" w:rsidRDefault="006D4DE5" w:rsidP="00083F86">
      <w:pPr>
        <w:pStyle w:val="Bullet"/>
      </w:pPr>
      <w:r>
        <w:t>State and territory governments are responsible for the provision of palliative care services in the</w:t>
      </w:r>
      <w:r w:rsidR="00B92EA8">
        <w:t>ir</w:t>
      </w:r>
      <w:r>
        <w:t xml:space="preserve"> health system</w:t>
      </w:r>
      <w:r w:rsidR="00B92EA8">
        <w:t>s</w:t>
      </w:r>
      <w:r>
        <w:t xml:space="preserve">, </w:t>
      </w:r>
      <w:r w:rsidR="00694F58">
        <w:t>which include</w:t>
      </w:r>
      <w:r w:rsidR="00B92EA8">
        <w:t xml:space="preserve"> </w:t>
      </w:r>
      <w:r>
        <w:t>ambulance, emergency</w:t>
      </w:r>
      <w:r w:rsidR="001A4435">
        <w:t>,</w:t>
      </w:r>
      <w:r w:rsidR="0069613B">
        <w:t xml:space="preserve"> </w:t>
      </w:r>
      <w:r w:rsidR="001C30B6">
        <w:t xml:space="preserve">public </w:t>
      </w:r>
      <w:r w:rsidR="00D91191">
        <w:t xml:space="preserve">and private </w:t>
      </w:r>
      <w:r w:rsidR="001A4435">
        <w:t xml:space="preserve">hospital and hospice </w:t>
      </w:r>
      <w:r>
        <w:t>inpatient</w:t>
      </w:r>
      <w:r w:rsidR="005B7C9D">
        <w:t xml:space="preserve">, </w:t>
      </w:r>
      <w:r w:rsidR="00290916">
        <w:t>pr</w:t>
      </w:r>
      <w:r w:rsidR="00F93D09">
        <w:t>ivate</w:t>
      </w:r>
      <w:r w:rsidR="00290916">
        <w:t xml:space="preserve"> </w:t>
      </w:r>
      <w:r w:rsidR="005B7C9D">
        <w:t>health fund</w:t>
      </w:r>
      <w:r w:rsidR="00290916">
        <w:t xml:space="preserve">s, </w:t>
      </w:r>
      <w:r w:rsidR="00B92EA8">
        <w:t xml:space="preserve">and community </w:t>
      </w:r>
      <w:r>
        <w:t xml:space="preserve">services. </w:t>
      </w:r>
    </w:p>
    <w:p w14:paraId="1D8788F1" w14:textId="2CA93516" w:rsidR="00083F86" w:rsidRDefault="006D4DE5" w:rsidP="00083F86">
      <w:pPr>
        <w:pStyle w:val="Bullet"/>
      </w:pPr>
      <w:r>
        <w:t xml:space="preserve">General </w:t>
      </w:r>
      <w:r w:rsidR="006B4692">
        <w:t>P</w:t>
      </w:r>
      <w:r w:rsidRPr="00A771A9">
        <w:t>ractitioners</w:t>
      </w:r>
      <w:r>
        <w:t xml:space="preserve"> </w:t>
      </w:r>
      <w:r w:rsidR="00032585">
        <w:t>(GPs</w:t>
      </w:r>
      <w:proofErr w:type="gramStart"/>
      <w:r w:rsidR="00032585">
        <w:t>)</w:t>
      </w:r>
      <w:r w:rsidR="001A4435">
        <w:t>,</w:t>
      </w:r>
      <w:r>
        <w:t>some</w:t>
      </w:r>
      <w:proofErr w:type="gramEnd"/>
      <w:r>
        <w:t xml:space="preserve"> Nurse Practitioners</w:t>
      </w:r>
      <w:r w:rsidR="001A4435">
        <w:t xml:space="preserve"> and allied health professionals</w:t>
      </w:r>
      <w:r w:rsidR="00825470">
        <w:t xml:space="preserve"> (</w:t>
      </w:r>
      <w:r w:rsidR="00604975">
        <w:t xml:space="preserve">e.g. </w:t>
      </w:r>
      <w:r w:rsidR="00825470">
        <w:t>occupational therapy, psychology, speech pathology and social work)</w:t>
      </w:r>
      <w:r>
        <w:t xml:space="preserve"> are independent small business owners, who are reimbursed on a fee for service arrangement by the Australian Government. </w:t>
      </w:r>
    </w:p>
    <w:p w14:paraId="366707BA" w14:textId="63760DC7" w:rsidR="006D4DE5" w:rsidRDefault="006D4DE5" w:rsidP="00083F86">
      <w:pPr>
        <w:pStyle w:val="Bullet"/>
      </w:pPr>
      <w:r>
        <w:t>RACFs are owned and managed in a range of ways, including for-profit and not</w:t>
      </w:r>
      <w:r w:rsidR="00707AD8">
        <w:t>-</w:t>
      </w:r>
      <w:r>
        <w:t>for</w:t>
      </w:r>
      <w:r w:rsidR="00707AD8">
        <w:t>-</w:t>
      </w:r>
      <w:r>
        <w:t xml:space="preserve">profit businesses or </w:t>
      </w:r>
      <w:r w:rsidR="00BB1B60">
        <w:t xml:space="preserve">by </w:t>
      </w:r>
      <w:r>
        <w:t>state/territory governments. Individual residents are also significant funders of their own care.</w:t>
      </w:r>
    </w:p>
    <w:p w14:paraId="29A50B0A" w14:textId="0CD14B18" w:rsidR="003A15D7" w:rsidRDefault="003A15D7" w:rsidP="00083F86">
      <w:pPr>
        <w:pStyle w:val="Bullet"/>
      </w:pPr>
      <w:r>
        <w:t>The degree of ownership and control of RACFs varies considerably by juris</w:t>
      </w:r>
      <w:r w:rsidR="004562EC">
        <w:t>diction.</w:t>
      </w:r>
      <w:r w:rsidR="005825E3">
        <w:t xml:space="preserve"> For example, </w:t>
      </w:r>
      <w:r w:rsidR="005825E3" w:rsidRPr="005825E3">
        <w:t>Vic</w:t>
      </w:r>
      <w:r w:rsidR="005825E3">
        <w:t>toria</w:t>
      </w:r>
      <w:r w:rsidR="005825E3" w:rsidRPr="005825E3">
        <w:t xml:space="preserve"> and </w:t>
      </w:r>
      <w:r w:rsidR="005825E3">
        <w:t>Queensland</w:t>
      </w:r>
      <w:r w:rsidR="005825E3" w:rsidRPr="005825E3">
        <w:t xml:space="preserve"> </w:t>
      </w:r>
      <w:r w:rsidR="001A4435">
        <w:t xml:space="preserve">operate more residential aged care beds </w:t>
      </w:r>
      <w:r w:rsidR="005825E3" w:rsidRPr="005825E3">
        <w:t xml:space="preserve">than the other states with significant operations. </w:t>
      </w:r>
      <w:r w:rsidR="005825E3">
        <w:t>Victorian Government-</w:t>
      </w:r>
      <w:r w:rsidR="005825E3" w:rsidRPr="005825E3">
        <w:t xml:space="preserve">owned RACFs represent </w:t>
      </w:r>
      <w:r w:rsidR="008C0A20">
        <w:t>26</w:t>
      </w:r>
      <w:r w:rsidR="005825E3">
        <w:t xml:space="preserve"> per cent</w:t>
      </w:r>
      <w:r w:rsidR="005825E3" w:rsidRPr="005825E3">
        <w:t xml:space="preserve"> of all beds in the state.</w:t>
      </w:r>
    </w:p>
    <w:p w14:paraId="29A048FB" w14:textId="3B9EEA85" w:rsidR="006D4DE5" w:rsidRDefault="006D4DE5" w:rsidP="006D4DE5">
      <w:pPr>
        <w:rPr>
          <w:lang w:eastAsia="en-AU"/>
        </w:rPr>
      </w:pPr>
      <w:r>
        <w:rPr>
          <w:lang w:eastAsia="en-AU"/>
        </w:rPr>
        <w:t>This result</w:t>
      </w:r>
      <w:r w:rsidR="00816F9B">
        <w:rPr>
          <w:lang w:eastAsia="en-AU"/>
        </w:rPr>
        <w:t>s</w:t>
      </w:r>
      <w:r w:rsidDel="00263B6D">
        <w:rPr>
          <w:lang w:eastAsia="en-AU"/>
        </w:rPr>
        <w:t xml:space="preserve"> </w:t>
      </w:r>
      <w:r>
        <w:rPr>
          <w:lang w:eastAsia="en-AU"/>
        </w:rPr>
        <w:t xml:space="preserve">in </w:t>
      </w:r>
      <w:r w:rsidR="00816F9B">
        <w:rPr>
          <w:lang w:eastAsia="en-AU"/>
        </w:rPr>
        <w:t xml:space="preserve">an overlap </w:t>
      </w:r>
      <w:r>
        <w:rPr>
          <w:lang w:eastAsia="en-AU"/>
        </w:rPr>
        <w:t xml:space="preserve">of responsibility when health services – including palliative care – are delivered in a residential aged care setting. In the context of the evaluation, this means that recognition of the role of all parties is critical. </w:t>
      </w:r>
      <w:proofErr w:type="gramStart"/>
      <w:r>
        <w:rPr>
          <w:lang w:eastAsia="en-AU"/>
        </w:rPr>
        <w:t>In particular, collaboration</w:t>
      </w:r>
      <w:proofErr w:type="gramEnd"/>
      <w:r>
        <w:rPr>
          <w:lang w:eastAsia="en-AU"/>
        </w:rPr>
        <w:t xml:space="preserve"> between the Australian Government and state and territory governments is a key factor in the design and conduct of evaluation activities. </w:t>
      </w:r>
    </w:p>
    <w:p w14:paraId="051C99EE" w14:textId="719A132B" w:rsidR="006D4DE5" w:rsidRDefault="006D4DE5" w:rsidP="006D4DE5">
      <w:pPr>
        <w:rPr>
          <w:lang w:eastAsia="en-AU"/>
        </w:rPr>
      </w:pPr>
      <w:r>
        <w:rPr>
          <w:lang w:eastAsia="en-AU"/>
        </w:rPr>
        <w:t>The</w:t>
      </w:r>
      <w:r w:rsidDel="00FC7778">
        <w:rPr>
          <w:lang w:eastAsia="en-AU"/>
        </w:rPr>
        <w:t xml:space="preserve"> </w:t>
      </w:r>
      <w:r>
        <w:rPr>
          <w:lang w:eastAsia="en-AU"/>
        </w:rPr>
        <w:t xml:space="preserve">extent of </w:t>
      </w:r>
      <w:r w:rsidR="00D26888">
        <w:rPr>
          <w:lang w:eastAsia="en-AU"/>
        </w:rPr>
        <w:t>control</w:t>
      </w:r>
      <w:r w:rsidR="007B5694">
        <w:rPr>
          <w:lang w:eastAsia="en-AU"/>
        </w:rPr>
        <w:t xml:space="preserve"> </w:t>
      </w:r>
      <w:r>
        <w:rPr>
          <w:lang w:eastAsia="en-AU"/>
        </w:rPr>
        <w:t xml:space="preserve">all levels of government have </w:t>
      </w:r>
      <w:r w:rsidR="00D26888">
        <w:rPr>
          <w:lang w:eastAsia="en-AU"/>
        </w:rPr>
        <w:t xml:space="preserve">over </w:t>
      </w:r>
      <w:r>
        <w:rPr>
          <w:lang w:eastAsia="en-AU"/>
        </w:rPr>
        <w:t xml:space="preserve">delivery of services in RACFs is dependent on the RACF itself. </w:t>
      </w:r>
      <w:r w:rsidR="00A531D3">
        <w:t xml:space="preserve">For-profit and not-for-profit RACFs, as opposed to government administered facilities, have relatively more </w:t>
      </w:r>
      <w:r>
        <w:rPr>
          <w:lang w:eastAsia="en-AU"/>
        </w:rPr>
        <w:t xml:space="preserve">control over the types and mode of service delivered within the facility. </w:t>
      </w:r>
    </w:p>
    <w:p w14:paraId="20242E32" w14:textId="78E264A8" w:rsidR="006D4DE5" w:rsidRPr="005E79F3" w:rsidRDefault="006D4DE5" w:rsidP="00E26BFA">
      <w:pPr>
        <w:pStyle w:val="Heading5"/>
        <w:rPr>
          <w:b w:val="0"/>
        </w:rPr>
      </w:pPr>
      <w:r w:rsidRPr="00A771A9">
        <w:t>P</w:t>
      </w:r>
      <w:r w:rsidRPr="00A36CAA">
        <w:t>alliative care is multifaceted and there is a need to improve its delivery in RACFs</w:t>
      </w:r>
    </w:p>
    <w:p w14:paraId="270D02B1" w14:textId="3F3D4475" w:rsidR="006D4DE5" w:rsidRDefault="006D4DE5" w:rsidP="006D4DE5">
      <w:pPr>
        <w:rPr>
          <w:lang w:eastAsia="en-AU"/>
        </w:rPr>
      </w:pPr>
      <w:r>
        <w:rPr>
          <w:lang w:eastAsia="en-AU"/>
        </w:rPr>
        <w:t>The provision of palliative care in RACFs is complex. Palliative care itself is multifaceted; it</w:t>
      </w:r>
      <w:r>
        <w:t xml:space="preserve"> addresses physical, </w:t>
      </w:r>
      <w:proofErr w:type="gramStart"/>
      <w:r>
        <w:t>spiritual</w:t>
      </w:r>
      <w:proofErr w:type="gramEnd"/>
      <w:r>
        <w:t xml:space="preserve"> and psychosocial needs</w:t>
      </w:r>
      <w:r w:rsidR="00A67677">
        <w:t>,</w:t>
      </w:r>
      <w:r>
        <w:t xml:space="preserve"> and can be generalist or specialist in nature. This multifaceted nature also means that palliative care can be delivered in RACFs in a variety of ways. </w:t>
      </w:r>
      <w:r w:rsidRPr="00BE6B15">
        <w:t>This may include, for example, through generalist and specialist staff within the RACF or through in-reach or outreach services.</w:t>
      </w:r>
      <w:r>
        <w:t xml:space="preserve"> </w:t>
      </w:r>
      <w:r w:rsidR="00662E83">
        <w:t xml:space="preserve">In addition, </w:t>
      </w:r>
      <w:r w:rsidR="00B06A10">
        <w:t xml:space="preserve">palliative care in the residential aged care setting is increasingly </w:t>
      </w:r>
      <w:r w:rsidR="007B6740" w:rsidRPr="00A771A9">
        <w:t>being use</w:t>
      </w:r>
      <w:r w:rsidR="00535192">
        <w:t>d</w:t>
      </w:r>
      <w:r w:rsidR="002356DC">
        <w:t xml:space="preserve"> for temporary and intermittent support</w:t>
      </w:r>
      <w:r w:rsidR="006C766F">
        <w:t xml:space="preserve"> for non-permanent </w:t>
      </w:r>
      <w:r w:rsidR="007B6740" w:rsidRPr="00A771A9">
        <w:t xml:space="preserve">residents, </w:t>
      </w:r>
      <w:r w:rsidR="00B06A10" w:rsidRPr="00A771A9">
        <w:t xml:space="preserve">not </w:t>
      </w:r>
      <w:r w:rsidR="002356DC" w:rsidRPr="00A771A9">
        <w:t>just permanent residents</w:t>
      </w:r>
      <w:r w:rsidR="006C766F">
        <w:t xml:space="preserve">. </w:t>
      </w:r>
    </w:p>
    <w:p w14:paraId="51D42063" w14:textId="38498D88" w:rsidR="006D4DE5" w:rsidRDefault="006D4DE5" w:rsidP="006D4DE5">
      <w:pPr>
        <w:rPr>
          <w:lang w:eastAsia="en-AU"/>
        </w:rPr>
      </w:pPr>
      <w:r>
        <w:rPr>
          <w:lang w:eastAsia="en-AU"/>
        </w:rPr>
        <w:t>There is a need to improve the delivery of palliative care in residential aged care settings. Hearings from the Royal Commission into Aged Care Quality and Safety indicated that the availability and standard of palliative care provided in residential aged care is widely variable.</w:t>
      </w:r>
      <w:r>
        <w:rPr>
          <w:rStyle w:val="FootnoteReference"/>
          <w:lang w:eastAsia="en-AU"/>
        </w:rPr>
        <w:footnoteReference w:id="2"/>
      </w:r>
      <w:r>
        <w:rPr>
          <w:lang w:eastAsia="en-AU"/>
        </w:rPr>
        <w:t xml:space="preserve"> Other </w:t>
      </w:r>
      <w:r w:rsidRPr="00EA4B8D">
        <w:rPr>
          <w:lang w:eastAsia="en-AU"/>
        </w:rPr>
        <w:t xml:space="preserve">evidence indicates that early identification of palliative care needs and communication about palliative care and goals of care are a challenge for many – including residents, families, </w:t>
      </w:r>
      <w:proofErr w:type="gramStart"/>
      <w:r w:rsidRPr="00EA4B8D">
        <w:rPr>
          <w:lang w:eastAsia="en-AU"/>
        </w:rPr>
        <w:t>carers</w:t>
      </w:r>
      <w:proofErr w:type="gramEnd"/>
      <w:r w:rsidRPr="00EA4B8D">
        <w:rPr>
          <w:lang w:eastAsia="en-AU"/>
        </w:rPr>
        <w:t xml:space="preserve"> and staff.</w:t>
      </w:r>
      <w:r w:rsidRPr="00EA4B8D">
        <w:rPr>
          <w:rStyle w:val="FootnoteReference"/>
        </w:rPr>
        <w:footnoteReference w:id="3"/>
      </w:r>
      <w:r w:rsidRPr="00EA4B8D">
        <w:rPr>
          <w:vertAlign w:val="superscript"/>
          <w:lang w:eastAsia="en-AU"/>
        </w:rPr>
        <w:t>,</w:t>
      </w:r>
      <w:r w:rsidRPr="00EA4B8D">
        <w:rPr>
          <w:rStyle w:val="FootnoteReference"/>
        </w:rPr>
        <w:footnoteReference w:id="4"/>
      </w:r>
      <w:r w:rsidRPr="00EA4B8D">
        <w:rPr>
          <w:lang w:eastAsia="en-AU"/>
        </w:rPr>
        <w:t xml:space="preserve"> </w:t>
      </w:r>
    </w:p>
    <w:p w14:paraId="392D0190" w14:textId="7DD0E452" w:rsidR="006D4DE5" w:rsidRDefault="006D4DE5" w:rsidP="006D4DE5">
      <w:r w:rsidRPr="00EA4B8D">
        <w:rPr>
          <w:lang w:eastAsia="en-AU"/>
        </w:rPr>
        <w:t>The Measure responds</w:t>
      </w:r>
      <w:r>
        <w:rPr>
          <w:lang w:eastAsia="en-AU"/>
        </w:rPr>
        <w:t xml:space="preserve"> to these challenges and aims to s</w:t>
      </w:r>
      <w:r>
        <w:t xml:space="preserve">trengthen national efforts to improve access to quality palliative care as a key component of an integrated health-aged care system. </w:t>
      </w:r>
    </w:p>
    <w:p w14:paraId="0EA1D32C" w14:textId="4C1F8896" w:rsidR="006D4DE5" w:rsidRDefault="006D4DE5" w:rsidP="006D4DE5">
      <w:pPr>
        <w:pStyle w:val="Heading5"/>
      </w:pPr>
      <w:bookmarkStart w:id="10" w:name="_Hlk58837379"/>
      <w:r>
        <w:t>Many external factors and reforms in the aged care and palliative care sector will impact on the Measure implementation and outcomes</w:t>
      </w:r>
    </w:p>
    <w:bookmarkEnd w:id="10"/>
    <w:p w14:paraId="712EFB00" w14:textId="7AE90C50" w:rsidR="006D4DE5" w:rsidRDefault="006D4DE5" w:rsidP="006D4DE5">
      <w:pPr>
        <w:rPr>
          <w:lang w:eastAsia="en-AU"/>
        </w:rPr>
      </w:pPr>
      <w:r>
        <w:t xml:space="preserve">Ongoing activities, initiatives and reforms </w:t>
      </w:r>
      <w:r w:rsidR="00B20E7F">
        <w:t xml:space="preserve">across </w:t>
      </w:r>
      <w:r>
        <w:rPr>
          <w:lang w:eastAsia="en-AU"/>
        </w:rPr>
        <w:t xml:space="preserve">the health and aged care sectors will impact upon the Measure and the evaluation. </w:t>
      </w:r>
      <w:r w:rsidR="008A0735">
        <w:rPr>
          <w:lang w:eastAsia="en-AU"/>
        </w:rPr>
        <w:t>K</w:t>
      </w:r>
      <w:r>
        <w:rPr>
          <w:lang w:eastAsia="en-AU"/>
        </w:rPr>
        <w:t>ey examples include:</w:t>
      </w:r>
    </w:p>
    <w:p w14:paraId="32601BCC" w14:textId="77777777" w:rsidR="006D4DE5" w:rsidRDefault="006D4DE5" w:rsidP="006D4DE5">
      <w:pPr>
        <w:pStyle w:val="Bullet"/>
        <w:rPr>
          <w:lang w:eastAsia="en-US"/>
        </w:rPr>
      </w:pPr>
      <w:r>
        <w:t xml:space="preserve">The outcomes of the Royal Commission into Aged Care Quality and Safety are likely to result in changes to the aged care sector that will change the strategic and operating context for the Measure. </w:t>
      </w:r>
    </w:p>
    <w:p w14:paraId="2C17310F" w14:textId="77777777" w:rsidR="006D4DE5" w:rsidRDefault="006D4DE5" w:rsidP="006D4DE5">
      <w:pPr>
        <w:pStyle w:val="Bullet"/>
        <w:rPr>
          <w:lang w:eastAsia="en-US"/>
        </w:rPr>
      </w:pPr>
      <w:r>
        <w:lastRenderedPageBreak/>
        <w:t xml:space="preserve">COVID-19 will have an ongoing impact on RACFs and may result in a reduced capacity to implement activities or collect data relating to the Measure. </w:t>
      </w:r>
    </w:p>
    <w:p w14:paraId="2317B450" w14:textId="04A2C31D" w:rsidR="006D4DE5" w:rsidRDefault="006D4DE5" w:rsidP="006D4DE5">
      <w:pPr>
        <w:pStyle w:val="Bullet"/>
        <w:rPr>
          <w:lang w:eastAsia="en-US"/>
        </w:rPr>
      </w:pPr>
      <w:r>
        <w:t>An increased emphasis on advance care planning has seen national efforts to increase the quality and accessibility of advance care planning which will continue in coming years.</w:t>
      </w:r>
    </w:p>
    <w:p w14:paraId="27892597" w14:textId="0B25243C" w:rsidR="006D4DE5" w:rsidRDefault="006D4DE5" w:rsidP="006D4DE5">
      <w:pPr>
        <w:rPr>
          <w:lang w:eastAsia="en-AU"/>
        </w:rPr>
      </w:pPr>
      <w:r>
        <w:t>Nous has taken these factors</w:t>
      </w:r>
      <w:r w:rsidR="00E972CE">
        <w:t>,</w:t>
      </w:r>
      <w:r>
        <w:t xml:space="preserve"> and others</w:t>
      </w:r>
      <w:r w:rsidR="00E972CE">
        <w:t>,</w:t>
      </w:r>
      <w:r>
        <w:t xml:space="preserve"> into consideration in </w:t>
      </w:r>
      <w:r w:rsidR="00E972CE">
        <w:t>designing</w:t>
      </w:r>
      <w:r>
        <w:t xml:space="preserve"> the Evaluation Framework and will continue to in conducting the evaluation (see section</w:t>
      </w:r>
      <w:r w:rsidRPr="00DA75AB">
        <w:t xml:space="preserve"> </w:t>
      </w:r>
      <w:r>
        <w:fldChar w:fldCharType="begin"/>
      </w:r>
      <w:r>
        <w:instrText xml:space="preserve"> REF _Ref58570233 \r \h </w:instrText>
      </w:r>
      <w:r>
        <w:fldChar w:fldCharType="separate"/>
      </w:r>
      <w:r w:rsidR="00DF258C">
        <w:t>8</w:t>
      </w:r>
      <w:r>
        <w:fldChar w:fldCharType="end"/>
      </w:r>
      <w:r>
        <w:t xml:space="preserve">). </w:t>
      </w:r>
      <w:r>
        <w:rPr>
          <w:lang w:eastAsia="en-AU"/>
        </w:rPr>
        <w:t xml:space="preserve">The nature of palliative care complicates data collection. Data is not nationally consistent or is unable to identify if the patient is from a RACF (see section </w:t>
      </w:r>
      <w:r>
        <w:rPr>
          <w:lang w:eastAsia="en-AU"/>
        </w:rPr>
        <w:fldChar w:fldCharType="begin"/>
      </w:r>
      <w:r>
        <w:rPr>
          <w:lang w:eastAsia="en-AU"/>
        </w:rPr>
        <w:instrText xml:space="preserve"> REF _Ref58570233 \r \h </w:instrText>
      </w:r>
      <w:r>
        <w:rPr>
          <w:lang w:eastAsia="en-AU"/>
        </w:rPr>
      </w:r>
      <w:r>
        <w:rPr>
          <w:lang w:eastAsia="en-AU"/>
        </w:rPr>
        <w:fldChar w:fldCharType="separate"/>
      </w:r>
      <w:r w:rsidR="00DF258C">
        <w:rPr>
          <w:lang w:eastAsia="en-AU"/>
        </w:rPr>
        <w:t>8</w:t>
      </w:r>
      <w:r>
        <w:rPr>
          <w:lang w:eastAsia="en-AU"/>
        </w:rPr>
        <w:fldChar w:fldCharType="end"/>
      </w:r>
      <w:r>
        <w:rPr>
          <w:lang w:eastAsia="en-AU"/>
        </w:rPr>
        <w:t>).</w:t>
      </w:r>
    </w:p>
    <w:p w14:paraId="5373D67D" w14:textId="4674EC03" w:rsidR="006D4DE5" w:rsidRDefault="006D4DE5" w:rsidP="006D4DE5">
      <w:pPr>
        <w:pStyle w:val="Heading2"/>
      </w:pPr>
      <w:bookmarkStart w:id="11" w:name="_Toc82767205"/>
      <w:r>
        <w:t>Key features of the Measure relevant to the evaluation</w:t>
      </w:r>
      <w:bookmarkEnd w:id="11"/>
    </w:p>
    <w:p w14:paraId="1DF861F0" w14:textId="29DBC2C9" w:rsidR="006D4DE5" w:rsidRDefault="006D4DE5" w:rsidP="006D4DE5">
      <w:pPr>
        <w:spacing w:after="165" w:line="259" w:lineRule="auto"/>
        <w:rPr>
          <w:lang w:eastAsia="en-AU"/>
        </w:rPr>
      </w:pPr>
      <w:r>
        <w:rPr>
          <w:lang w:eastAsia="en-AU"/>
        </w:rPr>
        <w:t xml:space="preserve">The design </w:t>
      </w:r>
      <w:r w:rsidR="002075D3">
        <w:rPr>
          <w:lang w:eastAsia="en-AU"/>
        </w:rPr>
        <w:t>of the Measure itself influences the</w:t>
      </w:r>
      <w:r>
        <w:rPr>
          <w:lang w:eastAsia="en-AU"/>
        </w:rPr>
        <w:t xml:space="preserve"> design and conduct of the evaluation. </w:t>
      </w:r>
      <w:r w:rsidR="002075D3">
        <w:rPr>
          <w:lang w:eastAsia="en-AU"/>
        </w:rPr>
        <w:t>J</w:t>
      </w:r>
      <w:r>
        <w:rPr>
          <w:lang w:eastAsia="en-AU"/>
        </w:rPr>
        <w:t>urisdiction</w:t>
      </w:r>
      <w:r w:rsidR="00050832">
        <w:rPr>
          <w:lang w:eastAsia="en-AU"/>
        </w:rPr>
        <w:t>s</w:t>
      </w:r>
      <w:r>
        <w:rPr>
          <w:lang w:eastAsia="en-AU"/>
        </w:rPr>
        <w:t xml:space="preserve"> will implement the Measure differently, using varying levels of funding to implement activities </w:t>
      </w:r>
      <w:r w:rsidR="002075D3">
        <w:rPr>
          <w:lang w:eastAsia="en-AU"/>
        </w:rPr>
        <w:t>based on</w:t>
      </w:r>
      <w:r>
        <w:rPr>
          <w:lang w:eastAsia="en-AU"/>
        </w:rPr>
        <w:t xml:space="preserve"> local needs. </w:t>
      </w:r>
      <w:r>
        <w:rPr>
          <w:lang w:eastAsia="en-AU"/>
        </w:rPr>
        <w:fldChar w:fldCharType="begin"/>
      </w:r>
      <w:r>
        <w:rPr>
          <w:lang w:eastAsia="en-AU"/>
        </w:rPr>
        <w:instrText xml:space="preserve"> REF _Ref57818849 \h </w:instrText>
      </w:r>
      <w:r>
        <w:rPr>
          <w:lang w:eastAsia="en-AU"/>
        </w:rPr>
      </w:r>
      <w:r>
        <w:rPr>
          <w:lang w:eastAsia="en-AU"/>
        </w:rPr>
        <w:fldChar w:fldCharType="separate"/>
      </w:r>
      <w:r w:rsidR="00DF258C">
        <w:t xml:space="preserve">Table </w:t>
      </w:r>
      <w:r w:rsidR="00DF258C">
        <w:rPr>
          <w:noProof/>
        </w:rPr>
        <w:t>1</w:t>
      </w:r>
      <w:r>
        <w:rPr>
          <w:lang w:eastAsia="en-AU"/>
        </w:rPr>
        <w:fldChar w:fldCharType="end"/>
      </w:r>
      <w:r>
        <w:rPr>
          <w:lang w:eastAsia="en-AU"/>
        </w:rPr>
        <w:t xml:space="preserve"> summarises key features of the Measure and how they impact on the evaluation.</w:t>
      </w:r>
    </w:p>
    <w:p w14:paraId="5CD1F693" w14:textId="4064368A" w:rsidR="006D4DE5" w:rsidRDefault="006D4DE5" w:rsidP="006D4DE5">
      <w:pPr>
        <w:pStyle w:val="Caption"/>
      </w:pPr>
      <w:bookmarkStart w:id="12" w:name="_Ref57818849"/>
      <w:r>
        <w:t xml:space="preserve">Table </w:t>
      </w:r>
      <w:r>
        <w:fldChar w:fldCharType="begin"/>
      </w:r>
      <w:r>
        <w:instrText xml:space="preserve"> SEQ Table \* ARABIC </w:instrText>
      </w:r>
      <w:r>
        <w:fldChar w:fldCharType="separate"/>
      </w:r>
      <w:r w:rsidR="00DF258C">
        <w:rPr>
          <w:noProof/>
        </w:rPr>
        <w:t>1</w:t>
      </w:r>
      <w:r>
        <w:fldChar w:fldCharType="end"/>
      </w:r>
      <w:bookmarkEnd w:id="12"/>
      <w:r>
        <w:t xml:space="preserve"> | Key features of the Measure and relevance for the evaluation</w:t>
      </w:r>
    </w:p>
    <w:tbl>
      <w:tblPr>
        <w:tblStyle w:val="TableGrid"/>
        <w:tblW w:w="0" w:type="auto"/>
        <w:tblLook w:val="04A0" w:firstRow="1" w:lastRow="0" w:firstColumn="1" w:lastColumn="0" w:noHBand="0" w:noVBand="1"/>
        <w:tblCaption w:val="Table 1 highlights the key features of the Measure and their implications for the evaluation"/>
        <w:tblDescription w:val="Each jurisidction is at a different point of maturity in their delivery of palliative care in RACFs and different starting point for the evaluation. This will influence the activities that each jurisdiction chooses to implement under the Measure and the potential impact of those activities. &#10;&#10;Each jurisdiction can choose what activities they implement under the Measure which means there will be variability, resulting in challenges determining national outcomes. Additional varriability may be introduced at the Local Health Network, Local Health District, or Hospital and Health Service level.&#10;&#10;Activties implemented under the Measure could relate to either generalist of specialist palliative care which will increase the scope of activities and stakeholders involved. The evaluation must be cognisant of the delivery of different types of palliative care and how their impacts can be measured.&#10;&#10;Each jurisdiction will implement in different timeframes which means that when considering the evaluation, timeframes will have to be considered at the jurisdictional-level. Jurisdictions may also scale up or stage implementation over time which means that measuring impact and attribution over time will be challenging. &#10;&#10;Activites may build upon initatives outside of the Measure such as advance care planning initatives or training outcomes. The evaluation will have to separate the impact of activtiies outside and under the Measure which may be challenging.&#10;&#10;Each jurisdiction has varying amounts of funding under the Measure which is time limited to the five years of the Measure. This will impact on the types of activities implemented and consequently the evaluation methods.&#10;&#10;Lastly, a number of jurisdictions are not planning formal evaluation activities which may result in limited information. The evaluation will likely need to pair information from states and territories with additional jurisdictional data collection. This will be used to inform national outcomes and indicators designed to measure the overall progress and achievement o fthe Measure against its stated aims. "/>
      </w:tblPr>
      <w:tblGrid>
        <w:gridCol w:w="3296"/>
        <w:gridCol w:w="6002"/>
      </w:tblGrid>
      <w:tr w:rsidR="006D4DE5" w14:paraId="1CB3EA46" w14:textId="77777777" w:rsidTr="004C7788">
        <w:trPr>
          <w:cnfStyle w:val="100000000000" w:firstRow="1" w:lastRow="0" w:firstColumn="0" w:lastColumn="0" w:oddVBand="0" w:evenVBand="0" w:oddHBand="0" w:evenHBand="0" w:firstRowFirstColumn="0" w:firstRowLastColumn="0" w:lastRowFirstColumn="0" w:lastRowLastColumn="0"/>
          <w:cantSplit w:val="0"/>
        </w:trPr>
        <w:tc>
          <w:tcPr>
            <w:tcW w:w="3346" w:type="dxa"/>
            <w:tcBorders>
              <w:top w:val="nil"/>
              <w:bottom w:val="single" w:sz="8" w:space="0" w:color="E6E6E1" w:themeColor="accent5"/>
            </w:tcBorders>
            <w:shd w:val="clear" w:color="auto" w:fill="00264D" w:themeFill="background2"/>
          </w:tcPr>
          <w:p w14:paraId="7DED3CB1" w14:textId="77777777" w:rsidR="006D4DE5" w:rsidRPr="0098784C" w:rsidRDefault="006D4DE5" w:rsidP="00B25FA6">
            <w:pPr>
              <w:pStyle w:val="TableNheader"/>
              <w:rPr>
                <w:color w:val="FFFFFF" w:themeColor="background1"/>
                <w:sz w:val="17"/>
                <w:szCs w:val="17"/>
                <w:lang w:eastAsia="en-AU"/>
              </w:rPr>
            </w:pPr>
            <w:r w:rsidRPr="0098784C">
              <w:rPr>
                <w:color w:val="FFFFFF" w:themeColor="background1"/>
                <w:sz w:val="17"/>
                <w:szCs w:val="17"/>
                <w:lang w:eastAsia="en-AU"/>
              </w:rPr>
              <w:t>Key feature</w:t>
            </w:r>
          </w:p>
        </w:tc>
        <w:tc>
          <w:tcPr>
            <w:tcW w:w="6122" w:type="dxa"/>
            <w:tcBorders>
              <w:top w:val="nil"/>
              <w:bottom w:val="single" w:sz="8" w:space="0" w:color="E6E6E1" w:themeColor="accent5"/>
            </w:tcBorders>
            <w:shd w:val="clear" w:color="auto" w:fill="00264D" w:themeFill="background2"/>
          </w:tcPr>
          <w:p w14:paraId="113E4398" w14:textId="58119F5F" w:rsidR="006D4DE5" w:rsidRPr="0098784C" w:rsidRDefault="006D4DE5" w:rsidP="00B25FA6">
            <w:pPr>
              <w:pStyle w:val="TableNheader"/>
              <w:rPr>
                <w:color w:val="FFFFFF" w:themeColor="background1"/>
                <w:sz w:val="17"/>
                <w:szCs w:val="17"/>
                <w:lang w:eastAsia="en-AU"/>
              </w:rPr>
            </w:pPr>
            <w:r w:rsidRPr="0098784C">
              <w:rPr>
                <w:color w:val="FFFFFF" w:themeColor="background1"/>
                <w:sz w:val="17"/>
                <w:szCs w:val="17"/>
                <w:lang w:eastAsia="en-AU"/>
              </w:rPr>
              <w:t>Implications for the evaluation</w:t>
            </w:r>
          </w:p>
        </w:tc>
      </w:tr>
      <w:tr w:rsidR="00CA360C" w14:paraId="7EFC1253" w14:textId="77777777" w:rsidTr="004C7788">
        <w:trPr>
          <w:cnfStyle w:val="000000100000" w:firstRow="0" w:lastRow="0" w:firstColumn="0" w:lastColumn="0" w:oddVBand="0" w:evenVBand="0" w:oddHBand="1" w:evenHBand="0" w:firstRowFirstColumn="0" w:firstRowLastColumn="0" w:lastRowFirstColumn="0" w:lastRowLastColumn="0"/>
        </w:trPr>
        <w:tc>
          <w:tcPr>
            <w:tcW w:w="3346" w:type="dxa"/>
            <w:tcBorders>
              <w:top w:val="single" w:sz="8" w:space="0" w:color="E6E6E1" w:themeColor="accent5"/>
            </w:tcBorders>
          </w:tcPr>
          <w:p w14:paraId="5FC40A38" w14:textId="14BC3892" w:rsidR="00CA360C" w:rsidRPr="0098784C" w:rsidRDefault="00CA360C" w:rsidP="00B25FA6">
            <w:pPr>
              <w:pStyle w:val="TableNText"/>
              <w:rPr>
                <w:szCs w:val="17"/>
                <w:lang w:eastAsia="en-AU"/>
              </w:rPr>
            </w:pPr>
            <w:r>
              <w:rPr>
                <w:szCs w:val="17"/>
                <w:lang w:eastAsia="en-AU"/>
              </w:rPr>
              <w:t>Each jurisdiction is at a different point of maturity in their delivery of palliative care in RACFs.</w:t>
            </w:r>
          </w:p>
        </w:tc>
        <w:tc>
          <w:tcPr>
            <w:tcW w:w="6122" w:type="dxa"/>
            <w:tcBorders>
              <w:top w:val="single" w:sz="8" w:space="0" w:color="E6E6E1" w:themeColor="accent5"/>
            </w:tcBorders>
          </w:tcPr>
          <w:p w14:paraId="7EC8F8C1" w14:textId="55DF5136" w:rsidR="00CA360C" w:rsidRPr="0098784C" w:rsidRDefault="00CA360C" w:rsidP="00B25FA6">
            <w:pPr>
              <w:pStyle w:val="TableNText"/>
              <w:rPr>
                <w:szCs w:val="17"/>
                <w:lang w:eastAsia="en-AU"/>
              </w:rPr>
            </w:pPr>
            <w:r>
              <w:rPr>
                <w:szCs w:val="17"/>
                <w:lang w:eastAsia="en-AU"/>
              </w:rPr>
              <w:t>Each jurisdiction will have a different starting point for the evaluation. This will influence the activities that each jurisdiction chooses to implement under the Measure</w:t>
            </w:r>
            <w:r w:rsidR="00235038">
              <w:rPr>
                <w:szCs w:val="17"/>
                <w:lang w:eastAsia="en-AU"/>
              </w:rPr>
              <w:t xml:space="preserve"> and the potential impact of those activities.</w:t>
            </w:r>
          </w:p>
        </w:tc>
      </w:tr>
      <w:tr w:rsidR="006D4DE5" w14:paraId="49002695" w14:textId="77777777" w:rsidTr="004C7788">
        <w:trPr>
          <w:cnfStyle w:val="000000010000" w:firstRow="0" w:lastRow="0" w:firstColumn="0" w:lastColumn="0" w:oddVBand="0" w:evenVBand="0" w:oddHBand="0" w:evenHBand="1" w:firstRowFirstColumn="0" w:firstRowLastColumn="0" w:lastRowFirstColumn="0" w:lastRowLastColumn="0"/>
        </w:trPr>
        <w:tc>
          <w:tcPr>
            <w:tcW w:w="3346" w:type="dxa"/>
            <w:tcBorders>
              <w:top w:val="single" w:sz="8" w:space="0" w:color="E6E6E1" w:themeColor="accent5"/>
            </w:tcBorders>
          </w:tcPr>
          <w:p w14:paraId="3D2F40EB" w14:textId="77777777" w:rsidR="006D4DE5" w:rsidRPr="0098784C" w:rsidRDefault="006D4DE5" w:rsidP="00B25FA6">
            <w:pPr>
              <w:pStyle w:val="TableNText"/>
              <w:rPr>
                <w:szCs w:val="17"/>
                <w:lang w:eastAsia="en-AU"/>
              </w:rPr>
            </w:pPr>
            <w:r w:rsidRPr="0098784C">
              <w:rPr>
                <w:szCs w:val="17"/>
                <w:lang w:eastAsia="en-AU"/>
              </w:rPr>
              <w:t>Each jurisdiction can choose what activities they implement under the Measure.</w:t>
            </w:r>
          </w:p>
        </w:tc>
        <w:tc>
          <w:tcPr>
            <w:tcW w:w="6122" w:type="dxa"/>
            <w:tcBorders>
              <w:top w:val="single" w:sz="8" w:space="0" w:color="E6E6E1" w:themeColor="accent5"/>
            </w:tcBorders>
          </w:tcPr>
          <w:p w14:paraId="58DA47C5" w14:textId="34E7B84B" w:rsidR="006D4DE5" w:rsidRPr="0098784C" w:rsidRDefault="006D4DE5" w:rsidP="00B25FA6">
            <w:pPr>
              <w:pStyle w:val="TableNText"/>
              <w:rPr>
                <w:szCs w:val="17"/>
                <w:lang w:eastAsia="en-AU"/>
              </w:rPr>
            </w:pPr>
            <w:r w:rsidRPr="0098784C">
              <w:rPr>
                <w:szCs w:val="17"/>
                <w:lang w:eastAsia="en-AU"/>
              </w:rPr>
              <w:t xml:space="preserve">There </w:t>
            </w:r>
            <w:r w:rsidR="005825E3">
              <w:rPr>
                <w:szCs w:val="17"/>
                <w:lang w:eastAsia="en-AU"/>
              </w:rPr>
              <w:t>will</w:t>
            </w:r>
            <w:r w:rsidRPr="0098784C">
              <w:rPr>
                <w:szCs w:val="17"/>
                <w:lang w:eastAsia="en-AU"/>
              </w:rPr>
              <w:t xml:space="preserve"> be variability, resulting in challenges determining national </w:t>
            </w:r>
            <w:r w:rsidR="005825E3">
              <w:rPr>
                <w:szCs w:val="17"/>
                <w:lang w:eastAsia="en-AU"/>
              </w:rPr>
              <w:t>outcomes</w:t>
            </w:r>
            <w:r w:rsidRPr="0098784C">
              <w:rPr>
                <w:szCs w:val="17"/>
                <w:lang w:eastAsia="en-AU"/>
              </w:rPr>
              <w:t xml:space="preserve">. Additional variability may be introduced at the </w:t>
            </w:r>
            <w:r w:rsidR="001541A1">
              <w:rPr>
                <w:szCs w:val="17"/>
                <w:lang w:eastAsia="en-AU"/>
              </w:rPr>
              <w:t xml:space="preserve">Local Health Network (LHN), </w:t>
            </w:r>
            <w:r w:rsidRPr="0098784C">
              <w:rPr>
                <w:szCs w:val="17"/>
                <w:lang w:eastAsia="en-AU"/>
              </w:rPr>
              <w:t>Local Health District</w:t>
            </w:r>
            <w:r w:rsidR="006C20D2" w:rsidRPr="0098784C">
              <w:rPr>
                <w:szCs w:val="17"/>
                <w:lang w:eastAsia="en-AU"/>
              </w:rPr>
              <w:t xml:space="preserve"> (LHD</w:t>
            </w:r>
            <w:r w:rsidRPr="0098784C">
              <w:rPr>
                <w:szCs w:val="17"/>
                <w:lang w:eastAsia="en-AU"/>
              </w:rPr>
              <w:t>) or Hospital and Health Service</w:t>
            </w:r>
            <w:r w:rsidR="006C20D2" w:rsidRPr="0098784C">
              <w:rPr>
                <w:szCs w:val="17"/>
                <w:lang w:eastAsia="en-AU"/>
              </w:rPr>
              <w:t xml:space="preserve"> (HHS</w:t>
            </w:r>
            <w:r w:rsidRPr="0098784C">
              <w:rPr>
                <w:szCs w:val="17"/>
                <w:lang w:eastAsia="en-AU"/>
              </w:rPr>
              <w:t>) level.</w:t>
            </w:r>
          </w:p>
        </w:tc>
      </w:tr>
      <w:tr w:rsidR="006D4DE5" w14:paraId="0FD3554B" w14:textId="77777777" w:rsidTr="004C7788">
        <w:trPr>
          <w:cnfStyle w:val="000000100000" w:firstRow="0" w:lastRow="0" w:firstColumn="0" w:lastColumn="0" w:oddVBand="0" w:evenVBand="0" w:oddHBand="1" w:evenHBand="0" w:firstRowFirstColumn="0" w:firstRowLastColumn="0" w:lastRowFirstColumn="0" w:lastRowLastColumn="0"/>
        </w:trPr>
        <w:tc>
          <w:tcPr>
            <w:tcW w:w="3346" w:type="dxa"/>
          </w:tcPr>
          <w:p w14:paraId="25D5100D" w14:textId="77777777" w:rsidR="006D4DE5" w:rsidRPr="0098784C" w:rsidRDefault="006D4DE5" w:rsidP="00B25FA6">
            <w:pPr>
              <w:pStyle w:val="TableNText"/>
              <w:rPr>
                <w:szCs w:val="17"/>
                <w:lang w:eastAsia="en-AU"/>
              </w:rPr>
            </w:pPr>
            <w:r w:rsidRPr="0098784C">
              <w:rPr>
                <w:szCs w:val="17"/>
                <w:lang w:eastAsia="en-AU"/>
              </w:rPr>
              <w:t>Activities implemented under the Measure could relate to either generalist or specialist palliative care.</w:t>
            </w:r>
          </w:p>
        </w:tc>
        <w:tc>
          <w:tcPr>
            <w:tcW w:w="6122" w:type="dxa"/>
          </w:tcPr>
          <w:p w14:paraId="79D5881A" w14:textId="71485063" w:rsidR="006D4DE5" w:rsidRPr="0098784C" w:rsidRDefault="006D4DE5" w:rsidP="00B25FA6">
            <w:pPr>
              <w:pStyle w:val="TableNText"/>
              <w:rPr>
                <w:szCs w:val="17"/>
                <w:lang w:eastAsia="en-AU"/>
              </w:rPr>
            </w:pPr>
            <w:r w:rsidRPr="0098784C">
              <w:rPr>
                <w:szCs w:val="17"/>
                <w:lang w:eastAsia="en-AU"/>
              </w:rPr>
              <w:t>This will increase the scope of activities and stakeholders involved. The evaluation must be cognisant of the types of palliative care that may be delivered and how their impact can be measured.</w:t>
            </w:r>
          </w:p>
        </w:tc>
      </w:tr>
      <w:tr w:rsidR="006D4DE5" w14:paraId="4077CE6A" w14:textId="77777777" w:rsidTr="004C7788">
        <w:trPr>
          <w:cnfStyle w:val="000000010000" w:firstRow="0" w:lastRow="0" w:firstColumn="0" w:lastColumn="0" w:oddVBand="0" w:evenVBand="0" w:oddHBand="0" w:evenHBand="1" w:firstRowFirstColumn="0" w:firstRowLastColumn="0" w:lastRowFirstColumn="0" w:lastRowLastColumn="0"/>
        </w:trPr>
        <w:tc>
          <w:tcPr>
            <w:tcW w:w="3346" w:type="dxa"/>
          </w:tcPr>
          <w:p w14:paraId="397BDDDC" w14:textId="4A4FC202" w:rsidR="006D4DE5" w:rsidRPr="0098784C" w:rsidRDefault="006D4DE5" w:rsidP="00B25FA6">
            <w:pPr>
              <w:pStyle w:val="TableNText"/>
              <w:rPr>
                <w:szCs w:val="17"/>
                <w:lang w:eastAsia="en-AU"/>
              </w:rPr>
            </w:pPr>
            <w:r w:rsidRPr="0098784C">
              <w:rPr>
                <w:szCs w:val="17"/>
                <w:lang w:eastAsia="en-AU"/>
              </w:rPr>
              <w:t>Each jurisdiction will implement in different timeframes and may scale up or stage implementation over time.</w:t>
            </w:r>
          </w:p>
        </w:tc>
        <w:tc>
          <w:tcPr>
            <w:tcW w:w="6122" w:type="dxa"/>
          </w:tcPr>
          <w:p w14:paraId="5FFB22ED" w14:textId="543A8E44" w:rsidR="006D4DE5" w:rsidRPr="0098784C" w:rsidRDefault="006D4DE5" w:rsidP="00B25FA6">
            <w:pPr>
              <w:pStyle w:val="TableNText"/>
              <w:rPr>
                <w:szCs w:val="17"/>
                <w:lang w:eastAsia="en-AU"/>
              </w:rPr>
            </w:pPr>
            <w:r w:rsidRPr="0098784C">
              <w:rPr>
                <w:szCs w:val="17"/>
                <w:lang w:eastAsia="en-AU"/>
              </w:rPr>
              <w:t xml:space="preserve">Timeframes will have to be considered </w:t>
            </w:r>
            <w:r w:rsidR="008B4BAF">
              <w:rPr>
                <w:szCs w:val="17"/>
                <w:lang w:eastAsia="en-AU"/>
              </w:rPr>
              <w:t>at</w:t>
            </w:r>
            <w:r w:rsidRPr="0098784C">
              <w:rPr>
                <w:szCs w:val="17"/>
                <w:lang w:eastAsia="en-AU"/>
              </w:rPr>
              <w:t xml:space="preserve"> the </w:t>
            </w:r>
            <w:proofErr w:type="gramStart"/>
            <w:r w:rsidR="000C3D33" w:rsidRPr="0098784C">
              <w:rPr>
                <w:szCs w:val="17"/>
                <w:lang w:eastAsia="en-AU"/>
              </w:rPr>
              <w:t>jurisdictional</w:t>
            </w:r>
            <w:r w:rsidR="00BA4F64">
              <w:rPr>
                <w:szCs w:val="17"/>
                <w:lang w:eastAsia="en-AU"/>
              </w:rPr>
              <w:t>-</w:t>
            </w:r>
            <w:r w:rsidR="000C3D33" w:rsidRPr="0098784C">
              <w:rPr>
                <w:szCs w:val="17"/>
                <w:lang w:eastAsia="en-AU"/>
              </w:rPr>
              <w:t>level</w:t>
            </w:r>
            <w:proofErr w:type="gramEnd"/>
            <w:r w:rsidRPr="0098784C">
              <w:rPr>
                <w:szCs w:val="17"/>
                <w:lang w:eastAsia="en-AU"/>
              </w:rPr>
              <w:t xml:space="preserve"> when considering the evaluation. Staged implementation will mean that measuring impact and attribution over time will be challenging.</w:t>
            </w:r>
          </w:p>
        </w:tc>
      </w:tr>
      <w:tr w:rsidR="006D4DE5" w14:paraId="5875501E" w14:textId="77777777" w:rsidTr="004C7788">
        <w:trPr>
          <w:cnfStyle w:val="000000100000" w:firstRow="0" w:lastRow="0" w:firstColumn="0" w:lastColumn="0" w:oddVBand="0" w:evenVBand="0" w:oddHBand="1" w:evenHBand="0" w:firstRowFirstColumn="0" w:firstRowLastColumn="0" w:lastRowFirstColumn="0" w:lastRowLastColumn="0"/>
        </w:trPr>
        <w:tc>
          <w:tcPr>
            <w:tcW w:w="3346" w:type="dxa"/>
          </w:tcPr>
          <w:p w14:paraId="4F369D10" w14:textId="77777777" w:rsidR="006D4DE5" w:rsidRPr="0098784C" w:rsidRDefault="006D4DE5" w:rsidP="00B25FA6">
            <w:pPr>
              <w:pStyle w:val="TableNText"/>
              <w:rPr>
                <w:szCs w:val="17"/>
                <w:lang w:eastAsia="en-AU"/>
              </w:rPr>
            </w:pPr>
            <w:r w:rsidRPr="0098784C">
              <w:rPr>
                <w:szCs w:val="17"/>
                <w:lang w:eastAsia="en-AU"/>
              </w:rPr>
              <w:t>Activities may build upon initiatives outside of the Measure.</w:t>
            </w:r>
          </w:p>
        </w:tc>
        <w:tc>
          <w:tcPr>
            <w:tcW w:w="6122" w:type="dxa"/>
          </w:tcPr>
          <w:p w14:paraId="7D343F82" w14:textId="1ADE4930" w:rsidR="006D4DE5" w:rsidRPr="0098784C" w:rsidRDefault="006D4DE5" w:rsidP="00B25FA6">
            <w:pPr>
              <w:pStyle w:val="TableNText"/>
              <w:rPr>
                <w:szCs w:val="17"/>
                <w:lang w:eastAsia="en-AU"/>
              </w:rPr>
            </w:pPr>
            <w:r w:rsidRPr="0098784C">
              <w:rPr>
                <w:szCs w:val="17"/>
                <w:lang w:eastAsia="en-AU"/>
              </w:rPr>
              <w:t>Activities outside of the Measure such as advance care planning initiatives or training programs (</w:t>
            </w:r>
            <w:proofErr w:type="gramStart"/>
            <w:r w:rsidRPr="0098784C">
              <w:rPr>
                <w:szCs w:val="17"/>
                <w:lang w:eastAsia="en-AU"/>
              </w:rPr>
              <w:t>e.g.</w:t>
            </w:r>
            <w:proofErr w:type="gramEnd"/>
            <w:r w:rsidRPr="0098784C">
              <w:rPr>
                <w:szCs w:val="17"/>
                <w:lang w:eastAsia="en-AU"/>
              </w:rPr>
              <w:t xml:space="preserve"> </w:t>
            </w:r>
            <w:r w:rsidR="00AE070D">
              <w:rPr>
                <w:szCs w:val="17"/>
                <w:lang w:eastAsia="en-AU"/>
              </w:rPr>
              <w:t>End-of-life</w:t>
            </w:r>
            <w:r w:rsidRPr="0098784C">
              <w:rPr>
                <w:szCs w:val="17"/>
                <w:lang w:eastAsia="en-AU"/>
              </w:rPr>
              <w:t xml:space="preserve"> Directions for Aged Care (ELDAC)) may be used as a foundation for activities implemented under the Measure. The evaluation will have to separate the impact of activities outside and under the Measure, which may be challenging.</w:t>
            </w:r>
          </w:p>
        </w:tc>
      </w:tr>
      <w:tr w:rsidR="006D4DE5" w14:paraId="48F82D05" w14:textId="77777777" w:rsidTr="004C7788">
        <w:trPr>
          <w:cnfStyle w:val="000000010000" w:firstRow="0" w:lastRow="0" w:firstColumn="0" w:lastColumn="0" w:oddVBand="0" w:evenVBand="0" w:oddHBand="0" w:evenHBand="1" w:firstRowFirstColumn="0" w:firstRowLastColumn="0" w:lastRowFirstColumn="0" w:lastRowLastColumn="0"/>
        </w:trPr>
        <w:tc>
          <w:tcPr>
            <w:tcW w:w="3346" w:type="dxa"/>
          </w:tcPr>
          <w:p w14:paraId="278F6C56" w14:textId="77777777" w:rsidR="006D4DE5" w:rsidRPr="0098784C" w:rsidRDefault="006D4DE5" w:rsidP="00B25FA6">
            <w:pPr>
              <w:pStyle w:val="TableNText"/>
              <w:rPr>
                <w:szCs w:val="17"/>
                <w:lang w:eastAsia="en-AU"/>
              </w:rPr>
            </w:pPr>
            <w:r w:rsidRPr="0098784C">
              <w:rPr>
                <w:szCs w:val="17"/>
                <w:lang w:eastAsia="en-AU"/>
              </w:rPr>
              <w:t>Each jurisdiction has varying amounts of funding under the Measure, which is not ongoing.</w:t>
            </w:r>
          </w:p>
        </w:tc>
        <w:tc>
          <w:tcPr>
            <w:tcW w:w="6122" w:type="dxa"/>
          </w:tcPr>
          <w:p w14:paraId="443BE620" w14:textId="77777777" w:rsidR="006D4DE5" w:rsidRPr="0098784C" w:rsidRDefault="006D4DE5" w:rsidP="00B25FA6">
            <w:pPr>
              <w:pStyle w:val="TableNText"/>
              <w:rPr>
                <w:szCs w:val="17"/>
                <w:lang w:eastAsia="en-AU"/>
              </w:rPr>
            </w:pPr>
            <w:r w:rsidRPr="0098784C">
              <w:rPr>
                <w:szCs w:val="17"/>
                <w:lang w:eastAsia="en-AU"/>
              </w:rPr>
              <w:t>Each jurisdiction has a varying amount of funding under the Measure, which is time limited to the five years of the Measure. This will impact on the types of activities implemented and therefore the way they are evaluated.</w:t>
            </w:r>
          </w:p>
        </w:tc>
      </w:tr>
      <w:tr w:rsidR="006D4DE5" w14:paraId="0EAD4391" w14:textId="77777777" w:rsidTr="004C7788">
        <w:trPr>
          <w:cnfStyle w:val="000000100000" w:firstRow="0" w:lastRow="0" w:firstColumn="0" w:lastColumn="0" w:oddVBand="0" w:evenVBand="0" w:oddHBand="1" w:evenHBand="0" w:firstRowFirstColumn="0" w:firstRowLastColumn="0" w:lastRowFirstColumn="0" w:lastRowLastColumn="0"/>
        </w:trPr>
        <w:tc>
          <w:tcPr>
            <w:tcW w:w="3346" w:type="dxa"/>
          </w:tcPr>
          <w:p w14:paraId="73E3F906" w14:textId="77777777" w:rsidR="006D4DE5" w:rsidRPr="0098784C" w:rsidRDefault="006D4DE5" w:rsidP="00B25FA6">
            <w:pPr>
              <w:pStyle w:val="TableNText"/>
              <w:rPr>
                <w:szCs w:val="17"/>
                <w:lang w:eastAsia="en-AU"/>
              </w:rPr>
            </w:pPr>
            <w:proofErr w:type="gramStart"/>
            <w:r w:rsidRPr="0098784C">
              <w:rPr>
                <w:szCs w:val="17"/>
                <w:lang w:eastAsia="en-AU"/>
              </w:rPr>
              <w:t>A number of</w:t>
            </w:r>
            <w:proofErr w:type="gramEnd"/>
            <w:r w:rsidRPr="0098784C">
              <w:rPr>
                <w:szCs w:val="17"/>
                <w:lang w:eastAsia="en-AU"/>
              </w:rPr>
              <w:t xml:space="preserve"> jurisdictions are not planning formal evaluation activities which may result in limited information.</w:t>
            </w:r>
          </w:p>
        </w:tc>
        <w:tc>
          <w:tcPr>
            <w:tcW w:w="6122" w:type="dxa"/>
          </w:tcPr>
          <w:p w14:paraId="0BD53DB7" w14:textId="26D45A7D" w:rsidR="006D4DE5" w:rsidRPr="0098784C" w:rsidRDefault="006D4DE5" w:rsidP="00B25FA6">
            <w:pPr>
              <w:pStyle w:val="TableNText"/>
              <w:rPr>
                <w:szCs w:val="17"/>
                <w:lang w:eastAsia="en-AU"/>
              </w:rPr>
            </w:pPr>
            <w:r w:rsidRPr="0098784C">
              <w:rPr>
                <w:szCs w:val="17"/>
                <w:lang w:eastAsia="en-AU"/>
              </w:rPr>
              <w:t xml:space="preserve">The evaluation will likely need to pair the information received from states and territories with some additional jurisdictional data collection. This will not replace the </w:t>
            </w:r>
            <w:r w:rsidR="000C3D33" w:rsidRPr="0098784C">
              <w:rPr>
                <w:szCs w:val="17"/>
                <w:lang w:eastAsia="en-AU"/>
              </w:rPr>
              <w:t>jurisdictional</w:t>
            </w:r>
            <w:r w:rsidR="00BA4F64">
              <w:rPr>
                <w:szCs w:val="17"/>
                <w:lang w:eastAsia="en-AU"/>
              </w:rPr>
              <w:t>-</w:t>
            </w:r>
            <w:r w:rsidR="000C3D33" w:rsidRPr="0098784C">
              <w:rPr>
                <w:szCs w:val="17"/>
                <w:lang w:eastAsia="en-AU"/>
              </w:rPr>
              <w:t>level</w:t>
            </w:r>
            <w:r w:rsidRPr="0098784C">
              <w:rPr>
                <w:szCs w:val="17"/>
                <w:lang w:eastAsia="en-AU"/>
              </w:rPr>
              <w:t xml:space="preserve"> evaluations</w:t>
            </w:r>
            <w:r w:rsidR="00EC1471">
              <w:rPr>
                <w:szCs w:val="17"/>
                <w:lang w:eastAsia="en-AU"/>
              </w:rPr>
              <w:t>;</w:t>
            </w:r>
            <w:r w:rsidRPr="0098784C">
              <w:rPr>
                <w:szCs w:val="17"/>
                <w:lang w:eastAsia="en-AU"/>
              </w:rPr>
              <w:t xml:space="preserve"> </w:t>
            </w:r>
            <w:r w:rsidR="00C35CBD">
              <w:rPr>
                <w:szCs w:val="17"/>
                <w:lang w:eastAsia="en-AU"/>
              </w:rPr>
              <w:t>however, will</w:t>
            </w:r>
            <w:r w:rsidR="00C35CBD" w:rsidRPr="0098784C">
              <w:rPr>
                <w:szCs w:val="17"/>
                <w:lang w:eastAsia="en-AU"/>
              </w:rPr>
              <w:t xml:space="preserve"> </w:t>
            </w:r>
            <w:r w:rsidRPr="0098784C">
              <w:rPr>
                <w:szCs w:val="17"/>
                <w:lang w:eastAsia="en-AU"/>
              </w:rPr>
              <w:t>serve to inform national outcomes and indicators designed to measure the overall progress and achievement of the Measure against its stated aims.</w:t>
            </w:r>
          </w:p>
        </w:tc>
      </w:tr>
    </w:tbl>
    <w:p w14:paraId="0A1B4D5D" w14:textId="6582F256" w:rsidR="006D4DE5" w:rsidRPr="001075EB" w:rsidRDefault="006D4DE5" w:rsidP="006D4DE5">
      <w:pPr>
        <w:rPr>
          <w:lang w:eastAsia="en-AU"/>
        </w:rPr>
      </w:pPr>
      <w:r>
        <w:rPr>
          <w:lang w:eastAsia="en-AU"/>
        </w:rPr>
        <w:t xml:space="preserve">Nous </w:t>
      </w:r>
      <w:r w:rsidRPr="00DA75AB">
        <w:rPr>
          <w:lang w:eastAsia="en-AU"/>
        </w:rPr>
        <w:t xml:space="preserve">has considered these factors in the design of the evaluation </w:t>
      </w:r>
      <w:r w:rsidR="003456EE">
        <w:rPr>
          <w:lang w:eastAsia="en-AU"/>
        </w:rPr>
        <w:t>– see the</w:t>
      </w:r>
      <w:r w:rsidRPr="00DA75AB">
        <w:rPr>
          <w:lang w:eastAsia="en-AU"/>
        </w:rPr>
        <w:t xml:space="preserve"> approach to addressing them </w:t>
      </w:r>
      <w:r>
        <w:rPr>
          <w:lang w:eastAsia="en-AU"/>
        </w:rPr>
        <w:t>in section</w:t>
      </w:r>
      <w:r w:rsidRPr="00DA75AB">
        <w:rPr>
          <w:lang w:eastAsia="en-AU"/>
        </w:rPr>
        <w:t xml:space="preserve"> </w:t>
      </w:r>
      <w:r w:rsidRPr="00DA75AB">
        <w:rPr>
          <w:lang w:eastAsia="en-AU"/>
        </w:rPr>
        <w:fldChar w:fldCharType="begin"/>
      </w:r>
      <w:r w:rsidRPr="00DA75AB">
        <w:rPr>
          <w:lang w:eastAsia="en-AU"/>
        </w:rPr>
        <w:instrText xml:space="preserve"> REF _Ref57650139 \r \h </w:instrText>
      </w:r>
      <w:r>
        <w:rPr>
          <w:lang w:eastAsia="en-AU"/>
        </w:rPr>
        <w:instrText xml:space="preserve"> \* MERGEFORMAT </w:instrText>
      </w:r>
      <w:r w:rsidRPr="00DA75AB">
        <w:rPr>
          <w:lang w:eastAsia="en-AU"/>
        </w:rPr>
      </w:r>
      <w:r w:rsidRPr="00DA75AB">
        <w:rPr>
          <w:lang w:eastAsia="en-AU"/>
        </w:rPr>
        <w:fldChar w:fldCharType="separate"/>
      </w:r>
      <w:r w:rsidR="00DF258C">
        <w:rPr>
          <w:lang w:eastAsia="en-AU"/>
        </w:rPr>
        <w:t>6</w:t>
      </w:r>
      <w:r w:rsidRPr="00DA75AB">
        <w:rPr>
          <w:lang w:eastAsia="en-AU"/>
        </w:rPr>
        <w:fldChar w:fldCharType="end"/>
      </w:r>
      <w:r w:rsidRPr="00DA75AB">
        <w:rPr>
          <w:lang w:eastAsia="en-AU"/>
        </w:rPr>
        <w:t>. The factors above may result in a challenge in setting a baseline for the evaluation. Where features of</w:t>
      </w:r>
      <w:r>
        <w:rPr>
          <w:lang w:eastAsia="en-AU"/>
        </w:rPr>
        <w:t xml:space="preserve"> the Measure may introduce challenges in measuring outcomes or in attribution, the Evaluation Framework notes challenges and mitigation strategies.</w:t>
      </w:r>
    </w:p>
    <w:p w14:paraId="06C7C010" w14:textId="100BBEF6" w:rsidR="006D4DE5" w:rsidRDefault="006D4DE5" w:rsidP="006D4DE5">
      <w:pPr>
        <w:pStyle w:val="Heading1"/>
      </w:pPr>
      <w:bookmarkStart w:id="13" w:name="_Ref58570158"/>
      <w:bookmarkStart w:id="14" w:name="_Ref58570186"/>
      <w:bookmarkStart w:id="15" w:name="_Toc82767206"/>
      <w:r>
        <w:lastRenderedPageBreak/>
        <w:t>Evaluation approach</w:t>
      </w:r>
      <w:bookmarkEnd w:id="13"/>
      <w:bookmarkEnd w:id="14"/>
      <w:bookmarkEnd w:id="15"/>
      <w:r>
        <w:t xml:space="preserve"> </w:t>
      </w:r>
    </w:p>
    <w:tbl>
      <w:tblPr>
        <w:tblStyle w:val="TableGrid"/>
        <w:tblW w:w="0" w:type="auto"/>
        <w:tblInd w:w="85" w:type="dxa"/>
        <w:tblBorders>
          <w:top w:val="none" w:sz="0" w:space="0" w:color="auto"/>
          <w:bottom w:val="none" w:sz="0" w:space="0" w:color="auto"/>
          <w:insideH w:val="none" w:sz="0" w:space="0" w:color="auto"/>
        </w:tblBorders>
        <w:shd w:val="clear" w:color="auto" w:fill="00264D" w:themeFill="background2"/>
        <w:tblLook w:val="0600" w:firstRow="0" w:lastRow="0" w:firstColumn="0" w:lastColumn="0" w:noHBand="1" w:noVBand="1"/>
        <w:tblCaption w:val="Overview of the Evaluation approach section"/>
        <w:tblDescription w:val="This section details the approach and framework that structures the evaluation including evaluation type and scope, program theory (including the theory of change and program logic), and governance arrangements."/>
      </w:tblPr>
      <w:tblGrid>
        <w:gridCol w:w="1640"/>
        <w:gridCol w:w="7573"/>
      </w:tblGrid>
      <w:tr w:rsidR="00733C67" w:rsidRPr="001D6B0A" w14:paraId="3AC2E53F" w14:textId="77777777" w:rsidTr="000A68DF">
        <w:tc>
          <w:tcPr>
            <w:tcW w:w="1640" w:type="dxa"/>
            <w:shd w:val="clear" w:color="auto" w:fill="FFFFFF" w:themeFill="background1"/>
          </w:tcPr>
          <w:p w14:paraId="26CC4757" w14:textId="77777777" w:rsidR="00733C67" w:rsidRPr="00EC36A5" w:rsidRDefault="00733C67" w:rsidP="00DB065F">
            <w:pPr>
              <w:pStyle w:val="TableNText"/>
            </w:pPr>
            <w:r w:rsidRPr="00877AD2">
              <w:rPr>
                <w:noProof/>
                <w:lang w:eastAsia="en-AU"/>
              </w:rPr>
              <w:drawing>
                <wp:inline distT="0" distB="0" distL="0" distR="0" wp14:anchorId="61E17B59" wp14:editId="78A8ED9E">
                  <wp:extent cx="930302" cy="741040"/>
                  <wp:effectExtent l="0" t="0" r="3175" b="2540"/>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6137" cy="745688"/>
                          </a:xfrm>
                          <a:prstGeom prst="rect">
                            <a:avLst/>
                          </a:prstGeom>
                          <a:noFill/>
                          <a:ln>
                            <a:noFill/>
                          </a:ln>
                        </pic:spPr>
                      </pic:pic>
                    </a:graphicData>
                  </a:graphic>
                </wp:inline>
              </w:drawing>
            </w:r>
          </w:p>
        </w:tc>
        <w:tc>
          <w:tcPr>
            <w:tcW w:w="7743" w:type="dxa"/>
            <w:shd w:val="clear" w:color="auto" w:fill="00264D" w:themeFill="background2"/>
          </w:tcPr>
          <w:p w14:paraId="7181E124" w14:textId="3C244175" w:rsidR="00733C67" w:rsidRPr="00503500" w:rsidRDefault="00733C67" w:rsidP="00733C67">
            <w:pPr>
              <w:pStyle w:val="TableNText"/>
              <w:rPr>
                <w:szCs w:val="17"/>
              </w:rPr>
            </w:pPr>
            <w:r w:rsidRPr="00503500">
              <w:rPr>
                <w:color w:val="FFFFFF" w:themeColor="background1"/>
              </w:rPr>
              <w:t xml:space="preserve">This section </w:t>
            </w:r>
            <w:r w:rsidRPr="00503500">
              <w:rPr>
                <w:szCs w:val="17"/>
              </w:rPr>
              <w:t xml:space="preserve">details the approach and framework that </w:t>
            </w:r>
            <w:r>
              <w:rPr>
                <w:szCs w:val="17"/>
              </w:rPr>
              <w:t>structures</w:t>
            </w:r>
            <w:r w:rsidRPr="00503500">
              <w:rPr>
                <w:szCs w:val="17"/>
              </w:rPr>
              <w:t xml:space="preserve"> the evaluation. It includes the:</w:t>
            </w:r>
          </w:p>
          <w:p w14:paraId="1EA7098E" w14:textId="77777777" w:rsidR="00733C67" w:rsidRPr="00503500" w:rsidRDefault="00733C67" w:rsidP="00733C67">
            <w:pPr>
              <w:pStyle w:val="TableNBullet"/>
              <w:rPr>
                <w:szCs w:val="17"/>
              </w:rPr>
            </w:pPr>
            <w:r w:rsidRPr="00503500">
              <w:t>evaluation type and scope</w:t>
            </w:r>
          </w:p>
          <w:p w14:paraId="09266096" w14:textId="77777777" w:rsidR="00733C67" w:rsidRPr="00503500" w:rsidRDefault="00733C67" w:rsidP="00733C67">
            <w:pPr>
              <w:pStyle w:val="TableNBullet"/>
              <w:rPr>
                <w:szCs w:val="17"/>
              </w:rPr>
            </w:pPr>
            <w:r w:rsidRPr="00503500">
              <w:t xml:space="preserve">program theory, including the theory of change and </w:t>
            </w:r>
            <w:r w:rsidRPr="00503500">
              <w:rPr>
                <w:szCs w:val="17"/>
              </w:rPr>
              <w:t>program logic</w:t>
            </w:r>
          </w:p>
          <w:p w14:paraId="0883939F" w14:textId="2053FF5C" w:rsidR="00733C67" w:rsidRPr="00EC36A5" w:rsidRDefault="00733C67" w:rsidP="00733C67">
            <w:pPr>
              <w:pStyle w:val="TableNBullet"/>
            </w:pPr>
            <w:r w:rsidRPr="00503500">
              <w:t>governance arrangements.</w:t>
            </w:r>
          </w:p>
        </w:tc>
      </w:tr>
    </w:tbl>
    <w:p w14:paraId="625BAC0C" w14:textId="1423C41F" w:rsidR="006D4DE5" w:rsidRDefault="006D4DE5" w:rsidP="006D4DE5">
      <w:pPr>
        <w:pStyle w:val="Heading2"/>
        <w:spacing w:before="360"/>
        <w:ind w:left="578" w:hanging="578"/>
      </w:pPr>
      <w:bookmarkStart w:id="16" w:name="_Toc82767207"/>
      <w:r>
        <w:t>Evaluation approach</w:t>
      </w:r>
      <w:bookmarkEnd w:id="16"/>
      <w:r>
        <w:t xml:space="preserve"> </w:t>
      </w:r>
    </w:p>
    <w:p w14:paraId="2CA1B659" w14:textId="487E9409" w:rsidR="006D4DE5" w:rsidRDefault="006D4DE5" w:rsidP="006D4DE5">
      <w:pPr>
        <w:rPr>
          <w:lang w:eastAsia="en-AU"/>
        </w:rPr>
      </w:pPr>
      <w:r>
        <w:rPr>
          <w:lang w:eastAsia="en-AU"/>
        </w:rPr>
        <w:t xml:space="preserve">Given the evaluation aims, the evaluation includes process, </w:t>
      </w:r>
      <w:proofErr w:type="gramStart"/>
      <w:r>
        <w:rPr>
          <w:lang w:eastAsia="en-AU"/>
        </w:rPr>
        <w:t>outcome</w:t>
      </w:r>
      <w:proofErr w:type="gramEnd"/>
      <w:r>
        <w:rPr>
          <w:lang w:eastAsia="en-AU"/>
        </w:rPr>
        <w:t xml:space="preserve"> and economic components: </w:t>
      </w:r>
    </w:p>
    <w:p w14:paraId="1B273DFB" w14:textId="2768F774" w:rsidR="006D4DE5" w:rsidRDefault="006D4DE5" w:rsidP="006D4DE5">
      <w:pPr>
        <w:pStyle w:val="Bullet"/>
      </w:pPr>
      <w:r w:rsidRPr="0028637B">
        <w:rPr>
          <w:rFonts w:asciiTheme="majorHAnsi" w:hAnsiTheme="majorHAnsi" w:cstheme="majorHAnsi"/>
          <w:color w:val="FF3A40" w:themeColor="accent1"/>
        </w:rPr>
        <w:t>Process component</w:t>
      </w:r>
      <w:r>
        <w:t xml:space="preserve">: This refers to the process of implementation and delivery of the Measure, including the effectiveness of joint funding and delivery arrangements between the Australian Government and states and territories. </w:t>
      </w:r>
    </w:p>
    <w:p w14:paraId="122F570A" w14:textId="58503EF9" w:rsidR="006D4DE5" w:rsidRDefault="006D4DE5" w:rsidP="006D4DE5">
      <w:pPr>
        <w:pStyle w:val="Bullet"/>
      </w:pPr>
      <w:r w:rsidRPr="0028637B">
        <w:rPr>
          <w:rFonts w:asciiTheme="majorHAnsi" w:hAnsiTheme="majorHAnsi" w:cstheme="majorHAnsi"/>
          <w:color w:val="F25E21" w:themeColor="accent2"/>
        </w:rPr>
        <w:t>Outcome component</w:t>
      </w:r>
      <w:r>
        <w:t xml:space="preserve">: This refers to understanding the extent to which intended outcomes and overarching goals were achieved over the life of the Measure. </w:t>
      </w:r>
    </w:p>
    <w:p w14:paraId="664F0562" w14:textId="46963576" w:rsidR="006D4DE5" w:rsidRDefault="006D4DE5" w:rsidP="006D4DE5">
      <w:pPr>
        <w:pStyle w:val="Bullet"/>
      </w:pPr>
      <w:r w:rsidRPr="0028637B">
        <w:rPr>
          <w:rFonts w:asciiTheme="majorHAnsi" w:hAnsiTheme="majorHAnsi" w:cstheme="majorHAnsi"/>
          <w:color w:val="F8981D" w:themeColor="accent3"/>
        </w:rPr>
        <w:t>Economic component</w:t>
      </w:r>
      <w:r>
        <w:t>: This refers to understanding the cost-effectiveness of the Measure.</w:t>
      </w:r>
    </w:p>
    <w:p w14:paraId="6F2E98B3" w14:textId="725B0567" w:rsidR="006D4DE5" w:rsidRPr="00917339" w:rsidRDefault="006D4DE5" w:rsidP="0096468E">
      <w:r>
        <w:t>T</w:t>
      </w:r>
      <w:r w:rsidRPr="00917339">
        <w:t xml:space="preserve">hree factors will support successful delivery and underpin the evaluation design and delivery. These are: </w:t>
      </w:r>
    </w:p>
    <w:p w14:paraId="1EC00818" w14:textId="38473062" w:rsidR="006D4DE5" w:rsidRPr="002A0802" w:rsidRDefault="006D4DE5" w:rsidP="006D4DE5">
      <w:pPr>
        <w:pStyle w:val="Bullet"/>
      </w:pPr>
      <w:r w:rsidRPr="00917339">
        <w:rPr>
          <w:rFonts w:asciiTheme="majorHAnsi" w:hAnsiTheme="majorHAnsi" w:cstheme="majorHAnsi"/>
        </w:rPr>
        <w:t>Ongoing collaboration and engagement with states and territories</w:t>
      </w:r>
      <w:r w:rsidRPr="00917339">
        <w:t xml:space="preserve">. Support for and participation in the evaluation by all states </w:t>
      </w:r>
      <w:r w:rsidRPr="002A0802">
        <w:t>and territories is critical to inform and contextualise findings (</w:t>
      </w:r>
      <w:r>
        <w:t>see section</w:t>
      </w:r>
      <w:r w:rsidRPr="002A0802">
        <w:t xml:space="preserve"> </w:t>
      </w:r>
      <w:r w:rsidRPr="002A0802">
        <w:fldChar w:fldCharType="begin"/>
      </w:r>
      <w:r w:rsidRPr="002A0802">
        <w:instrText xml:space="preserve"> REF _Ref57898766 \w \h </w:instrText>
      </w:r>
      <w:r>
        <w:instrText xml:space="preserve"> \* MERGEFORMAT </w:instrText>
      </w:r>
      <w:r w:rsidRPr="002A0802">
        <w:fldChar w:fldCharType="separate"/>
      </w:r>
      <w:r w:rsidR="00DF258C">
        <w:t>7</w:t>
      </w:r>
      <w:r w:rsidRPr="002A0802">
        <w:fldChar w:fldCharType="end"/>
      </w:r>
      <w:r w:rsidRPr="002A0802">
        <w:t xml:space="preserve">). </w:t>
      </w:r>
    </w:p>
    <w:p w14:paraId="3FA4C327" w14:textId="66EBF155" w:rsidR="006D4DE5" w:rsidRPr="00696481" w:rsidRDefault="006D4DE5" w:rsidP="006D4DE5">
      <w:pPr>
        <w:pStyle w:val="Bullet"/>
      </w:pPr>
      <w:r w:rsidRPr="002A0802">
        <w:rPr>
          <w:rFonts w:asciiTheme="majorHAnsi" w:hAnsiTheme="majorHAnsi" w:cstheme="majorHAnsi"/>
        </w:rPr>
        <w:t>Innovative use of data sources</w:t>
      </w:r>
      <w:r w:rsidRPr="002A0802">
        <w:t xml:space="preserve">. </w:t>
      </w:r>
      <w:r>
        <w:t>Given the challenging data landscape</w:t>
      </w:r>
      <w:r w:rsidRPr="002A0802">
        <w:t xml:space="preserve"> (</w:t>
      </w:r>
      <w:r>
        <w:t>see section</w:t>
      </w:r>
      <w:r w:rsidRPr="002A0802">
        <w:t xml:space="preserve"> </w:t>
      </w:r>
      <w:r w:rsidRPr="002A0802">
        <w:fldChar w:fldCharType="begin"/>
      </w:r>
      <w:r w:rsidRPr="002A0802">
        <w:instrText xml:space="preserve"> REF _Ref58571202 \w \h </w:instrText>
      </w:r>
      <w:r>
        <w:instrText xml:space="preserve"> \* MERGEFORMAT </w:instrText>
      </w:r>
      <w:r w:rsidRPr="002A0802">
        <w:fldChar w:fldCharType="separate"/>
      </w:r>
      <w:r w:rsidR="00DF258C">
        <w:t>8</w:t>
      </w:r>
      <w:r w:rsidRPr="002A0802">
        <w:fldChar w:fldCharType="end"/>
      </w:r>
      <w:r w:rsidRPr="002A0802">
        <w:t>)</w:t>
      </w:r>
      <w:r>
        <w:t>, t</w:t>
      </w:r>
      <w:r w:rsidRPr="002A0802">
        <w:t xml:space="preserve">he evaluation </w:t>
      </w:r>
      <w:r>
        <w:t xml:space="preserve">uses a </w:t>
      </w:r>
      <w:r w:rsidRPr="002A0802">
        <w:t xml:space="preserve">suite of </w:t>
      </w:r>
      <w:r w:rsidRPr="00696481">
        <w:t xml:space="preserve">innovative data sources to build the most comprehensive picture possible (see section </w:t>
      </w:r>
      <w:r w:rsidRPr="00696481">
        <w:fldChar w:fldCharType="begin"/>
      </w:r>
      <w:r w:rsidRPr="00696481">
        <w:instrText xml:space="preserve"> REF _Ref58571194 \w \h  \* MERGEFORMAT </w:instrText>
      </w:r>
      <w:r w:rsidRPr="00696481">
        <w:fldChar w:fldCharType="separate"/>
      </w:r>
      <w:r w:rsidR="00DF258C">
        <w:t>6</w:t>
      </w:r>
      <w:r w:rsidRPr="00696481">
        <w:fldChar w:fldCharType="end"/>
      </w:r>
      <w:r w:rsidRPr="00696481">
        <w:t xml:space="preserve">). </w:t>
      </w:r>
    </w:p>
    <w:p w14:paraId="3AB8FCB1" w14:textId="0F131973" w:rsidR="006D4DE5" w:rsidRPr="00696481" w:rsidRDefault="006D4DE5" w:rsidP="006D4DE5">
      <w:pPr>
        <w:pStyle w:val="Bullet"/>
      </w:pPr>
      <w:r w:rsidRPr="00696481">
        <w:rPr>
          <w:rFonts w:asciiTheme="majorHAnsi" w:hAnsiTheme="majorHAnsi" w:cstheme="majorHAnsi"/>
        </w:rPr>
        <w:t>Incorporation of the views of families and carers</w:t>
      </w:r>
      <w:r w:rsidRPr="00696481">
        <w:t xml:space="preserve">. </w:t>
      </w:r>
      <w:r w:rsidR="008C3325">
        <w:t>T</w:t>
      </w:r>
      <w:r w:rsidRPr="00696481">
        <w:t xml:space="preserve">he evaluation will </w:t>
      </w:r>
      <w:r w:rsidR="005B367E">
        <w:t>seek to understand</w:t>
      </w:r>
      <w:r w:rsidR="005B367E" w:rsidRPr="00696481">
        <w:t xml:space="preserve"> </w:t>
      </w:r>
      <w:r w:rsidRPr="00696481">
        <w:t>families and carer</w:t>
      </w:r>
      <w:r w:rsidR="00EA400E">
        <w:t>s’</w:t>
      </w:r>
      <w:r>
        <w:t xml:space="preserve"> experiences of palliative care in RACFs </w:t>
      </w:r>
      <w:r w:rsidRPr="00696481">
        <w:t xml:space="preserve">(see section </w:t>
      </w:r>
      <w:r w:rsidRPr="00696481">
        <w:fldChar w:fldCharType="begin"/>
      </w:r>
      <w:r w:rsidRPr="00696481">
        <w:instrText xml:space="preserve"> REF _Ref58571188 \w \h  \* MERGEFORMAT </w:instrText>
      </w:r>
      <w:r w:rsidRPr="00696481">
        <w:fldChar w:fldCharType="separate"/>
      </w:r>
      <w:r w:rsidR="00DF258C">
        <w:t>6</w:t>
      </w:r>
      <w:r w:rsidRPr="00696481">
        <w:fldChar w:fldCharType="end"/>
      </w:r>
      <w:r w:rsidRPr="00696481">
        <w:t xml:space="preserve">). </w:t>
      </w:r>
      <w:r w:rsidR="00E37281">
        <w:t>Residents</w:t>
      </w:r>
      <w:r w:rsidR="008C3325">
        <w:t xml:space="preserve">, </w:t>
      </w:r>
      <w:proofErr w:type="gramStart"/>
      <w:r w:rsidR="008C3325">
        <w:t>families</w:t>
      </w:r>
      <w:proofErr w:type="gramEnd"/>
      <w:r w:rsidR="008C3325">
        <w:t xml:space="preserve"> and carers </w:t>
      </w:r>
      <w:r w:rsidR="00E37281">
        <w:t>are</w:t>
      </w:r>
      <w:r w:rsidR="008C3325">
        <w:t xml:space="preserve"> a diverse group and </w:t>
      </w:r>
      <w:r w:rsidR="00E37281">
        <w:t xml:space="preserve">where possible, the evaluation will </w:t>
      </w:r>
      <w:r w:rsidR="005B367E">
        <w:t>take into account</w:t>
      </w:r>
      <w:r w:rsidR="00E37281">
        <w:t xml:space="preserve"> </w:t>
      </w:r>
      <w:r w:rsidR="001F06C0">
        <w:t xml:space="preserve">any differences in the </w:t>
      </w:r>
      <w:r w:rsidR="008C3325">
        <w:t>experiences</w:t>
      </w:r>
      <w:r w:rsidR="00671D42">
        <w:t xml:space="preserve"> of different population groups</w:t>
      </w:r>
      <w:r w:rsidR="00E37281">
        <w:t>.</w:t>
      </w:r>
      <w:r w:rsidR="00F62542">
        <w:t xml:space="preserve"> For example, this includes </w:t>
      </w:r>
      <w:r w:rsidR="00023414">
        <w:t xml:space="preserve">how </w:t>
      </w:r>
      <w:r w:rsidR="00F62542">
        <w:t xml:space="preserve">the palliative care </w:t>
      </w:r>
      <w:r w:rsidR="00023414">
        <w:t>journey</w:t>
      </w:r>
      <w:r w:rsidR="00F81EDA">
        <w:t xml:space="preserve"> differs</w:t>
      </w:r>
      <w:r w:rsidR="00F62542">
        <w:t xml:space="preserve"> for </w:t>
      </w:r>
      <w:r w:rsidR="00F81EDA">
        <w:t>people</w:t>
      </w:r>
      <w:r w:rsidR="00F62542">
        <w:t xml:space="preserve"> living with dementia (a growing cohort), people from CALD backgrounds, Aboriginal and Torres Strait Islander people and people living in rural and remote areas.</w:t>
      </w:r>
    </w:p>
    <w:p w14:paraId="39D5C726" w14:textId="418F8EFE" w:rsidR="006D4DE5" w:rsidRDefault="006D4DE5" w:rsidP="006D4DE5">
      <w:pPr>
        <w:pStyle w:val="Heading2"/>
      </w:pPr>
      <w:bookmarkStart w:id="17" w:name="_Toc82767208"/>
      <w:r>
        <w:t>Program theory</w:t>
      </w:r>
      <w:bookmarkEnd w:id="17"/>
    </w:p>
    <w:p w14:paraId="0C2B5EC2" w14:textId="5AB005E7" w:rsidR="006D4DE5" w:rsidRDefault="006D4DE5" w:rsidP="006D4DE5">
      <w:pPr>
        <w:rPr>
          <w:lang w:eastAsia="en-AU"/>
        </w:rPr>
      </w:pPr>
      <w:r>
        <w:rPr>
          <w:lang w:eastAsia="en-AU"/>
        </w:rPr>
        <w:t xml:space="preserve">A </w:t>
      </w:r>
      <w:r w:rsidRPr="00A5207C">
        <w:rPr>
          <w:rFonts w:asciiTheme="majorHAnsi" w:hAnsiTheme="majorHAnsi" w:cstheme="majorHAnsi"/>
          <w:lang w:eastAsia="en-AU"/>
        </w:rPr>
        <w:t>program theory</w:t>
      </w:r>
      <w:r>
        <w:rPr>
          <w:lang w:eastAsia="en-AU"/>
        </w:rPr>
        <w:t xml:space="preserve"> articulates how the Measure is intended to achieve its goals and underpins the evaluation. The program theory is comprised of two elements: </w:t>
      </w:r>
    </w:p>
    <w:p w14:paraId="5F1D8610" w14:textId="64EF9625" w:rsidR="006D4DE5" w:rsidRDefault="006D4DE5" w:rsidP="006D4DE5">
      <w:pPr>
        <w:pStyle w:val="Bullet"/>
      </w:pPr>
      <w:r>
        <w:t xml:space="preserve">The </w:t>
      </w:r>
      <w:r w:rsidRPr="00A5207C">
        <w:rPr>
          <w:rFonts w:asciiTheme="majorHAnsi" w:hAnsiTheme="majorHAnsi" w:cstheme="majorHAnsi"/>
        </w:rPr>
        <w:t>theory of change</w:t>
      </w:r>
      <w:r>
        <w:t xml:space="preserve"> summarises the program logic and explains how activities are understood to produce results that contribute towards achieving the broader goals of the Measure. </w:t>
      </w:r>
    </w:p>
    <w:p w14:paraId="2ED0A6AD" w14:textId="37DF9BE7" w:rsidR="006D4DE5" w:rsidRDefault="006D4DE5" w:rsidP="006D4DE5">
      <w:pPr>
        <w:pStyle w:val="Bullet"/>
      </w:pPr>
      <w:r>
        <w:t xml:space="preserve">The </w:t>
      </w:r>
      <w:r w:rsidRPr="00A5207C">
        <w:rPr>
          <w:rFonts w:asciiTheme="majorHAnsi" w:hAnsiTheme="majorHAnsi" w:cstheme="majorHAnsi"/>
        </w:rPr>
        <w:t>program logic</w:t>
      </w:r>
      <w:r>
        <w:t xml:space="preserve"> provides a visual representation of how the Measure intends to work. It </w:t>
      </w:r>
      <w:r w:rsidRPr="003E6E90">
        <w:t>articulates the relationship between desired outcomes</w:t>
      </w:r>
      <w:r>
        <w:t xml:space="preserve"> of the Measure</w:t>
      </w:r>
      <w:r w:rsidRPr="003E6E90">
        <w:t xml:space="preserve"> and the required inputs, </w:t>
      </w:r>
      <w:proofErr w:type="gramStart"/>
      <w:r w:rsidRPr="003E6E90">
        <w:t>activities</w:t>
      </w:r>
      <w:proofErr w:type="gramEnd"/>
      <w:r w:rsidRPr="003E6E90">
        <w:t xml:space="preserve"> and outputs.</w:t>
      </w:r>
      <w:r>
        <w:t xml:space="preserve"> </w:t>
      </w:r>
    </w:p>
    <w:p w14:paraId="474127CC" w14:textId="0BF8482C" w:rsidR="006D4DE5" w:rsidRDefault="006D4DE5" w:rsidP="006D4DE5">
      <w:pPr>
        <w:rPr>
          <w:lang w:eastAsia="en-AU"/>
        </w:rPr>
        <w:sectPr w:rsidR="006D4DE5" w:rsidSect="007307F2">
          <w:headerReference w:type="default" r:id="rId21"/>
          <w:footerReference w:type="default" r:id="rId22"/>
          <w:headerReference w:type="first" r:id="rId23"/>
          <w:footerReference w:type="first" r:id="rId24"/>
          <w:pgSz w:w="11907" w:h="16839" w:code="9"/>
          <w:pgMar w:top="1418" w:right="1191" w:bottom="1134" w:left="1418" w:header="720" w:footer="720" w:gutter="0"/>
          <w:cols w:space="720"/>
          <w:titlePg/>
          <w:docGrid w:linePitch="360"/>
        </w:sectPr>
      </w:pPr>
      <w:r>
        <w:rPr>
          <w:lang w:eastAsia="en-AU"/>
        </w:rPr>
        <w:t xml:space="preserve">The program logic model for the evaluation </w:t>
      </w:r>
      <w:r w:rsidR="00BC3809">
        <w:rPr>
          <w:lang w:eastAsia="en-AU"/>
        </w:rPr>
        <w:t>is</w:t>
      </w:r>
      <w:r>
        <w:rPr>
          <w:lang w:eastAsia="en-AU"/>
        </w:rPr>
        <w:t xml:space="preserve"> provided in </w:t>
      </w:r>
      <w:r w:rsidR="00C55090">
        <w:rPr>
          <w:lang w:eastAsia="en-AU"/>
        </w:rPr>
        <w:t>Figure 3.</w:t>
      </w:r>
      <w:r>
        <w:rPr>
          <w:lang w:eastAsia="en-AU"/>
        </w:rPr>
        <w:t xml:space="preserve"> Outcomes in the program logic align to relevant outcomes from the National Palliative Care Strategy 2018.</w:t>
      </w:r>
      <w:r>
        <w:rPr>
          <w:rStyle w:val="FootnoteReference"/>
          <w:lang w:eastAsia="en-AU"/>
        </w:rPr>
        <w:footnoteReference w:id="5"/>
      </w:r>
      <w:r>
        <w:rPr>
          <w:lang w:eastAsia="en-AU"/>
        </w:rPr>
        <w:t xml:space="preserve"> </w:t>
      </w:r>
    </w:p>
    <w:p w14:paraId="14390772" w14:textId="3492BACA" w:rsidR="006D4DE5" w:rsidRPr="00FE32DA" w:rsidRDefault="00BE708C" w:rsidP="006D4DE5">
      <w:pPr>
        <w:rPr>
          <w:lang w:eastAsia="en-AU"/>
        </w:rPr>
        <w:sectPr w:rsidR="006D4DE5" w:rsidRPr="00FE32DA" w:rsidSect="00FE32DA">
          <w:pgSz w:w="16839" w:h="11907" w:orient="landscape" w:code="9"/>
          <w:pgMar w:top="1418" w:right="1418" w:bottom="1191" w:left="1134" w:header="720" w:footer="720" w:gutter="0"/>
          <w:cols w:space="720"/>
          <w:titlePg/>
          <w:docGrid w:linePitch="360"/>
        </w:sectPr>
      </w:pPr>
      <w:r w:rsidRPr="00A771A9">
        <w:rPr>
          <w:noProof/>
          <w:lang w:eastAsia="en-AU"/>
        </w:rPr>
        <w:lastRenderedPageBreak/>
        <mc:AlternateContent>
          <mc:Choice Requires="wps">
            <w:drawing>
              <wp:anchor distT="0" distB="0" distL="114300" distR="114300" simplePos="0" relativeHeight="251655168" behindDoc="0" locked="0" layoutInCell="1" allowOverlap="1" wp14:anchorId="793EC128" wp14:editId="03B0B8E5">
                <wp:simplePos x="0" y="0"/>
                <wp:positionH relativeFrom="margin">
                  <wp:align>left</wp:align>
                </wp:positionH>
                <wp:positionV relativeFrom="paragraph">
                  <wp:posOffset>-461645</wp:posOffset>
                </wp:positionV>
                <wp:extent cx="8816340" cy="457200"/>
                <wp:effectExtent l="0" t="0" r="3810" b="0"/>
                <wp:wrapNone/>
                <wp:docPr id="52" name="Text Box 52"/>
                <wp:cNvGraphicFramePr/>
                <a:graphic xmlns:a="http://schemas.openxmlformats.org/drawingml/2006/main">
                  <a:graphicData uri="http://schemas.microsoft.com/office/word/2010/wordprocessingShape">
                    <wps:wsp>
                      <wps:cNvSpPr txBox="1"/>
                      <wps:spPr>
                        <a:xfrm>
                          <a:off x="0" y="0"/>
                          <a:ext cx="8816340" cy="457200"/>
                        </a:xfrm>
                        <a:prstGeom prst="rect">
                          <a:avLst/>
                        </a:prstGeom>
                        <a:solidFill>
                          <a:prstClr val="white"/>
                        </a:solidFill>
                        <a:ln>
                          <a:noFill/>
                        </a:ln>
                      </wps:spPr>
                      <wps:txbx>
                        <w:txbxContent>
                          <w:p w14:paraId="3C368945" w14:textId="6A78377A" w:rsidR="008853AC" w:rsidRPr="006650E5" w:rsidRDefault="008853AC" w:rsidP="006D4DE5">
                            <w:pPr>
                              <w:pStyle w:val="Caption"/>
                              <w:rPr>
                                <w:rFonts w:ascii="Segoe UI" w:hAnsi="Segoe UI"/>
                              </w:rPr>
                            </w:pPr>
                            <w:r>
                              <w:t xml:space="preserve">Figure </w:t>
                            </w:r>
                            <w:r>
                              <w:fldChar w:fldCharType="begin"/>
                            </w:r>
                            <w:r>
                              <w:instrText xml:space="preserve"> SEQ Figure \* ARABIC </w:instrText>
                            </w:r>
                            <w:r>
                              <w:fldChar w:fldCharType="separate"/>
                            </w:r>
                            <w:r w:rsidR="00DF258C">
                              <w:rPr>
                                <w:noProof/>
                              </w:rPr>
                              <w:t>3</w:t>
                            </w:r>
                            <w:r>
                              <w:fldChar w:fldCharType="end"/>
                            </w:r>
                            <w:r>
                              <w:t xml:space="preserve"> | Theory of change and program logic for the Measure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93EC128" id="Text Box 52" o:spid="_x0000_s1027" type="#_x0000_t202" style="position:absolute;margin-left:0;margin-top:-36.35pt;width:694.2pt;height:36pt;z-index:25165516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" stroked="f">
                <v:textbox inset="0,0,0,0">
                  <w:txbxContent>
                    <w:p w14:paraId="3C368945" w14:textId="6A78377A" w:rsidR="008853AC" w:rsidRPr="006650E5" w:rsidRDefault="008853AC" w:rsidP="006D4DE5">
                      <w:pPr>
                        <w:pStyle w:val="Caption"/>
                        <w:rPr>
                          <w:rFonts w:ascii="Segoe UI" w:hAnsi="Segoe UI"/>
                        </w:rPr>
                      </w:pPr>
                      <w:r>
                        <w:t xml:space="preserve">Figure </w:t>
                      </w:r>
                      <w:r>
                        <w:fldChar w:fldCharType="begin"/>
                      </w:r>
                      <w:r>
                        <w:instrText xml:space="preserve"> SEQ Figure \* ARABIC </w:instrText>
                      </w:r>
                      <w:r>
                        <w:fldChar w:fldCharType="separate"/>
                      </w:r>
                      <w:r w:rsidR="00DF258C">
                        <w:rPr>
                          <w:noProof/>
                        </w:rPr>
                        <w:t>3</w:t>
                      </w:r>
                      <w:r>
                        <w:fldChar w:fldCharType="end"/>
                      </w:r>
                      <w:r>
                        <w:t xml:space="preserve"> | Theory of change and program logic for the Measure</w:t>
                      </w:r>
                    </w:p>
                  </w:txbxContent>
                </v:textbox>
                <w10:wrap anchorx="margin"/>
              </v:shape>
            </w:pict>
          </mc:Fallback>
        </mc:AlternateContent>
      </w:r>
      <w:r w:rsidR="007B5694">
        <w:t xml:space="preserve"> </w:t>
      </w:r>
      <w:r w:rsidR="00C90787">
        <w:rPr>
          <w:noProof/>
        </w:rPr>
        <w:drawing>
          <wp:inline distT="0" distB="0" distL="0" distR="0" wp14:anchorId="56416D36" wp14:editId="2DB1CB49">
            <wp:extent cx="8395790" cy="5848350"/>
            <wp:effectExtent l="0" t="0" r="5715" b="0"/>
            <wp:docPr id="1" name="Picture 1" descr="Figure 3 details the theory of change and program logic for the measure.&#10;&#10;The theory of change behind the Measure was the need for access to compassionate, patient-centred palliative care for older Australians in residential aged care facilities. To meet this need, the Measure aims to support the delivery of projects that expand existing models of care or new approaches to improve palliative care and end-of-life care coordination for older Australians living in RACFs, and strengthen national efforts to improve provision of quality palliative care for residents. &#10;&#10;The intended outcome of the delivery of the Measure is the improved access to and experiences of compassionate and tailored palliative care, delivered by an appropriately skilled clinical and non-clinical workforce. This will be monitored in the Evaluation.&#10;&#10;To achieve these outcomes, activities and outputs will be delivered nationally and under different jurisdiction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3 details the theory of change and program logic for the measure.&#10;&#10;The theory of change behind the Measure was the need for access to compassionate, patient-centred palliative care for older Australians in residential aged care facilities. To meet this need, the Measure aims to support the delivery of projects that expand existing models of care or new approaches to improve palliative care and end-of-life care coordination for older Australians living in RACFs, and strengthen national efforts to improve provision of quality palliative care for residents. &#10;&#10;The intended outcome of the delivery of the Measure is the improved access to and experiences of compassionate and tailored palliative care, delivered by an appropriately skilled clinical and non-clinical workforce. This will be monitored in the Evaluation.&#10;&#10;To achieve these outcomes, activities and outputs will be delivered nationally and under different jurisdictions.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09455" cy="5857869"/>
                    </a:xfrm>
                    <a:prstGeom prst="rect">
                      <a:avLst/>
                    </a:prstGeom>
                    <a:noFill/>
                  </pic:spPr>
                </pic:pic>
              </a:graphicData>
            </a:graphic>
          </wp:inline>
        </w:drawing>
      </w:r>
      <w:r w:rsidR="00F314E7" w:rsidRPr="00F314E7">
        <w:t xml:space="preserve"> </w:t>
      </w:r>
    </w:p>
    <w:p w14:paraId="68D68F07" w14:textId="7062338D" w:rsidR="006D4DE5" w:rsidRDefault="006D4DE5" w:rsidP="006D4DE5">
      <w:pPr>
        <w:pStyle w:val="Heading2"/>
      </w:pPr>
      <w:bookmarkStart w:id="18" w:name="_Ref59025084"/>
      <w:bookmarkStart w:id="19" w:name="_Toc82767209"/>
      <w:bookmarkStart w:id="20" w:name="_Ref58571365"/>
      <w:r>
        <w:lastRenderedPageBreak/>
        <w:t>National outcomes</w:t>
      </w:r>
      <w:bookmarkEnd w:id="18"/>
      <w:bookmarkEnd w:id="19"/>
    </w:p>
    <w:p w14:paraId="30D2F939" w14:textId="1A0E67E5" w:rsidR="006D4DE5" w:rsidRPr="00DA54E5" w:rsidRDefault="006D4DE5" w:rsidP="006D4DE5">
      <w:pPr>
        <w:rPr>
          <w:vertAlign w:val="superscript"/>
          <w:lang w:eastAsia="en-AU"/>
        </w:rPr>
      </w:pPr>
      <w:r>
        <w:rPr>
          <w:lang w:eastAsia="en-AU"/>
        </w:rPr>
        <w:t xml:space="preserve">National outcomes provide a consistent basis to measure the progress and impact of the Measure. </w:t>
      </w:r>
      <w:r>
        <w:rPr>
          <w:lang w:eastAsia="en-AU"/>
        </w:rPr>
        <w:fldChar w:fldCharType="begin"/>
      </w:r>
      <w:r>
        <w:rPr>
          <w:lang w:eastAsia="en-AU"/>
        </w:rPr>
        <w:instrText xml:space="preserve"> REF _Ref61609052 \h </w:instrText>
      </w:r>
      <w:r>
        <w:rPr>
          <w:lang w:eastAsia="en-AU"/>
        </w:rPr>
      </w:r>
      <w:r>
        <w:rPr>
          <w:lang w:eastAsia="en-AU"/>
        </w:rPr>
        <w:fldChar w:fldCharType="separate"/>
      </w:r>
      <w:r w:rsidR="00DF258C">
        <w:t xml:space="preserve">Table </w:t>
      </w:r>
      <w:r w:rsidR="00DF258C">
        <w:rPr>
          <w:noProof/>
        </w:rPr>
        <w:t>2</w:t>
      </w:r>
      <w:r>
        <w:rPr>
          <w:lang w:eastAsia="en-AU"/>
        </w:rPr>
        <w:fldChar w:fldCharType="end"/>
      </w:r>
      <w:r>
        <w:rPr>
          <w:lang w:eastAsia="en-AU"/>
        </w:rPr>
        <w:t xml:space="preserve"> presents the national outcomes, grouped under goals of the National Palliative Care Strategy.</w:t>
      </w:r>
      <w:r>
        <w:rPr>
          <w:rStyle w:val="FootnoteReference"/>
          <w:lang w:eastAsia="en-AU"/>
        </w:rPr>
        <w:footnoteReference w:id="6"/>
      </w:r>
      <w:r w:rsidRPr="006561A1">
        <w:rPr>
          <w:vertAlign w:val="superscript"/>
          <w:lang w:eastAsia="en-AU"/>
        </w:rPr>
        <w:t>,</w:t>
      </w:r>
      <w:r>
        <w:rPr>
          <w:rStyle w:val="FootnoteReference"/>
          <w:lang w:eastAsia="en-AU"/>
        </w:rPr>
        <w:footnoteReference w:id="7"/>
      </w:r>
    </w:p>
    <w:p w14:paraId="328DFC79" w14:textId="2BB76971" w:rsidR="006D4DE5" w:rsidRDefault="006D4DE5" w:rsidP="006D4DE5">
      <w:pPr>
        <w:rPr>
          <w:lang w:eastAsia="en-AU"/>
        </w:rPr>
      </w:pPr>
      <w:r>
        <w:rPr>
          <w:lang w:eastAsia="en-AU"/>
        </w:rPr>
        <w:t>There may be some additional jurisdictional-specific outcomes. It is out-of-scope for the national evaluation to measure additional jurisdictional-specific outcomes</w:t>
      </w:r>
      <w:r w:rsidR="00032585">
        <w:rPr>
          <w:lang w:eastAsia="en-AU"/>
        </w:rPr>
        <w:t xml:space="preserve">; however, </w:t>
      </w:r>
      <w:r>
        <w:rPr>
          <w:lang w:eastAsia="en-AU"/>
        </w:rPr>
        <w:t xml:space="preserve">Nous will include aggregate information on all outcomes in reports. </w:t>
      </w:r>
      <w:r w:rsidR="00CD2BFA">
        <w:rPr>
          <w:lang w:eastAsia="en-AU"/>
        </w:rPr>
        <w:t xml:space="preserve">Appendix B provides more detail on indicators to measure these outcomes. </w:t>
      </w:r>
    </w:p>
    <w:p w14:paraId="7D7932C3" w14:textId="79C5E07B" w:rsidR="006D4DE5" w:rsidRDefault="006D4DE5" w:rsidP="006D4DE5">
      <w:pPr>
        <w:pStyle w:val="Caption"/>
      </w:pPr>
      <w:bookmarkStart w:id="21" w:name="_Ref61609052"/>
      <w:bookmarkStart w:id="22" w:name="_Ref61609048"/>
      <w:r>
        <w:t xml:space="preserve">Table </w:t>
      </w:r>
      <w:r>
        <w:fldChar w:fldCharType="begin"/>
      </w:r>
      <w:r>
        <w:instrText xml:space="preserve"> SEQ Table \* ARABIC </w:instrText>
      </w:r>
      <w:r>
        <w:fldChar w:fldCharType="separate"/>
      </w:r>
      <w:r w:rsidR="00DF258C">
        <w:rPr>
          <w:noProof/>
        </w:rPr>
        <w:t>2</w:t>
      </w:r>
      <w:r>
        <w:fldChar w:fldCharType="end"/>
      </w:r>
      <w:bookmarkEnd w:id="21"/>
      <w:r>
        <w:t xml:space="preserve"> | National outcomes for the Measure</w:t>
      </w:r>
      <w:bookmarkEnd w:id="22"/>
    </w:p>
    <w:tbl>
      <w:tblPr>
        <w:tblStyle w:val="TableGrid"/>
        <w:tblW w:w="0" w:type="auto"/>
        <w:tblLook w:val="04A0" w:firstRow="1" w:lastRow="0" w:firstColumn="1" w:lastColumn="0" w:noHBand="0" w:noVBand="1"/>
        <w:tblCaption w:val="Table 2 lists the 10 national outcomes for the Measure"/>
        <w:tblDescription w:val="The first two outcomes focus on creating strengthening understanding. Strengthening understanding through more discussions focused on end-of-life care decision making between residents, families, carers, GPs and specialist palliative care services, and through improved acccess to information that inform end-of-life care decisions for residents and families.&#10;&#10;Building capability by equipping a higher proportion of RACF staff with the skills and confidence to recognise and respond to holistic palliative care needs in a culturally safe way is another goal for the Measure.&#10;&#10;The next few outcomes look at improving access to choice including improving access to quality palliative care in RACFs, improving quality of palliative care provided in RACFs and greater patient choice in palliative care. &#10;&#10;The outcome of improved collaboration looks at enhanced care coordination with GPs/primary care, acute care services and specialist palliative care services, improved integration between health and aged care systems, and more palliative care services and health planners are informed by performance information on appropriateness, effectiveness, efficiency and outcomes.&#10;&#10;The last outcome for the Measure is in data and evidence, specifically, improved clinical governance to identify and implement quality improvement initatives and evaluation of outcomes within RACFs"/>
      </w:tblPr>
      <w:tblGrid>
        <w:gridCol w:w="369"/>
        <w:gridCol w:w="8561"/>
      </w:tblGrid>
      <w:tr w:rsidR="006D4DE5" w:rsidRPr="009150F4" w14:paraId="7D938ECE" w14:textId="77777777" w:rsidTr="00B25FA6">
        <w:trPr>
          <w:cnfStyle w:val="100000000000" w:firstRow="1" w:lastRow="0" w:firstColumn="0" w:lastColumn="0" w:oddVBand="0" w:evenVBand="0" w:oddHBand="0" w:evenHBand="0" w:firstRowFirstColumn="0" w:firstRowLastColumn="0" w:lastRowFirstColumn="0" w:lastRowLastColumn="0"/>
        </w:trPr>
        <w:tc>
          <w:tcPr>
            <w:tcW w:w="369" w:type="dxa"/>
            <w:tcBorders>
              <w:top w:val="nil"/>
            </w:tcBorders>
            <w:shd w:val="clear" w:color="auto" w:fill="00264D" w:themeFill="background2"/>
            <w:vAlign w:val="top"/>
          </w:tcPr>
          <w:p w14:paraId="4E39C495" w14:textId="77777777" w:rsidR="006D4DE5" w:rsidRPr="009150F4" w:rsidRDefault="006D4DE5" w:rsidP="00B25FA6">
            <w:pPr>
              <w:pStyle w:val="TableNheader"/>
              <w:spacing w:before="10" w:after="0"/>
              <w:rPr>
                <w:color w:val="FFFFFF" w:themeColor="background1"/>
                <w:sz w:val="17"/>
                <w:szCs w:val="17"/>
              </w:rPr>
            </w:pPr>
            <w:r w:rsidRPr="009150F4">
              <w:rPr>
                <w:color w:val="FFFFFF" w:themeColor="background1"/>
                <w:sz w:val="17"/>
                <w:szCs w:val="17"/>
              </w:rPr>
              <w:t>#</w:t>
            </w:r>
          </w:p>
        </w:tc>
        <w:tc>
          <w:tcPr>
            <w:tcW w:w="8561" w:type="dxa"/>
            <w:tcBorders>
              <w:top w:val="nil"/>
            </w:tcBorders>
            <w:shd w:val="clear" w:color="auto" w:fill="00264D" w:themeFill="background2"/>
            <w:vAlign w:val="top"/>
          </w:tcPr>
          <w:p w14:paraId="193767BD" w14:textId="77777777" w:rsidR="006D4DE5" w:rsidRPr="009150F4" w:rsidRDefault="006D4DE5" w:rsidP="00B25FA6">
            <w:pPr>
              <w:pStyle w:val="TableNheader"/>
              <w:spacing w:before="10" w:after="0"/>
              <w:rPr>
                <w:color w:val="FFFFFF" w:themeColor="background1"/>
                <w:sz w:val="17"/>
                <w:szCs w:val="17"/>
              </w:rPr>
            </w:pPr>
            <w:r w:rsidRPr="009150F4">
              <w:rPr>
                <w:color w:val="FFFFFF" w:themeColor="background1"/>
                <w:sz w:val="17"/>
                <w:szCs w:val="17"/>
              </w:rPr>
              <w:t>Outcome</w:t>
            </w:r>
          </w:p>
        </w:tc>
      </w:tr>
      <w:tr w:rsidR="006D4DE5" w:rsidRPr="009150F4" w14:paraId="76280534" w14:textId="77777777" w:rsidTr="00B25FA6">
        <w:trPr>
          <w:cnfStyle w:val="000000100000" w:firstRow="0" w:lastRow="0" w:firstColumn="0" w:lastColumn="0" w:oddVBand="0" w:evenVBand="0" w:oddHBand="1" w:evenHBand="0" w:firstRowFirstColumn="0" w:firstRowLastColumn="0" w:lastRowFirstColumn="0" w:lastRowLastColumn="0"/>
        </w:trPr>
        <w:tc>
          <w:tcPr>
            <w:tcW w:w="8930" w:type="dxa"/>
            <w:gridSpan w:val="2"/>
            <w:shd w:val="clear" w:color="auto" w:fill="E6E6E1" w:themeFill="accent5"/>
            <w:vAlign w:val="top"/>
          </w:tcPr>
          <w:p w14:paraId="20DA6A2D" w14:textId="75501309" w:rsidR="006D4DE5" w:rsidRPr="009150F4" w:rsidRDefault="006D4DE5" w:rsidP="00B25FA6">
            <w:pPr>
              <w:pStyle w:val="TableNText"/>
              <w:spacing w:before="10" w:after="0" w:line="240" w:lineRule="auto"/>
              <w:rPr>
                <w:szCs w:val="17"/>
              </w:rPr>
            </w:pPr>
            <w:r w:rsidRPr="009150F4">
              <w:rPr>
                <w:szCs w:val="17"/>
              </w:rPr>
              <w:t>Understanding</w:t>
            </w:r>
          </w:p>
        </w:tc>
      </w:tr>
      <w:tr w:rsidR="006D4DE5" w:rsidRPr="009150F4" w14:paraId="33894595" w14:textId="77777777" w:rsidTr="00B25FA6">
        <w:trPr>
          <w:cnfStyle w:val="000000010000" w:firstRow="0" w:lastRow="0" w:firstColumn="0" w:lastColumn="0" w:oddVBand="0" w:evenVBand="0" w:oddHBand="0" w:evenHBand="1" w:firstRowFirstColumn="0" w:firstRowLastColumn="0" w:lastRowFirstColumn="0" w:lastRowLastColumn="0"/>
        </w:trPr>
        <w:tc>
          <w:tcPr>
            <w:tcW w:w="369" w:type="dxa"/>
          </w:tcPr>
          <w:p w14:paraId="785C9951" w14:textId="1BF72427" w:rsidR="006D4DE5" w:rsidRPr="009150F4" w:rsidRDefault="006D4DE5" w:rsidP="00B25FA6">
            <w:pPr>
              <w:pStyle w:val="TableNText"/>
              <w:spacing w:before="10" w:after="0" w:line="240" w:lineRule="auto"/>
              <w:rPr>
                <w:szCs w:val="17"/>
              </w:rPr>
            </w:pPr>
            <w:r w:rsidRPr="009150F4">
              <w:rPr>
                <w:szCs w:val="17"/>
              </w:rPr>
              <w:t>1</w:t>
            </w:r>
          </w:p>
        </w:tc>
        <w:tc>
          <w:tcPr>
            <w:tcW w:w="8561" w:type="dxa"/>
            <w:vAlign w:val="top"/>
          </w:tcPr>
          <w:p w14:paraId="1372BB54" w14:textId="3FA656DC" w:rsidR="006D4DE5" w:rsidRPr="009150F4" w:rsidRDefault="006D4DE5" w:rsidP="00B25FA6">
            <w:pPr>
              <w:pStyle w:val="TableNText"/>
              <w:spacing w:before="10" w:after="0" w:line="240" w:lineRule="auto"/>
              <w:rPr>
                <w:szCs w:val="17"/>
              </w:rPr>
            </w:pPr>
            <w:r w:rsidRPr="009150F4">
              <w:rPr>
                <w:szCs w:val="17"/>
              </w:rPr>
              <w:t xml:space="preserve">More discussions focused on end-of-life care decision making between residents, families, carers, </w:t>
            </w:r>
            <w:proofErr w:type="gramStart"/>
            <w:r w:rsidRPr="009150F4">
              <w:rPr>
                <w:szCs w:val="17"/>
              </w:rPr>
              <w:t>GPs</w:t>
            </w:r>
            <w:proofErr w:type="gramEnd"/>
            <w:r w:rsidRPr="009150F4">
              <w:rPr>
                <w:szCs w:val="17"/>
              </w:rPr>
              <w:t xml:space="preserve"> and specialist palliative care services including use of </w:t>
            </w:r>
            <w:r w:rsidR="001E7E57" w:rsidRPr="00A771A9">
              <w:rPr>
                <w:szCs w:val="17"/>
              </w:rPr>
              <w:t>Advance Care Plans</w:t>
            </w:r>
            <w:r w:rsidRPr="009150F4">
              <w:rPr>
                <w:szCs w:val="17"/>
              </w:rPr>
              <w:t>.</w:t>
            </w:r>
          </w:p>
        </w:tc>
      </w:tr>
      <w:tr w:rsidR="006D4DE5" w:rsidRPr="009150F4" w14:paraId="17D06AA1" w14:textId="77777777" w:rsidTr="00B25FA6">
        <w:trPr>
          <w:cnfStyle w:val="000000100000" w:firstRow="0" w:lastRow="0" w:firstColumn="0" w:lastColumn="0" w:oddVBand="0" w:evenVBand="0" w:oddHBand="1" w:evenHBand="0" w:firstRowFirstColumn="0" w:firstRowLastColumn="0" w:lastRowFirstColumn="0" w:lastRowLastColumn="0"/>
        </w:trPr>
        <w:tc>
          <w:tcPr>
            <w:tcW w:w="369" w:type="dxa"/>
          </w:tcPr>
          <w:p w14:paraId="343F2438" w14:textId="78E10613" w:rsidR="006D4DE5" w:rsidRPr="009150F4" w:rsidRDefault="006D4DE5" w:rsidP="00B25FA6">
            <w:pPr>
              <w:pStyle w:val="TableNText"/>
              <w:spacing w:before="10" w:after="0" w:line="240" w:lineRule="auto"/>
              <w:rPr>
                <w:szCs w:val="17"/>
              </w:rPr>
            </w:pPr>
            <w:r w:rsidRPr="009150F4">
              <w:rPr>
                <w:szCs w:val="17"/>
              </w:rPr>
              <w:t>2</w:t>
            </w:r>
          </w:p>
        </w:tc>
        <w:tc>
          <w:tcPr>
            <w:tcW w:w="8561" w:type="dxa"/>
            <w:vAlign w:val="top"/>
          </w:tcPr>
          <w:p w14:paraId="755D4FEF" w14:textId="6BB30335" w:rsidR="006D4DE5" w:rsidRPr="009150F4" w:rsidRDefault="006D4DE5" w:rsidP="00B25FA6">
            <w:pPr>
              <w:pStyle w:val="TableNText"/>
              <w:spacing w:before="10" w:after="0" w:line="240" w:lineRule="auto"/>
              <w:rPr>
                <w:szCs w:val="17"/>
              </w:rPr>
            </w:pPr>
            <w:r w:rsidRPr="009150F4">
              <w:rPr>
                <w:szCs w:val="17"/>
              </w:rPr>
              <w:t>Improved access to information that informs end-of-life care decisions for residents and families.</w:t>
            </w:r>
          </w:p>
        </w:tc>
      </w:tr>
      <w:tr w:rsidR="006D4DE5" w:rsidRPr="009150F4" w14:paraId="17002870" w14:textId="77777777" w:rsidTr="00B25FA6">
        <w:trPr>
          <w:cnfStyle w:val="000000010000" w:firstRow="0" w:lastRow="0" w:firstColumn="0" w:lastColumn="0" w:oddVBand="0" w:evenVBand="0" w:oddHBand="0" w:evenHBand="1" w:firstRowFirstColumn="0" w:firstRowLastColumn="0" w:lastRowFirstColumn="0" w:lastRowLastColumn="0"/>
        </w:trPr>
        <w:tc>
          <w:tcPr>
            <w:tcW w:w="8930" w:type="dxa"/>
            <w:gridSpan w:val="2"/>
            <w:shd w:val="clear" w:color="auto" w:fill="E6E6E1" w:themeFill="accent5"/>
            <w:vAlign w:val="top"/>
          </w:tcPr>
          <w:p w14:paraId="31975E0F" w14:textId="4D8EEF48" w:rsidR="006D4DE5" w:rsidRPr="009150F4" w:rsidRDefault="006D4DE5" w:rsidP="00B25FA6">
            <w:pPr>
              <w:pStyle w:val="TableNText"/>
              <w:spacing w:before="10" w:after="0" w:line="240" w:lineRule="auto"/>
              <w:rPr>
                <w:szCs w:val="17"/>
              </w:rPr>
            </w:pPr>
            <w:r w:rsidRPr="009150F4">
              <w:rPr>
                <w:szCs w:val="17"/>
              </w:rPr>
              <w:t>Capability</w:t>
            </w:r>
          </w:p>
        </w:tc>
      </w:tr>
      <w:tr w:rsidR="006D4DE5" w:rsidRPr="009150F4" w14:paraId="2EB2BA34" w14:textId="77777777" w:rsidTr="00B25FA6">
        <w:trPr>
          <w:cnfStyle w:val="000000100000" w:firstRow="0" w:lastRow="0" w:firstColumn="0" w:lastColumn="0" w:oddVBand="0" w:evenVBand="0" w:oddHBand="1" w:evenHBand="0" w:firstRowFirstColumn="0" w:firstRowLastColumn="0" w:lastRowFirstColumn="0" w:lastRowLastColumn="0"/>
        </w:trPr>
        <w:tc>
          <w:tcPr>
            <w:tcW w:w="369" w:type="dxa"/>
          </w:tcPr>
          <w:p w14:paraId="7C1C12FF" w14:textId="7F7E6DB3" w:rsidR="006D4DE5" w:rsidRPr="009150F4" w:rsidRDefault="006D4DE5" w:rsidP="00B25FA6">
            <w:pPr>
              <w:pStyle w:val="TableNText"/>
              <w:spacing w:before="10" w:after="0" w:line="240" w:lineRule="auto"/>
              <w:rPr>
                <w:szCs w:val="17"/>
              </w:rPr>
            </w:pPr>
            <w:r w:rsidRPr="009150F4">
              <w:rPr>
                <w:szCs w:val="17"/>
              </w:rPr>
              <w:t>3</w:t>
            </w:r>
          </w:p>
        </w:tc>
        <w:tc>
          <w:tcPr>
            <w:tcW w:w="8561" w:type="dxa"/>
            <w:vAlign w:val="top"/>
          </w:tcPr>
          <w:p w14:paraId="5C11B752" w14:textId="30437659" w:rsidR="006D4DE5" w:rsidRPr="009150F4" w:rsidRDefault="006D4DE5" w:rsidP="00B25FA6">
            <w:pPr>
              <w:pStyle w:val="TableNText"/>
              <w:spacing w:before="10" w:after="0" w:line="240" w:lineRule="auto"/>
              <w:rPr>
                <w:szCs w:val="17"/>
              </w:rPr>
            </w:pPr>
            <w:r w:rsidRPr="009150F4">
              <w:rPr>
                <w:szCs w:val="17"/>
              </w:rPr>
              <w:t>A higher proportion of clinical and non-clinical staff in RACFs have skills and confidence appropriate to their roles to recognise and respond to the holistic palliative care needs of residents, in a culturally safe way.</w:t>
            </w:r>
          </w:p>
        </w:tc>
      </w:tr>
      <w:tr w:rsidR="006D4DE5" w:rsidRPr="009150F4" w14:paraId="63872E0C" w14:textId="77777777" w:rsidTr="00B25FA6">
        <w:trPr>
          <w:cnfStyle w:val="000000010000" w:firstRow="0" w:lastRow="0" w:firstColumn="0" w:lastColumn="0" w:oddVBand="0" w:evenVBand="0" w:oddHBand="0" w:evenHBand="1" w:firstRowFirstColumn="0" w:firstRowLastColumn="0" w:lastRowFirstColumn="0" w:lastRowLastColumn="0"/>
        </w:trPr>
        <w:tc>
          <w:tcPr>
            <w:tcW w:w="8930" w:type="dxa"/>
            <w:gridSpan w:val="2"/>
            <w:shd w:val="clear" w:color="auto" w:fill="E6E6E1" w:themeFill="accent5"/>
            <w:vAlign w:val="top"/>
          </w:tcPr>
          <w:p w14:paraId="199E2892" w14:textId="271FF3CC" w:rsidR="006D4DE5" w:rsidRPr="009150F4" w:rsidRDefault="006D4DE5" w:rsidP="00B25FA6">
            <w:pPr>
              <w:pStyle w:val="TableNText"/>
              <w:spacing w:before="10" w:after="0" w:line="240" w:lineRule="auto"/>
              <w:rPr>
                <w:szCs w:val="17"/>
              </w:rPr>
            </w:pPr>
            <w:r w:rsidRPr="009150F4">
              <w:rPr>
                <w:szCs w:val="17"/>
              </w:rPr>
              <w:t>Access and choice</w:t>
            </w:r>
          </w:p>
        </w:tc>
      </w:tr>
      <w:tr w:rsidR="006D4DE5" w:rsidRPr="009150F4" w14:paraId="2CBBB548" w14:textId="77777777" w:rsidTr="00B25FA6">
        <w:trPr>
          <w:cnfStyle w:val="000000100000" w:firstRow="0" w:lastRow="0" w:firstColumn="0" w:lastColumn="0" w:oddVBand="0" w:evenVBand="0" w:oddHBand="1" w:evenHBand="0" w:firstRowFirstColumn="0" w:firstRowLastColumn="0" w:lastRowFirstColumn="0" w:lastRowLastColumn="0"/>
          <w:trHeight w:val="298"/>
        </w:trPr>
        <w:tc>
          <w:tcPr>
            <w:tcW w:w="369" w:type="dxa"/>
          </w:tcPr>
          <w:p w14:paraId="53FE675D" w14:textId="0FD8AD2F" w:rsidR="006D4DE5" w:rsidRPr="009150F4" w:rsidRDefault="006D4DE5" w:rsidP="00B25FA6">
            <w:pPr>
              <w:pStyle w:val="TableNText"/>
              <w:spacing w:before="10" w:after="0" w:line="240" w:lineRule="auto"/>
              <w:rPr>
                <w:szCs w:val="17"/>
              </w:rPr>
            </w:pPr>
            <w:r w:rsidRPr="009150F4">
              <w:rPr>
                <w:szCs w:val="17"/>
              </w:rPr>
              <w:t>4</w:t>
            </w:r>
          </w:p>
        </w:tc>
        <w:tc>
          <w:tcPr>
            <w:tcW w:w="8561" w:type="dxa"/>
            <w:vAlign w:val="top"/>
          </w:tcPr>
          <w:p w14:paraId="61D02EEE" w14:textId="15DBAACD" w:rsidR="006D4DE5" w:rsidRPr="009150F4" w:rsidRDefault="006D4DE5" w:rsidP="00B25FA6">
            <w:pPr>
              <w:pStyle w:val="TableNText"/>
              <w:spacing w:before="10" w:after="0" w:line="240" w:lineRule="auto"/>
              <w:rPr>
                <w:szCs w:val="17"/>
              </w:rPr>
            </w:pPr>
            <w:r w:rsidRPr="009150F4">
              <w:rPr>
                <w:szCs w:val="17"/>
              </w:rPr>
              <w:t>Improved access to quality palliative care in RACFs</w:t>
            </w:r>
            <w:r w:rsidR="0055051B">
              <w:rPr>
                <w:szCs w:val="17"/>
              </w:rPr>
              <w:t>,</w:t>
            </w:r>
            <w:r w:rsidRPr="009150F4">
              <w:rPr>
                <w:szCs w:val="17"/>
              </w:rPr>
              <w:t xml:space="preserve"> including:</w:t>
            </w:r>
          </w:p>
          <w:p w14:paraId="0AA539A1" w14:textId="0751DD6D" w:rsidR="006D4DE5" w:rsidRDefault="00E53413" w:rsidP="00F428FC">
            <w:pPr>
              <w:pStyle w:val="TableNBullet"/>
              <w:numPr>
                <w:ilvl w:val="0"/>
                <w:numId w:val="4"/>
              </w:numPr>
              <w:spacing w:before="10" w:after="0"/>
              <w:rPr>
                <w:szCs w:val="17"/>
              </w:rPr>
            </w:pPr>
            <w:r>
              <w:rPr>
                <w:szCs w:val="17"/>
              </w:rPr>
              <w:t>i</w:t>
            </w:r>
            <w:r w:rsidR="006D4DE5" w:rsidRPr="009150F4">
              <w:rPr>
                <w:szCs w:val="17"/>
              </w:rPr>
              <w:t>ncreased use of assessments to establish residents’ palliative care needs</w:t>
            </w:r>
          </w:p>
          <w:p w14:paraId="5D43BBAD" w14:textId="33D82D62" w:rsidR="004552DF" w:rsidRDefault="00E53413" w:rsidP="00F428FC">
            <w:pPr>
              <w:pStyle w:val="TableNBullet"/>
              <w:numPr>
                <w:ilvl w:val="0"/>
                <w:numId w:val="4"/>
              </w:numPr>
              <w:spacing w:before="10" w:after="0"/>
              <w:rPr>
                <w:szCs w:val="17"/>
              </w:rPr>
            </w:pPr>
            <w:r>
              <w:rPr>
                <w:szCs w:val="17"/>
              </w:rPr>
              <w:t>d</w:t>
            </w:r>
            <w:r w:rsidR="004552DF">
              <w:rPr>
                <w:szCs w:val="17"/>
              </w:rPr>
              <w:t xml:space="preserve">ecreased </w:t>
            </w:r>
            <w:r w:rsidR="00EB0304">
              <w:rPr>
                <w:szCs w:val="17"/>
              </w:rPr>
              <w:t xml:space="preserve">health </w:t>
            </w:r>
            <w:r w:rsidR="00732B6C">
              <w:rPr>
                <w:szCs w:val="17"/>
              </w:rPr>
              <w:t xml:space="preserve">service </w:t>
            </w:r>
            <w:r w:rsidR="0062104E">
              <w:rPr>
                <w:szCs w:val="17"/>
              </w:rPr>
              <w:t xml:space="preserve">use </w:t>
            </w:r>
            <w:r w:rsidR="001E3E28">
              <w:rPr>
                <w:szCs w:val="17"/>
              </w:rPr>
              <w:t>related to</w:t>
            </w:r>
            <w:r w:rsidR="00C049D3">
              <w:rPr>
                <w:szCs w:val="17"/>
              </w:rPr>
              <w:t xml:space="preserve"> </w:t>
            </w:r>
            <w:r w:rsidR="00CA5BC4">
              <w:rPr>
                <w:szCs w:val="17"/>
              </w:rPr>
              <w:t xml:space="preserve">futile or non-beneficial treatments </w:t>
            </w:r>
            <w:r w:rsidR="0062104E">
              <w:rPr>
                <w:szCs w:val="17"/>
              </w:rPr>
              <w:t>and inpatient bed days</w:t>
            </w:r>
          </w:p>
          <w:p w14:paraId="4D937350" w14:textId="4AC6F0C6" w:rsidR="006D4DE5" w:rsidRPr="009150F4" w:rsidRDefault="00E53413" w:rsidP="00F428FC">
            <w:pPr>
              <w:pStyle w:val="TableNBullet"/>
              <w:numPr>
                <w:ilvl w:val="0"/>
                <w:numId w:val="4"/>
              </w:numPr>
              <w:spacing w:before="10" w:after="0"/>
              <w:rPr>
                <w:szCs w:val="17"/>
              </w:rPr>
            </w:pPr>
            <w:r>
              <w:rPr>
                <w:szCs w:val="17"/>
              </w:rPr>
              <w:t>d</w:t>
            </w:r>
            <w:r w:rsidR="00EB0304">
              <w:rPr>
                <w:szCs w:val="17"/>
              </w:rPr>
              <w:t xml:space="preserve">ecreased </w:t>
            </w:r>
            <w:r w:rsidR="000C6F4B">
              <w:rPr>
                <w:szCs w:val="17"/>
              </w:rPr>
              <w:t xml:space="preserve">healthcare expenditure </w:t>
            </w:r>
            <w:r w:rsidR="00662463">
              <w:rPr>
                <w:szCs w:val="17"/>
              </w:rPr>
              <w:t>arising from decreased service use</w:t>
            </w:r>
            <w:r w:rsidR="0055051B">
              <w:rPr>
                <w:szCs w:val="17"/>
              </w:rPr>
              <w:t>.</w:t>
            </w:r>
          </w:p>
        </w:tc>
      </w:tr>
      <w:tr w:rsidR="006D4DE5" w:rsidRPr="009150F4" w14:paraId="18BE53FF" w14:textId="77777777" w:rsidTr="00B25FA6">
        <w:trPr>
          <w:cnfStyle w:val="000000010000" w:firstRow="0" w:lastRow="0" w:firstColumn="0" w:lastColumn="0" w:oddVBand="0" w:evenVBand="0" w:oddHBand="0" w:evenHBand="1" w:firstRowFirstColumn="0" w:firstRowLastColumn="0" w:lastRowFirstColumn="0" w:lastRowLastColumn="0"/>
          <w:trHeight w:val="312"/>
        </w:trPr>
        <w:tc>
          <w:tcPr>
            <w:tcW w:w="369" w:type="dxa"/>
          </w:tcPr>
          <w:p w14:paraId="3826503E" w14:textId="06788FE9" w:rsidR="006D4DE5" w:rsidRPr="009150F4" w:rsidRDefault="006D4DE5" w:rsidP="00B25FA6">
            <w:pPr>
              <w:pStyle w:val="TableNText"/>
              <w:spacing w:before="10" w:after="0" w:line="240" w:lineRule="auto"/>
              <w:rPr>
                <w:szCs w:val="17"/>
              </w:rPr>
            </w:pPr>
            <w:r w:rsidRPr="009150F4">
              <w:rPr>
                <w:szCs w:val="17"/>
              </w:rPr>
              <w:t>5</w:t>
            </w:r>
          </w:p>
        </w:tc>
        <w:tc>
          <w:tcPr>
            <w:tcW w:w="8561" w:type="dxa"/>
            <w:vAlign w:val="top"/>
          </w:tcPr>
          <w:p w14:paraId="30E12022" w14:textId="64F13DC5" w:rsidR="006D4DE5" w:rsidRPr="009150F4" w:rsidRDefault="006D4DE5" w:rsidP="00B25FA6">
            <w:pPr>
              <w:pStyle w:val="TableNText"/>
              <w:spacing w:before="10" w:after="0" w:line="240" w:lineRule="auto"/>
              <w:rPr>
                <w:szCs w:val="17"/>
              </w:rPr>
            </w:pPr>
            <w:r w:rsidRPr="009150F4">
              <w:rPr>
                <w:szCs w:val="17"/>
              </w:rPr>
              <w:t>Improved quality of palliative care provided in RACFs</w:t>
            </w:r>
            <w:r w:rsidR="0055051B">
              <w:rPr>
                <w:szCs w:val="17"/>
              </w:rPr>
              <w:t>,</w:t>
            </w:r>
            <w:r w:rsidRPr="009150F4">
              <w:rPr>
                <w:szCs w:val="17"/>
              </w:rPr>
              <w:t xml:space="preserve"> including:</w:t>
            </w:r>
          </w:p>
          <w:p w14:paraId="479A8860" w14:textId="6AA84363" w:rsidR="006D4DE5" w:rsidRPr="009150F4" w:rsidRDefault="005026BD" w:rsidP="00F428FC">
            <w:pPr>
              <w:pStyle w:val="TableNBullet"/>
              <w:numPr>
                <w:ilvl w:val="0"/>
                <w:numId w:val="4"/>
              </w:numPr>
              <w:spacing w:before="10" w:after="0"/>
              <w:rPr>
                <w:szCs w:val="17"/>
              </w:rPr>
            </w:pPr>
            <w:r>
              <w:rPr>
                <w:szCs w:val="17"/>
              </w:rPr>
              <w:t>r</w:t>
            </w:r>
            <w:r w:rsidR="006D4DE5" w:rsidRPr="009150F4">
              <w:rPr>
                <w:szCs w:val="17"/>
              </w:rPr>
              <w:t>educed symptom burden</w:t>
            </w:r>
          </w:p>
          <w:p w14:paraId="0E6EA46B" w14:textId="05D8F23A" w:rsidR="006D4DE5" w:rsidRPr="009150F4" w:rsidRDefault="0055051B" w:rsidP="00F428FC">
            <w:pPr>
              <w:pStyle w:val="TableNBullet"/>
              <w:numPr>
                <w:ilvl w:val="0"/>
                <w:numId w:val="4"/>
              </w:numPr>
              <w:spacing w:before="10" w:after="0"/>
              <w:rPr>
                <w:szCs w:val="17"/>
              </w:rPr>
            </w:pPr>
            <w:r>
              <w:rPr>
                <w:szCs w:val="17"/>
              </w:rPr>
              <w:t>i</w:t>
            </w:r>
            <w:r w:rsidR="006D4DE5" w:rsidRPr="009150F4">
              <w:rPr>
                <w:szCs w:val="17"/>
              </w:rPr>
              <w:t>mproved quality of life for residents during the period they access palliative care</w:t>
            </w:r>
          </w:p>
          <w:p w14:paraId="45A652AB" w14:textId="27343418" w:rsidR="006D4DE5" w:rsidRPr="009150F4" w:rsidRDefault="0055051B" w:rsidP="00F428FC">
            <w:pPr>
              <w:pStyle w:val="TableNBullet"/>
              <w:numPr>
                <w:ilvl w:val="0"/>
                <w:numId w:val="4"/>
              </w:numPr>
              <w:spacing w:before="10" w:after="0"/>
              <w:rPr>
                <w:szCs w:val="17"/>
              </w:rPr>
            </w:pPr>
            <w:r>
              <w:rPr>
                <w:szCs w:val="17"/>
              </w:rPr>
              <w:t>b</w:t>
            </w:r>
            <w:r w:rsidR="006D4DE5" w:rsidRPr="009150F4">
              <w:rPr>
                <w:szCs w:val="17"/>
              </w:rPr>
              <w:t>etter experience of death and dying for residents, families/</w:t>
            </w:r>
            <w:proofErr w:type="gramStart"/>
            <w:r w:rsidR="006D4DE5" w:rsidRPr="009150F4">
              <w:rPr>
                <w:szCs w:val="17"/>
              </w:rPr>
              <w:t>carers</w:t>
            </w:r>
            <w:proofErr w:type="gramEnd"/>
            <w:r w:rsidR="006D4DE5" w:rsidRPr="009150F4">
              <w:rPr>
                <w:szCs w:val="17"/>
              </w:rPr>
              <w:t xml:space="preserve"> and staff, including meeting physical, psychosocial, cultural and spiritual needs</w:t>
            </w:r>
            <w:r>
              <w:rPr>
                <w:szCs w:val="17"/>
              </w:rPr>
              <w:t>.</w:t>
            </w:r>
          </w:p>
        </w:tc>
      </w:tr>
      <w:tr w:rsidR="006D4DE5" w:rsidRPr="009150F4" w14:paraId="2C1F3578" w14:textId="77777777" w:rsidTr="00B25FA6">
        <w:trPr>
          <w:cnfStyle w:val="000000100000" w:firstRow="0" w:lastRow="0" w:firstColumn="0" w:lastColumn="0" w:oddVBand="0" w:evenVBand="0" w:oddHBand="1" w:evenHBand="0" w:firstRowFirstColumn="0" w:firstRowLastColumn="0" w:lastRowFirstColumn="0" w:lastRowLastColumn="0"/>
          <w:trHeight w:val="18"/>
        </w:trPr>
        <w:tc>
          <w:tcPr>
            <w:tcW w:w="369" w:type="dxa"/>
          </w:tcPr>
          <w:p w14:paraId="58A92A5D" w14:textId="558B72BB" w:rsidR="006D4DE5" w:rsidRPr="009150F4" w:rsidRDefault="006D4DE5" w:rsidP="00B25FA6">
            <w:pPr>
              <w:pStyle w:val="TableNText"/>
              <w:spacing w:before="10" w:after="0" w:line="240" w:lineRule="auto"/>
              <w:rPr>
                <w:szCs w:val="17"/>
              </w:rPr>
            </w:pPr>
            <w:r w:rsidRPr="009150F4">
              <w:rPr>
                <w:szCs w:val="17"/>
              </w:rPr>
              <w:t>6</w:t>
            </w:r>
          </w:p>
        </w:tc>
        <w:tc>
          <w:tcPr>
            <w:tcW w:w="8561" w:type="dxa"/>
            <w:vAlign w:val="top"/>
          </w:tcPr>
          <w:p w14:paraId="6CCB0B9F" w14:textId="405CAAB9" w:rsidR="006D4DE5" w:rsidRPr="009150F4" w:rsidRDefault="006D4DE5" w:rsidP="00B25FA6">
            <w:pPr>
              <w:pStyle w:val="TableNText"/>
              <w:spacing w:before="10" w:after="0" w:line="240" w:lineRule="auto"/>
              <w:rPr>
                <w:szCs w:val="17"/>
              </w:rPr>
            </w:pPr>
            <w:r w:rsidRPr="009150F4">
              <w:rPr>
                <w:szCs w:val="17"/>
              </w:rPr>
              <w:t>Greater patient choice in palliative care</w:t>
            </w:r>
            <w:r w:rsidR="008051ED">
              <w:rPr>
                <w:szCs w:val="17"/>
              </w:rPr>
              <w:t>,</w:t>
            </w:r>
            <w:r w:rsidRPr="009150F4">
              <w:rPr>
                <w:szCs w:val="17"/>
              </w:rPr>
              <w:t xml:space="preserve"> including:</w:t>
            </w:r>
          </w:p>
          <w:p w14:paraId="4489CACC" w14:textId="08BFCF1A" w:rsidR="006D4DE5" w:rsidRPr="009150F4" w:rsidRDefault="008051ED" w:rsidP="00F428FC">
            <w:pPr>
              <w:pStyle w:val="TableNBullet"/>
              <w:numPr>
                <w:ilvl w:val="0"/>
                <w:numId w:val="4"/>
              </w:numPr>
              <w:spacing w:before="10" w:after="0"/>
              <w:rPr>
                <w:szCs w:val="17"/>
              </w:rPr>
            </w:pPr>
            <w:r w:rsidRPr="00A771A9">
              <w:rPr>
                <w:szCs w:val="17"/>
              </w:rPr>
              <w:t>m</w:t>
            </w:r>
            <w:r w:rsidR="006D4DE5" w:rsidRPr="00A771A9">
              <w:rPr>
                <w:szCs w:val="17"/>
              </w:rPr>
              <w:t>ore</w:t>
            </w:r>
            <w:r w:rsidR="006D4DE5" w:rsidRPr="009150F4">
              <w:rPr>
                <w:szCs w:val="17"/>
              </w:rPr>
              <w:t xml:space="preserve"> people dying where they want</w:t>
            </w:r>
          </w:p>
          <w:p w14:paraId="7535CDA5" w14:textId="704456B8" w:rsidR="006D4DE5" w:rsidRPr="009150F4" w:rsidRDefault="008051ED" w:rsidP="00F428FC">
            <w:pPr>
              <w:pStyle w:val="TableNBullet"/>
              <w:numPr>
                <w:ilvl w:val="0"/>
                <w:numId w:val="4"/>
              </w:numPr>
              <w:spacing w:before="10" w:after="0"/>
              <w:rPr>
                <w:szCs w:val="17"/>
              </w:rPr>
            </w:pPr>
            <w:r w:rsidRPr="00A771A9">
              <w:rPr>
                <w:szCs w:val="17"/>
              </w:rPr>
              <w:t>i</w:t>
            </w:r>
            <w:r w:rsidR="006D4DE5" w:rsidRPr="00A771A9">
              <w:rPr>
                <w:szCs w:val="17"/>
              </w:rPr>
              <w:t>ncreased</w:t>
            </w:r>
            <w:r w:rsidR="006D4DE5" w:rsidRPr="009150F4">
              <w:rPr>
                <w:szCs w:val="17"/>
              </w:rPr>
              <w:t xml:space="preserve"> person-centred care informed by an individual’s choice</w:t>
            </w:r>
            <w:r>
              <w:rPr>
                <w:szCs w:val="17"/>
              </w:rPr>
              <w:t>.</w:t>
            </w:r>
          </w:p>
        </w:tc>
      </w:tr>
      <w:tr w:rsidR="006D4DE5" w:rsidRPr="009150F4" w14:paraId="3F3D9847" w14:textId="77777777" w:rsidTr="00B25FA6">
        <w:trPr>
          <w:cnfStyle w:val="000000010000" w:firstRow="0" w:lastRow="0" w:firstColumn="0" w:lastColumn="0" w:oddVBand="0" w:evenVBand="0" w:oddHBand="0" w:evenHBand="1" w:firstRowFirstColumn="0" w:firstRowLastColumn="0" w:lastRowFirstColumn="0" w:lastRowLastColumn="0"/>
        </w:trPr>
        <w:tc>
          <w:tcPr>
            <w:tcW w:w="8930" w:type="dxa"/>
            <w:gridSpan w:val="2"/>
            <w:shd w:val="clear" w:color="auto" w:fill="E6E6E1" w:themeFill="accent5"/>
            <w:vAlign w:val="top"/>
          </w:tcPr>
          <w:p w14:paraId="44530041" w14:textId="39CBF42D" w:rsidR="006D4DE5" w:rsidRPr="009150F4" w:rsidRDefault="006D4DE5" w:rsidP="00B25FA6">
            <w:pPr>
              <w:pStyle w:val="TableNText"/>
              <w:spacing w:before="10" w:after="0" w:line="240" w:lineRule="auto"/>
              <w:rPr>
                <w:szCs w:val="17"/>
              </w:rPr>
            </w:pPr>
            <w:r w:rsidRPr="009150F4">
              <w:rPr>
                <w:szCs w:val="17"/>
              </w:rPr>
              <w:t>Collaboration</w:t>
            </w:r>
          </w:p>
        </w:tc>
      </w:tr>
      <w:tr w:rsidR="006D4DE5" w:rsidRPr="009150F4" w14:paraId="19974319" w14:textId="77777777" w:rsidTr="00B25FA6">
        <w:trPr>
          <w:cnfStyle w:val="000000100000" w:firstRow="0" w:lastRow="0" w:firstColumn="0" w:lastColumn="0" w:oddVBand="0" w:evenVBand="0" w:oddHBand="1" w:evenHBand="0" w:firstRowFirstColumn="0" w:firstRowLastColumn="0" w:lastRowFirstColumn="0" w:lastRowLastColumn="0"/>
        </w:trPr>
        <w:tc>
          <w:tcPr>
            <w:tcW w:w="369" w:type="dxa"/>
          </w:tcPr>
          <w:p w14:paraId="3907AD64" w14:textId="60632615" w:rsidR="006D4DE5" w:rsidRPr="009150F4" w:rsidRDefault="006D4DE5" w:rsidP="00B25FA6">
            <w:pPr>
              <w:pStyle w:val="TableNText"/>
              <w:spacing w:before="10" w:after="0" w:line="240" w:lineRule="auto"/>
              <w:rPr>
                <w:szCs w:val="17"/>
              </w:rPr>
            </w:pPr>
            <w:r w:rsidRPr="009150F4">
              <w:rPr>
                <w:szCs w:val="17"/>
              </w:rPr>
              <w:t>7</w:t>
            </w:r>
          </w:p>
        </w:tc>
        <w:tc>
          <w:tcPr>
            <w:tcW w:w="8561" w:type="dxa"/>
            <w:vAlign w:val="top"/>
          </w:tcPr>
          <w:p w14:paraId="7693A7BF" w14:textId="2CE8158C" w:rsidR="006D4DE5" w:rsidRPr="009150F4" w:rsidRDefault="006D4DE5" w:rsidP="00B25FA6">
            <w:pPr>
              <w:pStyle w:val="TableNText"/>
              <w:spacing w:before="10" w:after="0" w:line="240" w:lineRule="auto"/>
              <w:rPr>
                <w:szCs w:val="17"/>
              </w:rPr>
            </w:pPr>
            <w:r w:rsidRPr="009150F4">
              <w:rPr>
                <w:szCs w:val="17"/>
              </w:rPr>
              <w:t>Improved care coordination with GPs/primary care, acute care services and specialist palliative care services</w:t>
            </w:r>
            <w:r w:rsidR="00B25427">
              <w:rPr>
                <w:szCs w:val="17"/>
              </w:rPr>
              <w:t>.</w:t>
            </w:r>
          </w:p>
        </w:tc>
      </w:tr>
      <w:tr w:rsidR="006D4DE5" w:rsidRPr="009150F4" w14:paraId="3B53BE2A" w14:textId="77777777" w:rsidTr="00B25FA6">
        <w:trPr>
          <w:cnfStyle w:val="000000010000" w:firstRow="0" w:lastRow="0" w:firstColumn="0" w:lastColumn="0" w:oddVBand="0" w:evenVBand="0" w:oddHBand="0" w:evenHBand="1" w:firstRowFirstColumn="0" w:firstRowLastColumn="0" w:lastRowFirstColumn="0" w:lastRowLastColumn="0"/>
        </w:trPr>
        <w:tc>
          <w:tcPr>
            <w:tcW w:w="369" w:type="dxa"/>
          </w:tcPr>
          <w:p w14:paraId="5AF5E189" w14:textId="0BDA38D2" w:rsidR="006D4DE5" w:rsidRPr="009150F4" w:rsidRDefault="006D4DE5" w:rsidP="00B25FA6">
            <w:pPr>
              <w:pStyle w:val="TableNText"/>
              <w:spacing w:before="10" w:after="0" w:line="240" w:lineRule="auto"/>
              <w:rPr>
                <w:szCs w:val="17"/>
              </w:rPr>
            </w:pPr>
            <w:r w:rsidRPr="009150F4">
              <w:rPr>
                <w:szCs w:val="17"/>
              </w:rPr>
              <w:t>8</w:t>
            </w:r>
          </w:p>
        </w:tc>
        <w:tc>
          <w:tcPr>
            <w:tcW w:w="8561" w:type="dxa"/>
            <w:vAlign w:val="top"/>
          </w:tcPr>
          <w:p w14:paraId="25DA1B3D" w14:textId="5E8F6357" w:rsidR="006D4DE5" w:rsidRPr="009150F4" w:rsidRDefault="006D4DE5" w:rsidP="00B25FA6">
            <w:pPr>
              <w:pStyle w:val="TableNText"/>
              <w:spacing w:before="10" w:after="0" w:line="240" w:lineRule="auto"/>
              <w:rPr>
                <w:szCs w:val="17"/>
              </w:rPr>
            </w:pPr>
            <w:r w:rsidRPr="009150F4">
              <w:rPr>
                <w:szCs w:val="17"/>
              </w:rPr>
              <w:t>Improved integration between the health and aged care systems</w:t>
            </w:r>
            <w:r w:rsidR="00B25427">
              <w:rPr>
                <w:szCs w:val="17"/>
              </w:rPr>
              <w:t>.</w:t>
            </w:r>
          </w:p>
        </w:tc>
      </w:tr>
      <w:tr w:rsidR="006D4DE5" w:rsidRPr="009150F4" w14:paraId="60F23473" w14:textId="77777777" w:rsidTr="00B25FA6">
        <w:trPr>
          <w:cnfStyle w:val="000000100000" w:firstRow="0" w:lastRow="0" w:firstColumn="0" w:lastColumn="0" w:oddVBand="0" w:evenVBand="0" w:oddHBand="1" w:evenHBand="0" w:firstRowFirstColumn="0" w:firstRowLastColumn="0" w:lastRowFirstColumn="0" w:lastRowLastColumn="0"/>
        </w:trPr>
        <w:tc>
          <w:tcPr>
            <w:tcW w:w="369" w:type="dxa"/>
          </w:tcPr>
          <w:p w14:paraId="16B32448" w14:textId="39379408" w:rsidR="006D4DE5" w:rsidRPr="009150F4" w:rsidRDefault="006D4DE5" w:rsidP="00B25FA6">
            <w:pPr>
              <w:pStyle w:val="TableNText"/>
              <w:spacing w:before="10" w:after="0" w:line="240" w:lineRule="auto"/>
              <w:rPr>
                <w:szCs w:val="17"/>
              </w:rPr>
            </w:pPr>
            <w:r w:rsidRPr="009150F4">
              <w:rPr>
                <w:szCs w:val="17"/>
              </w:rPr>
              <w:t>9</w:t>
            </w:r>
          </w:p>
        </w:tc>
        <w:tc>
          <w:tcPr>
            <w:tcW w:w="8561" w:type="dxa"/>
            <w:vAlign w:val="top"/>
          </w:tcPr>
          <w:p w14:paraId="71839B85" w14:textId="2D919266" w:rsidR="006D4DE5" w:rsidRPr="009150F4" w:rsidRDefault="006D4DE5" w:rsidP="00B25FA6">
            <w:pPr>
              <w:pStyle w:val="TableNText"/>
              <w:spacing w:before="10" w:after="0" w:line="240" w:lineRule="auto"/>
              <w:rPr>
                <w:szCs w:val="17"/>
              </w:rPr>
            </w:pPr>
            <w:r w:rsidRPr="009150F4">
              <w:rPr>
                <w:szCs w:val="17"/>
              </w:rPr>
              <w:t xml:space="preserve">More palliative care services and health planners are informed by performance information on appropriateness, effectiveness, </w:t>
            </w:r>
            <w:proofErr w:type="gramStart"/>
            <w:r w:rsidRPr="009150F4">
              <w:rPr>
                <w:szCs w:val="17"/>
              </w:rPr>
              <w:t>efficiency</w:t>
            </w:r>
            <w:proofErr w:type="gramEnd"/>
            <w:r w:rsidRPr="009150F4">
              <w:rPr>
                <w:szCs w:val="17"/>
              </w:rPr>
              <w:t xml:space="preserve"> and outcomes</w:t>
            </w:r>
            <w:r w:rsidR="00C4176F">
              <w:rPr>
                <w:szCs w:val="17"/>
              </w:rPr>
              <w:t>.</w:t>
            </w:r>
          </w:p>
        </w:tc>
      </w:tr>
      <w:tr w:rsidR="006D4DE5" w:rsidRPr="009150F4" w14:paraId="2B6ABE46" w14:textId="77777777" w:rsidTr="00B25FA6">
        <w:trPr>
          <w:cnfStyle w:val="000000010000" w:firstRow="0" w:lastRow="0" w:firstColumn="0" w:lastColumn="0" w:oddVBand="0" w:evenVBand="0" w:oddHBand="0" w:evenHBand="1" w:firstRowFirstColumn="0" w:firstRowLastColumn="0" w:lastRowFirstColumn="0" w:lastRowLastColumn="0"/>
        </w:trPr>
        <w:tc>
          <w:tcPr>
            <w:tcW w:w="8930" w:type="dxa"/>
            <w:gridSpan w:val="2"/>
            <w:shd w:val="clear" w:color="auto" w:fill="E6E6E1" w:themeFill="accent5"/>
            <w:vAlign w:val="top"/>
          </w:tcPr>
          <w:p w14:paraId="46D318C9" w14:textId="66717B5E" w:rsidR="006D4DE5" w:rsidRPr="009150F4" w:rsidRDefault="006D4DE5" w:rsidP="00B25FA6">
            <w:pPr>
              <w:pStyle w:val="TableNText"/>
              <w:spacing w:before="10" w:after="0" w:line="240" w:lineRule="auto"/>
              <w:rPr>
                <w:szCs w:val="17"/>
              </w:rPr>
            </w:pPr>
            <w:r w:rsidRPr="009150F4">
              <w:rPr>
                <w:szCs w:val="17"/>
              </w:rPr>
              <w:t>Data and evidence</w:t>
            </w:r>
          </w:p>
        </w:tc>
      </w:tr>
      <w:tr w:rsidR="006D4DE5" w:rsidRPr="009150F4" w14:paraId="6D1EA431" w14:textId="77777777" w:rsidTr="00B25FA6">
        <w:trPr>
          <w:cnfStyle w:val="000000100000" w:firstRow="0" w:lastRow="0" w:firstColumn="0" w:lastColumn="0" w:oddVBand="0" w:evenVBand="0" w:oddHBand="1" w:evenHBand="0" w:firstRowFirstColumn="0" w:firstRowLastColumn="0" w:lastRowFirstColumn="0" w:lastRowLastColumn="0"/>
        </w:trPr>
        <w:tc>
          <w:tcPr>
            <w:tcW w:w="369" w:type="dxa"/>
          </w:tcPr>
          <w:p w14:paraId="39124272" w14:textId="2A96A908" w:rsidR="006D4DE5" w:rsidRPr="009150F4" w:rsidRDefault="006D4DE5" w:rsidP="00B25FA6">
            <w:pPr>
              <w:pStyle w:val="TableNText"/>
              <w:spacing w:before="10" w:after="0" w:line="240" w:lineRule="auto"/>
              <w:rPr>
                <w:szCs w:val="17"/>
              </w:rPr>
            </w:pPr>
            <w:r w:rsidRPr="009150F4">
              <w:rPr>
                <w:szCs w:val="17"/>
              </w:rPr>
              <w:t>10</w:t>
            </w:r>
          </w:p>
        </w:tc>
        <w:tc>
          <w:tcPr>
            <w:tcW w:w="8561" w:type="dxa"/>
            <w:vAlign w:val="top"/>
          </w:tcPr>
          <w:p w14:paraId="0C8BE00A" w14:textId="2F04E52D" w:rsidR="006D4DE5" w:rsidRPr="009150F4" w:rsidRDefault="006D4DE5" w:rsidP="00B25FA6">
            <w:pPr>
              <w:pStyle w:val="TableNText"/>
              <w:spacing w:before="10" w:after="0" w:line="240" w:lineRule="auto"/>
              <w:rPr>
                <w:szCs w:val="17"/>
              </w:rPr>
            </w:pPr>
            <w:r w:rsidRPr="009150F4">
              <w:rPr>
                <w:szCs w:val="17"/>
              </w:rPr>
              <w:t>Improved clinical governance to identify and implement quality improvement initiatives and evaluation of outcomes within RACFs</w:t>
            </w:r>
            <w:r w:rsidR="00DB5806">
              <w:rPr>
                <w:szCs w:val="17"/>
              </w:rPr>
              <w:t>.</w:t>
            </w:r>
          </w:p>
        </w:tc>
      </w:tr>
    </w:tbl>
    <w:p w14:paraId="7A3CFDAB" w14:textId="3ADDC4E0" w:rsidR="006D4DE5" w:rsidRDefault="006D4DE5" w:rsidP="006D4DE5">
      <w:pPr>
        <w:pStyle w:val="Heading2"/>
      </w:pPr>
      <w:bookmarkStart w:id="23" w:name="_Toc82767210"/>
      <w:r>
        <w:lastRenderedPageBreak/>
        <w:t>Governance arrangements</w:t>
      </w:r>
      <w:bookmarkEnd w:id="20"/>
      <w:bookmarkEnd w:id="23"/>
    </w:p>
    <w:p w14:paraId="5CE3A926" w14:textId="517C3DF3" w:rsidR="006D4DE5" w:rsidRDefault="006D4DE5" w:rsidP="00C87278">
      <w:r>
        <w:rPr>
          <w:lang w:eastAsia="en-AU"/>
        </w:rPr>
        <w:t>The key group involved in governance of the evaluation</w:t>
      </w:r>
      <w:r w:rsidR="00686179">
        <w:rPr>
          <w:lang w:eastAsia="en-AU"/>
        </w:rPr>
        <w:t xml:space="preserve"> is the</w:t>
      </w:r>
      <w:r w:rsidRPr="00316FBF">
        <w:rPr>
          <w:rFonts w:asciiTheme="majorHAnsi" w:hAnsiTheme="majorHAnsi" w:cstheme="majorHAnsi"/>
        </w:rPr>
        <w:t xml:space="preserve"> Department project team</w:t>
      </w:r>
      <w:r>
        <w:t xml:space="preserve">. The Department provides oversight of evaluation progress and delivery, whilst Nous undertakes an independent evaluation of the Measure. This group is the evaluation team’s key point of contact during the evaluation. </w:t>
      </w:r>
    </w:p>
    <w:p w14:paraId="5D295E18" w14:textId="3EA71C6A" w:rsidR="006D4DE5" w:rsidRPr="00C87278" w:rsidRDefault="009500D3" w:rsidP="00FF531B">
      <w:pPr>
        <w:pStyle w:val="Bullet"/>
        <w:numPr>
          <w:ilvl w:val="0"/>
          <w:numId w:val="0"/>
        </w:numPr>
        <w:rPr>
          <w:rFonts w:asciiTheme="minorHAnsi" w:hAnsiTheme="minorHAnsi" w:cstheme="minorHAnsi"/>
        </w:rPr>
      </w:pPr>
      <w:r>
        <w:rPr>
          <w:rFonts w:asciiTheme="minorHAnsi" w:hAnsiTheme="minorHAnsi" w:cstheme="minorHAnsi"/>
        </w:rPr>
        <w:t xml:space="preserve">Several </w:t>
      </w:r>
      <w:r w:rsidR="000343EB">
        <w:rPr>
          <w:rFonts w:asciiTheme="minorHAnsi" w:hAnsiTheme="minorHAnsi" w:cstheme="minorHAnsi"/>
        </w:rPr>
        <w:t>groups</w:t>
      </w:r>
      <w:r>
        <w:rPr>
          <w:rFonts w:asciiTheme="minorHAnsi" w:hAnsiTheme="minorHAnsi" w:cstheme="minorHAnsi"/>
        </w:rPr>
        <w:t xml:space="preserve"> will provide </w:t>
      </w:r>
      <w:r w:rsidR="00C81A43">
        <w:rPr>
          <w:rFonts w:asciiTheme="minorHAnsi" w:hAnsiTheme="minorHAnsi" w:cstheme="minorHAnsi"/>
        </w:rPr>
        <w:t>critical</w:t>
      </w:r>
      <w:r>
        <w:rPr>
          <w:rFonts w:asciiTheme="minorHAnsi" w:hAnsiTheme="minorHAnsi" w:cstheme="minorHAnsi"/>
        </w:rPr>
        <w:t xml:space="preserve"> input to </w:t>
      </w:r>
      <w:r w:rsidR="00EC0FBC">
        <w:rPr>
          <w:rFonts w:asciiTheme="minorHAnsi" w:hAnsiTheme="minorHAnsi" w:cstheme="minorHAnsi"/>
        </w:rPr>
        <w:t>Nous over the course of the evaluation</w:t>
      </w:r>
      <w:r w:rsidR="00582891">
        <w:rPr>
          <w:rFonts w:asciiTheme="minorHAnsi" w:hAnsiTheme="minorHAnsi" w:cstheme="minorHAnsi"/>
        </w:rPr>
        <w:t xml:space="preserve">. </w:t>
      </w:r>
      <w:r w:rsidR="00401492">
        <w:rPr>
          <w:rFonts w:asciiTheme="minorHAnsi" w:hAnsiTheme="minorHAnsi" w:cstheme="minorHAnsi"/>
        </w:rPr>
        <w:t xml:space="preserve">The </w:t>
      </w:r>
      <w:r w:rsidR="004E305C">
        <w:rPr>
          <w:rFonts w:asciiTheme="majorHAnsi" w:hAnsiTheme="majorHAnsi" w:cstheme="majorHAnsi"/>
        </w:rPr>
        <w:t xml:space="preserve">National </w:t>
      </w:r>
      <w:r w:rsidR="006D4DE5" w:rsidRPr="00316FBF">
        <w:rPr>
          <w:rFonts w:asciiTheme="majorHAnsi" w:hAnsiTheme="majorHAnsi" w:cstheme="majorHAnsi"/>
        </w:rPr>
        <w:t xml:space="preserve">Palliative Care and </w:t>
      </w:r>
      <w:r w:rsidR="006D4DE5">
        <w:rPr>
          <w:rFonts w:asciiTheme="majorHAnsi" w:hAnsiTheme="majorHAnsi" w:cstheme="majorHAnsi"/>
        </w:rPr>
        <w:t>End-of-life</w:t>
      </w:r>
      <w:r w:rsidR="006D4DE5" w:rsidRPr="00316FBF">
        <w:rPr>
          <w:rFonts w:asciiTheme="majorHAnsi" w:hAnsiTheme="majorHAnsi" w:cstheme="majorHAnsi"/>
        </w:rPr>
        <w:t xml:space="preserve"> Project Reference Group</w:t>
      </w:r>
      <w:r w:rsidR="003E3F2F">
        <w:t xml:space="preserve"> </w:t>
      </w:r>
      <w:r w:rsidR="00A70E60">
        <w:t xml:space="preserve">includes representatives from all jurisdictions. This </w:t>
      </w:r>
      <w:r w:rsidR="003E3F2F">
        <w:t>will</w:t>
      </w:r>
      <w:r w:rsidR="00D737D1">
        <w:rPr>
          <w:rStyle w:val="CommentReference"/>
          <w:rFonts w:eastAsiaTheme="minorHAnsi" w:cstheme="minorBidi"/>
          <w:lang w:eastAsia="en-US"/>
        </w:rPr>
        <w:t xml:space="preserve"> </w:t>
      </w:r>
      <w:r w:rsidR="003E3F2F">
        <w:t>be</w:t>
      </w:r>
      <w:r w:rsidR="007144B9">
        <w:t xml:space="preserve"> a forum to share information among jurisdictions and discuss progress on implementing the National Palliative Care Strategy. </w:t>
      </w:r>
    </w:p>
    <w:p w14:paraId="387D3A05" w14:textId="56578631" w:rsidR="006D4DE5" w:rsidRPr="00623E52" w:rsidRDefault="006D4DE5" w:rsidP="006D4DE5">
      <w:pPr>
        <w:rPr>
          <w:lang w:eastAsia="en-AU"/>
        </w:rPr>
      </w:pPr>
      <w:r>
        <w:rPr>
          <w:lang w:eastAsia="en-AU"/>
        </w:rPr>
        <w:t>S</w:t>
      </w:r>
      <w:r w:rsidRPr="00623E52">
        <w:rPr>
          <w:lang w:eastAsia="en-AU"/>
        </w:rPr>
        <w:t xml:space="preserve">tates and territories are critical partners in the evaluation. </w:t>
      </w:r>
      <w:r>
        <w:rPr>
          <w:lang w:eastAsia="en-AU"/>
        </w:rPr>
        <w:t>They will need to provide</w:t>
      </w:r>
      <w:r w:rsidRPr="00623E52">
        <w:rPr>
          <w:lang w:eastAsia="en-AU"/>
        </w:rPr>
        <w:t xml:space="preserve"> data and information regularly,</w:t>
      </w:r>
      <w:r>
        <w:rPr>
          <w:lang w:eastAsia="en-AU"/>
        </w:rPr>
        <w:t xml:space="preserve"> and </w:t>
      </w:r>
      <w:r w:rsidRPr="00623E52">
        <w:rPr>
          <w:lang w:eastAsia="en-AU"/>
        </w:rPr>
        <w:t xml:space="preserve">advice in </w:t>
      </w:r>
      <w:r>
        <w:rPr>
          <w:lang w:eastAsia="en-AU"/>
        </w:rPr>
        <w:t>interpreting</w:t>
      </w:r>
      <w:r w:rsidRPr="00623E52">
        <w:rPr>
          <w:lang w:eastAsia="en-AU"/>
        </w:rPr>
        <w:t xml:space="preserve"> findings. Nous will meet with state and territory representatives regularly, including collectively through the </w:t>
      </w:r>
      <w:r w:rsidRPr="00E45175">
        <w:rPr>
          <w:rFonts w:asciiTheme="majorHAnsi" w:hAnsiTheme="majorHAnsi" w:cstheme="majorHAnsi"/>
          <w:lang w:eastAsia="en-AU"/>
        </w:rPr>
        <w:t>Project Implementation Group</w:t>
      </w:r>
      <w:r>
        <w:rPr>
          <w:rFonts w:asciiTheme="majorHAnsi" w:hAnsiTheme="majorHAnsi" w:cstheme="majorHAnsi"/>
          <w:lang w:eastAsia="en-AU"/>
        </w:rPr>
        <w:t xml:space="preserve"> or joint evaluation-focused meetings</w:t>
      </w:r>
      <w:r w:rsidRPr="00623E52">
        <w:rPr>
          <w:lang w:eastAsia="en-AU"/>
        </w:rPr>
        <w:t>. This group consists of palliative care and/or aged care representatives</w:t>
      </w:r>
      <w:r w:rsidR="006B2B9D">
        <w:rPr>
          <w:lang w:eastAsia="en-AU"/>
        </w:rPr>
        <w:t xml:space="preserve"> and shares a similar membership to the </w:t>
      </w:r>
      <w:r w:rsidR="006B2B9D">
        <w:rPr>
          <w:rFonts w:asciiTheme="majorHAnsi" w:hAnsiTheme="majorHAnsi" w:cstheme="majorHAnsi"/>
        </w:rPr>
        <w:t xml:space="preserve">National </w:t>
      </w:r>
      <w:r w:rsidR="006B2B9D" w:rsidRPr="00316FBF">
        <w:rPr>
          <w:rFonts w:asciiTheme="majorHAnsi" w:hAnsiTheme="majorHAnsi" w:cstheme="majorHAnsi"/>
        </w:rPr>
        <w:t xml:space="preserve">Palliative Care and </w:t>
      </w:r>
      <w:r w:rsidR="006B2B9D">
        <w:rPr>
          <w:rFonts w:asciiTheme="majorHAnsi" w:hAnsiTheme="majorHAnsi" w:cstheme="majorHAnsi"/>
        </w:rPr>
        <w:t>End-of-life</w:t>
      </w:r>
      <w:r w:rsidR="006B2B9D" w:rsidRPr="00316FBF">
        <w:rPr>
          <w:rFonts w:asciiTheme="majorHAnsi" w:hAnsiTheme="majorHAnsi" w:cstheme="majorHAnsi"/>
        </w:rPr>
        <w:t xml:space="preserve"> Project Reference Group</w:t>
      </w:r>
      <w:r w:rsidR="00826C96">
        <w:rPr>
          <w:lang w:eastAsia="en-AU"/>
        </w:rPr>
        <w:t>.</w:t>
      </w:r>
    </w:p>
    <w:p w14:paraId="15C2068D" w14:textId="0BC0CA4F" w:rsidR="006D4DE5" w:rsidRPr="00DB3B32" w:rsidRDefault="006D4DE5" w:rsidP="006D4DE5">
      <w:pPr>
        <w:rPr>
          <w:lang w:eastAsia="en-AU"/>
        </w:rPr>
      </w:pPr>
      <w:r>
        <w:rPr>
          <w:lang w:eastAsia="en-AU"/>
        </w:rPr>
        <w:t xml:space="preserve">Nous will report regularly to the Department as shown in </w:t>
      </w:r>
      <w:r w:rsidRPr="00876106">
        <w:rPr>
          <w:lang w:eastAsia="en-AU"/>
        </w:rPr>
        <w:fldChar w:fldCharType="begin"/>
      </w:r>
      <w:r w:rsidRPr="00876106">
        <w:rPr>
          <w:lang w:eastAsia="en-AU"/>
        </w:rPr>
        <w:instrText xml:space="preserve"> REF _Ref58264996 \h </w:instrText>
      </w:r>
      <w:r>
        <w:rPr>
          <w:lang w:eastAsia="en-AU"/>
        </w:rPr>
        <w:instrText xml:space="preserve"> \* MERGEFORMAT </w:instrText>
      </w:r>
      <w:r w:rsidRPr="00876106">
        <w:rPr>
          <w:lang w:eastAsia="en-AU"/>
        </w:rPr>
      </w:r>
      <w:r w:rsidRPr="00876106">
        <w:rPr>
          <w:lang w:eastAsia="en-AU"/>
        </w:rPr>
        <w:fldChar w:fldCharType="separate"/>
      </w:r>
      <w:r w:rsidR="00DF258C">
        <w:t xml:space="preserve">Table </w:t>
      </w:r>
      <w:r w:rsidR="00DF258C">
        <w:rPr>
          <w:noProof/>
        </w:rPr>
        <w:t>3</w:t>
      </w:r>
      <w:r w:rsidRPr="00876106">
        <w:rPr>
          <w:lang w:eastAsia="en-AU"/>
        </w:rPr>
        <w:fldChar w:fldCharType="end"/>
      </w:r>
      <w:r w:rsidRPr="00876106">
        <w:rPr>
          <w:lang w:eastAsia="en-AU"/>
        </w:rPr>
        <w:t>.</w:t>
      </w:r>
      <w:r>
        <w:rPr>
          <w:lang w:eastAsia="en-AU"/>
        </w:rPr>
        <w:t xml:space="preserve"> </w:t>
      </w:r>
    </w:p>
    <w:p w14:paraId="216C132E" w14:textId="5B39E61D" w:rsidR="006D4DE5" w:rsidRDefault="006D4DE5" w:rsidP="006D4DE5">
      <w:pPr>
        <w:pStyle w:val="Caption"/>
      </w:pPr>
      <w:bookmarkStart w:id="24" w:name="_Ref58264996"/>
      <w:r>
        <w:t xml:space="preserve">Table </w:t>
      </w:r>
      <w:r>
        <w:fldChar w:fldCharType="begin"/>
      </w:r>
      <w:r>
        <w:instrText xml:space="preserve"> SEQ Table \* ARABIC </w:instrText>
      </w:r>
      <w:r>
        <w:fldChar w:fldCharType="separate"/>
      </w:r>
      <w:r w:rsidR="00DF258C">
        <w:rPr>
          <w:noProof/>
        </w:rPr>
        <w:t>3</w:t>
      </w:r>
      <w:r>
        <w:fldChar w:fldCharType="end"/>
      </w:r>
      <w:bookmarkEnd w:id="24"/>
      <w:r>
        <w:t xml:space="preserve"> | Evaluation reporting</w:t>
      </w:r>
    </w:p>
    <w:tbl>
      <w:tblPr>
        <w:tblStyle w:val="TableGrid"/>
        <w:tblW w:w="0" w:type="auto"/>
        <w:tblLook w:val="04A0" w:firstRow="1" w:lastRow="0" w:firstColumn="1" w:lastColumn="0" w:noHBand="0" w:noVBand="1"/>
        <w:tblCaption w:val="Table 3 gives an overview of Evaluation reporting"/>
        <w:tblDescription w:val="Stage 2 (2021-2023) deliverables include a Draft Midpoint (interim) Progress Report which will describe consultation and data analysis findings from the evaluation to date, structured by the key evaluation questions, with links to insights from the literature review and system mapping. A Final Midpoint (interim) Progress Report, which is structured the same as the draft midpoint progress report, with incorporation of feedback from the Department, will be finalised and delivered in Stage 2. Progress Reports (seven in total, three per year) will follow a similar format and provide the baseline for process-based updates, evaluation progress to date, activities completed and remaining, and any emerging findings.&#10;&#10;Stage 3 (2023) deliverables include an Interim Evaluation Report which will synthesise findings and recommendations, and summarise the evaluation process. Evaluation Stakeholder Briefs which contain a summary of consultations, and a Final Evaluation Report will be delivered in Stage 3."/>
      </w:tblPr>
      <w:tblGrid>
        <w:gridCol w:w="2183"/>
        <w:gridCol w:w="4706"/>
        <w:gridCol w:w="2041"/>
      </w:tblGrid>
      <w:tr w:rsidR="006D4DE5" w:rsidRPr="00B4274A" w14:paraId="36A2D93E" w14:textId="77777777" w:rsidTr="00B25FA6">
        <w:trPr>
          <w:cnfStyle w:val="100000000000" w:firstRow="1" w:lastRow="0" w:firstColumn="0" w:lastColumn="0" w:oddVBand="0" w:evenVBand="0" w:oddHBand="0" w:evenHBand="0" w:firstRowFirstColumn="0" w:firstRowLastColumn="0" w:lastRowFirstColumn="0" w:lastRowLastColumn="0"/>
        </w:trPr>
        <w:tc>
          <w:tcPr>
            <w:tcW w:w="2183" w:type="dxa"/>
            <w:tcBorders>
              <w:top w:val="nil"/>
              <w:bottom w:val="single" w:sz="8" w:space="0" w:color="E6E6E1" w:themeColor="accent5"/>
            </w:tcBorders>
            <w:shd w:val="clear" w:color="auto" w:fill="00264D" w:themeFill="background2"/>
          </w:tcPr>
          <w:p w14:paraId="3AE4DA28" w14:textId="77777777" w:rsidR="006D4DE5" w:rsidRPr="00836DDC" w:rsidRDefault="006D4DE5" w:rsidP="00B25FA6">
            <w:pPr>
              <w:pStyle w:val="TableNheader"/>
              <w:rPr>
                <w:b/>
                <w:bCs/>
                <w:color w:val="FFFFFF" w:themeColor="background1"/>
                <w:sz w:val="16"/>
                <w:szCs w:val="16"/>
              </w:rPr>
            </w:pPr>
            <w:r w:rsidRPr="00836DDC">
              <w:rPr>
                <w:bCs/>
                <w:color w:val="FFFFFF" w:themeColor="background1"/>
                <w:sz w:val="16"/>
                <w:szCs w:val="16"/>
              </w:rPr>
              <w:t>Deliverable</w:t>
            </w:r>
          </w:p>
        </w:tc>
        <w:tc>
          <w:tcPr>
            <w:tcW w:w="4706" w:type="dxa"/>
            <w:tcBorders>
              <w:top w:val="nil"/>
              <w:bottom w:val="single" w:sz="8" w:space="0" w:color="E6E6E1" w:themeColor="accent5"/>
            </w:tcBorders>
            <w:shd w:val="clear" w:color="auto" w:fill="00264D" w:themeFill="background2"/>
          </w:tcPr>
          <w:p w14:paraId="78921229" w14:textId="77777777" w:rsidR="006D4DE5" w:rsidRPr="00836DDC" w:rsidRDefault="006D4DE5" w:rsidP="00B25FA6">
            <w:pPr>
              <w:pStyle w:val="TableNheader"/>
              <w:rPr>
                <w:b/>
                <w:bCs/>
                <w:color w:val="FFFFFF" w:themeColor="background1"/>
                <w:sz w:val="16"/>
                <w:szCs w:val="16"/>
              </w:rPr>
            </w:pPr>
            <w:r w:rsidRPr="00836DDC">
              <w:rPr>
                <w:bCs/>
                <w:color w:val="FFFFFF" w:themeColor="background1"/>
                <w:sz w:val="16"/>
                <w:szCs w:val="16"/>
              </w:rPr>
              <w:t>Description</w:t>
            </w:r>
          </w:p>
        </w:tc>
        <w:tc>
          <w:tcPr>
            <w:tcW w:w="2041" w:type="dxa"/>
            <w:tcBorders>
              <w:top w:val="nil"/>
              <w:bottom w:val="single" w:sz="8" w:space="0" w:color="E6E6E1" w:themeColor="accent5"/>
            </w:tcBorders>
            <w:shd w:val="clear" w:color="auto" w:fill="00264D" w:themeFill="background2"/>
          </w:tcPr>
          <w:p w14:paraId="16CFA2BD" w14:textId="77777777" w:rsidR="006D4DE5" w:rsidRPr="00836DDC" w:rsidRDefault="006D4DE5" w:rsidP="00B25FA6">
            <w:pPr>
              <w:pStyle w:val="TableNheader"/>
              <w:rPr>
                <w:b/>
                <w:bCs/>
                <w:color w:val="FFFFFF" w:themeColor="background1"/>
                <w:sz w:val="16"/>
                <w:szCs w:val="16"/>
              </w:rPr>
            </w:pPr>
            <w:r w:rsidRPr="00836DDC">
              <w:rPr>
                <w:bCs/>
                <w:color w:val="FFFFFF" w:themeColor="background1"/>
                <w:sz w:val="16"/>
                <w:szCs w:val="16"/>
              </w:rPr>
              <w:t>Due date</w:t>
            </w:r>
          </w:p>
        </w:tc>
      </w:tr>
      <w:tr w:rsidR="006D4DE5" w14:paraId="298A5F9F" w14:textId="77777777" w:rsidTr="00B25FA6">
        <w:trPr>
          <w:cnfStyle w:val="000000100000" w:firstRow="0" w:lastRow="0" w:firstColumn="0" w:lastColumn="0" w:oddVBand="0" w:evenVBand="0" w:oddHBand="1" w:evenHBand="0" w:firstRowFirstColumn="0" w:firstRowLastColumn="0" w:lastRowFirstColumn="0" w:lastRowLastColumn="0"/>
        </w:trPr>
        <w:tc>
          <w:tcPr>
            <w:tcW w:w="8930" w:type="dxa"/>
            <w:gridSpan w:val="3"/>
            <w:shd w:val="clear" w:color="auto" w:fill="E6E6E1" w:themeFill="accent5"/>
          </w:tcPr>
          <w:p w14:paraId="548265DB" w14:textId="33D49491" w:rsidR="006D4DE5" w:rsidRPr="00836DDC" w:rsidRDefault="006D4DE5" w:rsidP="00B25FA6">
            <w:pPr>
              <w:pStyle w:val="TableNheader"/>
              <w:rPr>
                <w:sz w:val="16"/>
                <w:szCs w:val="16"/>
              </w:rPr>
            </w:pPr>
            <w:r w:rsidRPr="00836DDC">
              <w:rPr>
                <w:sz w:val="16"/>
                <w:szCs w:val="16"/>
              </w:rPr>
              <w:t>Stage 2 (202</w:t>
            </w:r>
            <w:r>
              <w:rPr>
                <w:sz w:val="16"/>
                <w:szCs w:val="16"/>
              </w:rPr>
              <w:t>1</w:t>
            </w:r>
            <w:r w:rsidR="00D95ACC">
              <w:rPr>
                <w:sz w:val="16"/>
                <w:szCs w:val="16"/>
              </w:rPr>
              <w:t>-</w:t>
            </w:r>
            <w:r w:rsidRPr="00836DDC">
              <w:rPr>
                <w:sz w:val="16"/>
                <w:szCs w:val="16"/>
              </w:rPr>
              <w:t>2023)</w:t>
            </w:r>
          </w:p>
        </w:tc>
      </w:tr>
      <w:tr w:rsidR="006D4DE5" w14:paraId="34CBB841" w14:textId="77777777" w:rsidTr="00B25FA6">
        <w:trPr>
          <w:cnfStyle w:val="000000010000" w:firstRow="0" w:lastRow="0" w:firstColumn="0" w:lastColumn="0" w:oddVBand="0" w:evenVBand="0" w:oddHBand="0" w:evenHBand="1" w:firstRowFirstColumn="0" w:firstRowLastColumn="0" w:lastRowFirstColumn="0" w:lastRowLastColumn="0"/>
        </w:trPr>
        <w:tc>
          <w:tcPr>
            <w:tcW w:w="2183" w:type="dxa"/>
          </w:tcPr>
          <w:p w14:paraId="1E575AED" w14:textId="5928A37B" w:rsidR="006D4DE5" w:rsidRPr="00836DDC" w:rsidRDefault="006D4DE5" w:rsidP="00B25FA6">
            <w:pPr>
              <w:pStyle w:val="TableNText"/>
              <w:rPr>
                <w:sz w:val="16"/>
                <w:szCs w:val="16"/>
              </w:rPr>
            </w:pPr>
            <w:r w:rsidRPr="00836DDC">
              <w:rPr>
                <w:sz w:val="16"/>
                <w:szCs w:val="16"/>
              </w:rPr>
              <w:t xml:space="preserve">Draft </w:t>
            </w:r>
            <w:r w:rsidR="001036CF">
              <w:rPr>
                <w:sz w:val="16"/>
                <w:szCs w:val="16"/>
              </w:rPr>
              <w:t>M</w:t>
            </w:r>
            <w:r w:rsidR="001036CF" w:rsidRPr="00836DDC">
              <w:rPr>
                <w:sz w:val="16"/>
                <w:szCs w:val="16"/>
              </w:rPr>
              <w:t xml:space="preserve">idpoint </w:t>
            </w:r>
            <w:r w:rsidRPr="00836DDC">
              <w:rPr>
                <w:sz w:val="16"/>
                <w:szCs w:val="16"/>
              </w:rPr>
              <w:t xml:space="preserve">(interim) </w:t>
            </w:r>
            <w:r w:rsidR="001036CF">
              <w:rPr>
                <w:sz w:val="16"/>
                <w:szCs w:val="16"/>
              </w:rPr>
              <w:t>P</w:t>
            </w:r>
            <w:r w:rsidR="001036CF" w:rsidRPr="00836DDC">
              <w:rPr>
                <w:sz w:val="16"/>
                <w:szCs w:val="16"/>
              </w:rPr>
              <w:t xml:space="preserve">rogress </w:t>
            </w:r>
            <w:r w:rsidR="001036CF">
              <w:rPr>
                <w:sz w:val="16"/>
                <w:szCs w:val="16"/>
              </w:rPr>
              <w:t>R</w:t>
            </w:r>
            <w:r w:rsidR="001036CF" w:rsidRPr="00836DDC">
              <w:rPr>
                <w:sz w:val="16"/>
                <w:szCs w:val="16"/>
              </w:rPr>
              <w:t>eport</w:t>
            </w:r>
          </w:p>
        </w:tc>
        <w:tc>
          <w:tcPr>
            <w:tcW w:w="4706" w:type="dxa"/>
          </w:tcPr>
          <w:p w14:paraId="1847F5F0" w14:textId="3E1C7493" w:rsidR="006D4DE5" w:rsidRPr="00836DDC" w:rsidRDefault="006D4DE5" w:rsidP="00B25FA6">
            <w:pPr>
              <w:pStyle w:val="TableNText"/>
              <w:rPr>
                <w:sz w:val="16"/>
                <w:szCs w:val="16"/>
              </w:rPr>
            </w:pPr>
            <w:r w:rsidRPr="00836DDC">
              <w:rPr>
                <w:sz w:val="16"/>
                <w:szCs w:val="16"/>
              </w:rPr>
              <w:t xml:space="preserve">The </w:t>
            </w:r>
            <w:r w:rsidR="00D92D98" w:rsidRPr="00836DDC">
              <w:rPr>
                <w:sz w:val="16"/>
                <w:szCs w:val="16"/>
              </w:rPr>
              <w:t>Draft Midpoint Report</w:t>
            </w:r>
            <w:r w:rsidRPr="00836DDC">
              <w:rPr>
                <w:sz w:val="16"/>
                <w:szCs w:val="16"/>
              </w:rPr>
              <w:t xml:space="preserve"> will describe findings from the evaluation to date, structured by the </w:t>
            </w:r>
            <w:r w:rsidR="00B87D5B">
              <w:rPr>
                <w:sz w:val="16"/>
                <w:szCs w:val="16"/>
              </w:rPr>
              <w:t>k</w:t>
            </w:r>
            <w:r w:rsidR="002A2812">
              <w:rPr>
                <w:sz w:val="16"/>
                <w:szCs w:val="16"/>
              </w:rPr>
              <w:t xml:space="preserve">ey </w:t>
            </w:r>
            <w:r w:rsidR="00B87D5B">
              <w:rPr>
                <w:sz w:val="16"/>
                <w:szCs w:val="16"/>
              </w:rPr>
              <w:t>e</w:t>
            </w:r>
            <w:r w:rsidR="002A2812">
              <w:rPr>
                <w:sz w:val="16"/>
                <w:szCs w:val="16"/>
              </w:rPr>
              <w:t xml:space="preserve">valuation </w:t>
            </w:r>
            <w:r w:rsidR="00B87D5B">
              <w:rPr>
                <w:sz w:val="16"/>
                <w:szCs w:val="16"/>
              </w:rPr>
              <w:t>q</w:t>
            </w:r>
            <w:r w:rsidR="002A2812">
              <w:rPr>
                <w:sz w:val="16"/>
                <w:szCs w:val="16"/>
              </w:rPr>
              <w:t>uestions (</w:t>
            </w:r>
            <w:r w:rsidRPr="00836DDC">
              <w:rPr>
                <w:sz w:val="16"/>
                <w:szCs w:val="16"/>
              </w:rPr>
              <w:t>KEQs</w:t>
            </w:r>
            <w:r w:rsidR="002A2812">
              <w:rPr>
                <w:sz w:val="16"/>
                <w:szCs w:val="16"/>
              </w:rPr>
              <w:t>)</w:t>
            </w:r>
            <w:r w:rsidRPr="00836DDC">
              <w:rPr>
                <w:sz w:val="16"/>
                <w:szCs w:val="16"/>
              </w:rPr>
              <w:t>. It will describe consultation and data analysis findings</w:t>
            </w:r>
            <w:r>
              <w:rPr>
                <w:sz w:val="16"/>
                <w:szCs w:val="16"/>
              </w:rPr>
              <w:t xml:space="preserve"> and</w:t>
            </w:r>
            <w:r w:rsidRPr="00836DDC">
              <w:rPr>
                <w:sz w:val="16"/>
                <w:szCs w:val="16"/>
              </w:rPr>
              <w:t xml:space="preserve"> link in insights from the literature review and system mapping.</w:t>
            </w:r>
          </w:p>
        </w:tc>
        <w:tc>
          <w:tcPr>
            <w:tcW w:w="2041" w:type="dxa"/>
          </w:tcPr>
          <w:p w14:paraId="1BB2C8BD" w14:textId="77777777" w:rsidR="006D4DE5" w:rsidRPr="00836DDC" w:rsidRDefault="006D4DE5" w:rsidP="00B25FA6">
            <w:pPr>
              <w:pStyle w:val="TableNText"/>
              <w:rPr>
                <w:sz w:val="16"/>
                <w:szCs w:val="16"/>
              </w:rPr>
            </w:pPr>
            <w:r w:rsidRPr="00836DDC">
              <w:rPr>
                <w:sz w:val="16"/>
                <w:szCs w:val="16"/>
              </w:rPr>
              <w:t>30 June 2022</w:t>
            </w:r>
          </w:p>
        </w:tc>
      </w:tr>
      <w:tr w:rsidR="006D4DE5" w14:paraId="4A5F2129" w14:textId="77777777" w:rsidTr="00B25FA6">
        <w:trPr>
          <w:cnfStyle w:val="000000100000" w:firstRow="0" w:lastRow="0" w:firstColumn="0" w:lastColumn="0" w:oddVBand="0" w:evenVBand="0" w:oddHBand="1" w:evenHBand="0" w:firstRowFirstColumn="0" w:firstRowLastColumn="0" w:lastRowFirstColumn="0" w:lastRowLastColumn="0"/>
        </w:trPr>
        <w:tc>
          <w:tcPr>
            <w:tcW w:w="2183" w:type="dxa"/>
          </w:tcPr>
          <w:p w14:paraId="066854EE" w14:textId="447A8997" w:rsidR="006D4DE5" w:rsidRPr="00836DDC" w:rsidRDefault="006D4DE5" w:rsidP="00B25FA6">
            <w:pPr>
              <w:pStyle w:val="TableNText"/>
              <w:rPr>
                <w:sz w:val="16"/>
                <w:szCs w:val="16"/>
              </w:rPr>
            </w:pPr>
            <w:r w:rsidRPr="00836DDC">
              <w:rPr>
                <w:sz w:val="16"/>
                <w:szCs w:val="16"/>
              </w:rPr>
              <w:t xml:space="preserve">Final </w:t>
            </w:r>
            <w:r w:rsidR="001036CF">
              <w:rPr>
                <w:sz w:val="16"/>
                <w:szCs w:val="16"/>
              </w:rPr>
              <w:t>M</w:t>
            </w:r>
            <w:r w:rsidR="001036CF" w:rsidRPr="00836DDC">
              <w:rPr>
                <w:sz w:val="16"/>
                <w:szCs w:val="16"/>
              </w:rPr>
              <w:t xml:space="preserve">idpoint </w:t>
            </w:r>
            <w:r w:rsidRPr="00836DDC">
              <w:rPr>
                <w:sz w:val="16"/>
                <w:szCs w:val="16"/>
              </w:rPr>
              <w:t xml:space="preserve">(interim) </w:t>
            </w:r>
            <w:r w:rsidR="001036CF">
              <w:rPr>
                <w:sz w:val="16"/>
                <w:szCs w:val="16"/>
              </w:rPr>
              <w:t>P</w:t>
            </w:r>
            <w:r w:rsidR="001036CF" w:rsidRPr="00836DDC">
              <w:rPr>
                <w:sz w:val="16"/>
                <w:szCs w:val="16"/>
              </w:rPr>
              <w:t xml:space="preserve">rogress </w:t>
            </w:r>
            <w:r w:rsidR="001036CF">
              <w:rPr>
                <w:sz w:val="16"/>
                <w:szCs w:val="16"/>
              </w:rPr>
              <w:t>R</w:t>
            </w:r>
            <w:r w:rsidR="001036CF" w:rsidRPr="00836DDC">
              <w:rPr>
                <w:sz w:val="16"/>
                <w:szCs w:val="16"/>
              </w:rPr>
              <w:t>eport</w:t>
            </w:r>
          </w:p>
        </w:tc>
        <w:tc>
          <w:tcPr>
            <w:tcW w:w="4706" w:type="dxa"/>
          </w:tcPr>
          <w:p w14:paraId="6B8EF497" w14:textId="7A3D7A44" w:rsidR="006D4DE5" w:rsidRPr="00836DDC" w:rsidRDefault="006D4DE5" w:rsidP="00B25FA6">
            <w:pPr>
              <w:pStyle w:val="TableNText"/>
              <w:rPr>
                <w:sz w:val="16"/>
                <w:szCs w:val="16"/>
              </w:rPr>
            </w:pPr>
            <w:r w:rsidRPr="00836DDC">
              <w:rPr>
                <w:sz w:val="16"/>
                <w:szCs w:val="16"/>
              </w:rPr>
              <w:t xml:space="preserve">The </w:t>
            </w:r>
            <w:r w:rsidR="00F051C3" w:rsidRPr="00836DDC">
              <w:rPr>
                <w:sz w:val="16"/>
                <w:szCs w:val="16"/>
              </w:rPr>
              <w:t>Final Midpoint Progress Report</w:t>
            </w:r>
            <w:r w:rsidRPr="00836DDC">
              <w:rPr>
                <w:sz w:val="16"/>
                <w:szCs w:val="16"/>
              </w:rPr>
              <w:t xml:space="preserve"> will be as described above, </w:t>
            </w:r>
            <w:proofErr w:type="gramStart"/>
            <w:r w:rsidRPr="00836DDC">
              <w:rPr>
                <w:sz w:val="16"/>
                <w:szCs w:val="16"/>
              </w:rPr>
              <w:t>finalised</w:t>
            </w:r>
            <w:proofErr w:type="gramEnd"/>
            <w:r w:rsidRPr="00836DDC">
              <w:rPr>
                <w:sz w:val="16"/>
                <w:szCs w:val="16"/>
              </w:rPr>
              <w:t xml:space="preserve"> and incorporating feedback from the Department.</w:t>
            </w:r>
          </w:p>
        </w:tc>
        <w:tc>
          <w:tcPr>
            <w:tcW w:w="2041" w:type="dxa"/>
          </w:tcPr>
          <w:p w14:paraId="664A45A8" w14:textId="77777777" w:rsidR="006D4DE5" w:rsidRPr="00836DDC" w:rsidRDefault="006D4DE5" w:rsidP="00B25FA6">
            <w:pPr>
              <w:pStyle w:val="TableNText"/>
              <w:rPr>
                <w:sz w:val="16"/>
                <w:szCs w:val="16"/>
              </w:rPr>
            </w:pPr>
            <w:r w:rsidRPr="00836DDC">
              <w:rPr>
                <w:sz w:val="16"/>
                <w:szCs w:val="16"/>
              </w:rPr>
              <w:t>31 July 2022</w:t>
            </w:r>
          </w:p>
        </w:tc>
      </w:tr>
      <w:tr w:rsidR="006D4DE5" w14:paraId="23D9D684" w14:textId="77777777" w:rsidTr="00B25FA6">
        <w:trPr>
          <w:cnfStyle w:val="000000010000" w:firstRow="0" w:lastRow="0" w:firstColumn="0" w:lastColumn="0" w:oddVBand="0" w:evenVBand="0" w:oddHBand="0" w:evenHBand="1" w:firstRowFirstColumn="0" w:firstRowLastColumn="0" w:lastRowFirstColumn="0" w:lastRowLastColumn="0"/>
        </w:trPr>
        <w:tc>
          <w:tcPr>
            <w:tcW w:w="2183" w:type="dxa"/>
          </w:tcPr>
          <w:p w14:paraId="3E8807A6" w14:textId="6023A0AA" w:rsidR="006D4DE5" w:rsidRPr="00836DDC" w:rsidRDefault="006D4DE5" w:rsidP="00B25FA6">
            <w:pPr>
              <w:pStyle w:val="TableNText"/>
              <w:rPr>
                <w:sz w:val="16"/>
                <w:szCs w:val="16"/>
              </w:rPr>
            </w:pPr>
            <w:r w:rsidRPr="00836DDC">
              <w:rPr>
                <w:sz w:val="16"/>
                <w:szCs w:val="16"/>
              </w:rPr>
              <w:t xml:space="preserve">Progress </w:t>
            </w:r>
            <w:r w:rsidR="00F051C3">
              <w:rPr>
                <w:sz w:val="16"/>
                <w:szCs w:val="16"/>
              </w:rPr>
              <w:t>R</w:t>
            </w:r>
            <w:r w:rsidR="00F051C3" w:rsidRPr="00836DDC">
              <w:rPr>
                <w:sz w:val="16"/>
                <w:szCs w:val="16"/>
              </w:rPr>
              <w:t>eports</w:t>
            </w:r>
            <w:r w:rsidRPr="00836DDC">
              <w:rPr>
                <w:sz w:val="16"/>
                <w:szCs w:val="16"/>
              </w:rPr>
              <w:t xml:space="preserve"> (seven in total, three per year)</w:t>
            </w:r>
          </w:p>
        </w:tc>
        <w:tc>
          <w:tcPr>
            <w:tcW w:w="4706" w:type="dxa"/>
          </w:tcPr>
          <w:p w14:paraId="1CF794FA" w14:textId="3A419446" w:rsidR="006D4DE5" w:rsidRDefault="006D4DE5" w:rsidP="00B25FA6">
            <w:pPr>
              <w:pStyle w:val="TableNText"/>
              <w:rPr>
                <w:sz w:val="16"/>
                <w:szCs w:val="16"/>
              </w:rPr>
            </w:pPr>
            <w:r w:rsidRPr="00836DDC">
              <w:rPr>
                <w:sz w:val="16"/>
                <w:szCs w:val="16"/>
              </w:rPr>
              <w:t xml:space="preserve">Each </w:t>
            </w:r>
            <w:r w:rsidR="00F051C3" w:rsidRPr="00836DDC">
              <w:rPr>
                <w:sz w:val="16"/>
                <w:szCs w:val="16"/>
              </w:rPr>
              <w:t>Progress Report</w:t>
            </w:r>
            <w:r w:rsidRPr="00836DDC">
              <w:rPr>
                <w:sz w:val="16"/>
                <w:szCs w:val="16"/>
              </w:rPr>
              <w:t xml:space="preserve"> will follow a similar format. It will be a process-based update, describing evaluation progress to date, activities completed, emerging findings </w:t>
            </w:r>
            <w:r w:rsidR="00D95ACC">
              <w:rPr>
                <w:sz w:val="16"/>
                <w:szCs w:val="16"/>
              </w:rPr>
              <w:t>(</w:t>
            </w:r>
            <w:r w:rsidRPr="00836DDC">
              <w:rPr>
                <w:sz w:val="16"/>
                <w:szCs w:val="16"/>
              </w:rPr>
              <w:t xml:space="preserve">structured by the </w:t>
            </w:r>
            <w:r>
              <w:rPr>
                <w:sz w:val="16"/>
                <w:szCs w:val="16"/>
              </w:rPr>
              <w:t>KEQ)</w:t>
            </w:r>
            <w:r w:rsidRPr="00836DDC">
              <w:rPr>
                <w:sz w:val="16"/>
                <w:szCs w:val="16"/>
              </w:rPr>
              <w:t xml:space="preserve"> and planned activities remaining.</w:t>
            </w:r>
          </w:p>
          <w:p w14:paraId="039A3869" w14:textId="55C51699" w:rsidR="006D4DE5" w:rsidRPr="00836DDC" w:rsidRDefault="00733B00" w:rsidP="00B25FA6">
            <w:pPr>
              <w:pStyle w:val="TableNText"/>
              <w:rPr>
                <w:sz w:val="16"/>
                <w:szCs w:val="16"/>
              </w:rPr>
            </w:pPr>
            <w:r>
              <w:rPr>
                <w:sz w:val="16"/>
                <w:szCs w:val="16"/>
              </w:rPr>
              <w:t xml:space="preserve">Progress Report 2 will provide the baseline. </w:t>
            </w:r>
          </w:p>
        </w:tc>
        <w:tc>
          <w:tcPr>
            <w:tcW w:w="2041" w:type="dxa"/>
          </w:tcPr>
          <w:p w14:paraId="4E72C419" w14:textId="22C37308" w:rsidR="006D4DE5" w:rsidRPr="00836DDC" w:rsidRDefault="006D4DE5" w:rsidP="00B25FA6">
            <w:pPr>
              <w:pStyle w:val="TableNText"/>
              <w:rPr>
                <w:sz w:val="16"/>
                <w:szCs w:val="16"/>
              </w:rPr>
            </w:pPr>
            <w:r w:rsidRPr="00836DDC">
              <w:rPr>
                <w:sz w:val="16"/>
                <w:szCs w:val="16"/>
              </w:rPr>
              <w:t xml:space="preserve">30 March 2021/31 July 2021/30 November 2021/ </w:t>
            </w:r>
            <w:r w:rsidRPr="00836DDC">
              <w:rPr>
                <w:sz w:val="16"/>
                <w:szCs w:val="16"/>
              </w:rPr>
              <w:br/>
              <w:t xml:space="preserve">30 March 2022/31 July 2022/30 November 2022/ </w:t>
            </w:r>
            <w:r w:rsidRPr="00836DDC">
              <w:rPr>
                <w:sz w:val="16"/>
                <w:szCs w:val="16"/>
              </w:rPr>
              <w:br/>
              <w:t>30 March 2023</w:t>
            </w:r>
          </w:p>
        </w:tc>
      </w:tr>
      <w:tr w:rsidR="006D4DE5" w14:paraId="6B69A02C" w14:textId="77777777" w:rsidTr="00B25FA6">
        <w:trPr>
          <w:cnfStyle w:val="000000100000" w:firstRow="0" w:lastRow="0" w:firstColumn="0" w:lastColumn="0" w:oddVBand="0" w:evenVBand="0" w:oddHBand="1" w:evenHBand="0" w:firstRowFirstColumn="0" w:firstRowLastColumn="0" w:lastRowFirstColumn="0" w:lastRowLastColumn="0"/>
        </w:trPr>
        <w:tc>
          <w:tcPr>
            <w:tcW w:w="8930" w:type="dxa"/>
            <w:gridSpan w:val="3"/>
            <w:shd w:val="clear" w:color="auto" w:fill="E6E6E1" w:themeFill="accent5"/>
          </w:tcPr>
          <w:p w14:paraId="77073AD9" w14:textId="77777777" w:rsidR="006D4DE5" w:rsidRPr="00836DDC" w:rsidRDefault="006D4DE5" w:rsidP="00B25FA6">
            <w:pPr>
              <w:pStyle w:val="TableNheader"/>
              <w:rPr>
                <w:sz w:val="16"/>
                <w:szCs w:val="16"/>
              </w:rPr>
            </w:pPr>
            <w:r w:rsidRPr="00836DDC">
              <w:rPr>
                <w:sz w:val="16"/>
                <w:szCs w:val="16"/>
              </w:rPr>
              <w:t>Stage 3 (2023)</w:t>
            </w:r>
          </w:p>
        </w:tc>
      </w:tr>
      <w:tr w:rsidR="006D4DE5" w14:paraId="25269929" w14:textId="77777777" w:rsidTr="00B25FA6">
        <w:trPr>
          <w:cnfStyle w:val="000000010000" w:firstRow="0" w:lastRow="0" w:firstColumn="0" w:lastColumn="0" w:oddVBand="0" w:evenVBand="0" w:oddHBand="0" w:evenHBand="1" w:firstRowFirstColumn="0" w:firstRowLastColumn="0" w:lastRowFirstColumn="0" w:lastRowLastColumn="0"/>
        </w:trPr>
        <w:tc>
          <w:tcPr>
            <w:tcW w:w="2183" w:type="dxa"/>
          </w:tcPr>
          <w:p w14:paraId="4E32B63D" w14:textId="77777777" w:rsidR="006D4DE5" w:rsidRPr="00836DDC" w:rsidRDefault="006D4DE5" w:rsidP="00B25FA6">
            <w:pPr>
              <w:pStyle w:val="TableNText"/>
              <w:rPr>
                <w:sz w:val="16"/>
                <w:szCs w:val="16"/>
              </w:rPr>
            </w:pPr>
            <w:r w:rsidRPr="00836DDC">
              <w:rPr>
                <w:sz w:val="16"/>
                <w:szCs w:val="16"/>
              </w:rPr>
              <w:t>Interim Evaluation Report</w:t>
            </w:r>
          </w:p>
        </w:tc>
        <w:tc>
          <w:tcPr>
            <w:tcW w:w="4706" w:type="dxa"/>
          </w:tcPr>
          <w:p w14:paraId="0A861E8D" w14:textId="5D63D506" w:rsidR="006D4DE5" w:rsidRPr="00836DDC" w:rsidRDefault="006D4DE5" w:rsidP="00B25FA6">
            <w:pPr>
              <w:pStyle w:val="TableNText"/>
              <w:rPr>
                <w:sz w:val="16"/>
                <w:szCs w:val="16"/>
              </w:rPr>
            </w:pPr>
            <w:r w:rsidRPr="00836DDC">
              <w:rPr>
                <w:sz w:val="16"/>
                <w:szCs w:val="16"/>
              </w:rPr>
              <w:t xml:space="preserve">The </w:t>
            </w:r>
            <w:r w:rsidR="00E40333">
              <w:rPr>
                <w:sz w:val="16"/>
                <w:szCs w:val="16"/>
              </w:rPr>
              <w:t>I</w:t>
            </w:r>
            <w:r w:rsidRPr="00836DDC">
              <w:rPr>
                <w:sz w:val="16"/>
                <w:szCs w:val="16"/>
              </w:rPr>
              <w:t xml:space="preserve">nterim Evaluation Report will draw together and synthesise all findings and recommendations. It will summarise the evaluation process and draw together insights from across all streams of work. </w:t>
            </w:r>
          </w:p>
        </w:tc>
        <w:tc>
          <w:tcPr>
            <w:tcW w:w="2041" w:type="dxa"/>
          </w:tcPr>
          <w:p w14:paraId="564EB946" w14:textId="77777777" w:rsidR="006D4DE5" w:rsidRPr="00836DDC" w:rsidRDefault="006D4DE5" w:rsidP="00B25FA6">
            <w:pPr>
              <w:pStyle w:val="TableNText"/>
              <w:rPr>
                <w:sz w:val="16"/>
                <w:szCs w:val="16"/>
              </w:rPr>
            </w:pPr>
            <w:r w:rsidRPr="00836DDC">
              <w:rPr>
                <w:sz w:val="16"/>
                <w:szCs w:val="16"/>
              </w:rPr>
              <w:t>30 August 2023</w:t>
            </w:r>
          </w:p>
        </w:tc>
      </w:tr>
      <w:tr w:rsidR="006D4DE5" w14:paraId="0E6D4980" w14:textId="77777777" w:rsidTr="00B25FA6">
        <w:trPr>
          <w:cnfStyle w:val="000000100000" w:firstRow="0" w:lastRow="0" w:firstColumn="0" w:lastColumn="0" w:oddVBand="0" w:evenVBand="0" w:oddHBand="1" w:evenHBand="0" w:firstRowFirstColumn="0" w:firstRowLastColumn="0" w:lastRowFirstColumn="0" w:lastRowLastColumn="0"/>
        </w:trPr>
        <w:tc>
          <w:tcPr>
            <w:tcW w:w="2183" w:type="dxa"/>
          </w:tcPr>
          <w:p w14:paraId="54CE6E7E" w14:textId="7664E93C" w:rsidR="006D4DE5" w:rsidRPr="00836DDC" w:rsidRDefault="006D4DE5" w:rsidP="00B25FA6">
            <w:pPr>
              <w:pStyle w:val="TableNText"/>
              <w:rPr>
                <w:sz w:val="16"/>
                <w:szCs w:val="16"/>
              </w:rPr>
            </w:pPr>
            <w:r w:rsidRPr="00836DDC">
              <w:rPr>
                <w:sz w:val="16"/>
                <w:szCs w:val="16"/>
              </w:rPr>
              <w:t xml:space="preserve">Evaluation </w:t>
            </w:r>
            <w:r w:rsidR="003B7A1F" w:rsidRPr="00836DDC">
              <w:rPr>
                <w:sz w:val="16"/>
                <w:szCs w:val="16"/>
              </w:rPr>
              <w:t>Stakeholder Briefs</w:t>
            </w:r>
          </w:p>
        </w:tc>
        <w:tc>
          <w:tcPr>
            <w:tcW w:w="4706" w:type="dxa"/>
          </w:tcPr>
          <w:p w14:paraId="0E71C53F" w14:textId="614E5F5E" w:rsidR="006D4DE5" w:rsidRPr="00836DDC" w:rsidRDefault="006D4DE5" w:rsidP="00B25FA6">
            <w:pPr>
              <w:pStyle w:val="TableNText"/>
              <w:rPr>
                <w:sz w:val="16"/>
                <w:szCs w:val="16"/>
              </w:rPr>
            </w:pPr>
            <w:r w:rsidRPr="00836DDC">
              <w:rPr>
                <w:sz w:val="16"/>
                <w:szCs w:val="16"/>
              </w:rPr>
              <w:t xml:space="preserve">The briefs will contain a </w:t>
            </w:r>
            <w:r w:rsidRPr="00A771A9">
              <w:rPr>
                <w:rFonts w:cs="Calibri"/>
                <w:sz w:val="16"/>
                <w:szCs w:val="16"/>
              </w:rPr>
              <w:t xml:space="preserve">summary of consultations, grouped by stakeholder. </w:t>
            </w:r>
          </w:p>
        </w:tc>
        <w:tc>
          <w:tcPr>
            <w:tcW w:w="2041" w:type="dxa"/>
          </w:tcPr>
          <w:p w14:paraId="3DA8C3D3" w14:textId="77777777" w:rsidR="006D4DE5" w:rsidRPr="00836DDC" w:rsidRDefault="006D4DE5" w:rsidP="00B25FA6">
            <w:pPr>
              <w:pStyle w:val="TableNText"/>
              <w:rPr>
                <w:sz w:val="16"/>
                <w:szCs w:val="16"/>
              </w:rPr>
            </w:pPr>
            <w:r w:rsidRPr="00836DDC">
              <w:rPr>
                <w:sz w:val="16"/>
                <w:szCs w:val="16"/>
              </w:rPr>
              <w:t>30 September 2023</w:t>
            </w:r>
          </w:p>
        </w:tc>
      </w:tr>
      <w:tr w:rsidR="006D4DE5" w14:paraId="4F0A990B" w14:textId="77777777" w:rsidTr="00B25FA6">
        <w:trPr>
          <w:cnfStyle w:val="000000010000" w:firstRow="0" w:lastRow="0" w:firstColumn="0" w:lastColumn="0" w:oddVBand="0" w:evenVBand="0" w:oddHBand="0" w:evenHBand="1" w:firstRowFirstColumn="0" w:firstRowLastColumn="0" w:lastRowFirstColumn="0" w:lastRowLastColumn="0"/>
        </w:trPr>
        <w:tc>
          <w:tcPr>
            <w:tcW w:w="2183" w:type="dxa"/>
          </w:tcPr>
          <w:p w14:paraId="11A970CB" w14:textId="77777777" w:rsidR="006D4DE5" w:rsidRPr="00836DDC" w:rsidRDefault="006D4DE5" w:rsidP="00B25FA6">
            <w:pPr>
              <w:pStyle w:val="TableNText"/>
              <w:rPr>
                <w:sz w:val="16"/>
                <w:szCs w:val="16"/>
              </w:rPr>
            </w:pPr>
            <w:r w:rsidRPr="00836DDC">
              <w:rPr>
                <w:sz w:val="16"/>
                <w:szCs w:val="16"/>
              </w:rPr>
              <w:t>Final Evaluation Report</w:t>
            </w:r>
          </w:p>
        </w:tc>
        <w:tc>
          <w:tcPr>
            <w:tcW w:w="4706" w:type="dxa"/>
          </w:tcPr>
          <w:p w14:paraId="2C58E58D" w14:textId="710396E0" w:rsidR="006D4DE5" w:rsidRPr="00836DDC" w:rsidRDefault="006D4DE5" w:rsidP="00B25FA6">
            <w:pPr>
              <w:pStyle w:val="TableNText"/>
              <w:rPr>
                <w:sz w:val="16"/>
                <w:szCs w:val="16"/>
              </w:rPr>
            </w:pPr>
            <w:r w:rsidRPr="00836DDC">
              <w:rPr>
                <w:sz w:val="16"/>
                <w:szCs w:val="16"/>
              </w:rPr>
              <w:t xml:space="preserve">The </w:t>
            </w:r>
            <w:r w:rsidR="004F2448">
              <w:rPr>
                <w:sz w:val="16"/>
                <w:szCs w:val="16"/>
              </w:rPr>
              <w:t>F</w:t>
            </w:r>
            <w:r w:rsidR="004F2448" w:rsidRPr="00836DDC">
              <w:rPr>
                <w:sz w:val="16"/>
                <w:szCs w:val="16"/>
              </w:rPr>
              <w:t>inal</w:t>
            </w:r>
            <w:r w:rsidRPr="00836DDC">
              <w:rPr>
                <w:sz w:val="16"/>
                <w:szCs w:val="16"/>
              </w:rPr>
              <w:t xml:space="preserve"> Evaluation Report will be as described for the </w:t>
            </w:r>
            <w:r w:rsidR="00E40333">
              <w:rPr>
                <w:sz w:val="16"/>
                <w:szCs w:val="16"/>
              </w:rPr>
              <w:t>I</w:t>
            </w:r>
            <w:r w:rsidRPr="00836DDC">
              <w:rPr>
                <w:sz w:val="16"/>
                <w:szCs w:val="16"/>
              </w:rPr>
              <w:t>nterim Evaluation Report above, finalised with the incorporation of feedback.</w:t>
            </w:r>
          </w:p>
        </w:tc>
        <w:tc>
          <w:tcPr>
            <w:tcW w:w="2041" w:type="dxa"/>
          </w:tcPr>
          <w:p w14:paraId="696B28D6" w14:textId="77777777" w:rsidR="006D4DE5" w:rsidRPr="00836DDC" w:rsidRDefault="006D4DE5" w:rsidP="00B25FA6">
            <w:pPr>
              <w:pStyle w:val="TableNText"/>
              <w:rPr>
                <w:sz w:val="16"/>
                <w:szCs w:val="16"/>
              </w:rPr>
            </w:pPr>
            <w:r w:rsidRPr="00836DDC">
              <w:rPr>
                <w:sz w:val="16"/>
                <w:szCs w:val="16"/>
              </w:rPr>
              <w:t>30 October 2023</w:t>
            </w:r>
          </w:p>
        </w:tc>
      </w:tr>
    </w:tbl>
    <w:p w14:paraId="18BC14B0" w14:textId="5D9D8788" w:rsidR="006D4DE5" w:rsidRDefault="006D4DE5" w:rsidP="00FF66E6">
      <w:pPr>
        <w:pStyle w:val="Heading2"/>
      </w:pPr>
      <w:bookmarkStart w:id="25" w:name="_Ref61966832"/>
      <w:bookmarkStart w:id="26" w:name="_Toc82767211"/>
      <w:bookmarkStart w:id="27" w:name="_Ref58570194"/>
      <w:bookmarkStart w:id="28" w:name="_Ref58570203"/>
      <w:bookmarkStart w:id="29" w:name="_Ref57205132"/>
      <w:r>
        <w:lastRenderedPageBreak/>
        <w:t>Key evaluation questions</w:t>
      </w:r>
      <w:bookmarkEnd w:id="25"/>
      <w:bookmarkEnd w:id="26"/>
      <w:r>
        <w:t xml:space="preserve"> </w:t>
      </w:r>
      <w:bookmarkEnd w:id="27"/>
      <w:bookmarkEnd w:id="28"/>
    </w:p>
    <w:tbl>
      <w:tblPr>
        <w:tblStyle w:val="TableGrid"/>
        <w:tblW w:w="0" w:type="auto"/>
        <w:tblInd w:w="85" w:type="dxa"/>
        <w:tblBorders>
          <w:top w:val="none" w:sz="0" w:space="0" w:color="auto"/>
          <w:bottom w:val="none" w:sz="0" w:space="0" w:color="auto"/>
          <w:insideH w:val="none" w:sz="0" w:space="0" w:color="auto"/>
        </w:tblBorders>
        <w:shd w:val="clear" w:color="auto" w:fill="00264D" w:themeFill="background2"/>
        <w:tblLook w:val="0600" w:firstRow="0" w:lastRow="0" w:firstColumn="0" w:lastColumn="0" w:noHBand="1" w:noVBand="1"/>
        <w:tblCaption w:val="Overview of the key evaluation questions section"/>
        <w:tblDescription w:val="This section provides the overarching context for the evaluation including information on the key evaluation questions that will support the evaluation and the research questions that will steer the evaluation."/>
      </w:tblPr>
      <w:tblGrid>
        <w:gridCol w:w="1640"/>
        <w:gridCol w:w="7205"/>
      </w:tblGrid>
      <w:tr w:rsidR="00B66D4F" w:rsidRPr="001D6B0A" w14:paraId="6059DFE0" w14:textId="77777777" w:rsidTr="009F3793">
        <w:tc>
          <w:tcPr>
            <w:tcW w:w="1640" w:type="dxa"/>
            <w:shd w:val="clear" w:color="auto" w:fill="FFFFFF" w:themeFill="background1"/>
          </w:tcPr>
          <w:p w14:paraId="3B831CF7" w14:textId="77777777" w:rsidR="00B66D4F" w:rsidRPr="00EC36A5" w:rsidRDefault="00B66D4F" w:rsidP="00DB065F">
            <w:pPr>
              <w:pStyle w:val="TableNText"/>
            </w:pPr>
            <w:r w:rsidRPr="00877AD2">
              <w:rPr>
                <w:noProof/>
                <w:lang w:eastAsia="en-AU"/>
              </w:rPr>
              <w:drawing>
                <wp:inline distT="0" distB="0" distL="0" distR="0" wp14:anchorId="72EE72B5" wp14:editId="18D07BCD">
                  <wp:extent cx="930302" cy="741040"/>
                  <wp:effectExtent l="0" t="0" r="3175" b="2540"/>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6137" cy="745688"/>
                          </a:xfrm>
                          <a:prstGeom prst="rect">
                            <a:avLst/>
                          </a:prstGeom>
                          <a:noFill/>
                          <a:ln>
                            <a:noFill/>
                          </a:ln>
                        </pic:spPr>
                      </pic:pic>
                    </a:graphicData>
                  </a:graphic>
                </wp:inline>
              </w:drawing>
            </w:r>
          </w:p>
        </w:tc>
        <w:tc>
          <w:tcPr>
            <w:tcW w:w="7743" w:type="dxa"/>
            <w:shd w:val="clear" w:color="auto" w:fill="00264D" w:themeFill="background2"/>
          </w:tcPr>
          <w:p w14:paraId="757A3C3A" w14:textId="77777777" w:rsidR="00B66D4F" w:rsidRPr="00CF115B" w:rsidRDefault="00B66D4F" w:rsidP="00B66D4F">
            <w:pPr>
              <w:pStyle w:val="TableNText"/>
              <w:rPr>
                <w:color w:val="FFFFFF" w:themeColor="background1"/>
                <w:szCs w:val="17"/>
              </w:rPr>
            </w:pPr>
            <w:r w:rsidRPr="00CF115B">
              <w:t>This section provides the overarching context for the evaluation. It provides information on:</w:t>
            </w:r>
          </w:p>
          <w:p w14:paraId="6D65782D" w14:textId="77777777" w:rsidR="00B66D4F" w:rsidRPr="004D21A1" w:rsidRDefault="00B66D4F" w:rsidP="00B66D4F">
            <w:pPr>
              <w:pStyle w:val="TableNBullet"/>
            </w:pPr>
            <w:r>
              <w:t>the KEQs that will support the evaluation</w:t>
            </w:r>
          </w:p>
          <w:p w14:paraId="40859960" w14:textId="733C90A4" w:rsidR="00B66D4F" w:rsidRPr="00EC36A5" w:rsidRDefault="00B66D4F" w:rsidP="00B66D4F">
            <w:pPr>
              <w:pStyle w:val="TableNBullet"/>
            </w:pPr>
            <w:r>
              <w:t>the research questions that will steer the evaluation</w:t>
            </w:r>
            <w:r w:rsidR="0096468E">
              <w:t>.</w:t>
            </w:r>
          </w:p>
        </w:tc>
      </w:tr>
    </w:tbl>
    <w:p w14:paraId="3EBFDF53" w14:textId="77777777" w:rsidR="00B66D4F" w:rsidRDefault="00B66D4F" w:rsidP="00B66D4F">
      <w:pPr>
        <w:rPr>
          <w:lang w:eastAsia="en-AU"/>
        </w:rPr>
      </w:pPr>
    </w:p>
    <w:bookmarkEnd w:id="29"/>
    <w:p w14:paraId="3AF9CCC3" w14:textId="2B2A72EC" w:rsidR="006D4DE5" w:rsidRDefault="006D4DE5" w:rsidP="006D4DE5">
      <w:r>
        <w:t xml:space="preserve">The Department identified eight KEQs to guide the evaluation, which reflect the process, </w:t>
      </w:r>
      <w:proofErr w:type="gramStart"/>
      <w:r>
        <w:t>outcome</w:t>
      </w:r>
      <w:proofErr w:type="gramEnd"/>
      <w:r>
        <w:t xml:space="preserve"> and economic components. </w:t>
      </w:r>
      <w:r>
        <w:rPr>
          <w:szCs w:val="19"/>
        </w:rPr>
        <w:t xml:space="preserve">The KEQs and </w:t>
      </w:r>
      <w:r>
        <w:t xml:space="preserve">research questions are shown in </w:t>
      </w:r>
      <w:r>
        <w:fldChar w:fldCharType="begin"/>
      </w:r>
      <w:r>
        <w:instrText xml:space="preserve"> REF _Ref52357707 \h </w:instrText>
      </w:r>
      <w:r>
        <w:fldChar w:fldCharType="separate"/>
      </w:r>
      <w:r w:rsidR="00DF258C">
        <w:t xml:space="preserve">Table </w:t>
      </w:r>
      <w:r w:rsidR="00DF258C">
        <w:rPr>
          <w:noProof/>
        </w:rPr>
        <w:t>4</w:t>
      </w:r>
      <w:r>
        <w:fldChar w:fldCharType="end"/>
      </w:r>
      <w:r>
        <w:t xml:space="preserve">. These will guide data collection, </w:t>
      </w:r>
      <w:proofErr w:type="gramStart"/>
      <w:r>
        <w:t>analysis</w:t>
      </w:r>
      <w:proofErr w:type="gramEnd"/>
      <w:r>
        <w:t xml:space="preserve"> and structure reports. </w:t>
      </w:r>
    </w:p>
    <w:p w14:paraId="4F3EC77D" w14:textId="7962618D" w:rsidR="006D4DE5" w:rsidRDefault="006D4DE5" w:rsidP="006D4DE5">
      <w:pPr>
        <w:pStyle w:val="Caption"/>
      </w:pPr>
      <w:bookmarkStart w:id="30" w:name="_Ref52357707"/>
      <w:r>
        <w:t xml:space="preserve">Table </w:t>
      </w:r>
      <w:r>
        <w:fldChar w:fldCharType="begin"/>
      </w:r>
      <w:r>
        <w:instrText xml:space="preserve"> SEQ Table \* ARABIC </w:instrText>
      </w:r>
      <w:r>
        <w:fldChar w:fldCharType="separate"/>
      </w:r>
      <w:r w:rsidR="00DF258C">
        <w:rPr>
          <w:noProof/>
        </w:rPr>
        <w:t>4</w:t>
      </w:r>
      <w:r>
        <w:fldChar w:fldCharType="end"/>
      </w:r>
      <w:bookmarkEnd w:id="30"/>
      <w:r>
        <w:t xml:space="preserve"> | KEQs and research questions</w:t>
      </w:r>
    </w:p>
    <w:tbl>
      <w:tblPr>
        <w:tblStyle w:val="NOUSSideHeader1"/>
        <w:tblW w:w="0" w:type="auto"/>
        <w:tblBorders>
          <w:insideH w:val="single" w:sz="4" w:space="0" w:color="E6E6E1" w:themeColor="accent5"/>
          <w:insideV w:val="single" w:sz="4" w:space="0" w:color="E6E6E1" w:themeColor="accent5"/>
        </w:tblBorders>
        <w:tblLook w:val="0400" w:firstRow="0" w:lastRow="0" w:firstColumn="0" w:lastColumn="0" w:noHBand="0" w:noVBand="1"/>
        <w:tblCaption w:val="Table 4 gives an overview of the key evaluation questions and the research questions"/>
        <w:tblDescription w:val="The eight key evaluation questions look at the evaluation of the process, outcome and economic components of the Measure.&#10;&#10;The key evaluation questions are as follows:&#10;1. Has the Measure been implemented as planned and what are the implementation lessons from the Measure?&#10;2. How appropriate is the Measure to meet the needs of residents, families and carers in the RACF setting?&#10;3. How effective have the joint funding and delivery arrangements been for implementing and achieving the aims of the Measure? How could governance arrangements be more effective?&#10;4. To what extent has the Measure achieved its intended outcomes?&#10;5. How cost-effective is the Measure?&#10;6. Is there a specific model of care that has been implemented that has proven to be more successful than others?&#10;7. How well does the Measure align and contribute to the National Palliative Care Strategy? Are there opportunities for improvement?&#10;8. Does the Measure and the models adopted in each jurisdiction help to address health system interface issues?"/>
      </w:tblPr>
      <w:tblGrid>
        <w:gridCol w:w="2038"/>
        <w:gridCol w:w="4463"/>
        <w:gridCol w:w="717"/>
        <w:gridCol w:w="840"/>
        <w:gridCol w:w="872"/>
      </w:tblGrid>
      <w:tr w:rsidR="006D4DE5" w:rsidRPr="005811F0" w14:paraId="17203EA0" w14:textId="77777777" w:rsidTr="00FE7BAF">
        <w:trPr>
          <w:cnfStyle w:val="000000010000" w:firstRow="0" w:lastRow="0" w:firstColumn="0" w:lastColumn="0" w:oddVBand="0" w:evenVBand="0" w:oddHBand="0" w:evenHBand="1" w:firstRowFirstColumn="0" w:firstRowLastColumn="0" w:lastRowFirstColumn="0" w:lastRowLastColumn="0"/>
          <w:trHeight w:val="158"/>
          <w:tblHeader/>
        </w:trPr>
        <w:tc>
          <w:tcPr>
            <w:tcW w:w="2070" w:type="dxa"/>
            <w:vMerge w:val="restart"/>
            <w:shd w:val="clear" w:color="auto" w:fill="00264D" w:themeFill="background2"/>
          </w:tcPr>
          <w:p w14:paraId="3296E707" w14:textId="2EB09E45" w:rsidR="006D4DE5" w:rsidRPr="005811F0" w:rsidRDefault="006D4DE5" w:rsidP="0096468E">
            <w:pPr>
              <w:pStyle w:val="TableNheader"/>
              <w:rPr>
                <w:color w:val="FFFFFF" w:themeColor="background1"/>
                <w:sz w:val="16"/>
                <w:szCs w:val="16"/>
              </w:rPr>
            </w:pPr>
            <w:r w:rsidRPr="005811F0">
              <w:rPr>
                <w:color w:val="FFFFFF" w:themeColor="background1"/>
                <w:sz w:val="16"/>
                <w:szCs w:val="16"/>
              </w:rPr>
              <w:t>KEQ</w:t>
            </w:r>
          </w:p>
        </w:tc>
        <w:tc>
          <w:tcPr>
            <w:tcW w:w="4601" w:type="dxa"/>
            <w:vMerge w:val="restart"/>
            <w:shd w:val="clear" w:color="auto" w:fill="00264D" w:themeFill="background2"/>
          </w:tcPr>
          <w:p w14:paraId="6229B5BB" w14:textId="1CEFF5B0" w:rsidR="006D4DE5" w:rsidRPr="005811F0" w:rsidRDefault="006D4DE5" w:rsidP="0096468E">
            <w:pPr>
              <w:pStyle w:val="TableNheader"/>
              <w:rPr>
                <w:color w:val="FFFFFF" w:themeColor="background1"/>
                <w:sz w:val="16"/>
                <w:szCs w:val="16"/>
              </w:rPr>
            </w:pPr>
            <w:r w:rsidRPr="005811F0">
              <w:rPr>
                <w:color w:val="FFFFFF" w:themeColor="background1"/>
                <w:sz w:val="16"/>
                <w:szCs w:val="16"/>
              </w:rPr>
              <w:t>Research question</w:t>
            </w:r>
          </w:p>
        </w:tc>
        <w:tc>
          <w:tcPr>
            <w:tcW w:w="2429" w:type="dxa"/>
            <w:gridSpan w:val="3"/>
            <w:tcBorders>
              <w:bottom w:val="single" w:sz="4" w:space="0" w:color="E6E6E1" w:themeColor="accent5"/>
            </w:tcBorders>
            <w:shd w:val="clear" w:color="auto" w:fill="00264D" w:themeFill="background2"/>
          </w:tcPr>
          <w:p w14:paraId="575947B1" w14:textId="71C8D153" w:rsidR="006D4DE5" w:rsidRPr="005811F0" w:rsidRDefault="006D4DE5" w:rsidP="0096468E">
            <w:pPr>
              <w:pStyle w:val="TableNheader"/>
              <w:rPr>
                <w:color w:val="FFFFFF" w:themeColor="background1"/>
                <w:sz w:val="16"/>
                <w:szCs w:val="16"/>
              </w:rPr>
            </w:pPr>
            <w:r w:rsidRPr="005811F0">
              <w:rPr>
                <w:color w:val="FFFFFF" w:themeColor="background1"/>
                <w:sz w:val="16"/>
                <w:szCs w:val="16"/>
              </w:rPr>
              <w:t>Evaluation component</w:t>
            </w:r>
          </w:p>
        </w:tc>
      </w:tr>
      <w:tr w:rsidR="006D4DE5" w:rsidRPr="005811F0" w14:paraId="182BF1B2" w14:textId="748065A2" w:rsidTr="00FE7BAF">
        <w:trPr>
          <w:cnfStyle w:val="000000010000" w:firstRow="0" w:lastRow="0" w:firstColumn="0" w:lastColumn="0" w:oddVBand="0" w:evenVBand="0" w:oddHBand="0" w:evenHBand="1" w:firstRowFirstColumn="0" w:firstRowLastColumn="0" w:lastRowFirstColumn="0" w:lastRowLastColumn="0"/>
          <w:trHeight w:val="227"/>
          <w:tblHeader/>
        </w:trPr>
        <w:tc>
          <w:tcPr>
            <w:tcW w:w="2070" w:type="dxa"/>
            <w:vMerge/>
            <w:shd w:val="clear" w:color="auto" w:fill="00264D" w:themeFill="background2"/>
          </w:tcPr>
          <w:p w14:paraId="3677EEF0" w14:textId="3ECF735E" w:rsidR="006D4DE5" w:rsidRPr="005811F0" w:rsidRDefault="006D4DE5" w:rsidP="00B25FA6">
            <w:pPr>
              <w:spacing w:after="0"/>
              <w:rPr>
                <w:rFonts w:asciiTheme="majorHAnsi" w:hAnsiTheme="majorHAnsi" w:cstheme="majorHAnsi"/>
                <w:color w:val="FFFFFF" w:themeColor="background1"/>
                <w:sz w:val="16"/>
                <w:szCs w:val="16"/>
              </w:rPr>
            </w:pPr>
          </w:p>
        </w:tc>
        <w:tc>
          <w:tcPr>
            <w:tcW w:w="4601" w:type="dxa"/>
            <w:vMerge/>
            <w:shd w:val="clear" w:color="auto" w:fill="00264D" w:themeFill="background2"/>
          </w:tcPr>
          <w:p w14:paraId="32162F93" w14:textId="33E37FB8" w:rsidR="006D4DE5" w:rsidRPr="005811F0" w:rsidRDefault="006D4DE5" w:rsidP="00B25FA6">
            <w:pPr>
              <w:spacing w:after="0"/>
              <w:rPr>
                <w:rFonts w:asciiTheme="majorHAnsi" w:hAnsiTheme="majorHAnsi" w:cstheme="majorHAnsi"/>
                <w:color w:val="FFFFFF" w:themeColor="background1"/>
                <w:sz w:val="16"/>
                <w:szCs w:val="16"/>
              </w:rPr>
            </w:pPr>
          </w:p>
        </w:tc>
        <w:tc>
          <w:tcPr>
            <w:tcW w:w="717" w:type="dxa"/>
            <w:tcBorders>
              <w:top w:val="single" w:sz="4" w:space="0" w:color="E6E6E1" w:themeColor="accent5"/>
              <w:bottom w:val="single" w:sz="4" w:space="0" w:color="E6E6E1" w:themeColor="accent5"/>
              <w:right w:val="single" w:sz="4" w:space="0" w:color="FFFFFF" w:themeColor="background1"/>
            </w:tcBorders>
            <w:shd w:val="clear" w:color="auto" w:fill="E6E6E1" w:themeFill="accent5"/>
          </w:tcPr>
          <w:p w14:paraId="64FFB0D6" w14:textId="3374334E" w:rsidR="006D4DE5" w:rsidRPr="005811F0" w:rsidRDefault="006D4DE5" w:rsidP="00B25FA6">
            <w:pPr>
              <w:spacing w:after="0"/>
              <w:rPr>
                <w:rFonts w:asciiTheme="majorHAnsi" w:hAnsiTheme="majorHAnsi" w:cstheme="majorHAnsi"/>
                <w:color w:val="FF3A40" w:themeColor="accent1"/>
                <w:sz w:val="16"/>
                <w:szCs w:val="16"/>
              </w:rPr>
            </w:pPr>
            <w:r w:rsidRPr="005811F0">
              <w:rPr>
                <w:rFonts w:asciiTheme="majorHAnsi" w:hAnsiTheme="majorHAnsi" w:cstheme="majorHAnsi"/>
                <w:color w:val="FF3A40" w:themeColor="accent1"/>
                <w:sz w:val="16"/>
                <w:szCs w:val="16"/>
              </w:rPr>
              <w:t>Process</w:t>
            </w:r>
          </w:p>
        </w:tc>
        <w:tc>
          <w:tcPr>
            <w:tcW w:w="840" w:type="dxa"/>
            <w:tcBorders>
              <w:top w:val="single" w:sz="4" w:space="0" w:color="E6E6E1" w:themeColor="accent5"/>
              <w:left w:val="single" w:sz="4" w:space="0" w:color="FFFFFF" w:themeColor="background1"/>
              <w:bottom w:val="single" w:sz="4" w:space="0" w:color="E6E6E1" w:themeColor="accent5"/>
              <w:right w:val="single" w:sz="4" w:space="0" w:color="FFFFFF" w:themeColor="background1"/>
            </w:tcBorders>
            <w:shd w:val="clear" w:color="auto" w:fill="E6E6E1" w:themeFill="accent5"/>
          </w:tcPr>
          <w:p w14:paraId="3FE560CC" w14:textId="488FF2D9" w:rsidR="006D4DE5" w:rsidRPr="005811F0" w:rsidRDefault="006D4DE5" w:rsidP="00B25FA6">
            <w:pPr>
              <w:spacing w:after="0"/>
              <w:rPr>
                <w:rFonts w:asciiTheme="majorHAnsi" w:hAnsiTheme="majorHAnsi" w:cstheme="majorHAnsi"/>
                <w:color w:val="F25E21" w:themeColor="accent2"/>
                <w:sz w:val="16"/>
                <w:szCs w:val="16"/>
              </w:rPr>
            </w:pPr>
            <w:r w:rsidRPr="005811F0">
              <w:rPr>
                <w:rFonts w:asciiTheme="majorHAnsi" w:hAnsiTheme="majorHAnsi" w:cstheme="majorHAnsi"/>
                <w:color w:val="F25E21" w:themeColor="accent2"/>
                <w:sz w:val="16"/>
                <w:szCs w:val="16"/>
              </w:rPr>
              <w:t>Outcome</w:t>
            </w:r>
          </w:p>
        </w:tc>
        <w:tc>
          <w:tcPr>
            <w:tcW w:w="872" w:type="dxa"/>
            <w:tcBorders>
              <w:top w:val="single" w:sz="4" w:space="0" w:color="E6E6E1" w:themeColor="accent5"/>
              <w:left w:val="single" w:sz="4" w:space="0" w:color="FFFFFF" w:themeColor="background1"/>
              <w:bottom w:val="single" w:sz="4" w:space="0" w:color="E6E6E1" w:themeColor="accent5"/>
            </w:tcBorders>
            <w:shd w:val="clear" w:color="auto" w:fill="E6E6E1" w:themeFill="accent5"/>
          </w:tcPr>
          <w:p w14:paraId="5555F1AB" w14:textId="6D249784" w:rsidR="006D4DE5" w:rsidRPr="005811F0" w:rsidRDefault="006D4DE5" w:rsidP="00B25FA6">
            <w:pPr>
              <w:spacing w:after="0"/>
              <w:rPr>
                <w:rFonts w:asciiTheme="majorHAnsi" w:hAnsiTheme="majorHAnsi" w:cstheme="majorHAnsi"/>
                <w:color w:val="F8981D" w:themeColor="accent3"/>
                <w:sz w:val="16"/>
                <w:szCs w:val="16"/>
              </w:rPr>
            </w:pPr>
            <w:r w:rsidRPr="005811F0">
              <w:rPr>
                <w:rFonts w:asciiTheme="majorHAnsi" w:hAnsiTheme="majorHAnsi" w:cstheme="majorHAnsi"/>
                <w:color w:val="F8981D" w:themeColor="accent3"/>
                <w:sz w:val="16"/>
                <w:szCs w:val="16"/>
              </w:rPr>
              <w:t>Economic</w:t>
            </w:r>
          </w:p>
        </w:tc>
      </w:tr>
      <w:tr w:rsidR="006D4DE5" w:rsidRPr="005811F0" w14:paraId="6CD0C9EA" w14:textId="055D463A" w:rsidTr="00B25FA6">
        <w:trPr>
          <w:cnfStyle w:val="000000100000" w:firstRow="0" w:lastRow="0" w:firstColumn="0" w:lastColumn="0" w:oddVBand="0" w:evenVBand="0" w:oddHBand="1" w:evenHBand="0" w:firstRowFirstColumn="0" w:firstRowLastColumn="0" w:lastRowFirstColumn="0" w:lastRowLastColumn="0"/>
          <w:trHeight w:val="227"/>
        </w:trPr>
        <w:tc>
          <w:tcPr>
            <w:tcW w:w="2070" w:type="dxa"/>
            <w:vMerge w:val="restart"/>
          </w:tcPr>
          <w:p w14:paraId="68E40497" w14:textId="77777777" w:rsidR="006D4DE5" w:rsidRPr="005811F0" w:rsidRDefault="006D4DE5" w:rsidP="0096468E">
            <w:pPr>
              <w:pStyle w:val="TableNText"/>
              <w:rPr>
                <w:sz w:val="16"/>
                <w:szCs w:val="16"/>
              </w:rPr>
            </w:pPr>
            <w:r w:rsidRPr="005811F0">
              <w:rPr>
                <w:sz w:val="16"/>
                <w:szCs w:val="16"/>
              </w:rPr>
              <w:t>1. Has the Measure been implemented as planned and what are the implementation lessons from the Measure?</w:t>
            </w:r>
          </w:p>
        </w:tc>
        <w:tc>
          <w:tcPr>
            <w:tcW w:w="4601" w:type="dxa"/>
          </w:tcPr>
          <w:p w14:paraId="0E910746" w14:textId="77777777" w:rsidR="006D4DE5" w:rsidRPr="005811F0" w:rsidRDefault="006D4DE5" w:rsidP="0096468E">
            <w:pPr>
              <w:pStyle w:val="TableNText"/>
              <w:rPr>
                <w:sz w:val="16"/>
                <w:szCs w:val="16"/>
              </w:rPr>
            </w:pPr>
            <w:r w:rsidRPr="005811F0">
              <w:rPr>
                <w:sz w:val="16"/>
                <w:szCs w:val="16"/>
              </w:rPr>
              <w:t>What is important to understand about the policy and operating contexts in which the Measure is delivered?</w:t>
            </w:r>
          </w:p>
        </w:tc>
        <w:tc>
          <w:tcPr>
            <w:tcW w:w="717" w:type="dxa"/>
            <w:tcBorders>
              <w:top w:val="single" w:sz="4" w:space="0" w:color="E6E6E1" w:themeColor="accent5"/>
            </w:tcBorders>
          </w:tcPr>
          <w:p w14:paraId="1DB99BCD" w14:textId="623CE332" w:rsidR="006D4DE5" w:rsidRPr="005811F0" w:rsidRDefault="006D4DE5" w:rsidP="00B25FA6">
            <w:pPr>
              <w:spacing w:after="0"/>
              <w:jc w:val="center"/>
              <w:rPr>
                <w:rFonts w:ascii="Segoe UI Symbol" w:hAnsi="Segoe UI Symbol" w:cs="Segoe UI Symbol"/>
                <w:b/>
                <w:color w:val="FF3A40" w:themeColor="accent1"/>
                <w:sz w:val="16"/>
                <w:szCs w:val="16"/>
                <w:shd w:val="clear" w:color="auto" w:fill="FFFFFF"/>
              </w:rPr>
            </w:pPr>
            <w:r w:rsidRPr="005811F0">
              <w:rPr>
                <w:rFonts w:ascii="Segoe UI Symbol" w:hAnsi="Segoe UI Symbol" w:cs="Segoe UI Symbol"/>
                <w:b/>
                <w:color w:val="FF3A40" w:themeColor="accent1"/>
                <w:sz w:val="16"/>
                <w:szCs w:val="16"/>
                <w:shd w:val="clear" w:color="auto" w:fill="FFFFFF"/>
              </w:rPr>
              <w:t>✓</w:t>
            </w:r>
          </w:p>
        </w:tc>
        <w:tc>
          <w:tcPr>
            <w:tcW w:w="840" w:type="dxa"/>
            <w:tcBorders>
              <w:top w:val="single" w:sz="4" w:space="0" w:color="E6E6E1" w:themeColor="accent5"/>
            </w:tcBorders>
          </w:tcPr>
          <w:p w14:paraId="3F2FC9AB" w14:textId="77777777" w:rsidR="006D4DE5" w:rsidRPr="005811F0" w:rsidRDefault="006D4DE5" w:rsidP="00B25FA6">
            <w:pPr>
              <w:spacing w:after="0"/>
              <w:jc w:val="center"/>
              <w:rPr>
                <w:color w:val="F25E21" w:themeColor="accent2"/>
                <w:sz w:val="16"/>
                <w:szCs w:val="16"/>
              </w:rPr>
            </w:pPr>
          </w:p>
        </w:tc>
        <w:tc>
          <w:tcPr>
            <w:tcW w:w="872" w:type="dxa"/>
            <w:tcBorders>
              <w:top w:val="single" w:sz="4" w:space="0" w:color="E6E6E1" w:themeColor="accent5"/>
            </w:tcBorders>
          </w:tcPr>
          <w:p w14:paraId="4F682D4D" w14:textId="77777777" w:rsidR="006D4DE5" w:rsidRPr="005811F0" w:rsidRDefault="006D4DE5" w:rsidP="00B25FA6">
            <w:pPr>
              <w:spacing w:after="0"/>
              <w:jc w:val="center"/>
              <w:rPr>
                <w:color w:val="F8981D" w:themeColor="accent3"/>
                <w:sz w:val="16"/>
                <w:szCs w:val="16"/>
              </w:rPr>
            </w:pPr>
          </w:p>
        </w:tc>
      </w:tr>
      <w:tr w:rsidR="006D4DE5" w:rsidRPr="005811F0" w14:paraId="32079CEC" w14:textId="5DF2A423" w:rsidTr="00B25FA6">
        <w:trPr>
          <w:cnfStyle w:val="000000010000" w:firstRow="0" w:lastRow="0" w:firstColumn="0" w:lastColumn="0" w:oddVBand="0" w:evenVBand="0" w:oddHBand="0" w:evenHBand="1" w:firstRowFirstColumn="0" w:firstRowLastColumn="0" w:lastRowFirstColumn="0" w:lastRowLastColumn="0"/>
          <w:trHeight w:val="227"/>
        </w:trPr>
        <w:tc>
          <w:tcPr>
            <w:tcW w:w="2070" w:type="dxa"/>
            <w:vMerge/>
          </w:tcPr>
          <w:p w14:paraId="20DF0CC5" w14:textId="77777777" w:rsidR="006D4DE5" w:rsidRPr="005811F0" w:rsidRDefault="006D4DE5" w:rsidP="0096468E">
            <w:pPr>
              <w:pStyle w:val="TableNText"/>
              <w:rPr>
                <w:sz w:val="16"/>
                <w:szCs w:val="16"/>
              </w:rPr>
            </w:pPr>
          </w:p>
        </w:tc>
        <w:tc>
          <w:tcPr>
            <w:tcW w:w="4601" w:type="dxa"/>
          </w:tcPr>
          <w:p w14:paraId="27F9B7A9" w14:textId="77777777" w:rsidR="006D4DE5" w:rsidRPr="005811F0" w:rsidRDefault="006D4DE5" w:rsidP="0096468E">
            <w:pPr>
              <w:pStyle w:val="TableNText"/>
              <w:rPr>
                <w:sz w:val="16"/>
                <w:szCs w:val="16"/>
              </w:rPr>
            </w:pPr>
            <w:r w:rsidRPr="005811F0">
              <w:rPr>
                <w:sz w:val="16"/>
                <w:szCs w:val="16"/>
              </w:rPr>
              <w:t>What is the aim of the Measure?</w:t>
            </w:r>
          </w:p>
        </w:tc>
        <w:tc>
          <w:tcPr>
            <w:tcW w:w="717" w:type="dxa"/>
          </w:tcPr>
          <w:p w14:paraId="681B3FE9" w14:textId="440F4BDB" w:rsidR="006D4DE5" w:rsidRPr="005811F0" w:rsidRDefault="006D4DE5" w:rsidP="00B25FA6">
            <w:pPr>
              <w:spacing w:after="0"/>
              <w:jc w:val="center"/>
              <w:rPr>
                <w:color w:val="FF3A40" w:themeColor="accent1"/>
                <w:sz w:val="16"/>
                <w:szCs w:val="16"/>
              </w:rPr>
            </w:pPr>
          </w:p>
        </w:tc>
        <w:tc>
          <w:tcPr>
            <w:tcW w:w="840" w:type="dxa"/>
          </w:tcPr>
          <w:p w14:paraId="41DA7B7E" w14:textId="2C82AF3E" w:rsidR="006D4DE5" w:rsidRPr="005811F0" w:rsidRDefault="006D4DE5" w:rsidP="00B25FA6">
            <w:pPr>
              <w:spacing w:after="0"/>
              <w:jc w:val="center"/>
              <w:rPr>
                <w:rFonts w:ascii="Segoe UI Symbol" w:hAnsi="Segoe UI Symbol" w:cs="Segoe UI Symbol"/>
                <w:b/>
                <w:color w:val="F25E21" w:themeColor="accent2"/>
                <w:sz w:val="16"/>
                <w:szCs w:val="16"/>
                <w:shd w:val="clear" w:color="auto" w:fill="FFFFFF"/>
              </w:rPr>
            </w:pPr>
            <w:r w:rsidRPr="005811F0">
              <w:rPr>
                <w:rFonts w:ascii="Segoe UI Symbol" w:hAnsi="Segoe UI Symbol" w:cs="Segoe UI Symbol"/>
                <w:b/>
                <w:color w:val="F25E21" w:themeColor="accent2"/>
                <w:sz w:val="16"/>
                <w:szCs w:val="16"/>
                <w:shd w:val="clear" w:color="auto" w:fill="FFFFFF"/>
              </w:rPr>
              <w:t>✓</w:t>
            </w:r>
          </w:p>
        </w:tc>
        <w:tc>
          <w:tcPr>
            <w:tcW w:w="872" w:type="dxa"/>
          </w:tcPr>
          <w:p w14:paraId="640F2D44" w14:textId="77777777" w:rsidR="006D4DE5" w:rsidRPr="005811F0" w:rsidRDefault="006D4DE5" w:rsidP="00B25FA6">
            <w:pPr>
              <w:spacing w:after="0"/>
              <w:jc w:val="center"/>
              <w:rPr>
                <w:color w:val="F8981D" w:themeColor="accent3"/>
                <w:sz w:val="16"/>
                <w:szCs w:val="16"/>
              </w:rPr>
            </w:pPr>
          </w:p>
        </w:tc>
      </w:tr>
      <w:tr w:rsidR="006D4DE5" w:rsidRPr="005811F0" w14:paraId="53331627" w14:textId="771F3685" w:rsidTr="00B25FA6">
        <w:trPr>
          <w:cnfStyle w:val="000000100000" w:firstRow="0" w:lastRow="0" w:firstColumn="0" w:lastColumn="0" w:oddVBand="0" w:evenVBand="0" w:oddHBand="1" w:evenHBand="0" w:firstRowFirstColumn="0" w:firstRowLastColumn="0" w:lastRowFirstColumn="0" w:lastRowLastColumn="0"/>
          <w:trHeight w:val="227"/>
        </w:trPr>
        <w:tc>
          <w:tcPr>
            <w:tcW w:w="2070" w:type="dxa"/>
            <w:vMerge/>
          </w:tcPr>
          <w:p w14:paraId="691BCAFF" w14:textId="77777777" w:rsidR="006D4DE5" w:rsidRPr="005811F0" w:rsidRDefault="006D4DE5" w:rsidP="0096468E">
            <w:pPr>
              <w:pStyle w:val="TableNText"/>
              <w:rPr>
                <w:sz w:val="16"/>
                <w:szCs w:val="16"/>
              </w:rPr>
            </w:pPr>
          </w:p>
        </w:tc>
        <w:tc>
          <w:tcPr>
            <w:tcW w:w="4601" w:type="dxa"/>
          </w:tcPr>
          <w:p w14:paraId="6A477A7E" w14:textId="77777777" w:rsidR="006D4DE5" w:rsidRPr="005811F0" w:rsidRDefault="006D4DE5" w:rsidP="0096468E">
            <w:pPr>
              <w:pStyle w:val="TableNText"/>
              <w:rPr>
                <w:sz w:val="16"/>
                <w:szCs w:val="16"/>
              </w:rPr>
            </w:pPr>
            <w:r w:rsidRPr="005811F0">
              <w:rPr>
                <w:sz w:val="16"/>
                <w:szCs w:val="16"/>
              </w:rPr>
              <w:t>Has the Measure been implemented as planned?</w:t>
            </w:r>
          </w:p>
        </w:tc>
        <w:tc>
          <w:tcPr>
            <w:tcW w:w="717" w:type="dxa"/>
          </w:tcPr>
          <w:p w14:paraId="03531B05" w14:textId="7E86518C" w:rsidR="006D4DE5" w:rsidRPr="005811F0" w:rsidRDefault="006D4DE5" w:rsidP="00B25FA6">
            <w:pPr>
              <w:spacing w:after="0"/>
              <w:jc w:val="center"/>
              <w:rPr>
                <w:rFonts w:ascii="Segoe UI Symbol" w:hAnsi="Segoe UI Symbol" w:cs="Segoe UI Symbol"/>
                <w:b/>
                <w:color w:val="FF3A40" w:themeColor="accent1"/>
                <w:sz w:val="16"/>
                <w:szCs w:val="16"/>
                <w:shd w:val="clear" w:color="auto" w:fill="FFFFFF"/>
              </w:rPr>
            </w:pPr>
            <w:r w:rsidRPr="005811F0">
              <w:rPr>
                <w:rFonts w:ascii="Segoe UI Symbol" w:hAnsi="Segoe UI Symbol" w:cs="Segoe UI Symbol"/>
                <w:b/>
                <w:color w:val="FF3A40" w:themeColor="accent1"/>
                <w:sz w:val="16"/>
                <w:szCs w:val="16"/>
                <w:shd w:val="clear" w:color="auto" w:fill="FFFFFF"/>
              </w:rPr>
              <w:t>✓</w:t>
            </w:r>
          </w:p>
        </w:tc>
        <w:tc>
          <w:tcPr>
            <w:tcW w:w="840" w:type="dxa"/>
          </w:tcPr>
          <w:p w14:paraId="42C48168" w14:textId="77777777" w:rsidR="006D4DE5" w:rsidRPr="005811F0" w:rsidRDefault="006D4DE5" w:rsidP="00B25FA6">
            <w:pPr>
              <w:spacing w:after="0"/>
              <w:jc w:val="center"/>
              <w:rPr>
                <w:color w:val="F25E21" w:themeColor="accent2"/>
                <w:sz w:val="16"/>
                <w:szCs w:val="16"/>
              </w:rPr>
            </w:pPr>
          </w:p>
        </w:tc>
        <w:tc>
          <w:tcPr>
            <w:tcW w:w="872" w:type="dxa"/>
          </w:tcPr>
          <w:p w14:paraId="7BE0E4ED" w14:textId="77777777" w:rsidR="006D4DE5" w:rsidRPr="005811F0" w:rsidRDefault="006D4DE5" w:rsidP="00B25FA6">
            <w:pPr>
              <w:spacing w:after="0"/>
              <w:jc w:val="center"/>
              <w:rPr>
                <w:color w:val="F8981D" w:themeColor="accent3"/>
                <w:sz w:val="16"/>
                <w:szCs w:val="16"/>
              </w:rPr>
            </w:pPr>
          </w:p>
        </w:tc>
      </w:tr>
      <w:tr w:rsidR="006D4DE5" w:rsidRPr="005811F0" w14:paraId="6531DEC8" w14:textId="1F4239E4" w:rsidTr="00B25FA6">
        <w:trPr>
          <w:cnfStyle w:val="000000010000" w:firstRow="0" w:lastRow="0" w:firstColumn="0" w:lastColumn="0" w:oddVBand="0" w:evenVBand="0" w:oddHBand="0" w:evenHBand="1" w:firstRowFirstColumn="0" w:firstRowLastColumn="0" w:lastRowFirstColumn="0" w:lastRowLastColumn="0"/>
          <w:trHeight w:val="227"/>
        </w:trPr>
        <w:tc>
          <w:tcPr>
            <w:tcW w:w="2070" w:type="dxa"/>
            <w:vMerge/>
          </w:tcPr>
          <w:p w14:paraId="69E5C2F6" w14:textId="77777777" w:rsidR="006D4DE5" w:rsidRPr="005811F0" w:rsidRDefault="006D4DE5" w:rsidP="0096468E">
            <w:pPr>
              <w:pStyle w:val="TableNText"/>
              <w:rPr>
                <w:sz w:val="16"/>
                <w:szCs w:val="16"/>
              </w:rPr>
            </w:pPr>
          </w:p>
        </w:tc>
        <w:tc>
          <w:tcPr>
            <w:tcW w:w="4601" w:type="dxa"/>
          </w:tcPr>
          <w:p w14:paraId="2E754DAE" w14:textId="77777777" w:rsidR="006D4DE5" w:rsidRPr="005811F0" w:rsidRDefault="006D4DE5" w:rsidP="0096468E">
            <w:pPr>
              <w:pStyle w:val="TableNText"/>
              <w:rPr>
                <w:sz w:val="16"/>
                <w:szCs w:val="16"/>
              </w:rPr>
            </w:pPr>
            <w:r w:rsidRPr="005811F0">
              <w:rPr>
                <w:sz w:val="16"/>
                <w:szCs w:val="16"/>
              </w:rPr>
              <w:t>How could the implementation process have been improved?</w:t>
            </w:r>
          </w:p>
        </w:tc>
        <w:tc>
          <w:tcPr>
            <w:tcW w:w="717" w:type="dxa"/>
          </w:tcPr>
          <w:p w14:paraId="78945822" w14:textId="7AEC18DC" w:rsidR="006D4DE5" w:rsidRPr="005811F0" w:rsidRDefault="006D4DE5" w:rsidP="00B25FA6">
            <w:pPr>
              <w:spacing w:after="0"/>
              <w:jc w:val="center"/>
              <w:rPr>
                <w:rFonts w:ascii="Segoe UI Symbol" w:hAnsi="Segoe UI Symbol" w:cs="Segoe UI Symbol"/>
                <w:b/>
                <w:color w:val="FF3A40" w:themeColor="accent1"/>
                <w:sz w:val="16"/>
                <w:szCs w:val="16"/>
                <w:shd w:val="clear" w:color="auto" w:fill="FFFFFF"/>
              </w:rPr>
            </w:pPr>
            <w:r w:rsidRPr="005811F0">
              <w:rPr>
                <w:rFonts w:ascii="Segoe UI Symbol" w:hAnsi="Segoe UI Symbol" w:cs="Segoe UI Symbol"/>
                <w:b/>
                <w:color w:val="FF3A40" w:themeColor="accent1"/>
                <w:sz w:val="16"/>
                <w:szCs w:val="16"/>
                <w:shd w:val="clear" w:color="auto" w:fill="FFFFFF"/>
              </w:rPr>
              <w:t>✓</w:t>
            </w:r>
          </w:p>
        </w:tc>
        <w:tc>
          <w:tcPr>
            <w:tcW w:w="840" w:type="dxa"/>
          </w:tcPr>
          <w:p w14:paraId="553E7515" w14:textId="77777777" w:rsidR="006D4DE5" w:rsidRPr="005811F0" w:rsidRDefault="006D4DE5" w:rsidP="00B25FA6">
            <w:pPr>
              <w:spacing w:after="0"/>
              <w:jc w:val="center"/>
              <w:rPr>
                <w:color w:val="F25E21" w:themeColor="accent2"/>
                <w:sz w:val="16"/>
                <w:szCs w:val="16"/>
              </w:rPr>
            </w:pPr>
          </w:p>
        </w:tc>
        <w:tc>
          <w:tcPr>
            <w:tcW w:w="872" w:type="dxa"/>
          </w:tcPr>
          <w:p w14:paraId="2BD21FC2" w14:textId="77777777" w:rsidR="006D4DE5" w:rsidRPr="005811F0" w:rsidRDefault="006D4DE5" w:rsidP="00B25FA6">
            <w:pPr>
              <w:spacing w:after="0"/>
              <w:jc w:val="center"/>
              <w:rPr>
                <w:color w:val="F8981D" w:themeColor="accent3"/>
                <w:sz w:val="16"/>
                <w:szCs w:val="16"/>
              </w:rPr>
            </w:pPr>
          </w:p>
        </w:tc>
      </w:tr>
      <w:tr w:rsidR="006D4DE5" w:rsidRPr="005811F0" w14:paraId="44AD7E30" w14:textId="0AA70FC2" w:rsidTr="00B25FA6">
        <w:trPr>
          <w:cnfStyle w:val="000000100000" w:firstRow="0" w:lastRow="0" w:firstColumn="0" w:lastColumn="0" w:oddVBand="0" w:evenVBand="0" w:oddHBand="1" w:evenHBand="0" w:firstRowFirstColumn="0" w:firstRowLastColumn="0" w:lastRowFirstColumn="0" w:lastRowLastColumn="0"/>
          <w:trHeight w:val="227"/>
        </w:trPr>
        <w:tc>
          <w:tcPr>
            <w:tcW w:w="2070" w:type="dxa"/>
            <w:vMerge w:val="restart"/>
          </w:tcPr>
          <w:p w14:paraId="453C7EF0" w14:textId="77777777" w:rsidR="006D4DE5" w:rsidRPr="005811F0" w:rsidRDefault="006D4DE5" w:rsidP="0096468E">
            <w:pPr>
              <w:pStyle w:val="TableNText"/>
              <w:rPr>
                <w:sz w:val="16"/>
                <w:szCs w:val="16"/>
              </w:rPr>
            </w:pPr>
            <w:r w:rsidRPr="005811F0">
              <w:rPr>
                <w:sz w:val="16"/>
                <w:szCs w:val="16"/>
                <w:lang w:eastAsia="en-AU"/>
              </w:rPr>
              <w:t xml:space="preserve">2. How appropriate is the Measure to meet the needs of residents, </w:t>
            </w:r>
            <w:proofErr w:type="gramStart"/>
            <w:r w:rsidRPr="005811F0">
              <w:rPr>
                <w:sz w:val="16"/>
                <w:szCs w:val="16"/>
                <w:lang w:eastAsia="en-AU"/>
              </w:rPr>
              <w:t>families</w:t>
            </w:r>
            <w:proofErr w:type="gramEnd"/>
            <w:r w:rsidRPr="005811F0">
              <w:rPr>
                <w:sz w:val="16"/>
                <w:szCs w:val="16"/>
                <w:lang w:eastAsia="en-AU"/>
              </w:rPr>
              <w:t xml:space="preserve"> and carers in the RACF setting?</w:t>
            </w:r>
          </w:p>
        </w:tc>
        <w:tc>
          <w:tcPr>
            <w:tcW w:w="4601" w:type="dxa"/>
          </w:tcPr>
          <w:p w14:paraId="3CDEA6B0" w14:textId="77777777" w:rsidR="006D4DE5" w:rsidRPr="005811F0" w:rsidRDefault="006D4DE5" w:rsidP="0096468E">
            <w:pPr>
              <w:pStyle w:val="TableNText"/>
              <w:rPr>
                <w:sz w:val="16"/>
                <w:szCs w:val="16"/>
              </w:rPr>
            </w:pPr>
            <w:r w:rsidRPr="005811F0">
              <w:rPr>
                <w:sz w:val="16"/>
                <w:szCs w:val="16"/>
                <w:lang w:eastAsia="en-AU"/>
              </w:rPr>
              <w:t>What are the palliative care needs of residents, families/</w:t>
            </w:r>
            <w:proofErr w:type="gramStart"/>
            <w:r w:rsidRPr="005811F0">
              <w:rPr>
                <w:sz w:val="16"/>
                <w:szCs w:val="16"/>
                <w:lang w:eastAsia="en-AU"/>
              </w:rPr>
              <w:t>carers</w:t>
            </w:r>
            <w:proofErr w:type="gramEnd"/>
            <w:r w:rsidRPr="005811F0">
              <w:rPr>
                <w:sz w:val="16"/>
                <w:szCs w:val="16"/>
                <w:lang w:eastAsia="en-AU"/>
              </w:rPr>
              <w:t xml:space="preserve"> and staff in RACF settings?</w:t>
            </w:r>
          </w:p>
        </w:tc>
        <w:tc>
          <w:tcPr>
            <w:tcW w:w="717" w:type="dxa"/>
          </w:tcPr>
          <w:p w14:paraId="2561D8A0" w14:textId="77777777" w:rsidR="006D4DE5" w:rsidRPr="005811F0" w:rsidRDefault="006D4DE5" w:rsidP="00B25FA6">
            <w:pPr>
              <w:spacing w:after="0"/>
              <w:jc w:val="center"/>
              <w:rPr>
                <w:color w:val="FF3A40" w:themeColor="accent1"/>
                <w:sz w:val="16"/>
                <w:szCs w:val="16"/>
                <w:lang w:eastAsia="en-AU"/>
              </w:rPr>
            </w:pPr>
          </w:p>
        </w:tc>
        <w:tc>
          <w:tcPr>
            <w:tcW w:w="840" w:type="dxa"/>
          </w:tcPr>
          <w:p w14:paraId="4ADD8BC0" w14:textId="70346A23" w:rsidR="006D4DE5" w:rsidRPr="005811F0" w:rsidRDefault="006D4DE5" w:rsidP="00B25FA6">
            <w:pPr>
              <w:spacing w:after="0"/>
              <w:jc w:val="center"/>
              <w:rPr>
                <w:rFonts w:ascii="Segoe UI Symbol" w:hAnsi="Segoe UI Symbol" w:cs="Segoe UI Symbol"/>
                <w:b/>
                <w:color w:val="F25E21" w:themeColor="accent2"/>
                <w:sz w:val="16"/>
                <w:szCs w:val="16"/>
                <w:shd w:val="clear" w:color="auto" w:fill="FFFFFF"/>
              </w:rPr>
            </w:pPr>
            <w:r w:rsidRPr="005811F0">
              <w:rPr>
                <w:rFonts w:ascii="Segoe UI Symbol" w:hAnsi="Segoe UI Symbol" w:cs="Segoe UI Symbol"/>
                <w:b/>
                <w:color w:val="F25E21" w:themeColor="accent2"/>
                <w:sz w:val="16"/>
                <w:szCs w:val="16"/>
                <w:shd w:val="clear" w:color="auto" w:fill="FFFFFF"/>
              </w:rPr>
              <w:t>✓</w:t>
            </w:r>
          </w:p>
        </w:tc>
        <w:tc>
          <w:tcPr>
            <w:tcW w:w="872" w:type="dxa"/>
          </w:tcPr>
          <w:p w14:paraId="5BCCCFC6" w14:textId="77777777" w:rsidR="006D4DE5" w:rsidRPr="005811F0" w:rsidRDefault="006D4DE5" w:rsidP="00B25FA6">
            <w:pPr>
              <w:spacing w:after="0"/>
              <w:jc w:val="center"/>
              <w:rPr>
                <w:color w:val="F8981D" w:themeColor="accent3"/>
                <w:sz w:val="16"/>
                <w:szCs w:val="16"/>
                <w:lang w:eastAsia="en-AU"/>
              </w:rPr>
            </w:pPr>
          </w:p>
        </w:tc>
      </w:tr>
      <w:tr w:rsidR="006D4DE5" w:rsidRPr="005811F0" w14:paraId="56814088" w14:textId="4BBB0225" w:rsidTr="00B25FA6">
        <w:trPr>
          <w:cnfStyle w:val="000000010000" w:firstRow="0" w:lastRow="0" w:firstColumn="0" w:lastColumn="0" w:oddVBand="0" w:evenVBand="0" w:oddHBand="0" w:evenHBand="1" w:firstRowFirstColumn="0" w:firstRowLastColumn="0" w:lastRowFirstColumn="0" w:lastRowLastColumn="0"/>
          <w:trHeight w:val="227"/>
        </w:trPr>
        <w:tc>
          <w:tcPr>
            <w:tcW w:w="2070" w:type="dxa"/>
            <w:vMerge/>
          </w:tcPr>
          <w:p w14:paraId="4ECEBF85" w14:textId="77777777" w:rsidR="006D4DE5" w:rsidRPr="005811F0" w:rsidRDefault="006D4DE5" w:rsidP="0096468E">
            <w:pPr>
              <w:pStyle w:val="TableNText"/>
              <w:rPr>
                <w:sz w:val="16"/>
                <w:szCs w:val="16"/>
              </w:rPr>
            </w:pPr>
          </w:p>
        </w:tc>
        <w:tc>
          <w:tcPr>
            <w:tcW w:w="4601" w:type="dxa"/>
          </w:tcPr>
          <w:p w14:paraId="6C96211D" w14:textId="77777777" w:rsidR="006D4DE5" w:rsidRPr="005811F0" w:rsidRDefault="006D4DE5" w:rsidP="0096468E">
            <w:pPr>
              <w:pStyle w:val="TableNText"/>
              <w:rPr>
                <w:sz w:val="16"/>
                <w:szCs w:val="16"/>
              </w:rPr>
            </w:pPr>
            <w:r w:rsidRPr="005811F0">
              <w:rPr>
                <w:sz w:val="16"/>
                <w:szCs w:val="16"/>
                <w:lang w:eastAsia="en-AU"/>
              </w:rPr>
              <w:t>How well did the Measure meet those needs?</w:t>
            </w:r>
          </w:p>
        </w:tc>
        <w:tc>
          <w:tcPr>
            <w:tcW w:w="717" w:type="dxa"/>
          </w:tcPr>
          <w:p w14:paraId="34052E8F" w14:textId="77777777" w:rsidR="006D4DE5" w:rsidRPr="005811F0" w:rsidRDefault="006D4DE5" w:rsidP="00B25FA6">
            <w:pPr>
              <w:spacing w:after="0"/>
              <w:jc w:val="center"/>
              <w:rPr>
                <w:color w:val="FF3A40" w:themeColor="accent1"/>
                <w:sz w:val="16"/>
                <w:szCs w:val="16"/>
                <w:lang w:eastAsia="en-AU"/>
              </w:rPr>
            </w:pPr>
          </w:p>
        </w:tc>
        <w:tc>
          <w:tcPr>
            <w:tcW w:w="840" w:type="dxa"/>
          </w:tcPr>
          <w:p w14:paraId="0C160AF3" w14:textId="6D6DCC48" w:rsidR="006D4DE5" w:rsidRPr="005811F0" w:rsidRDefault="006D4DE5" w:rsidP="00B25FA6">
            <w:pPr>
              <w:spacing w:after="0"/>
              <w:jc w:val="center"/>
              <w:rPr>
                <w:rFonts w:ascii="Segoe UI Symbol" w:hAnsi="Segoe UI Symbol" w:cs="Segoe UI Symbol"/>
                <w:b/>
                <w:color w:val="F25E21" w:themeColor="accent2"/>
                <w:sz w:val="16"/>
                <w:szCs w:val="16"/>
                <w:shd w:val="clear" w:color="auto" w:fill="FFFFFF"/>
              </w:rPr>
            </w:pPr>
            <w:r w:rsidRPr="005811F0">
              <w:rPr>
                <w:rFonts w:ascii="Segoe UI Symbol" w:hAnsi="Segoe UI Symbol" w:cs="Segoe UI Symbol"/>
                <w:b/>
                <w:color w:val="F25E21" w:themeColor="accent2"/>
                <w:sz w:val="16"/>
                <w:szCs w:val="16"/>
                <w:shd w:val="clear" w:color="auto" w:fill="FFFFFF"/>
              </w:rPr>
              <w:t>✓</w:t>
            </w:r>
          </w:p>
        </w:tc>
        <w:tc>
          <w:tcPr>
            <w:tcW w:w="872" w:type="dxa"/>
          </w:tcPr>
          <w:p w14:paraId="2FFBB435" w14:textId="77777777" w:rsidR="006D4DE5" w:rsidRPr="005811F0" w:rsidRDefault="006D4DE5" w:rsidP="00B25FA6">
            <w:pPr>
              <w:spacing w:after="0"/>
              <w:jc w:val="center"/>
              <w:rPr>
                <w:color w:val="F8981D" w:themeColor="accent3"/>
                <w:sz w:val="16"/>
                <w:szCs w:val="16"/>
                <w:lang w:eastAsia="en-AU"/>
              </w:rPr>
            </w:pPr>
          </w:p>
        </w:tc>
      </w:tr>
      <w:tr w:rsidR="006D4DE5" w:rsidRPr="005811F0" w14:paraId="7319E6E8" w14:textId="369EC22A" w:rsidTr="00B25FA6">
        <w:trPr>
          <w:cnfStyle w:val="000000100000" w:firstRow="0" w:lastRow="0" w:firstColumn="0" w:lastColumn="0" w:oddVBand="0" w:evenVBand="0" w:oddHBand="1" w:evenHBand="0" w:firstRowFirstColumn="0" w:firstRowLastColumn="0" w:lastRowFirstColumn="0" w:lastRowLastColumn="0"/>
          <w:trHeight w:val="227"/>
        </w:trPr>
        <w:tc>
          <w:tcPr>
            <w:tcW w:w="2070" w:type="dxa"/>
            <w:vMerge w:val="restart"/>
          </w:tcPr>
          <w:p w14:paraId="379589EF" w14:textId="77777777" w:rsidR="006D4DE5" w:rsidRPr="005811F0" w:rsidRDefault="006D4DE5" w:rsidP="0096468E">
            <w:pPr>
              <w:pStyle w:val="TableNText"/>
              <w:rPr>
                <w:sz w:val="16"/>
                <w:szCs w:val="16"/>
              </w:rPr>
            </w:pPr>
            <w:r w:rsidRPr="005811F0">
              <w:rPr>
                <w:sz w:val="16"/>
                <w:szCs w:val="16"/>
              </w:rPr>
              <w:t>3. How effective have the joint funding and delivery arrangements been for implementing and achieving the aims of the Measure? How could governance arrangements be more effective?</w:t>
            </w:r>
          </w:p>
        </w:tc>
        <w:tc>
          <w:tcPr>
            <w:tcW w:w="4601" w:type="dxa"/>
          </w:tcPr>
          <w:p w14:paraId="7ED95835" w14:textId="77777777" w:rsidR="006D4DE5" w:rsidRPr="005811F0" w:rsidRDefault="006D4DE5" w:rsidP="0096468E">
            <w:pPr>
              <w:pStyle w:val="TableNText"/>
              <w:rPr>
                <w:sz w:val="16"/>
                <w:szCs w:val="16"/>
                <w:lang w:eastAsia="en-AU"/>
              </w:rPr>
            </w:pPr>
            <w:r w:rsidRPr="005811F0">
              <w:rPr>
                <w:sz w:val="16"/>
                <w:szCs w:val="16"/>
              </w:rPr>
              <w:t xml:space="preserve">What evidence exists on best practice approaches to funding and delivery arrangements? </w:t>
            </w:r>
          </w:p>
        </w:tc>
        <w:tc>
          <w:tcPr>
            <w:tcW w:w="717" w:type="dxa"/>
          </w:tcPr>
          <w:p w14:paraId="7AE5D732" w14:textId="591C8BFB" w:rsidR="006D4DE5" w:rsidRPr="005811F0" w:rsidRDefault="006D4DE5" w:rsidP="00B25FA6">
            <w:pPr>
              <w:spacing w:after="0"/>
              <w:jc w:val="center"/>
              <w:rPr>
                <w:rFonts w:ascii="Segoe UI Symbol" w:hAnsi="Segoe UI Symbol" w:cs="Segoe UI Symbol"/>
                <w:b/>
                <w:color w:val="FF3A40" w:themeColor="accent1"/>
                <w:sz w:val="16"/>
                <w:szCs w:val="16"/>
                <w:shd w:val="clear" w:color="auto" w:fill="FFFFFF"/>
              </w:rPr>
            </w:pPr>
            <w:r w:rsidRPr="005811F0">
              <w:rPr>
                <w:rFonts w:ascii="Segoe UI Symbol" w:hAnsi="Segoe UI Symbol" w:cs="Segoe UI Symbol"/>
                <w:b/>
                <w:color w:val="FF3A40" w:themeColor="accent1"/>
                <w:sz w:val="16"/>
                <w:szCs w:val="16"/>
                <w:shd w:val="clear" w:color="auto" w:fill="FFFFFF"/>
              </w:rPr>
              <w:t>✓</w:t>
            </w:r>
          </w:p>
        </w:tc>
        <w:tc>
          <w:tcPr>
            <w:tcW w:w="840" w:type="dxa"/>
          </w:tcPr>
          <w:p w14:paraId="0E0F3E56" w14:textId="77777777" w:rsidR="006D4DE5" w:rsidRPr="005811F0" w:rsidRDefault="006D4DE5" w:rsidP="00B25FA6">
            <w:pPr>
              <w:spacing w:after="0"/>
              <w:jc w:val="center"/>
              <w:rPr>
                <w:color w:val="F25E21" w:themeColor="accent2"/>
                <w:sz w:val="16"/>
                <w:szCs w:val="16"/>
              </w:rPr>
            </w:pPr>
          </w:p>
        </w:tc>
        <w:tc>
          <w:tcPr>
            <w:tcW w:w="872" w:type="dxa"/>
          </w:tcPr>
          <w:p w14:paraId="34437A6D" w14:textId="77777777" w:rsidR="006D4DE5" w:rsidRPr="005811F0" w:rsidRDefault="006D4DE5" w:rsidP="00B25FA6">
            <w:pPr>
              <w:spacing w:after="0"/>
              <w:jc w:val="center"/>
              <w:rPr>
                <w:color w:val="F8981D" w:themeColor="accent3"/>
                <w:sz w:val="16"/>
                <w:szCs w:val="16"/>
              </w:rPr>
            </w:pPr>
          </w:p>
        </w:tc>
      </w:tr>
      <w:tr w:rsidR="006D4DE5" w:rsidRPr="005811F0" w14:paraId="39A7D5C1" w14:textId="3C8B2B64" w:rsidTr="00B25FA6">
        <w:trPr>
          <w:cnfStyle w:val="000000010000" w:firstRow="0" w:lastRow="0" w:firstColumn="0" w:lastColumn="0" w:oddVBand="0" w:evenVBand="0" w:oddHBand="0" w:evenHBand="1" w:firstRowFirstColumn="0" w:firstRowLastColumn="0" w:lastRowFirstColumn="0" w:lastRowLastColumn="0"/>
          <w:trHeight w:val="227"/>
        </w:trPr>
        <w:tc>
          <w:tcPr>
            <w:tcW w:w="2070" w:type="dxa"/>
            <w:vMerge/>
          </w:tcPr>
          <w:p w14:paraId="43BC43A6" w14:textId="77777777" w:rsidR="006D4DE5" w:rsidRPr="005811F0" w:rsidRDefault="006D4DE5" w:rsidP="0096468E">
            <w:pPr>
              <w:pStyle w:val="TableNText"/>
              <w:rPr>
                <w:sz w:val="16"/>
                <w:szCs w:val="16"/>
              </w:rPr>
            </w:pPr>
          </w:p>
        </w:tc>
        <w:tc>
          <w:tcPr>
            <w:tcW w:w="4601" w:type="dxa"/>
          </w:tcPr>
          <w:p w14:paraId="287C0A67" w14:textId="77777777" w:rsidR="006D4DE5" w:rsidRPr="005811F0" w:rsidRDefault="006D4DE5" w:rsidP="0096468E">
            <w:pPr>
              <w:pStyle w:val="TableNText"/>
              <w:rPr>
                <w:sz w:val="16"/>
                <w:szCs w:val="16"/>
              </w:rPr>
            </w:pPr>
            <w:r w:rsidRPr="005811F0">
              <w:rPr>
                <w:sz w:val="16"/>
                <w:szCs w:val="16"/>
              </w:rPr>
              <w:t>To what extent do the joint funding and delivery arrangements enable the Measure to achieve its aims?</w:t>
            </w:r>
          </w:p>
        </w:tc>
        <w:tc>
          <w:tcPr>
            <w:tcW w:w="717" w:type="dxa"/>
          </w:tcPr>
          <w:p w14:paraId="30DEB95F" w14:textId="5B25D4AA" w:rsidR="006D4DE5" w:rsidRPr="005811F0" w:rsidRDefault="006D4DE5" w:rsidP="00B25FA6">
            <w:pPr>
              <w:spacing w:after="0"/>
              <w:jc w:val="center"/>
              <w:rPr>
                <w:rFonts w:ascii="Segoe UI Symbol" w:hAnsi="Segoe UI Symbol" w:cs="Segoe UI Symbol"/>
                <w:b/>
                <w:color w:val="FF3A40" w:themeColor="accent1"/>
                <w:sz w:val="16"/>
                <w:szCs w:val="16"/>
                <w:shd w:val="clear" w:color="auto" w:fill="FFFFFF"/>
              </w:rPr>
            </w:pPr>
            <w:r w:rsidRPr="005811F0">
              <w:rPr>
                <w:rFonts w:ascii="Segoe UI Symbol" w:hAnsi="Segoe UI Symbol" w:cs="Segoe UI Symbol"/>
                <w:b/>
                <w:color w:val="FF3A40" w:themeColor="accent1"/>
                <w:sz w:val="16"/>
                <w:szCs w:val="16"/>
                <w:shd w:val="clear" w:color="auto" w:fill="FFFFFF"/>
              </w:rPr>
              <w:t>✓</w:t>
            </w:r>
          </w:p>
        </w:tc>
        <w:tc>
          <w:tcPr>
            <w:tcW w:w="840" w:type="dxa"/>
          </w:tcPr>
          <w:p w14:paraId="7F923191" w14:textId="77777777" w:rsidR="006D4DE5" w:rsidRPr="005811F0" w:rsidRDefault="006D4DE5" w:rsidP="00B25FA6">
            <w:pPr>
              <w:spacing w:after="0"/>
              <w:jc w:val="center"/>
              <w:rPr>
                <w:color w:val="F25E21" w:themeColor="accent2"/>
                <w:sz w:val="16"/>
                <w:szCs w:val="16"/>
              </w:rPr>
            </w:pPr>
          </w:p>
        </w:tc>
        <w:tc>
          <w:tcPr>
            <w:tcW w:w="872" w:type="dxa"/>
          </w:tcPr>
          <w:p w14:paraId="2D581D71" w14:textId="77777777" w:rsidR="006D4DE5" w:rsidRPr="005811F0" w:rsidRDefault="006D4DE5" w:rsidP="00B25FA6">
            <w:pPr>
              <w:spacing w:after="0"/>
              <w:jc w:val="center"/>
              <w:rPr>
                <w:color w:val="F8981D" w:themeColor="accent3"/>
                <w:sz w:val="16"/>
                <w:szCs w:val="16"/>
              </w:rPr>
            </w:pPr>
          </w:p>
        </w:tc>
      </w:tr>
      <w:tr w:rsidR="006D4DE5" w:rsidRPr="005811F0" w14:paraId="731879D8" w14:textId="1A9933CB" w:rsidTr="00B25FA6">
        <w:trPr>
          <w:cnfStyle w:val="000000100000" w:firstRow="0" w:lastRow="0" w:firstColumn="0" w:lastColumn="0" w:oddVBand="0" w:evenVBand="0" w:oddHBand="1" w:evenHBand="0" w:firstRowFirstColumn="0" w:firstRowLastColumn="0" w:lastRowFirstColumn="0" w:lastRowLastColumn="0"/>
          <w:trHeight w:val="227"/>
        </w:trPr>
        <w:tc>
          <w:tcPr>
            <w:tcW w:w="2070" w:type="dxa"/>
            <w:vMerge/>
          </w:tcPr>
          <w:p w14:paraId="76C019C3" w14:textId="77777777" w:rsidR="006D4DE5" w:rsidRPr="005811F0" w:rsidRDefault="006D4DE5" w:rsidP="0096468E">
            <w:pPr>
              <w:pStyle w:val="TableNText"/>
              <w:rPr>
                <w:sz w:val="16"/>
                <w:szCs w:val="16"/>
              </w:rPr>
            </w:pPr>
          </w:p>
        </w:tc>
        <w:tc>
          <w:tcPr>
            <w:tcW w:w="4601" w:type="dxa"/>
          </w:tcPr>
          <w:p w14:paraId="42A94713" w14:textId="77777777" w:rsidR="006D4DE5" w:rsidRPr="005811F0" w:rsidRDefault="006D4DE5" w:rsidP="0096468E">
            <w:pPr>
              <w:pStyle w:val="TableNText"/>
              <w:rPr>
                <w:sz w:val="16"/>
                <w:szCs w:val="16"/>
              </w:rPr>
            </w:pPr>
            <w:r w:rsidRPr="005811F0">
              <w:rPr>
                <w:sz w:val="16"/>
                <w:szCs w:val="16"/>
              </w:rPr>
              <w:t xml:space="preserve">How could the funding and delivery arrangements be improved? </w:t>
            </w:r>
          </w:p>
        </w:tc>
        <w:tc>
          <w:tcPr>
            <w:tcW w:w="717" w:type="dxa"/>
          </w:tcPr>
          <w:p w14:paraId="301C4B11" w14:textId="25FDB9ED" w:rsidR="006D4DE5" w:rsidRPr="005811F0" w:rsidRDefault="006D4DE5" w:rsidP="00B25FA6">
            <w:pPr>
              <w:spacing w:after="0"/>
              <w:jc w:val="center"/>
              <w:rPr>
                <w:rFonts w:ascii="Segoe UI Symbol" w:hAnsi="Segoe UI Symbol" w:cs="Segoe UI Symbol"/>
                <w:b/>
                <w:color w:val="FF3A40" w:themeColor="accent1"/>
                <w:sz w:val="16"/>
                <w:szCs w:val="16"/>
                <w:shd w:val="clear" w:color="auto" w:fill="FFFFFF"/>
              </w:rPr>
            </w:pPr>
            <w:r w:rsidRPr="005811F0">
              <w:rPr>
                <w:rFonts w:ascii="Segoe UI Symbol" w:hAnsi="Segoe UI Symbol" w:cs="Segoe UI Symbol"/>
                <w:b/>
                <w:color w:val="FF3A40" w:themeColor="accent1"/>
                <w:sz w:val="16"/>
                <w:szCs w:val="16"/>
                <w:shd w:val="clear" w:color="auto" w:fill="FFFFFF"/>
              </w:rPr>
              <w:t>✓</w:t>
            </w:r>
          </w:p>
        </w:tc>
        <w:tc>
          <w:tcPr>
            <w:tcW w:w="840" w:type="dxa"/>
          </w:tcPr>
          <w:p w14:paraId="50EAF7C3" w14:textId="77777777" w:rsidR="006D4DE5" w:rsidRPr="005811F0" w:rsidRDefault="006D4DE5" w:rsidP="00B25FA6">
            <w:pPr>
              <w:spacing w:after="0"/>
              <w:jc w:val="center"/>
              <w:rPr>
                <w:color w:val="F25E21" w:themeColor="accent2"/>
                <w:sz w:val="16"/>
                <w:szCs w:val="16"/>
              </w:rPr>
            </w:pPr>
          </w:p>
        </w:tc>
        <w:tc>
          <w:tcPr>
            <w:tcW w:w="872" w:type="dxa"/>
          </w:tcPr>
          <w:p w14:paraId="2D6757E5" w14:textId="77777777" w:rsidR="006D4DE5" w:rsidRPr="005811F0" w:rsidRDefault="006D4DE5" w:rsidP="00B25FA6">
            <w:pPr>
              <w:spacing w:after="0"/>
              <w:jc w:val="center"/>
              <w:rPr>
                <w:color w:val="F8981D" w:themeColor="accent3"/>
                <w:sz w:val="16"/>
                <w:szCs w:val="16"/>
              </w:rPr>
            </w:pPr>
          </w:p>
        </w:tc>
      </w:tr>
      <w:tr w:rsidR="006D4DE5" w:rsidRPr="005811F0" w14:paraId="18039583" w14:textId="1F221DA5" w:rsidTr="00B25FA6">
        <w:trPr>
          <w:cnfStyle w:val="000000010000" w:firstRow="0" w:lastRow="0" w:firstColumn="0" w:lastColumn="0" w:oddVBand="0" w:evenVBand="0" w:oddHBand="0" w:evenHBand="1" w:firstRowFirstColumn="0" w:firstRowLastColumn="0" w:lastRowFirstColumn="0" w:lastRowLastColumn="0"/>
          <w:trHeight w:val="227"/>
        </w:trPr>
        <w:tc>
          <w:tcPr>
            <w:tcW w:w="2070" w:type="dxa"/>
            <w:vMerge w:val="restart"/>
          </w:tcPr>
          <w:p w14:paraId="0D073A6C" w14:textId="77777777" w:rsidR="006D4DE5" w:rsidRPr="005811F0" w:rsidRDefault="006D4DE5" w:rsidP="0096468E">
            <w:pPr>
              <w:pStyle w:val="TableNText"/>
              <w:rPr>
                <w:sz w:val="16"/>
                <w:szCs w:val="16"/>
              </w:rPr>
            </w:pPr>
            <w:r w:rsidRPr="005811F0">
              <w:rPr>
                <w:sz w:val="16"/>
                <w:szCs w:val="16"/>
                <w:lang w:eastAsia="en-AU"/>
              </w:rPr>
              <w:t>4. To what extent has the Measure achieved its intended outcomes?</w:t>
            </w:r>
          </w:p>
        </w:tc>
        <w:tc>
          <w:tcPr>
            <w:tcW w:w="4601" w:type="dxa"/>
          </w:tcPr>
          <w:p w14:paraId="69590AE3" w14:textId="6C633231" w:rsidR="006D4DE5" w:rsidRPr="005811F0" w:rsidRDefault="006D4DE5" w:rsidP="0096468E">
            <w:pPr>
              <w:pStyle w:val="TableNText"/>
              <w:rPr>
                <w:sz w:val="16"/>
                <w:szCs w:val="16"/>
                <w:lang w:eastAsia="en-AU"/>
              </w:rPr>
            </w:pPr>
            <w:r w:rsidRPr="005811F0">
              <w:rPr>
                <w:sz w:val="16"/>
                <w:szCs w:val="16"/>
                <w:lang w:eastAsia="en-AU"/>
              </w:rPr>
              <w:t>What are the intended outcomes?</w:t>
            </w:r>
          </w:p>
        </w:tc>
        <w:tc>
          <w:tcPr>
            <w:tcW w:w="717" w:type="dxa"/>
          </w:tcPr>
          <w:p w14:paraId="4231454E" w14:textId="77777777" w:rsidR="006D4DE5" w:rsidRPr="005811F0" w:rsidRDefault="006D4DE5" w:rsidP="00B25FA6">
            <w:pPr>
              <w:spacing w:after="0"/>
              <w:jc w:val="center"/>
              <w:rPr>
                <w:color w:val="FF3A40" w:themeColor="accent1"/>
                <w:sz w:val="16"/>
                <w:szCs w:val="16"/>
                <w:lang w:eastAsia="en-AU"/>
              </w:rPr>
            </w:pPr>
          </w:p>
        </w:tc>
        <w:tc>
          <w:tcPr>
            <w:tcW w:w="840" w:type="dxa"/>
          </w:tcPr>
          <w:p w14:paraId="4BDAB0CB" w14:textId="0328729E" w:rsidR="006D4DE5" w:rsidRPr="005811F0" w:rsidRDefault="006D4DE5" w:rsidP="00B25FA6">
            <w:pPr>
              <w:spacing w:after="0"/>
              <w:jc w:val="center"/>
              <w:rPr>
                <w:rFonts w:ascii="Segoe UI Symbol" w:hAnsi="Segoe UI Symbol" w:cs="Segoe UI Symbol"/>
                <w:b/>
                <w:color w:val="F25E21" w:themeColor="accent2"/>
                <w:sz w:val="16"/>
                <w:szCs w:val="16"/>
                <w:shd w:val="clear" w:color="auto" w:fill="FFFFFF"/>
              </w:rPr>
            </w:pPr>
            <w:r w:rsidRPr="005811F0">
              <w:rPr>
                <w:rFonts w:ascii="Segoe UI Symbol" w:hAnsi="Segoe UI Symbol" w:cs="Segoe UI Symbol"/>
                <w:b/>
                <w:color w:val="F25E21" w:themeColor="accent2"/>
                <w:sz w:val="16"/>
                <w:szCs w:val="16"/>
                <w:shd w:val="clear" w:color="auto" w:fill="FFFFFF"/>
              </w:rPr>
              <w:t>✓</w:t>
            </w:r>
          </w:p>
        </w:tc>
        <w:tc>
          <w:tcPr>
            <w:tcW w:w="872" w:type="dxa"/>
          </w:tcPr>
          <w:p w14:paraId="471DB608" w14:textId="77777777" w:rsidR="006D4DE5" w:rsidRPr="005811F0" w:rsidRDefault="006D4DE5" w:rsidP="00B25FA6">
            <w:pPr>
              <w:spacing w:after="0"/>
              <w:jc w:val="center"/>
              <w:rPr>
                <w:color w:val="F8981D" w:themeColor="accent3"/>
                <w:sz w:val="16"/>
                <w:szCs w:val="16"/>
                <w:lang w:eastAsia="en-AU"/>
              </w:rPr>
            </w:pPr>
          </w:p>
        </w:tc>
      </w:tr>
      <w:tr w:rsidR="006D4DE5" w:rsidRPr="005811F0" w14:paraId="18225682" w14:textId="3967A873" w:rsidTr="00B25FA6">
        <w:trPr>
          <w:cnfStyle w:val="000000100000" w:firstRow="0" w:lastRow="0" w:firstColumn="0" w:lastColumn="0" w:oddVBand="0" w:evenVBand="0" w:oddHBand="1" w:evenHBand="0" w:firstRowFirstColumn="0" w:firstRowLastColumn="0" w:lastRowFirstColumn="0" w:lastRowLastColumn="0"/>
          <w:trHeight w:val="227"/>
        </w:trPr>
        <w:tc>
          <w:tcPr>
            <w:tcW w:w="2070" w:type="dxa"/>
            <w:vMerge/>
          </w:tcPr>
          <w:p w14:paraId="5C8B7D68" w14:textId="77777777" w:rsidR="006D4DE5" w:rsidRPr="005811F0" w:rsidRDefault="006D4DE5" w:rsidP="0096468E">
            <w:pPr>
              <w:pStyle w:val="TableNText"/>
              <w:rPr>
                <w:sz w:val="16"/>
                <w:szCs w:val="16"/>
              </w:rPr>
            </w:pPr>
          </w:p>
        </w:tc>
        <w:tc>
          <w:tcPr>
            <w:tcW w:w="4601" w:type="dxa"/>
          </w:tcPr>
          <w:p w14:paraId="6E56EF2C" w14:textId="77777777" w:rsidR="006D4DE5" w:rsidRPr="005811F0" w:rsidRDefault="006D4DE5" w:rsidP="0096468E">
            <w:pPr>
              <w:pStyle w:val="TableNText"/>
              <w:rPr>
                <w:sz w:val="16"/>
                <w:szCs w:val="16"/>
                <w:lang w:eastAsia="en-AU"/>
              </w:rPr>
            </w:pPr>
            <w:r w:rsidRPr="005811F0">
              <w:rPr>
                <w:sz w:val="16"/>
                <w:szCs w:val="16"/>
                <w:lang w:eastAsia="en-AU"/>
              </w:rPr>
              <w:t>How can outcomes be measured?</w:t>
            </w:r>
          </w:p>
        </w:tc>
        <w:tc>
          <w:tcPr>
            <w:tcW w:w="717" w:type="dxa"/>
          </w:tcPr>
          <w:p w14:paraId="37C75681" w14:textId="77777777" w:rsidR="006D4DE5" w:rsidRPr="005811F0" w:rsidRDefault="006D4DE5" w:rsidP="00B25FA6">
            <w:pPr>
              <w:spacing w:after="0"/>
              <w:jc w:val="center"/>
              <w:rPr>
                <w:color w:val="FF3A40" w:themeColor="accent1"/>
                <w:sz w:val="16"/>
                <w:szCs w:val="16"/>
                <w:lang w:eastAsia="en-AU"/>
              </w:rPr>
            </w:pPr>
          </w:p>
        </w:tc>
        <w:tc>
          <w:tcPr>
            <w:tcW w:w="840" w:type="dxa"/>
          </w:tcPr>
          <w:p w14:paraId="49F1A4E0" w14:textId="1836F282" w:rsidR="006D4DE5" w:rsidRPr="005811F0" w:rsidRDefault="006D4DE5" w:rsidP="00B25FA6">
            <w:pPr>
              <w:spacing w:after="0"/>
              <w:jc w:val="center"/>
              <w:rPr>
                <w:rFonts w:ascii="Segoe UI Symbol" w:hAnsi="Segoe UI Symbol" w:cs="Segoe UI Symbol"/>
                <w:b/>
                <w:color w:val="F25E21" w:themeColor="accent2"/>
                <w:sz w:val="16"/>
                <w:szCs w:val="16"/>
                <w:shd w:val="clear" w:color="auto" w:fill="FFFFFF"/>
              </w:rPr>
            </w:pPr>
            <w:r w:rsidRPr="005811F0">
              <w:rPr>
                <w:rFonts w:ascii="Segoe UI Symbol" w:hAnsi="Segoe UI Symbol" w:cs="Segoe UI Symbol"/>
                <w:b/>
                <w:color w:val="F25E21" w:themeColor="accent2"/>
                <w:sz w:val="16"/>
                <w:szCs w:val="16"/>
                <w:shd w:val="clear" w:color="auto" w:fill="FFFFFF"/>
              </w:rPr>
              <w:t>✓</w:t>
            </w:r>
          </w:p>
        </w:tc>
        <w:tc>
          <w:tcPr>
            <w:tcW w:w="872" w:type="dxa"/>
          </w:tcPr>
          <w:p w14:paraId="7F0847BE" w14:textId="77777777" w:rsidR="006D4DE5" w:rsidRPr="005811F0" w:rsidRDefault="006D4DE5" w:rsidP="00B25FA6">
            <w:pPr>
              <w:spacing w:after="0"/>
              <w:jc w:val="center"/>
              <w:rPr>
                <w:color w:val="F8981D" w:themeColor="accent3"/>
                <w:sz w:val="16"/>
                <w:szCs w:val="16"/>
                <w:lang w:eastAsia="en-AU"/>
              </w:rPr>
            </w:pPr>
          </w:p>
        </w:tc>
      </w:tr>
      <w:tr w:rsidR="006D4DE5" w:rsidRPr="005811F0" w14:paraId="2B26C59E" w14:textId="4E228C0C" w:rsidTr="00B25FA6">
        <w:trPr>
          <w:cnfStyle w:val="000000010000" w:firstRow="0" w:lastRow="0" w:firstColumn="0" w:lastColumn="0" w:oddVBand="0" w:evenVBand="0" w:oddHBand="0" w:evenHBand="1" w:firstRowFirstColumn="0" w:firstRowLastColumn="0" w:lastRowFirstColumn="0" w:lastRowLastColumn="0"/>
          <w:trHeight w:val="227"/>
        </w:trPr>
        <w:tc>
          <w:tcPr>
            <w:tcW w:w="2070" w:type="dxa"/>
            <w:vMerge/>
          </w:tcPr>
          <w:p w14:paraId="785D85E0" w14:textId="77777777" w:rsidR="006D4DE5" w:rsidRPr="005811F0" w:rsidRDefault="006D4DE5" w:rsidP="0096468E">
            <w:pPr>
              <w:pStyle w:val="TableNText"/>
              <w:rPr>
                <w:sz w:val="16"/>
                <w:szCs w:val="16"/>
              </w:rPr>
            </w:pPr>
          </w:p>
        </w:tc>
        <w:tc>
          <w:tcPr>
            <w:tcW w:w="4601" w:type="dxa"/>
          </w:tcPr>
          <w:p w14:paraId="36E5DB9C" w14:textId="77777777" w:rsidR="006D4DE5" w:rsidRPr="005811F0" w:rsidRDefault="006D4DE5" w:rsidP="0096468E">
            <w:pPr>
              <w:pStyle w:val="TableNText"/>
              <w:rPr>
                <w:sz w:val="16"/>
                <w:szCs w:val="16"/>
                <w:lang w:eastAsia="en-AU"/>
              </w:rPr>
            </w:pPr>
            <w:r w:rsidRPr="005811F0">
              <w:rPr>
                <w:sz w:val="16"/>
                <w:szCs w:val="16"/>
                <w:lang w:eastAsia="en-AU"/>
              </w:rPr>
              <w:t>What is the baseline for the evaluation?</w:t>
            </w:r>
          </w:p>
        </w:tc>
        <w:tc>
          <w:tcPr>
            <w:tcW w:w="717" w:type="dxa"/>
          </w:tcPr>
          <w:p w14:paraId="7D3DFC2E" w14:textId="77777777" w:rsidR="006D4DE5" w:rsidRPr="005811F0" w:rsidRDefault="006D4DE5" w:rsidP="00B25FA6">
            <w:pPr>
              <w:spacing w:after="0"/>
              <w:jc w:val="center"/>
              <w:rPr>
                <w:color w:val="FF3A40" w:themeColor="accent1"/>
                <w:sz w:val="16"/>
                <w:szCs w:val="16"/>
                <w:lang w:eastAsia="en-AU"/>
              </w:rPr>
            </w:pPr>
          </w:p>
        </w:tc>
        <w:tc>
          <w:tcPr>
            <w:tcW w:w="840" w:type="dxa"/>
          </w:tcPr>
          <w:p w14:paraId="2F5CB7C9" w14:textId="5895D952" w:rsidR="006D4DE5" w:rsidRPr="005811F0" w:rsidRDefault="006D4DE5" w:rsidP="00B25FA6">
            <w:pPr>
              <w:spacing w:after="0"/>
              <w:jc w:val="center"/>
              <w:rPr>
                <w:rFonts w:ascii="Segoe UI Symbol" w:hAnsi="Segoe UI Symbol" w:cs="Segoe UI Symbol"/>
                <w:b/>
                <w:color w:val="F25E21" w:themeColor="accent2"/>
                <w:sz w:val="16"/>
                <w:szCs w:val="16"/>
                <w:shd w:val="clear" w:color="auto" w:fill="FFFFFF"/>
              </w:rPr>
            </w:pPr>
            <w:r w:rsidRPr="005811F0">
              <w:rPr>
                <w:rFonts w:ascii="Segoe UI Symbol" w:hAnsi="Segoe UI Symbol" w:cs="Segoe UI Symbol"/>
                <w:b/>
                <w:color w:val="F25E21" w:themeColor="accent2"/>
                <w:sz w:val="16"/>
                <w:szCs w:val="16"/>
                <w:shd w:val="clear" w:color="auto" w:fill="FFFFFF"/>
              </w:rPr>
              <w:t>✓</w:t>
            </w:r>
          </w:p>
        </w:tc>
        <w:tc>
          <w:tcPr>
            <w:tcW w:w="872" w:type="dxa"/>
          </w:tcPr>
          <w:p w14:paraId="593E3C60" w14:textId="77777777" w:rsidR="006D4DE5" w:rsidRPr="005811F0" w:rsidRDefault="006D4DE5" w:rsidP="00B25FA6">
            <w:pPr>
              <w:spacing w:after="0"/>
              <w:jc w:val="center"/>
              <w:rPr>
                <w:color w:val="F8981D" w:themeColor="accent3"/>
                <w:sz w:val="16"/>
                <w:szCs w:val="16"/>
                <w:lang w:eastAsia="en-AU"/>
              </w:rPr>
            </w:pPr>
          </w:p>
        </w:tc>
      </w:tr>
      <w:tr w:rsidR="006D4DE5" w:rsidRPr="005811F0" w14:paraId="0AD6389E" w14:textId="53DC6EB3" w:rsidTr="00B25FA6">
        <w:trPr>
          <w:cnfStyle w:val="000000100000" w:firstRow="0" w:lastRow="0" w:firstColumn="0" w:lastColumn="0" w:oddVBand="0" w:evenVBand="0" w:oddHBand="1" w:evenHBand="0" w:firstRowFirstColumn="0" w:firstRowLastColumn="0" w:lastRowFirstColumn="0" w:lastRowLastColumn="0"/>
          <w:trHeight w:val="227"/>
        </w:trPr>
        <w:tc>
          <w:tcPr>
            <w:tcW w:w="2070" w:type="dxa"/>
            <w:vMerge/>
          </w:tcPr>
          <w:p w14:paraId="0977FEFE" w14:textId="77777777" w:rsidR="006D4DE5" w:rsidRPr="005811F0" w:rsidRDefault="006D4DE5" w:rsidP="0096468E">
            <w:pPr>
              <w:pStyle w:val="TableNText"/>
              <w:rPr>
                <w:sz w:val="16"/>
                <w:szCs w:val="16"/>
              </w:rPr>
            </w:pPr>
          </w:p>
        </w:tc>
        <w:tc>
          <w:tcPr>
            <w:tcW w:w="4601" w:type="dxa"/>
            <w:vAlign w:val="top"/>
          </w:tcPr>
          <w:p w14:paraId="5B7DF96A" w14:textId="77777777" w:rsidR="006D4DE5" w:rsidRPr="005811F0" w:rsidRDefault="006D4DE5" w:rsidP="0096468E">
            <w:pPr>
              <w:pStyle w:val="TableNText"/>
              <w:rPr>
                <w:sz w:val="16"/>
                <w:szCs w:val="16"/>
                <w:lang w:eastAsia="en-AU"/>
              </w:rPr>
            </w:pPr>
            <w:r w:rsidRPr="005811F0">
              <w:rPr>
                <w:sz w:val="16"/>
                <w:szCs w:val="16"/>
                <w:lang w:eastAsia="en-AU"/>
              </w:rPr>
              <w:t xml:space="preserve">How have outcomes changed over the life of the Measure? </w:t>
            </w:r>
          </w:p>
        </w:tc>
        <w:tc>
          <w:tcPr>
            <w:tcW w:w="717" w:type="dxa"/>
          </w:tcPr>
          <w:p w14:paraId="7A499420" w14:textId="77777777" w:rsidR="006D4DE5" w:rsidRPr="005811F0" w:rsidRDefault="006D4DE5" w:rsidP="00B25FA6">
            <w:pPr>
              <w:spacing w:after="0"/>
              <w:jc w:val="center"/>
              <w:rPr>
                <w:color w:val="FF3A40" w:themeColor="accent1"/>
                <w:sz w:val="16"/>
                <w:szCs w:val="16"/>
                <w:lang w:eastAsia="en-AU"/>
              </w:rPr>
            </w:pPr>
          </w:p>
        </w:tc>
        <w:tc>
          <w:tcPr>
            <w:tcW w:w="840" w:type="dxa"/>
          </w:tcPr>
          <w:p w14:paraId="74201AD7" w14:textId="31F43732" w:rsidR="006D4DE5" w:rsidRPr="005811F0" w:rsidRDefault="006D4DE5" w:rsidP="00B25FA6">
            <w:pPr>
              <w:spacing w:after="0"/>
              <w:jc w:val="center"/>
              <w:rPr>
                <w:rFonts w:ascii="Segoe UI Symbol" w:hAnsi="Segoe UI Symbol" w:cs="Segoe UI Symbol"/>
                <w:b/>
                <w:color w:val="F25E21" w:themeColor="accent2"/>
                <w:sz w:val="16"/>
                <w:szCs w:val="16"/>
                <w:shd w:val="clear" w:color="auto" w:fill="FFFFFF"/>
              </w:rPr>
            </w:pPr>
            <w:r w:rsidRPr="005811F0">
              <w:rPr>
                <w:rFonts w:ascii="Segoe UI Symbol" w:hAnsi="Segoe UI Symbol" w:cs="Segoe UI Symbol"/>
                <w:b/>
                <w:color w:val="F25E21" w:themeColor="accent2"/>
                <w:sz w:val="16"/>
                <w:szCs w:val="16"/>
                <w:shd w:val="clear" w:color="auto" w:fill="FFFFFF"/>
              </w:rPr>
              <w:t>✓</w:t>
            </w:r>
          </w:p>
        </w:tc>
        <w:tc>
          <w:tcPr>
            <w:tcW w:w="872" w:type="dxa"/>
          </w:tcPr>
          <w:p w14:paraId="1AAF3DFB" w14:textId="77777777" w:rsidR="006D4DE5" w:rsidRPr="005811F0" w:rsidRDefault="006D4DE5" w:rsidP="00B25FA6">
            <w:pPr>
              <w:spacing w:after="0"/>
              <w:jc w:val="center"/>
              <w:rPr>
                <w:color w:val="F8981D" w:themeColor="accent3"/>
                <w:sz w:val="16"/>
                <w:szCs w:val="16"/>
                <w:lang w:eastAsia="en-AU"/>
              </w:rPr>
            </w:pPr>
          </w:p>
        </w:tc>
      </w:tr>
      <w:tr w:rsidR="006D4DE5" w:rsidRPr="005811F0" w14:paraId="7B2F1E01" w14:textId="67C444DE" w:rsidTr="00B25FA6">
        <w:trPr>
          <w:cnfStyle w:val="000000010000" w:firstRow="0" w:lastRow="0" w:firstColumn="0" w:lastColumn="0" w:oddVBand="0" w:evenVBand="0" w:oddHBand="0" w:evenHBand="1" w:firstRowFirstColumn="0" w:firstRowLastColumn="0" w:lastRowFirstColumn="0" w:lastRowLastColumn="0"/>
          <w:trHeight w:val="227"/>
        </w:trPr>
        <w:tc>
          <w:tcPr>
            <w:tcW w:w="2070" w:type="dxa"/>
            <w:vMerge w:val="restart"/>
          </w:tcPr>
          <w:p w14:paraId="5746C875" w14:textId="77777777" w:rsidR="006D4DE5" w:rsidRPr="005811F0" w:rsidRDefault="006D4DE5" w:rsidP="0096468E">
            <w:pPr>
              <w:pStyle w:val="TableNText"/>
              <w:rPr>
                <w:sz w:val="16"/>
                <w:szCs w:val="16"/>
              </w:rPr>
            </w:pPr>
            <w:r w:rsidRPr="005811F0">
              <w:rPr>
                <w:sz w:val="16"/>
                <w:szCs w:val="16"/>
                <w:lang w:eastAsia="en-AU"/>
              </w:rPr>
              <w:t>5. How cost-effective is the Measure?</w:t>
            </w:r>
          </w:p>
        </w:tc>
        <w:tc>
          <w:tcPr>
            <w:tcW w:w="4601" w:type="dxa"/>
          </w:tcPr>
          <w:p w14:paraId="51852025" w14:textId="77777777" w:rsidR="006D4DE5" w:rsidRPr="005811F0" w:rsidRDefault="006D4DE5" w:rsidP="0096468E">
            <w:pPr>
              <w:pStyle w:val="TableNText"/>
              <w:rPr>
                <w:sz w:val="16"/>
                <w:szCs w:val="16"/>
                <w:lang w:eastAsia="en-AU"/>
              </w:rPr>
            </w:pPr>
            <w:r w:rsidRPr="005811F0">
              <w:rPr>
                <w:sz w:val="16"/>
                <w:szCs w:val="16"/>
                <w:lang w:eastAsia="en-AU"/>
              </w:rPr>
              <w:t>What are the costs of the "do nothing scenario" across the RACF, hospitals, transport, medication and elsewhere?</w:t>
            </w:r>
          </w:p>
        </w:tc>
        <w:tc>
          <w:tcPr>
            <w:tcW w:w="717" w:type="dxa"/>
          </w:tcPr>
          <w:p w14:paraId="519BE91C" w14:textId="77777777" w:rsidR="006D4DE5" w:rsidRPr="005811F0" w:rsidRDefault="006D4DE5" w:rsidP="00B25FA6">
            <w:pPr>
              <w:spacing w:after="0"/>
              <w:jc w:val="center"/>
              <w:rPr>
                <w:color w:val="FF3A40" w:themeColor="accent1"/>
                <w:sz w:val="16"/>
                <w:szCs w:val="16"/>
                <w:lang w:eastAsia="en-AU"/>
              </w:rPr>
            </w:pPr>
          </w:p>
        </w:tc>
        <w:tc>
          <w:tcPr>
            <w:tcW w:w="840" w:type="dxa"/>
          </w:tcPr>
          <w:p w14:paraId="35067A08" w14:textId="77777777" w:rsidR="006D4DE5" w:rsidRPr="005811F0" w:rsidRDefault="006D4DE5" w:rsidP="00B25FA6">
            <w:pPr>
              <w:spacing w:after="0"/>
              <w:jc w:val="center"/>
              <w:rPr>
                <w:color w:val="F25E21" w:themeColor="accent2"/>
                <w:sz w:val="16"/>
                <w:szCs w:val="16"/>
                <w:lang w:eastAsia="en-AU"/>
              </w:rPr>
            </w:pPr>
          </w:p>
        </w:tc>
        <w:tc>
          <w:tcPr>
            <w:tcW w:w="872" w:type="dxa"/>
          </w:tcPr>
          <w:p w14:paraId="0BA4ACCF" w14:textId="06E5ADE2" w:rsidR="006D4DE5" w:rsidRPr="005811F0" w:rsidRDefault="006D4DE5" w:rsidP="00B25FA6">
            <w:pPr>
              <w:spacing w:after="0"/>
              <w:jc w:val="center"/>
              <w:rPr>
                <w:rFonts w:ascii="Segoe UI Symbol" w:hAnsi="Segoe UI Symbol" w:cs="Segoe UI Symbol"/>
                <w:b/>
                <w:color w:val="F8981D" w:themeColor="accent3"/>
                <w:sz w:val="16"/>
                <w:szCs w:val="16"/>
                <w:shd w:val="clear" w:color="auto" w:fill="FFFFFF"/>
              </w:rPr>
            </w:pPr>
            <w:r w:rsidRPr="005811F0">
              <w:rPr>
                <w:rFonts w:ascii="Segoe UI Symbol" w:hAnsi="Segoe UI Symbol" w:cs="Segoe UI Symbol"/>
                <w:b/>
                <w:color w:val="F8981D" w:themeColor="accent3"/>
                <w:sz w:val="16"/>
                <w:szCs w:val="16"/>
                <w:shd w:val="clear" w:color="auto" w:fill="FFFFFF"/>
              </w:rPr>
              <w:t>✓</w:t>
            </w:r>
          </w:p>
        </w:tc>
      </w:tr>
      <w:tr w:rsidR="006D4DE5" w:rsidRPr="005811F0" w14:paraId="74EFF8EB" w14:textId="4F1BB055" w:rsidTr="00B25FA6">
        <w:trPr>
          <w:cnfStyle w:val="000000100000" w:firstRow="0" w:lastRow="0" w:firstColumn="0" w:lastColumn="0" w:oddVBand="0" w:evenVBand="0" w:oddHBand="1" w:evenHBand="0" w:firstRowFirstColumn="0" w:firstRowLastColumn="0" w:lastRowFirstColumn="0" w:lastRowLastColumn="0"/>
          <w:trHeight w:val="227"/>
        </w:trPr>
        <w:tc>
          <w:tcPr>
            <w:tcW w:w="2070" w:type="dxa"/>
            <w:vMerge/>
          </w:tcPr>
          <w:p w14:paraId="599F0226" w14:textId="77777777" w:rsidR="006D4DE5" w:rsidRPr="005811F0" w:rsidRDefault="006D4DE5" w:rsidP="00B25FA6">
            <w:pPr>
              <w:spacing w:after="0"/>
              <w:rPr>
                <w:sz w:val="16"/>
                <w:szCs w:val="16"/>
                <w:lang w:eastAsia="en-AU"/>
              </w:rPr>
            </w:pPr>
          </w:p>
        </w:tc>
        <w:tc>
          <w:tcPr>
            <w:tcW w:w="4601" w:type="dxa"/>
          </w:tcPr>
          <w:p w14:paraId="44225A53" w14:textId="77777777" w:rsidR="006D4DE5" w:rsidRPr="005811F0" w:rsidRDefault="006D4DE5" w:rsidP="0096468E">
            <w:pPr>
              <w:pStyle w:val="TableNText"/>
              <w:rPr>
                <w:sz w:val="16"/>
                <w:szCs w:val="16"/>
                <w:lang w:eastAsia="en-AU"/>
              </w:rPr>
            </w:pPr>
            <w:r w:rsidRPr="005811F0">
              <w:rPr>
                <w:sz w:val="16"/>
                <w:szCs w:val="16"/>
                <w:lang w:eastAsia="en-AU"/>
              </w:rPr>
              <w:t>What are the costs of the Measure across the RACF, hospital, transport, medication and elsewhere?</w:t>
            </w:r>
          </w:p>
        </w:tc>
        <w:tc>
          <w:tcPr>
            <w:tcW w:w="717" w:type="dxa"/>
          </w:tcPr>
          <w:p w14:paraId="63D2DB63" w14:textId="77777777" w:rsidR="006D4DE5" w:rsidRPr="005811F0" w:rsidRDefault="006D4DE5" w:rsidP="00B25FA6">
            <w:pPr>
              <w:spacing w:after="0"/>
              <w:jc w:val="center"/>
              <w:rPr>
                <w:color w:val="FF3A40" w:themeColor="accent1"/>
                <w:sz w:val="16"/>
                <w:szCs w:val="16"/>
                <w:lang w:eastAsia="en-AU"/>
              </w:rPr>
            </w:pPr>
          </w:p>
        </w:tc>
        <w:tc>
          <w:tcPr>
            <w:tcW w:w="840" w:type="dxa"/>
          </w:tcPr>
          <w:p w14:paraId="47553AB2" w14:textId="77777777" w:rsidR="006D4DE5" w:rsidRPr="005811F0" w:rsidRDefault="006D4DE5" w:rsidP="00B25FA6">
            <w:pPr>
              <w:spacing w:after="0"/>
              <w:jc w:val="center"/>
              <w:rPr>
                <w:color w:val="F25E21" w:themeColor="accent2"/>
                <w:sz w:val="16"/>
                <w:szCs w:val="16"/>
                <w:lang w:eastAsia="en-AU"/>
              </w:rPr>
            </w:pPr>
          </w:p>
        </w:tc>
        <w:tc>
          <w:tcPr>
            <w:tcW w:w="872" w:type="dxa"/>
          </w:tcPr>
          <w:p w14:paraId="1A49FB2B" w14:textId="4BBC0C84" w:rsidR="006D4DE5" w:rsidRPr="005811F0" w:rsidRDefault="006D4DE5" w:rsidP="00B25FA6">
            <w:pPr>
              <w:spacing w:after="0"/>
              <w:jc w:val="center"/>
              <w:rPr>
                <w:rFonts w:ascii="Segoe UI Symbol" w:hAnsi="Segoe UI Symbol" w:cs="Segoe UI Symbol"/>
                <w:b/>
                <w:color w:val="F8981D" w:themeColor="accent3"/>
                <w:sz w:val="16"/>
                <w:szCs w:val="16"/>
                <w:shd w:val="clear" w:color="auto" w:fill="FFFFFF"/>
              </w:rPr>
            </w:pPr>
            <w:r w:rsidRPr="005811F0">
              <w:rPr>
                <w:rFonts w:ascii="Segoe UI Symbol" w:hAnsi="Segoe UI Symbol" w:cs="Segoe UI Symbol"/>
                <w:b/>
                <w:color w:val="F8981D" w:themeColor="accent3"/>
                <w:sz w:val="16"/>
                <w:szCs w:val="16"/>
                <w:shd w:val="clear" w:color="auto" w:fill="FFFFFF"/>
              </w:rPr>
              <w:t>✓</w:t>
            </w:r>
          </w:p>
        </w:tc>
      </w:tr>
      <w:tr w:rsidR="006D4DE5" w:rsidRPr="005811F0" w14:paraId="2EDF9F1F" w14:textId="13EE70E8" w:rsidTr="00B25FA6">
        <w:trPr>
          <w:cnfStyle w:val="000000010000" w:firstRow="0" w:lastRow="0" w:firstColumn="0" w:lastColumn="0" w:oddVBand="0" w:evenVBand="0" w:oddHBand="0" w:evenHBand="1" w:firstRowFirstColumn="0" w:firstRowLastColumn="0" w:lastRowFirstColumn="0" w:lastRowLastColumn="0"/>
          <w:trHeight w:val="227"/>
        </w:trPr>
        <w:tc>
          <w:tcPr>
            <w:tcW w:w="2070" w:type="dxa"/>
            <w:vMerge/>
          </w:tcPr>
          <w:p w14:paraId="352D3640" w14:textId="77777777" w:rsidR="006D4DE5" w:rsidRPr="005811F0" w:rsidRDefault="006D4DE5" w:rsidP="00B25FA6">
            <w:pPr>
              <w:spacing w:after="0"/>
              <w:rPr>
                <w:sz w:val="16"/>
                <w:szCs w:val="16"/>
                <w:lang w:eastAsia="en-AU"/>
              </w:rPr>
            </w:pPr>
          </w:p>
        </w:tc>
        <w:tc>
          <w:tcPr>
            <w:tcW w:w="4601" w:type="dxa"/>
            <w:vAlign w:val="top"/>
          </w:tcPr>
          <w:p w14:paraId="2286F7DD" w14:textId="77777777" w:rsidR="006D4DE5" w:rsidRPr="005811F0" w:rsidRDefault="006D4DE5" w:rsidP="0096468E">
            <w:pPr>
              <w:pStyle w:val="TableNText"/>
              <w:rPr>
                <w:sz w:val="16"/>
                <w:szCs w:val="16"/>
                <w:lang w:eastAsia="en-AU"/>
              </w:rPr>
            </w:pPr>
            <w:r w:rsidRPr="005811F0">
              <w:rPr>
                <w:sz w:val="16"/>
                <w:szCs w:val="16"/>
                <w:lang w:eastAsia="en-AU"/>
              </w:rPr>
              <w:t>What is the difference in costs between the "do nothing scenario" and the Measure?</w:t>
            </w:r>
          </w:p>
        </w:tc>
        <w:tc>
          <w:tcPr>
            <w:tcW w:w="717" w:type="dxa"/>
          </w:tcPr>
          <w:p w14:paraId="32739BF3" w14:textId="77777777" w:rsidR="006D4DE5" w:rsidRPr="005811F0" w:rsidRDefault="006D4DE5" w:rsidP="00B25FA6">
            <w:pPr>
              <w:spacing w:after="0"/>
              <w:jc w:val="center"/>
              <w:rPr>
                <w:color w:val="FF3A40" w:themeColor="accent1"/>
                <w:sz w:val="16"/>
                <w:szCs w:val="16"/>
                <w:lang w:eastAsia="en-AU"/>
              </w:rPr>
            </w:pPr>
          </w:p>
        </w:tc>
        <w:tc>
          <w:tcPr>
            <w:tcW w:w="840" w:type="dxa"/>
          </w:tcPr>
          <w:p w14:paraId="48BD1C13" w14:textId="77777777" w:rsidR="006D4DE5" w:rsidRPr="005811F0" w:rsidRDefault="006D4DE5" w:rsidP="00B25FA6">
            <w:pPr>
              <w:spacing w:after="0"/>
              <w:jc w:val="center"/>
              <w:rPr>
                <w:color w:val="F25E21" w:themeColor="accent2"/>
                <w:sz w:val="16"/>
                <w:szCs w:val="16"/>
                <w:lang w:eastAsia="en-AU"/>
              </w:rPr>
            </w:pPr>
          </w:p>
        </w:tc>
        <w:tc>
          <w:tcPr>
            <w:tcW w:w="872" w:type="dxa"/>
          </w:tcPr>
          <w:p w14:paraId="437160D8" w14:textId="2F51384E" w:rsidR="006D4DE5" w:rsidRPr="005811F0" w:rsidRDefault="006D4DE5" w:rsidP="00B25FA6">
            <w:pPr>
              <w:spacing w:after="0"/>
              <w:jc w:val="center"/>
              <w:rPr>
                <w:rFonts w:ascii="Segoe UI Symbol" w:hAnsi="Segoe UI Symbol" w:cs="Segoe UI Symbol"/>
                <w:b/>
                <w:color w:val="F8981D" w:themeColor="accent3"/>
                <w:sz w:val="16"/>
                <w:szCs w:val="16"/>
                <w:shd w:val="clear" w:color="auto" w:fill="FFFFFF"/>
              </w:rPr>
            </w:pPr>
            <w:r w:rsidRPr="005811F0">
              <w:rPr>
                <w:rFonts w:ascii="Segoe UI Symbol" w:hAnsi="Segoe UI Symbol" w:cs="Segoe UI Symbol"/>
                <w:b/>
                <w:color w:val="F8981D" w:themeColor="accent3"/>
                <w:sz w:val="16"/>
                <w:szCs w:val="16"/>
                <w:shd w:val="clear" w:color="auto" w:fill="FFFFFF"/>
              </w:rPr>
              <w:t>✓</w:t>
            </w:r>
          </w:p>
        </w:tc>
      </w:tr>
      <w:tr w:rsidR="006D4DE5" w:rsidRPr="005811F0" w14:paraId="37451516" w14:textId="173B0EC9" w:rsidTr="00B25FA6">
        <w:trPr>
          <w:cnfStyle w:val="000000100000" w:firstRow="0" w:lastRow="0" w:firstColumn="0" w:lastColumn="0" w:oddVBand="0" w:evenVBand="0" w:oddHBand="1" w:evenHBand="0" w:firstRowFirstColumn="0" w:firstRowLastColumn="0" w:lastRowFirstColumn="0" w:lastRowLastColumn="0"/>
          <w:trHeight w:val="227"/>
        </w:trPr>
        <w:tc>
          <w:tcPr>
            <w:tcW w:w="2070" w:type="dxa"/>
            <w:vMerge/>
          </w:tcPr>
          <w:p w14:paraId="53E826D3" w14:textId="77777777" w:rsidR="006D4DE5" w:rsidRPr="005811F0" w:rsidRDefault="006D4DE5" w:rsidP="00B25FA6">
            <w:pPr>
              <w:spacing w:after="0"/>
              <w:rPr>
                <w:sz w:val="16"/>
                <w:szCs w:val="16"/>
                <w:lang w:eastAsia="en-AU"/>
              </w:rPr>
            </w:pPr>
          </w:p>
        </w:tc>
        <w:tc>
          <w:tcPr>
            <w:tcW w:w="4601" w:type="dxa"/>
            <w:vAlign w:val="top"/>
          </w:tcPr>
          <w:p w14:paraId="0C266032" w14:textId="77777777" w:rsidR="006D4DE5" w:rsidRPr="005811F0" w:rsidRDefault="006D4DE5" w:rsidP="0096468E">
            <w:pPr>
              <w:pStyle w:val="TableNText"/>
              <w:rPr>
                <w:sz w:val="16"/>
                <w:szCs w:val="16"/>
                <w:lang w:eastAsia="en-AU"/>
              </w:rPr>
            </w:pPr>
            <w:r w:rsidRPr="005811F0">
              <w:rPr>
                <w:sz w:val="16"/>
                <w:szCs w:val="16"/>
                <w:lang w:eastAsia="en-AU"/>
              </w:rPr>
              <w:t>What activities undertaken through the Measure are the most cost efficient?</w:t>
            </w:r>
          </w:p>
        </w:tc>
        <w:tc>
          <w:tcPr>
            <w:tcW w:w="717" w:type="dxa"/>
          </w:tcPr>
          <w:p w14:paraId="416C90C5" w14:textId="77777777" w:rsidR="006D4DE5" w:rsidRPr="005811F0" w:rsidRDefault="006D4DE5" w:rsidP="00B25FA6">
            <w:pPr>
              <w:spacing w:after="0"/>
              <w:jc w:val="center"/>
              <w:rPr>
                <w:color w:val="FF3A40" w:themeColor="accent1"/>
                <w:sz w:val="16"/>
                <w:szCs w:val="16"/>
                <w:lang w:eastAsia="en-AU"/>
              </w:rPr>
            </w:pPr>
          </w:p>
        </w:tc>
        <w:tc>
          <w:tcPr>
            <w:tcW w:w="840" w:type="dxa"/>
          </w:tcPr>
          <w:p w14:paraId="074660D6" w14:textId="77777777" w:rsidR="006D4DE5" w:rsidRPr="005811F0" w:rsidRDefault="006D4DE5" w:rsidP="00B25FA6">
            <w:pPr>
              <w:spacing w:after="0"/>
              <w:jc w:val="center"/>
              <w:rPr>
                <w:color w:val="F25E21" w:themeColor="accent2"/>
                <w:sz w:val="16"/>
                <w:szCs w:val="16"/>
                <w:lang w:eastAsia="en-AU"/>
              </w:rPr>
            </w:pPr>
          </w:p>
        </w:tc>
        <w:tc>
          <w:tcPr>
            <w:tcW w:w="872" w:type="dxa"/>
          </w:tcPr>
          <w:p w14:paraId="2F156FF3" w14:textId="54B6C6C2" w:rsidR="006D4DE5" w:rsidRPr="005811F0" w:rsidRDefault="006D4DE5" w:rsidP="00B25FA6">
            <w:pPr>
              <w:spacing w:after="0"/>
              <w:jc w:val="center"/>
              <w:rPr>
                <w:rFonts w:ascii="Segoe UI Symbol" w:hAnsi="Segoe UI Symbol" w:cs="Segoe UI Symbol"/>
                <w:b/>
                <w:color w:val="F8981D" w:themeColor="accent3"/>
                <w:sz w:val="16"/>
                <w:szCs w:val="16"/>
                <w:shd w:val="clear" w:color="auto" w:fill="FFFFFF"/>
              </w:rPr>
            </w:pPr>
            <w:r w:rsidRPr="005811F0">
              <w:rPr>
                <w:rFonts w:ascii="Segoe UI Symbol" w:hAnsi="Segoe UI Symbol" w:cs="Segoe UI Symbol"/>
                <w:b/>
                <w:color w:val="F8981D" w:themeColor="accent3"/>
                <w:sz w:val="16"/>
                <w:szCs w:val="16"/>
                <w:shd w:val="clear" w:color="auto" w:fill="FFFFFF"/>
              </w:rPr>
              <w:t>✓</w:t>
            </w:r>
          </w:p>
        </w:tc>
      </w:tr>
      <w:tr w:rsidR="006D4DE5" w:rsidRPr="005811F0" w14:paraId="32311D35" w14:textId="0F75EDAA" w:rsidTr="00B25FA6">
        <w:trPr>
          <w:cnfStyle w:val="000000010000" w:firstRow="0" w:lastRow="0" w:firstColumn="0" w:lastColumn="0" w:oddVBand="0" w:evenVBand="0" w:oddHBand="0" w:evenHBand="1" w:firstRowFirstColumn="0" w:firstRowLastColumn="0" w:lastRowFirstColumn="0" w:lastRowLastColumn="0"/>
          <w:trHeight w:val="227"/>
        </w:trPr>
        <w:tc>
          <w:tcPr>
            <w:tcW w:w="2070" w:type="dxa"/>
            <w:vMerge/>
          </w:tcPr>
          <w:p w14:paraId="7046CC4C" w14:textId="77777777" w:rsidR="006D4DE5" w:rsidRPr="005811F0" w:rsidRDefault="006D4DE5" w:rsidP="00B25FA6">
            <w:pPr>
              <w:spacing w:after="0"/>
              <w:rPr>
                <w:sz w:val="16"/>
                <w:szCs w:val="16"/>
                <w:lang w:eastAsia="en-AU"/>
              </w:rPr>
            </w:pPr>
          </w:p>
        </w:tc>
        <w:tc>
          <w:tcPr>
            <w:tcW w:w="4601" w:type="dxa"/>
            <w:vAlign w:val="top"/>
          </w:tcPr>
          <w:p w14:paraId="6718819C" w14:textId="77777777" w:rsidR="006D4DE5" w:rsidRPr="005811F0" w:rsidRDefault="006D4DE5" w:rsidP="0096468E">
            <w:pPr>
              <w:pStyle w:val="TableNText"/>
              <w:rPr>
                <w:sz w:val="16"/>
                <w:szCs w:val="16"/>
                <w:lang w:eastAsia="en-AU"/>
              </w:rPr>
            </w:pPr>
            <w:r w:rsidRPr="005811F0">
              <w:rPr>
                <w:sz w:val="16"/>
                <w:szCs w:val="16"/>
                <w:lang w:eastAsia="en-AU"/>
              </w:rPr>
              <w:t>What processes for implementing the Measure were the most cost efficient?</w:t>
            </w:r>
          </w:p>
        </w:tc>
        <w:tc>
          <w:tcPr>
            <w:tcW w:w="717" w:type="dxa"/>
          </w:tcPr>
          <w:p w14:paraId="364FEA4B" w14:textId="20FE8B73" w:rsidR="006D4DE5" w:rsidRPr="005811F0" w:rsidRDefault="006D4DE5" w:rsidP="00B25FA6">
            <w:pPr>
              <w:spacing w:after="0"/>
              <w:jc w:val="center"/>
              <w:rPr>
                <w:rFonts w:ascii="Segoe UI Symbol" w:hAnsi="Segoe UI Symbol" w:cs="Segoe UI Symbol"/>
                <w:b/>
                <w:color w:val="FF3A40" w:themeColor="accent1"/>
                <w:sz w:val="16"/>
                <w:szCs w:val="16"/>
                <w:shd w:val="clear" w:color="auto" w:fill="FFFFFF"/>
              </w:rPr>
            </w:pPr>
            <w:r w:rsidRPr="005811F0">
              <w:rPr>
                <w:rFonts w:ascii="Segoe UI Symbol" w:hAnsi="Segoe UI Symbol" w:cs="Segoe UI Symbol"/>
                <w:b/>
                <w:color w:val="FF3A40" w:themeColor="accent1"/>
                <w:sz w:val="16"/>
                <w:szCs w:val="16"/>
                <w:shd w:val="clear" w:color="auto" w:fill="FFFFFF"/>
              </w:rPr>
              <w:t>✓</w:t>
            </w:r>
          </w:p>
        </w:tc>
        <w:tc>
          <w:tcPr>
            <w:tcW w:w="840" w:type="dxa"/>
          </w:tcPr>
          <w:p w14:paraId="280E2BF6" w14:textId="77777777" w:rsidR="006D4DE5" w:rsidRPr="005811F0" w:rsidRDefault="006D4DE5" w:rsidP="00B25FA6">
            <w:pPr>
              <w:spacing w:after="0"/>
              <w:jc w:val="center"/>
              <w:rPr>
                <w:color w:val="F25E21" w:themeColor="accent2"/>
                <w:sz w:val="16"/>
                <w:szCs w:val="16"/>
                <w:lang w:eastAsia="en-AU"/>
              </w:rPr>
            </w:pPr>
          </w:p>
        </w:tc>
        <w:tc>
          <w:tcPr>
            <w:tcW w:w="872" w:type="dxa"/>
          </w:tcPr>
          <w:p w14:paraId="5E8C7902" w14:textId="54CF567F" w:rsidR="006D4DE5" w:rsidRPr="005811F0" w:rsidRDefault="006D4DE5" w:rsidP="00B25FA6">
            <w:pPr>
              <w:spacing w:after="0"/>
              <w:jc w:val="center"/>
              <w:rPr>
                <w:rFonts w:ascii="Segoe UI Symbol" w:hAnsi="Segoe UI Symbol" w:cs="Segoe UI Symbol"/>
                <w:b/>
                <w:color w:val="F8981D" w:themeColor="accent3"/>
                <w:sz w:val="16"/>
                <w:szCs w:val="16"/>
                <w:shd w:val="clear" w:color="auto" w:fill="FFFFFF"/>
              </w:rPr>
            </w:pPr>
            <w:r w:rsidRPr="005811F0">
              <w:rPr>
                <w:rFonts w:ascii="Segoe UI Symbol" w:hAnsi="Segoe UI Symbol" w:cs="Segoe UI Symbol"/>
                <w:b/>
                <w:color w:val="F8981D" w:themeColor="accent3"/>
                <w:sz w:val="16"/>
                <w:szCs w:val="16"/>
                <w:shd w:val="clear" w:color="auto" w:fill="FFFFFF"/>
              </w:rPr>
              <w:t>✓</w:t>
            </w:r>
          </w:p>
        </w:tc>
      </w:tr>
      <w:tr w:rsidR="006D4DE5" w:rsidRPr="005811F0" w14:paraId="2B21D892" w14:textId="2796D187" w:rsidTr="00B25FA6">
        <w:trPr>
          <w:cnfStyle w:val="000000100000" w:firstRow="0" w:lastRow="0" w:firstColumn="0" w:lastColumn="0" w:oddVBand="0" w:evenVBand="0" w:oddHBand="1" w:evenHBand="0" w:firstRowFirstColumn="0" w:firstRowLastColumn="0" w:lastRowFirstColumn="0" w:lastRowLastColumn="0"/>
          <w:trHeight w:val="227"/>
        </w:trPr>
        <w:tc>
          <w:tcPr>
            <w:tcW w:w="2070" w:type="dxa"/>
            <w:vMerge w:val="restart"/>
          </w:tcPr>
          <w:p w14:paraId="213A446F" w14:textId="77777777" w:rsidR="006D4DE5" w:rsidRPr="005811F0" w:rsidRDefault="006D4DE5" w:rsidP="0096468E">
            <w:pPr>
              <w:pStyle w:val="TableNText"/>
              <w:rPr>
                <w:sz w:val="16"/>
                <w:szCs w:val="16"/>
                <w:lang w:eastAsia="en-AU"/>
              </w:rPr>
            </w:pPr>
            <w:r w:rsidRPr="005811F0">
              <w:rPr>
                <w:sz w:val="16"/>
                <w:szCs w:val="16"/>
                <w:lang w:eastAsia="en-AU"/>
              </w:rPr>
              <w:t>6. Is there a specific model of care that has been implemented that has proven to be more successful than others?</w:t>
            </w:r>
          </w:p>
        </w:tc>
        <w:tc>
          <w:tcPr>
            <w:tcW w:w="4601" w:type="dxa"/>
          </w:tcPr>
          <w:p w14:paraId="5360296B" w14:textId="77777777" w:rsidR="006D4DE5" w:rsidRPr="005811F0" w:rsidRDefault="006D4DE5" w:rsidP="0096468E">
            <w:pPr>
              <w:pStyle w:val="TableNText"/>
              <w:rPr>
                <w:sz w:val="16"/>
                <w:szCs w:val="16"/>
                <w:lang w:eastAsia="en-AU"/>
              </w:rPr>
            </w:pPr>
            <w:r w:rsidRPr="005811F0">
              <w:rPr>
                <w:sz w:val="16"/>
                <w:szCs w:val="16"/>
                <w:lang w:eastAsia="en-AU"/>
              </w:rPr>
              <w:t>Which models of care implemented under the Measure have been most successful?</w:t>
            </w:r>
          </w:p>
        </w:tc>
        <w:tc>
          <w:tcPr>
            <w:tcW w:w="717" w:type="dxa"/>
          </w:tcPr>
          <w:p w14:paraId="05646A95" w14:textId="77777777" w:rsidR="006D4DE5" w:rsidRPr="005811F0" w:rsidRDefault="006D4DE5" w:rsidP="00B25FA6">
            <w:pPr>
              <w:spacing w:after="0"/>
              <w:jc w:val="center"/>
              <w:rPr>
                <w:color w:val="FF3A40" w:themeColor="accent1"/>
                <w:sz w:val="16"/>
                <w:szCs w:val="16"/>
                <w:lang w:eastAsia="en-AU"/>
              </w:rPr>
            </w:pPr>
          </w:p>
        </w:tc>
        <w:tc>
          <w:tcPr>
            <w:tcW w:w="840" w:type="dxa"/>
          </w:tcPr>
          <w:p w14:paraId="3ACA96B1" w14:textId="01B6A77C" w:rsidR="006D4DE5" w:rsidRPr="005811F0" w:rsidRDefault="006D4DE5" w:rsidP="00B25FA6">
            <w:pPr>
              <w:spacing w:after="0"/>
              <w:jc w:val="center"/>
              <w:rPr>
                <w:rFonts w:ascii="Segoe UI Symbol" w:hAnsi="Segoe UI Symbol" w:cs="Segoe UI Symbol"/>
                <w:b/>
                <w:color w:val="F25E21" w:themeColor="accent2"/>
                <w:sz w:val="16"/>
                <w:szCs w:val="16"/>
                <w:shd w:val="clear" w:color="auto" w:fill="FFFFFF"/>
              </w:rPr>
            </w:pPr>
            <w:r w:rsidRPr="005811F0">
              <w:rPr>
                <w:rFonts w:ascii="Segoe UI Symbol" w:hAnsi="Segoe UI Symbol" w:cs="Segoe UI Symbol"/>
                <w:b/>
                <w:color w:val="F25E21" w:themeColor="accent2"/>
                <w:sz w:val="16"/>
                <w:szCs w:val="16"/>
                <w:shd w:val="clear" w:color="auto" w:fill="FFFFFF"/>
              </w:rPr>
              <w:t>✓</w:t>
            </w:r>
          </w:p>
        </w:tc>
        <w:tc>
          <w:tcPr>
            <w:tcW w:w="872" w:type="dxa"/>
          </w:tcPr>
          <w:p w14:paraId="521CC08C" w14:textId="77777777" w:rsidR="006D4DE5" w:rsidRPr="005811F0" w:rsidRDefault="006D4DE5" w:rsidP="00B25FA6">
            <w:pPr>
              <w:spacing w:after="0"/>
              <w:jc w:val="center"/>
              <w:rPr>
                <w:color w:val="F8981D" w:themeColor="accent3"/>
                <w:sz w:val="16"/>
                <w:szCs w:val="16"/>
                <w:lang w:eastAsia="en-AU"/>
              </w:rPr>
            </w:pPr>
          </w:p>
        </w:tc>
      </w:tr>
      <w:tr w:rsidR="006D4DE5" w:rsidRPr="005811F0" w14:paraId="1AF0CFC8" w14:textId="67174699" w:rsidTr="00B25FA6">
        <w:trPr>
          <w:cnfStyle w:val="000000010000" w:firstRow="0" w:lastRow="0" w:firstColumn="0" w:lastColumn="0" w:oddVBand="0" w:evenVBand="0" w:oddHBand="0" w:evenHBand="1" w:firstRowFirstColumn="0" w:firstRowLastColumn="0" w:lastRowFirstColumn="0" w:lastRowLastColumn="0"/>
          <w:trHeight w:val="227"/>
        </w:trPr>
        <w:tc>
          <w:tcPr>
            <w:tcW w:w="2070" w:type="dxa"/>
            <w:vMerge/>
          </w:tcPr>
          <w:p w14:paraId="4C7E25B1" w14:textId="77777777" w:rsidR="006D4DE5" w:rsidRPr="005811F0" w:rsidRDefault="006D4DE5" w:rsidP="0096468E">
            <w:pPr>
              <w:pStyle w:val="TableNText"/>
              <w:rPr>
                <w:sz w:val="16"/>
                <w:szCs w:val="16"/>
                <w:lang w:eastAsia="en-AU"/>
              </w:rPr>
            </w:pPr>
          </w:p>
        </w:tc>
        <w:tc>
          <w:tcPr>
            <w:tcW w:w="4601" w:type="dxa"/>
          </w:tcPr>
          <w:p w14:paraId="1E78CA2D" w14:textId="77777777" w:rsidR="006D4DE5" w:rsidRPr="005811F0" w:rsidRDefault="006D4DE5" w:rsidP="0096468E">
            <w:pPr>
              <w:pStyle w:val="TableNText"/>
              <w:rPr>
                <w:sz w:val="16"/>
                <w:szCs w:val="16"/>
                <w:lang w:eastAsia="en-AU"/>
              </w:rPr>
            </w:pPr>
            <w:r w:rsidRPr="005811F0">
              <w:rPr>
                <w:sz w:val="16"/>
                <w:szCs w:val="16"/>
                <w:lang w:eastAsia="en-AU"/>
              </w:rPr>
              <w:t>What models of care exist elsewhere that have proven successful?</w:t>
            </w:r>
          </w:p>
        </w:tc>
        <w:tc>
          <w:tcPr>
            <w:tcW w:w="717" w:type="dxa"/>
          </w:tcPr>
          <w:p w14:paraId="33E5B9A3" w14:textId="77777777" w:rsidR="006D4DE5" w:rsidRPr="005811F0" w:rsidRDefault="006D4DE5" w:rsidP="00B25FA6">
            <w:pPr>
              <w:spacing w:after="0"/>
              <w:jc w:val="center"/>
              <w:rPr>
                <w:color w:val="FF3A40" w:themeColor="accent1"/>
                <w:sz w:val="16"/>
                <w:szCs w:val="16"/>
                <w:lang w:eastAsia="en-AU"/>
              </w:rPr>
            </w:pPr>
          </w:p>
        </w:tc>
        <w:tc>
          <w:tcPr>
            <w:tcW w:w="840" w:type="dxa"/>
          </w:tcPr>
          <w:p w14:paraId="79781D4A" w14:textId="18A04A92" w:rsidR="006D4DE5" w:rsidRPr="005811F0" w:rsidRDefault="006D4DE5" w:rsidP="00B25FA6">
            <w:pPr>
              <w:spacing w:after="0"/>
              <w:jc w:val="center"/>
              <w:rPr>
                <w:rFonts w:ascii="Segoe UI Symbol" w:hAnsi="Segoe UI Symbol" w:cs="Segoe UI Symbol"/>
                <w:b/>
                <w:color w:val="F25E21" w:themeColor="accent2"/>
                <w:sz w:val="16"/>
                <w:szCs w:val="16"/>
                <w:shd w:val="clear" w:color="auto" w:fill="FFFFFF"/>
              </w:rPr>
            </w:pPr>
            <w:r w:rsidRPr="005811F0">
              <w:rPr>
                <w:rFonts w:ascii="Segoe UI Symbol" w:hAnsi="Segoe UI Symbol" w:cs="Segoe UI Symbol"/>
                <w:b/>
                <w:color w:val="F25E21" w:themeColor="accent2"/>
                <w:sz w:val="16"/>
                <w:szCs w:val="16"/>
                <w:shd w:val="clear" w:color="auto" w:fill="FFFFFF"/>
              </w:rPr>
              <w:t>✓</w:t>
            </w:r>
          </w:p>
        </w:tc>
        <w:tc>
          <w:tcPr>
            <w:tcW w:w="872" w:type="dxa"/>
          </w:tcPr>
          <w:p w14:paraId="3D1FC4D9" w14:textId="77777777" w:rsidR="006D4DE5" w:rsidRPr="005811F0" w:rsidRDefault="006D4DE5" w:rsidP="00B25FA6">
            <w:pPr>
              <w:spacing w:after="0"/>
              <w:jc w:val="center"/>
              <w:rPr>
                <w:color w:val="F8981D" w:themeColor="accent3"/>
                <w:sz w:val="16"/>
                <w:szCs w:val="16"/>
                <w:lang w:eastAsia="en-AU"/>
              </w:rPr>
            </w:pPr>
          </w:p>
        </w:tc>
      </w:tr>
      <w:tr w:rsidR="006D4DE5" w:rsidRPr="005811F0" w14:paraId="4B2E4BC6" w14:textId="1F44184C" w:rsidTr="00B25FA6">
        <w:trPr>
          <w:cnfStyle w:val="000000100000" w:firstRow="0" w:lastRow="0" w:firstColumn="0" w:lastColumn="0" w:oddVBand="0" w:evenVBand="0" w:oddHBand="1" w:evenHBand="0" w:firstRowFirstColumn="0" w:firstRowLastColumn="0" w:lastRowFirstColumn="0" w:lastRowLastColumn="0"/>
          <w:trHeight w:val="227"/>
        </w:trPr>
        <w:tc>
          <w:tcPr>
            <w:tcW w:w="2070" w:type="dxa"/>
            <w:vMerge w:val="restart"/>
          </w:tcPr>
          <w:p w14:paraId="235FDE4F" w14:textId="77777777" w:rsidR="006D4DE5" w:rsidRPr="005811F0" w:rsidRDefault="006D4DE5" w:rsidP="0096468E">
            <w:pPr>
              <w:pStyle w:val="TableNText"/>
              <w:rPr>
                <w:sz w:val="16"/>
                <w:szCs w:val="16"/>
                <w:lang w:eastAsia="en-AU"/>
              </w:rPr>
            </w:pPr>
            <w:r w:rsidRPr="005811F0">
              <w:rPr>
                <w:sz w:val="16"/>
                <w:szCs w:val="16"/>
                <w:lang w:eastAsia="en-AU"/>
              </w:rPr>
              <w:t>7. How well does the Measure align and contribute to the National Palliative Care Strategy? Are there opportunities for improvement?</w:t>
            </w:r>
          </w:p>
        </w:tc>
        <w:tc>
          <w:tcPr>
            <w:tcW w:w="4601" w:type="dxa"/>
            <w:vAlign w:val="top"/>
          </w:tcPr>
          <w:p w14:paraId="2FE04E73" w14:textId="77777777" w:rsidR="006D4DE5" w:rsidRPr="005811F0" w:rsidRDefault="006D4DE5" w:rsidP="0096468E">
            <w:pPr>
              <w:pStyle w:val="TableNText"/>
              <w:rPr>
                <w:sz w:val="16"/>
                <w:szCs w:val="16"/>
                <w:lang w:eastAsia="en-AU"/>
              </w:rPr>
            </w:pPr>
            <w:r w:rsidRPr="005811F0">
              <w:rPr>
                <w:sz w:val="16"/>
                <w:szCs w:val="16"/>
                <w:lang w:eastAsia="en-AU"/>
              </w:rPr>
              <w:t xml:space="preserve">How do the Measure’s listed outcomes align with the goals and priorities of the National Palliative Care Strategy? </w:t>
            </w:r>
          </w:p>
        </w:tc>
        <w:tc>
          <w:tcPr>
            <w:tcW w:w="717" w:type="dxa"/>
          </w:tcPr>
          <w:p w14:paraId="7FB40607" w14:textId="40B1EA66" w:rsidR="006D4DE5" w:rsidRPr="005811F0" w:rsidRDefault="006D4DE5" w:rsidP="00B25FA6">
            <w:pPr>
              <w:spacing w:after="0"/>
              <w:jc w:val="center"/>
              <w:rPr>
                <w:rFonts w:ascii="Segoe UI Symbol" w:hAnsi="Segoe UI Symbol" w:cs="Segoe UI Symbol"/>
                <w:b/>
                <w:color w:val="FF3A40" w:themeColor="accent1"/>
                <w:sz w:val="16"/>
                <w:szCs w:val="16"/>
                <w:shd w:val="clear" w:color="auto" w:fill="FFFFFF"/>
              </w:rPr>
            </w:pPr>
            <w:r w:rsidRPr="005811F0">
              <w:rPr>
                <w:rFonts w:ascii="Segoe UI Symbol" w:hAnsi="Segoe UI Symbol" w:cs="Segoe UI Symbol"/>
                <w:b/>
                <w:color w:val="FF3A40" w:themeColor="accent1"/>
                <w:sz w:val="16"/>
                <w:szCs w:val="16"/>
                <w:shd w:val="clear" w:color="auto" w:fill="FFFFFF"/>
              </w:rPr>
              <w:t>✓</w:t>
            </w:r>
          </w:p>
        </w:tc>
        <w:tc>
          <w:tcPr>
            <w:tcW w:w="840" w:type="dxa"/>
          </w:tcPr>
          <w:p w14:paraId="271119BA" w14:textId="7EDEB425" w:rsidR="006D4DE5" w:rsidRPr="005811F0" w:rsidRDefault="006D4DE5" w:rsidP="00B25FA6">
            <w:pPr>
              <w:spacing w:after="0"/>
              <w:jc w:val="center"/>
              <w:rPr>
                <w:color w:val="F25E21" w:themeColor="accent2"/>
                <w:sz w:val="16"/>
                <w:szCs w:val="16"/>
                <w:lang w:eastAsia="en-AU"/>
              </w:rPr>
            </w:pPr>
          </w:p>
        </w:tc>
        <w:tc>
          <w:tcPr>
            <w:tcW w:w="872" w:type="dxa"/>
          </w:tcPr>
          <w:p w14:paraId="6BB56652" w14:textId="77777777" w:rsidR="006D4DE5" w:rsidRPr="005811F0" w:rsidRDefault="006D4DE5" w:rsidP="00B25FA6">
            <w:pPr>
              <w:spacing w:after="0"/>
              <w:jc w:val="center"/>
              <w:rPr>
                <w:color w:val="F8981D" w:themeColor="accent3"/>
                <w:sz w:val="16"/>
                <w:szCs w:val="16"/>
                <w:lang w:eastAsia="en-AU"/>
              </w:rPr>
            </w:pPr>
          </w:p>
        </w:tc>
      </w:tr>
      <w:tr w:rsidR="006D4DE5" w:rsidRPr="005811F0" w14:paraId="33B19F83" w14:textId="3B0C6565" w:rsidTr="00B25FA6">
        <w:trPr>
          <w:cnfStyle w:val="000000010000" w:firstRow="0" w:lastRow="0" w:firstColumn="0" w:lastColumn="0" w:oddVBand="0" w:evenVBand="0" w:oddHBand="0" w:evenHBand="1" w:firstRowFirstColumn="0" w:firstRowLastColumn="0" w:lastRowFirstColumn="0" w:lastRowLastColumn="0"/>
          <w:trHeight w:val="227"/>
        </w:trPr>
        <w:tc>
          <w:tcPr>
            <w:tcW w:w="2070" w:type="dxa"/>
            <w:vMerge/>
          </w:tcPr>
          <w:p w14:paraId="4A1DB509" w14:textId="77777777" w:rsidR="006D4DE5" w:rsidRPr="005811F0" w:rsidRDefault="006D4DE5" w:rsidP="0096468E">
            <w:pPr>
              <w:pStyle w:val="TableNText"/>
              <w:rPr>
                <w:sz w:val="16"/>
                <w:szCs w:val="16"/>
                <w:lang w:eastAsia="en-AU"/>
              </w:rPr>
            </w:pPr>
          </w:p>
        </w:tc>
        <w:tc>
          <w:tcPr>
            <w:tcW w:w="4601" w:type="dxa"/>
            <w:vAlign w:val="top"/>
          </w:tcPr>
          <w:p w14:paraId="70B6E665" w14:textId="77777777" w:rsidR="006D4DE5" w:rsidRPr="005811F0" w:rsidRDefault="006D4DE5" w:rsidP="0096468E">
            <w:pPr>
              <w:pStyle w:val="TableNText"/>
              <w:rPr>
                <w:sz w:val="16"/>
                <w:szCs w:val="16"/>
                <w:lang w:eastAsia="en-AU"/>
              </w:rPr>
            </w:pPr>
            <w:r w:rsidRPr="005811F0">
              <w:rPr>
                <w:sz w:val="16"/>
                <w:szCs w:val="16"/>
                <w:lang w:eastAsia="en-AU"/>
              </w:rPr>
              <w:t>How has the Measure contributed to the goals and priorities of the Strategy?</w:t>
            </w:r>
          </w:p>
        </w:tc>
        <w:tc>
          <w:tcPr>
            <w:tcW w:w="717" w:type="dxa"/>
          </w:tcPr>
          <w:p w14:paraId="4360A536" w14:textId="77777777" w:rsidR="006D4DE5" w:rsidRPr="005811F0" w:rsidRDefault="006D4DE5" w:rsidP="00B25FA6">
            <w:pPr>
              <w:spacing w:after="0"/>
              <w:jc w:val="center"/>
              <w:rPr>
                <w:color w:val="FF3A40" w:themeColor="accent1"/>
                <w:sz w:val="16"/>
                <w:szCs w:val="16"/>
                <w:lang w:eastAsia="en-AU"/>
              </w:rPr>
            </w:pPr>
          </w:p>
        </w:tc>
        <w:tc>
          <w:tcPr>
            <w:tcW w:w="840" w:type="dxa"/>
          </w:tcPr>
          <w:p w14:paraId="04063782" w14:textId="33A9DE65" w:rsidR="006D4DE5" w:rsidRPr="005811F0" w:rsidRDefault="006D4DE5" w:rsidP="00B25FA6">
            <w:pPr>
              <w:spacing w:after="0"/>
              <w:jc w:val="center"/>
              <w:rPr>
                <w:rFonts w:ascii="Segoe UI Symbol" w:hAnsi="Segoe UI Symbol" w:cs="Segoe UI Symbol"/>
                <w:b/>
                <w:color w:val="F25E21" w:themeColor="accent2"/>
                <w:sz w:val="16"/>
                <w:szCs w:val="16"/>
                <w:shd w:val="clear" w:color="auto" w:fill="FFFFFF"/>
              </w:rPr>
            </w:pPr>
            <w:r w:rsidRPr="005811F0">
              <w:rPr>
                <w:rFonts w:ascii="Segoe UI Symbol" w:hAnsi="Segoe UI Symbol" w:cs="Segoe UI Symbol"/>
                <w:b/>
                <w:color w:val="F25E21" w:themeColor="accent2"/>
                <w:sz w:val="16"/>
                <w:szCs w:val="16"/>
                <w:shd w:val="clear" w:color="auto" w:fill="FFFFFF"/>
              </w:rPr>
              <w:t>✓</w:t>
            </w:r>
          </w:p>
        </w:tc>
        <w:tc>
          <w:tcPr>
            <w:tcW w:w="872" w:type="dxa"/>
          </w:tcPr>
          <w:p w14:paraId="65FB554B" w14:textId="77777777" w:rsidR="006D4DE5" w:rsidRPr="005811F0" w:rsidRDefault="006D4DE5" w:rsidP="00B25FA6">
            <w:pPr>
              <w:spacing w:after="0"/>
              <w:jc w:val="center"/>
              <w:rPr>
                <w:color w:val="F8981D" w:themeColor="accent3"/>
                <w:sz w:val="16"/>
                <w:szCs w:val="16"/>
                <w:lang w:eastAsia="en-AU"/>
              </w:rPr>
            </w:pPr>
          </w:p>
        </w:tc>
      </w:tr>
      <w:tr w:rsidR="006D4DE5" w:rsidRPr="005811F0" w14:paraId="24B552EC" w14:textId="1CB4E759" w:rsidTr="00B25FA6">
        <w:trPr>
          <w:cnfStyle w:val="000000100000" w:firstRow="0" w:lastRow="0" w:firstColumn="0" w:lastColumn="0" w:oddVBand="0" w:evenVBand="0" w:oddHBand="1" w:evenHBand="0" w:firstRowFirstColumn="0" w:firstRowLastColumn="0" w:lastRowFirstColumn="0" w:lastRowLastColumn="0"/>
          <w:trHeight w:val="227"/>
        </w:trPr>
        <w:tc>
          <w:tcPr>
            <w:tcW w:w="2070" w:type="dxa"/>
            <w:vMerge/>
          </w:tcPr>
          <w:p w14:paraId="404130F1" w14:textId="77777777" w:rsidR="006D4DE5" w:rsidRPr="005811F0" w:rsidRDefault="006D4DE5" w:rsidP="0096468E">
            <w:pPr>
              <w:pStyle w:val="TableNText"/>
              <w:rPr>
                <w:sz w:val="16"/>
                <w:szCs w:val="16"/>
                <w:lang w:eastAsia="en-AU"/>
              </w:rPr>
            </w:pPr>
          </w:p>
        </w:tc>
        <w:tc>
          <w:tcPr>
            <w:tcW w:w="4601" w:type="dxa"/>
          </w:tcPr>
          <w:p w14:paraId="1FFF6AEA" w14:textId="77777777" w:rsidR="006D4DE5" w:rsidRPr="005811F0" w:rsidRDefault="006D4DE5" w:rsidP="0096468E">
            <w:pPr>
              <w:pStyle w:val="TableNText"/>
              <w:rPr>
                <w:sz w:val="16"/>
                <w:szCs w:val="16"/>
                <w:lang w:eastAsia="en-AU"/>
              </w:rPr>
            </w:pPr>
            <w:r w:rsidRPr="005811F0">
              <w:rPr>
                <w:sz w:val="16"/>
                <w:szCs w:val="16"/>
                <w:lang w:eastAsia="en-AU"/>
              </w:rPr>
              <w:t>How could the Measure be better aligned to the Strategy?</w:t>
            </w:r>
          </w:p>
        </w:tc>
        <w:tc>
          <w:tcPr>
            <w:tcW w:w="717" w:type="dxa"/>
          </w:tcPr>
          <w:p w14:paraId="3FD5977B" w14:textId="77777777" w:rsidR="006D4DE5" w:rsidRPr="005811F0" w:rsidRDefault="006D4DE5" w:rsidP="00B25FA6">
            <w:pPr>
              <w:spacing w:after="0"/>
              <w:jc w:val="center"/>
              <w:rPr>
                <w:color w:val="FF3A40" w:themeColor="accent1"/>
                <w:sz w:val="16"/>
                <w:szCs w:val="16"/>
                <w:lang w:eastAsia="en-AU"/>
              </w:rPr>
            </w:pPr>
          </w:p>
        </w:tc>
        <w:tc>
          <w:tcPr>
            <w:tcW w:w="840" w:type="dxa"/>
          </w:tcPr>
          <w:p w14:paraId="6C262864" w14:textId="4CAEFC14" w:rsidR="006D4DE5" w:rsidRPr="005811F0" w:rsidRDefault="006D4DE5" w:rsidP="00B25FA6">
            <w:pPr>
              <w:spacing w:after="0"/>
              <w:jc w:val="center"/>
              <w:rPr>
                <w:rFonts w:ascii="Segoe UI Symbol" w:hAnsi="Segoe UI Symbol" w:cs="Segoe UI Symbol"/>
                <w:b/>
                <w:color w:val="F25E21" w:themeColor="accent2"/>
                <w:sz w:val="16"/>
                <w:szCs w:val="16"/>
                <w:shd w:val="clear" w:color="auto" w:fill="FFFFFF"/>
              </w:rPr>
            </w:pPr>
            <w:r w:rsidRPr="005811F0">
              <w:rPr>
                <w:rFonts w:ascii="Segoe UI Symbol" w:hAnsi="Segoe UI Symbol" w:cs="Segoe UI Symbol"/>
                <w:b/>
                <w:color w:val="F25E21" w:themeColor="accent2"/>
                <w:sz w:val="16"/>
                <w:szCs w:val="16"/>
                <w:shd w:val="clear" w:color="auto" w:fill="FFFFFF"/>
              </w:rPr>
              <w:t>✓</w:t>
            </w:r>
          </w:p>
        </w:tc>
        <w:tc>
          <w:tcPr>
            <w:tcW w:w="872" w:type="dxa"/>
          </w:tcPr>
          <w:p w14:paraId="14C972AB" w14:textId="77777777" w:rsidR="006D4DE5" w:rsidRPr="005811F0" w:rsidRDefault="006D4DE5" w:rsidP="00B25FA6">
            <w:pPr>
              <w:spacing w:after="0"/>
              <w:jc w:val="center"/>
              <w:rPr>
                <w:color w:val="F8981D" w:themeColor="accent3"/>
                <w:sz w:val="16"/>
                <w:szCs w:val="16"/>
                <w:lang w:eastAsia="en-AU"/>
              </w:rPr>
            </w:pPr>
          </w:p>
        </w:tc>
      </w:tr>
      <w:tr w:rsidR="006D4DE5" w:rsidRPr="005811F0" w14:paraId="38787DAF" w14:textId="042AC20F" w:rsidTr="00B25FA6">
        <w:trPr>
          <w:cnfStyle w:val="000000010000" w:firstRow="0" w:lastRow="0" w:firstColumn="0" w:lastColumn="0" w:oddVBand="0" w:evenVBand="0" w:oddHBand="0" w:evenHBand="1" w:firstRowFirstColumn="0" w:firstRowLastColumn="0" w:lastRowFirstColumn="0" w:lastRowLastColumn="0"/>
          <w:trHeight w:val="227"/>
        </w:trPr>
        <w:tc>
          <w:tcPr>
            <w:tcW w:w="2070" w:type="dxa"/>
            <w:vMerge w:val="restart"/>
          </w:tcPr>
          <w:p w14:paraId="5B3AFF40" w14:textId="77777777" w:rsidR="006D4DE5" w:rsidRPr="005811F0" w:rsidRDefault="006D4DE5" w:rsidP="0096468E">
            <w:pPr>
              <w:pStyle w:val="TableNText"/>
              <w:rPr>
                <w:sz w:val="16"/>
                <w:szCs w:val="16"/>
                <w:lang w:eastAsia="en-AU"/>
              </w:rPr>
            </w:pPr>
            <w:r w:rsidRPr="005811F0">
              <w:rPr>
                <w:sz w:val="16"/>
                <w:szCs w:val="16"/>
                <w:lang w:eastAsia="en-AU"/>
              </w:rPr>
              <w:t>8. Does the Measure and the models adopted in each jurisdiction help to address health system interface issues?</w:t>
            </w:r>
          </w:p>
        </w:tc>
        <w:tc>
          <w:tcPr>
            <w:tcW w:w="4601" w:type="dxa"/>
            <w:vAlign w:val="top"/>
          </w:tcPr>
          <w:p w14:paraId="015F1A16" w14:textId="43D52DB3" w:rsidR="006D4DE5" w:rsidRPr="005811F0" w:rsidRDefault="006D4DE5" w:rsidP="0096468E">
            <w:pPr>
              <w:pStyle w:val="TableNText"/>
              <w:rPr>
                <w:sz w:val="16"/>
                <w:szCs w:val="16"/>
                <w:lang w:eastAsia="en-AU"/>
              </w:rPr>
            </w:pPr>
            <w:r w:rsidRPr="005811F0">
              <w:rPr>
                <w:sz w:val="16"/>
                <w:szCs w:val="16"/>
                <w:lang w:eastAsia="en-AU"/>
              </w:rPr>
              <w:t xml:space="preserve">What are the key interface issues? </w:t>
            </w:r>
          </w:p>
        </w:tc>
        <w:tc>
          <w:tcPr>
            <w:tcW w:w="717" w:type="dxa"/>
          </w:tcPr>
          <w:p w14:paraId="5F3B3547" w14:textId="1EC59278" w:rsidR="006D4DE5" w:rsidRPr="005811F0" w:rsidRDefault="006D4DE5" w:rsidP="00B25FA6">
            <w:pPr>
              <w:spacing w:after="0"/>
              <w:jc w:val="center"/>
              <w:rPr>
                <w:rFonts w:ascii="Segoe UI Symbol" w:hAnsi="Segoe UI Symbol" w:cs="Segoe UI Symbol"/>
                <w:b/>
                <w:color w:val="FF3A40" w:themeColor="accent1"/>
                <w:sz w:val="16"/>
                <w:szCs w:val="16"/>
                <w:shd w:val="clear" w:color="auto" w:fill="FFFFFF"/>
              </w:rPr>
            </w:pPr>
            <w:r w:rsidRPr="005811F0">
              <w:rPr>
                <w:rFonts w:ascii="Segoe UI Symbol" w:hAnsi="Segoe UI Symbol" w:cs="Segoe UI Symbol"/>
                <w:b/>
                <w:color w:val="FF3A40" w:themeColor="accent1"/>
                <w:sz w:val="16"/>
                <w:szCs w:val="16"/>
                <w:shd w:val="clear" w:color="auto" w:fill="FFFFFF"/>
              </w:rPr>
              <w:t>✓</w:t>
            </w:r>
          </w:p>
        </w:tc>
        <w:tc>
          <w:tcPr>
            <w:tcW w:w="840" w:type="dxa"/>
          </w:tcPr>
          <w:p w14:paraId="0263C022" w14:textId="36CECFD4" w:rsidR="006D4DE5" w:rsidRPr="005811F0" w:rsidRDefault="006D4DE5" w:rsidP="00B25FA6">
            <w:pPr>
              <w:spacing w:after="0"/>
              <w:jc w:val="center"/>
              <w:rPr>
                <w:color w:val="F25E21" w:themeColor="accent2"/>
                <w:sz w:val="16"/>
                <w:szCs w:val="16"/>
                <w:lang w:eastAsia="en-AU"/>
              </w:rPr>
            </w:pPr>
          </w:p>
        </w:tc>
        <w:tc>
          <w:tcPr>
            <w:tcW w:w="872" w:type="dxa"/>
          </w:tcPr>
          <w:p w14:paraId="53008978" w14:textId="77777777" w:rsidR="006D4DE5" w:rsidRPr="005811F0" w:rsidRDefault="006D4DE5" w:rsidP="00B25FA6">
            <w:pPr>
              <w:spacing w:after="0"/>
              <w:jc w:val="center"/>
              <w:rPr>
                <w:color w:val="F8981D" w:themeColor="accent3"/>
                <w:sz w:val="16"/>
                <w:szCs w:val="16"/>
                <w:lang w:eastAsia="en-AU"/>
              </w:rPr>
            </w:pPr>
          </w:p>
        </w:tc>
      </w:tr>
      <w:tr w:rsidR="006D4DE5" w:rsidRPr="005811F0" w14:paraId="4A641035" w14:textId="11D7C473" w:rsidTr="00B25FA6">
        <w:trPr>
          <w:cnfStyle w:val="000000100000" w:firstRow="0" w:lastRow="0" w:firstColumn="0" w:lastColumn="0" w:oddVBand="0" w:evenVBand="0" w:oddHBand="1" w:evenHBand="0" w:firstRowFirstColumn="0" w:firstRowLastColumn="0" w:lastRowFirstColumn="0" w:lastRowLastColumn="0"/>
          <w:trHeight w:val="227"/>
        </w:trPr>
        <w:tc>
          <w:tcPr>
            <w:tcW w:w="2070" w:type="dxa"/>
            <w:vMerge/>
          </w:tcPr>
          <w:p w14:paraId="017A6531" w14:textId="77777777" w:rsidR="006D4DE5" w:rsidRPr="005811F0" w:rsidRDefault="006D4DE5" w:rsidP="00B25FA6">
            <w:pPr>
              <w:spacing w:after="0"/>
              <w:rPr>
                <w:sz w:val="16"/>
                <w:szCs w:val="16"/>
                <w:lang w:eastAsia="en-AU"/>
              </w:rPr>
            </w:pPr>
          </w:p>
        </w:tc>
        <w:tc>
          <w:tcPr>
            <w:tcW w:w="4601" w:type="dxa"/>
            <w:vAlign w:val="top"/>
          </w:tcPr>
          <w:p w14:paraId="4F88B3BC" w14:textId="77777777" w:rsidR="006D4DE5" w:rsidRPr="005811F0" w:rsidRDefault="006D4DE5" w:rsidP="0096468E">
            <w:pPr>
              <w:pStyle w:val="TableNText"/>
              <w:rPr>
                <w:sz w:val="16"/>
                <w:szCs w:val="16"/>
                <w:lang w:eastAsia="en-AU"/>
              </w:rPr>
            </w:pPr>
            <w:r w:rsidRPr="005811F0">
              <w:rPr>
                <w:sz w:val="16"/>
                <w:szCs w:val="16"/>
                <w:lang w:eastAsia="en-AU"/>
              </w:rPr>
              <w:t>How have the models adopted within the Measure acted to address interface issues?</w:t>
            </w:r>
          </w:p>
        </w:tc>
        <w:tc>
          <w:tcPr>
            <w:tcW w:w="717" w:type="dxa"/>
          </w:tcPr>
          <w:p w14:paraId="66B168DB" w14:textId="47CC4308" w:rsidR="006D4DE5" w:rsidRPr="005811F0" w:rsidRDefault="006D4DE5" w:rsidP="00B25FA6">
            <w:pPr>
              <w:spacing w:after="0"/>
              <w:jc w:val="center"/>
              <w:rPr>
                <w:rFonts w:ascii="Segoe UI Symbol" w:hAnsi="Segoe UI Symbol" w:cs="Segoe UI Symbol"/>
                <w:b/>
                <w:color w:val="FF3A40" w:themeColor="accent1"/>
                <w:sz w:val="16"/>
                <w:szCs w:val="16"/>
                <w:shd w:val="clear" w:color="auto" w:fill="FFFFFF"/>
              </w:rPr>
            </w:pPr>
          </w:p>
        </w:tc>
        <w:tc>
          <w:tcPr>
            <w:tcW w:w="840" w:type="dxa"/>
          </w:tcPr>
          <w:p w14:paraId="14504BC7" w14:textId="418F011D" w:rsidR="006D4DE5" w:rsidRPr="005811F0" w:rsidRDefault="00DD1DAD" w:rsidP="00B25FA6">
            <w:pPr>
              <w:spacing w:after="0"/>
              <w:jc w:val="center"/>
              <w:rPr>
                <w:color w:val="F25E21" w:themeColor="accent2"/>
                <w:sz w:val="16"/>
                <w:szCs w:val="16"/>
                <w:lang w:eastAsia="en-AU"/>
              </w:rPr>
            </w:pPr>
            <w:r w:rsidRPr="005811F0">
              <w:rPr>
                <w:rFonts w:ascii="Segoe UI Symbol" w:hAnsi="Segoe UI Symbol" w:cs="Segoe UI Symbol"/>
                <w:b/>
                <w:color w:val="F25E21" w:themeColor="accent2"/>
                <w:sz w:val="16"/>
                <w:szCs w:val="16"/>
                <w:shd w:val="clear" w:color="auto" w:fill="FFFFFF"/>
              </w:rPr>
              <w:t>✓</w:t>
            </w:r>
          </w:p>
        </w:tc>
        <w:tc>
          <w:tcPr>
            <w:tcW w:w="872" w:type="dxa"/>
          </w:tcPr>
          <w:p w14:paraId="03521D0B" w14:textId="77777777" w:rsidR="006D4DE5" w:rsidRPr="005811F0" w:rsidRDefault="006D4DE5" w:rsidP="00B25FA6">
            <w:pPr>
              <w:spacing w:after="0"/>
              <w:jc w:val="center"/>
              <w:rPr>
                <w:color w:val="F8981D" w:themeColor="accent3"/>
                <w:sz w:val="16"/>
                <w:szCs w:val="16"/>
                <w:lang w:eastAsia="en-AU"/>
              </w:rPr>
            </w:pPr>
          </w:p>
        </w:tc>
      </w:tr>
      <w:tr w:rsidR="006D4DE5" w:rsidRPr="005811F0" w14:paraId="5B8BF6F1" w14:textId="2CB28B92" w:rsidTr="00B25FA6">
        <w:trPr>
          <w:cnfStyle w:val="000000010000" w:firstRow="0" w:lastRow="0" w:firstColumn="0" w:lastColumn="0" w:oddVBand="0" w:evenVBand="0" w:oddHBand="0" w:evenHBand="1" w:firstRowFirstColumn="0" w:firstRowLastColumn="0" w:lastRowFirstColumn="0" w:lastRowLastColumn="0"/>
          <w:trHeight w:val="227"/>
        </w:trPr>
        <w:tc>
          <w:tcPr>
            <w:tcW w:w="2070" w:type="dxa"/>
            <w:vMerge/>
          </w:tcPr>
          <w:p w14:paraId="7BCEAF8C" w14:textId="77777777" w:rsidR="006D4DE5" w:rsidRPr="005811F0" w:rsidRDefault="006D4DE5" w:rsidP="00B25FA6">
            <w:pPr>
              <w:spacing w:after="0"/>
              <w:rPr>
                <w:sz w:val="16"/>
                <w:szCs w:val="16"/>
                <w:lang w:eastAsia="en-AU"/>
              </w:rPr>
            </w:pPr>
          </w:p>
        </w:tc>
        <w:tc>
          <w:tcPr>
            <w:tcW w:w="4601" w:type="dxa"/>
          </w:tcPr>
          <w:p w14:paraId="43317616" w14:textId="77777777" w:rsidR="006D4DE5" w:rsidRPr="005811F0" w:rsidRDefault="006D4DE5" w:rsidP="0096468E">
            <w:pPr>
              <w:pStyle w:val="TableNText"/>
              <w:rPr>
                <w:sz w:val="16"/>
                <w:szCs w:val="16"/>
                <w:lang w:eastAsia="en-AU"/>
              </w:rPr>
            </w:pPr>
            <w:r w:rsidRPr="005811F0">
              <w:rPr>
                <w:sz w:val="16"/>
                <w:szCs w:val="16"/>
                <w:lang w:eastAsia="en-AU"/>
              </w:rPr>
              <w:t>How have other palliative care in RACF initiatives outside of the Measure sought to address health interface issues?</w:t>
            </w:r>
          </w:p>
        </w:tc>
        <w:tc>
          <w:tcPr>
            <w:tcW w:w="717" w:type="dxa"/>
          </w:tcPr>
          <w:p w14:paraId="59073C35" w14:textId="02347775" w:rsidR="006D4DE5" w:rsidRPr="005811F0" w:rsidRDefault="006D4DE5" w:rsidP="00B25FA6">
            <w:pPr>
              <w:spacing w:after="0"/>
              <w:jc w:val="center"/>
              <w:rPr>
                <w:rFonts w:ascii="Segoe UI Symbol" w:hAnsi="Segoe UI Symbol" w:cs="Segoe UI Symbol"/>
                <w:b/>
                <w:color w:val="FF3A40" w:themeColor="accent1"/>
                <w:sz w:val="16"/>
                <w:szCs w:val="16"/>
                <w:shd w:val="clear" w:color="auto" w:fill="FFFFFF"/>
              </w:rPr>
            </w:pPr>
          </w:p>
        </w:tc>
        <w:tc>
          <w:tcPr>
            <w:tcW w:w="840" w:type="dxa"/>
          </w:tcPr>
          <w:p w14:paraId="50D92274" w14:textId="262A8975" w:rsidR="006D4DE5" w:rsidRPr="005811F0" w:rsidRDefault="00DD1DAD" w:rsidP="00B25FA6">
            <w:pPr>
              <w:spacing w:after="0"/>
              <w:jc w:val="center"/>
              <w:rPr>
                <w:color w:val="F25E21" w:themeColor="accent2"/>
                <w:sz w:val="16"/>
                <w:szCs w:val="16"/>
                <w:lang w:eastAsia="en-AU"/>
              </w:rPr>
            </w:pPr>
            <w:r w:rsidRPr="005811F0">
              <w:rPr>
                <w:rFonts w:ascii="Segoe UI Symbol" w:hAnsi="Segoe UI Symbol" w:cs="Segoe UI Symbol"/>
                <w:b/>
                <w:color w:val="F25E21" w:themeColor="accent2"/>
                <w:sz w:val="16"/>
                <w:szCs w:val="16"/>
                <w:shd w:val="clear" w:color="auto" w:fill="FFFFFF"/>
              </w:rPr>
              <w:t>✓</w:t>
            </w:r>
          </w:p>
        </w:tc>
        <w:tc>
          <w:tcPr>
            <w:tcW w:w="872" w:type="dxa"/>
          </w:tcPr>
          <w:p w14:paraId="07658BAC" w14:textId="77777777" w:rsidR="006D4DE5" w:rsidRPr="005811F0" w:rsidRDefault="006D4DE5" w:rsidP="00B25FA6">
            <w:pPr>
              <w:spacing w:after="0"/>
              <w:jc w:val="center"/>
              <w:rPr>
                <w:color w:val="F8981D" w:themeColor="accent3"/>
                <w:sz w:val="16"/>
                <w:szCs w:val="16"/>
                <w:lang w:eastAsia="en-AU"/>
              </w:rPr>
            </w:pPr>
          </w:p>
        </w:tc>
      </w:tr>
    </w:tbl>
    <w:p w14:paraId="57805B51" w14:textId="77777777" w:rsidR="006D4DE5" w:rsidRDefault="006D4DE5" w:rsidP="006D4DE5"/>
    <w:p w14:paraId="1A1D9BE1" w14:textId="77777777" w:rsidR="006D4DE5" w:rsidRPr="00EE51FC" w:rsidRDefault="006D4DE5" w:rsidP="006D4DE5">
      <w:pPr>
        <w:rPr>
          <w:lang w:eastAsia="en-AU"/>
        </w:rPr>
      </w:pPr>
    </w:p>
    <w:p w14:paraId="2B5CB778" w14:textId="3D255333" w:rsidR="006D4DE5" w:rsidRDefault="006D4DE5" w:rsidP="006D4DE5">
      <w:pPr>
        <w:pStyle w:val="Heading1"/>
      </w:pPr>
      <w:bookmarkStart w:id="31" w:name="_Ref58570197"/>
      <w:bookmarkStart w:id="32" w:name="_Ref58570207"/>
      <w:bookmarkStart w:id="33" w:name="_Ref58570217"/>
      <w:bookmarkStart w:id="34" w:name="_Toc82767212"/>
      <w:r>
        <w:lastRenderedPageBreak/>
        <w:t>Evaluation methodology</w:t>
      </w:r>
      <w:bookmarkEnd w:id="31"/>
      <w:bookmarkEnd w:id="32"/>
      <w:bookmarkEnd w:id="33"/>
      <w:bookmarkEnd w:id="34"/>
      <w:r>
        <w:t xml:space="preserve"> </w:t>
      </w:r>
    </w:p>
    <w:tbl>
      <w:tblPr>
        <w:tblStyle w:val="TableGrid"/>
        <w:tblW w:w="0" w:type="auto"/>
        <w:tblInd w:w="85" w:type="dxa"/>
        <w:tblBorders>
          <w:top w:val="none" w:sz="0" w:space="0" w:color="auto"/>
          <w:bottom w:val="none" w:sz="0" w:space="0" w:color="auto"/>
          <w:insideH w:val="none" w:sz="0" w:space="0" w:color="auto"/>
        </w:tblBorders>
        <w:shd w:val="clear" w:color="auto" w:fill="00264D" w:themeFill="background2"/>
        <w:tblLook w:val="0600" w:firstRow="0" w:lastRow="0" w:firstColumn="0" w:lastColumn="0" w:noHBand="1" w:noVBand="1"/>
        <w:tblCaption w:val="Overview of the Evaluation methodology section"/>
        <w:tblDescription w:val="This section describes key elements of the key evaluation methodology including the timeline and methodology overview."/>
      </w:tblPr>
      <w:tblGrid>
        <w:gridCol w:w="1640"/>
        <w:gridCol w:w="7205"/>
      </w:tblGrid>
      <w:tr w:rsidR="004A0A7A" w:rsidRPr="001D6B0A" w14:paraId="292862D5" w14:textId="77777777" w:rsidTr="004A0A7A">
        <w:trPr>
          <w:trHeight w:val="964"/>
        </w:trPr>
        <w:tc>
          <w:tcPr>
            <w:tcW w:w="1640" w:type="dxa"/>
            <w:shd w:val="clear" w:color="auto" w:fill="FFFFFF" w:themeFill="background1"/>
          </w:tcPr>
          <w:p w14:paraId="78758681" w14:textId="77777777" w:rsidR="004A0A7A" w:rsidRPr="00EC36A5" w:rsidRDefault="004A0A7A" w:rsidP="00DB065F">
            <w:pPr>
              <w:pStyle w:val="TableNText"/>
            </w:pPr>
            <w:r w:rsidRPr="00877AD2">
              <w:rPr>
                <w:noProof/>
                <w:lang w:eastAsia="en-AU"/>
              </w:rPr>
              <w:drawing>
                <wp:inline distT="0" distB="0" distL="0" distR="0" wp14:anchorId="0D645B40" wp14:editId="112A1781">
                  <wp:extent cx="930302" cy="741040"/>
                  <wp:effectExtent l="0" t="0" r="3175" b="2540"/>
                  <wp:docPr id="27841" name="Picture 278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1" name="Picture 27841">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6137" cy="745688"/>
                          </a:xfrm>
                          <a:prstGeom prst="rect">
                            <a:avLst/>
                          </a:prstGeom>
                          <a:noFill/>
                          <a:ln>
                            <a:noFill/>
                          </a:ln>
                        </pic:spPr>
                      </pic:pic>
                    </a:graphicData>
                  </a:graphic>
                </wp:inline>
              </w:drawing>
            </w:r>
          </w:p>
        </w:tc>
        <w:tc>
          <w:tcPr>
            <w:tcW w:w="7370" w:type="dxa"/>
            <w:shd w:val="clear" w:color="auto" w:fill="00264D" w:themeFill="background2"/>
          </w:tcPr>
          <w:p w14:paraId="3808155D" w14:textId="475F4058" w:rsidR="004A0A7A" w:rsidRPr="00EC36A5" w:rsidRDefault="004A0A7A" w:rsidP="0096468E">
            <w:pPr>
              <w:pStyle w:val="TableNText"/>
            </w:pPr>
            <w:r w:rsidRPr="0068045B">
              <w:t>This section describes key elements of the evaluation methodology including</w:t>
            </w:r>
            <w:r>
              <w:rPr>
                <w:color w:val="FFFFFF" w:themeColor="background1"/>
                <w:szCs w:val="17"/>
              </w:rPr>
              <w:t xml:space="preserve"> the timeline and methodology overview.</w:t>
            </w:r>
          </w:p>
        </w:tc>
      </w:tr>
    </w:tbl>
    <w:p w14:paraId="6F2A1B64" w14:textId="77777777" w:rsidR="004A0A7A" w:rsidRDefault="004A0A7A" w:rsidP="004A0A7A">
      <w:pPr>
        <w:rPr>
          <w:lang w:eastAsia="en-AU"/>
        </w:rPr>
      </w:pPr>
    </w:p>
    <w:p w14:paraId="6C3E2EED" w14:textId="46291B7E" w:rsidR="006D4DE5" w:rsidRDefault="006D4DE5" w:rsidP="004A0A7A">
      <w:pPr>
        <w:rPr>
          <w:lang w:eastAsia="en-AU"/>
        </w:rPr>
      </w:pPr>
      <w:r>
        <w:rPr>
          <w:lang w:eastAsia="en-AU"/>
        </w:rPr>
        <w:t xml:space="preserve">The evaluation includes four key elements, shown in </w:t>
      </w:r>
      <w:r>
        <w:rPr>
          <w:highlight w:val="yellow"/>
          <w:lang w:eastAsia="en-AU"/>
        </w:rPr>
        <w:fldChar w:fldCharType="begin"/>
      </w:r>
      <w:r>
        <w:rPr>
          <w:highlight w:val="yellow"/>
          <w:lang w:eastAsia="en-AU"/>
        </w:rPr>
        <w:instrText xml:space="preserve"> REF _Ref58827396 \h </w:instrText>
      </w:r>
      <w:r>
        <w:rPr>
          <w:highlight w:val="yellow"/>
          <w:lang w:eastAsia="en-AU"/>
        </w:rPr>
      </w:r>
      <w:r>
        <w:rPr>
          <w:highlight w:val="yellow"/>
          <w:lang w:eastAsia="en-AU"/>
        </w:rPr>
        <w:fldChar w:fldCharType="separate"/>
      </w:r>
      <w:r w:rsidR="00DF258C">
        <w:t xml:space="preserve">Figure </w:t>
      </w:r>
      <w:r w:rsidR="00DF258C">
        <w:rPr>
          <w:noProof/>
        </w:rPr>
        <w:t>4</w:t>
      </w:r>
      <w:r>
        <w:rPr>
          <w:highlight w:val="yellow"/>
          <w:lang w:eastAsia="en-AU"/>
        </w:rPr>
        <w:fldChar w:fldCharType="end"/>
      </w:r>
      <w:r>
        <w:rPr>
          <w:lang w:eastAsia="en-AU"/>
        </w:rPr>
        <w:t xml:space="preserve"> and summarised below:</w:t>
      </w:r>
    </w:p>
    <w:p w14:paraId="289B2EB0" w14:textId="61256F57" w:rsidR="006D4DE5" w:rsidRDefault="006D4DE5" w:rsidP="006D4DE5">
      <w:pPr>
        <w:pStyle w:val="Bullet"/>
      </w:pPr>
      <w:r w:rsidRPr="007D4429">
        <w:rPr>
          <w:rFonts w:asciiTheme="majorHAnsi" w:hAnsiTheme="majorHAnsi" w:cstheme="majorHAnsi"/>
        </w:rPr>
        <w:t>Measurement of national outcomes</w:t>
      </w:r>
      <w:r>
        <w:rPr>
          <w:rFonts w:asciiTheme="majorHAnsi" w:hAnsiTheme="majorHAnsi" w:cstheme="majorHAnsi"/>
        </w:rPr>
        <w:t xml:space="preserve">. </w:t>
      </w:r>
      <w:r>
        <w:rPr>
          <w:rFonts w:asciiTheme="minorHAnsi" w:hAnsiTheme="minorHAnsi" w:cstheme="minorHAnsi"/>
        </w:rPr>
        <w:t xml:space="preserve">This evaluation will assess </w:t>
      </w:r>
      <w:r>
        <w:t>national outcomes over time (KEQ 4)</w:t>
      </w:r>
      <w:r w:rsidR="002C28CE">
        <w:t>.</w:t>
      </w:r>
    </w:p>
    <w:p w14:paraId="10066999" w14:textId="7B6917FC" w:rsidR="006D4DE5" w:rsidRDefault="006D4DE5" w:rsidP="006D4DE5">
      <w:pPr>
        <w:pStyle w:val="Bullet"/>
      </w:pPr>
      <w:r w:rsidRPr="007D4429">
        <w:rPr>
          <w:rFonts w:asciiTheme="majorHAnsi" w:hAnsiTheme="majorHAnsi" w:cstheme="majorHAnsi"/>
        </w:rPr>
        <w:t>Analysis of other national-level information</w:t>
      </w:r>
      <w:r>
        <w:t>. Nous will examine national implementation of the Measure, the effectiveness of the joint funding and delivery mechanism and alignment to the National Palliative Care Strategy (KEQ 1, 3, 7)</w:t>
      </w:r>
      <w:r w:rsidR="002C28CE">
        <w:t>.</w:t>
      </w:r>
    </w:p>
    <w:p w14:paraId="645AE1B0" w14:textId="742D4D72" w:rsidR="006D4DE5" w:rsidRDefault="006D4DE5" w:rsidP="006D4DE5">
      <w:pPr>
        <w:pStyle w:val="Bullet"/>
      </w:pPr>
      <w:r w:rsidRPr="007D4429">
        <w:rPr>
          <w:rFonts w:asciiTheme="majorHAnsi" w:hAnsiTheme="majorHAnsi" w:cstheme="majorHAnsi"/>
        </w:rPr>
        <w:t>Synthesis of jurisdictional information and data</w:t>
      </w:r>
      <w:r>
        <w:t>. Jurisdictional-level information will inform the process evaluation and the extent to which the Measure meets an identified need. This includes whether a model of care was more successful than others and the extent to which health system interface issues were addressed. Evaluating jurisdiction-level activities is out-of-scope (KEQ 2, 6, 8)</w:t>
      </w:r>
      <w:r w:rsidR="00EA1F25">
        <w:t>.</w:t>
      </w:r>
    </w:p>
    <w:p w14:paraId="367D3095" w14:textId="164CAB41" w:rsidR="006D4DE5" w:rsidRDefault="006D4DE5" w:rsidP="006D4DE5">
      <w:pPr>
        <w:pStyle w:val="Bullet"/>
      </w:pPr>
      <w:r w:rsidRPr="00385F0E">
        <w:rPr>
          <w:rFonts w:asciiTheme="majorHAnsi" w:hAnsiTheme="majorHAnsi" w:cstheme="majorHAnsi"/>
        </w:rPr>
        <w:t>Analysis of cost-effectiveness</w:t>
      </w:r>
      <w:r>
        <w:t>. Nous will examine the cost-effectiveness of the Measure</w:t>
      </w:r>
      <w:r w:rsidR="00560E60">
        <w:t xml:space="preserve"> </w:t>
      </w:r>
      <w:r>
        <w:t>(KEQ 5)</w:t>
      </w:r>
      <w:r w:rsidR="00560E60">
        <w:t>.</w:t>
      </w:r>
    </w:p>
    <w:p w14:paraId="60417C5D" w14:textId="57B0A3EA" w:rsidR="006D4DE5" w:rsidRDefault="006D4DE5" w:rsidP="006D4DE5">
      <w:pPr>
        <w:pStyle w:val="Caption"/>
      </w:pPr>
      <w:bookmarkStart w:id="35" w:name="_Ref58827396"/>
      <w:r>
        <w:lastRenderedPageBreak/>
        <w:t xml:space="preserve">Figure </w:t>
      </w:r>
      <w:r>
        <w:fldChar w:fldCharType="begin"/>
      </w:r>
      <w:r>
        <w:instrText xml:space="preserve"> SEQ Figure \* ARABIC </w:instrText>
      </w:r>
      <w:r>
        <w:fldChar w:fldCharType="separate"/>
      </w:r>
      <w:r w:rsidR="00DF258C">
        <w:rPr>
          <w:noProof/>
        </w:rPr>
        <w:t>4</w:t>
      </w:r>
      <w:r>
        <w:fldChar w:fldCharType="end"/>
      </w:r>
      <w:bookmarkEnd w:id="35"/>
      <w:r>
        <w:t xml:space="preserve"> | Overview of methodology</w:t>
      </w:r>
    </w:p>
    <w:p w14:paraId="302F8E69" w14:textId="4615E854" w:rsidR="00067271" w:rsidRPr="00067271" w:rsidRDefault="00714B03" w:rsidP="00067271">
      <w:r w:rsidRPr="00714B03">
        <w:rPr>
          <w:noProof/>
          <w:lang w:eastAsia="en-AU"/>
        </w:rPr>
        <w:drawing>
          <wp:inline distT="0" distB="0" distL="0" distR="0" wp14:anchorId="702D9C48" wp14:editId="16D473E7">
            <wp:extent cx="5400675" cy="4962210"/>
            <wp:effectExtent l="0" t="0" r="0" b="0"/>
            <wp:docPr id="27888" name="Picture 27888" descr="Figure 4 gives an overview of the Evaluation methodology.&#10;&#10;Data collection and analysis are taken from the national outcomes (key evaluation question 4), other national processes (key evaluation questions 1, 3 and 7), jurisdictional process and outcomes (key evaluation questions 2, 6 and 8), and a cost effectiveness analysis (key evaluation question 5). This data will be synthesised and reported in the form of a Mid-term Progress Report, and in Interim and final Evaluation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8" name="Picture 27888" descr="Figure 4 gives an overview of the Evaluation methodology.&#10;&#10;Data collection and analysis are taken from the national outcomes (key evaluation question 4), other national processes (key evaluation questions 1, 3 and 7), jurisdictional process and outcomes (key evaluation questions 2, 6 and 8), and a cost effectiveness analysis (key evaluation question 5). This data will be synthesised and reported in the form of a Mid-term Progress Report, and in Interim and final Evaluation Report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2196" cy="4963607"/>
                    </a:xfrm>
                    <a:prstGeom prst="rect">
                      <a:avLst/>
                    </a:prstGeom>
                    <a:noFill/>
                    <a:ln>
                      <a:noFill/>
                    </a:ln>
                  </pic:spPr>
                </pic:pic>
              </a:graphicData>
            </a:graphic>
          </wp:inline>
        </w:drawing>
      </w:r>
    </w:p>
    <w:p w14:paraId="2B771A74" w14:textId="46A5532D" w:rsidR="006D4DE5" w:rsidRDefault="006D4DE5" w:rsidP="0096468E">
      <w:r>
        <w:t>Nous will deliver the evaluation between</w:t>
      </w:r>
      <w:r w:rsidRPr="00753BC2">
        <w:t xml:space="preserve"> </w:t>
      </w:r>
      <w:r w:rsidRPr="00B178C1">
        <w:t>April</w:t>
      </w:r>
      <w:r w:rsidRPr="00753BC2">
        <w:t xml:space="preserve"> 2021</w:t>
      </w:r>
      <w:r>
        <w:t xml:space="preserve"> </w:t>
      </w:r>
      <w:r w:rsidRPr="00753BC2">
        <w:t xml:space="preserve">to </w:t>
      </w:r>
      <w:r>
        <w:t xml:space="preserve">November 2023, see </w:t>
      </w:r>
      <w:r w:rsidRPr="00A771A9">
        <w:fldChar w:fldCharType="begin"/>
      </w:r>
      <w:r w:rsidRPr="00A771A9">
        <w:instrText xml:space="preserve"> REF _Ref61337503 \h </w:instrText>
      </w:r>
      <w:r w:rsidR="0096468E">
        <w:instrText xml:space="preserve"> \* MERGEFORMAT </w:instrText>
      </w:r>
      <w:r w:rsidRPr="00A771A9">
        <w:fldChar w:fldCharType="separate"/>
      </w:r>
      <w:r w:rsidR="00DF258C">
        <w:t xml:space="preserve">Figure </w:t>
      </w:r>
      <w:r w:rsidR="00DF258C">
        <w:rPr>
          <w:noProof/>
        </w:rPr>
        <w:t>5</w:t>
      </w:r>
      <w:r w:rsidRPr="00A771A9">
        <w:fldChar w:fldCharType="end"/>
      </w:r>
      <w:r w:rsidRPr="00A771A9">
        <w:t>.</w:t>
      </w:r>
      <w:r>
        <w:t xml:space="preserve"> In summary, the evaluation stages are: </w:t>
      </w:r>
    </w:p>
    <w:p w14:paraId="133E927C" w14:textId="0D52041A" w:rsidR="006D4DE5" w:rsidRDefault="006D4DE5" w:rsidP="006D4DE5">
      <w:pPr>
        <w:pStyle w:val="Bullet"/>
      </w:pPr>
      <w:r w:rsidRPr="002E78E2">
        <w:rPr>
          <w:rFonts w:asciiTheme="majorHAnsi" w:hAnsiTheme="majorHAnsi" w:cstheme="majorHAnsi"/>
        </w:rPr>
        <w:t xml:space="preserve">Stage 1 (April 2021 </w:t>
      </w:r>
      <w:r w:rsidR="0096468E">
        <w:rPr>
          <w:rFonts w:asciiTheme="majorHAnsi" w:hAnsiTheme="majorHAnsi" w:cstheme="majorHAnsi"/>
        </w:rPr>
        <w:t>to</w:t>
      </w:r>
      <w:r w:rsidRPr="002E78E2">
        <w:rPr>
          <w:rFonts w:asciiTheme="majorHAnsi" w:hAnsiTheme="majorHAnsi" w:cstheme="majorHAnsi"/>
        </w:rPr>
        <w:t xml:space="preserve"> </w:t>
      </w:r>
      <w:r w:rsidRPr="00B74507">
        <w:rPr>
          <w:rFonts w:asciiTheme="majorHAnsi" w:hAnsiTheme="majorHAnsi" w:cstheme="majorHAnsi"/>
        </w:rPr>
        <w:t>August 2021):</w:t>
      </w:r>
      <w:r>
        <w:t xml:space="preserve"> The purpose is to finalise access to data sources and </w:t>
      </w:r>
      <w:r w:rsidRPr="00B74507">
        <w:t xml:space="preserve">establish a national baseline for the evaluation. </w:t>
      </w:r>
      <w:r>
        <w:t>Some data sources that will inform the national baseline will not be available for inclusion during Stage 1 (</w:t>
      </w:r>
      <w:proofErr w:type="gramStart"/>
      <w:r>
        <w:t>e.g.</w:t>
      </w:r>
      <w:proofErr w:type="gramEnd"/>
      <w:r>
        <w:t xml:space="preserve"> relevant data from </w:t>
      </w:r>
      <w:r w:rsidRPr="00EF388F">
        <w:t>National Integrated Health Services Information</w:t>
      </w:r>
      <w:r>
        <w:t xml:space="preserve"> Analysis Asset</w:t>
      </w:r>
      <w:r w:rsidRPr="00EF388F">
        <w:t xml:space="preserve"> (NIHSI</w:t>
      </w:r>
      <w:r>
        <w:t>-AA</w:t>
      </w:r>
      <w:r w:rsidRPr="00EF388F">
        <w:t>)</w:t>
      </w:r>
      <w:r>
        <w:t xml:space="preserve"> is expected to be available in the second half of 2021). This data will be incorporated during </w:t>
      </w:r>
      <w:r w:rsidR="00292B66">
        <w:t xml:space="preserve">Stage </w:t>
      </w:r>
      <w:r>
        <w:t xml:space="preserve">2. </w:t>
      </w:r>
    </w:p>
    <w:p w14:paraId="62865751" w14:textId="6DC29A6A" w:rsidR="006D4DE5" w:rsidRDefault="006D4DE5" w:rsidP="006D4DE5">
      <w:pPr>
        <w:pStyle w:val="Bullet"/>
        <w:spacing w:line="259" w:lineRule="auto"/>
      </w:pPr>
      <w:r w:rsidRPr="00B74507">
        <w:rPr>
          <w:rFonts w:asciiTheme="majorHAnsi" w:hAnsiTheme="majorHAnsi" w:cstheme="majorHAnsi"/>
        </w:rPr>
        <w:t xml:space="preserve">Stage 2 (August 2021 </w:t>
      </w:r>
      <w:r w:rsidR="0096468E">
        <w:rPr>
          <w:rFonts w:asciiTheme="majorHAnsi" w:hAnsiTheme="majorHAnsi" w:cstheme="majorHAnsi"/>
        </w:rPr>
        <w:t>to</w:t>
      </w:r>
      <w:r w:rsidRPr="00B74507">
        <w:rPr>
          <w:rFonts w:asciiTheme="majorHAnsi" w:hAnsiTheme="majorHAnsi" w:cstheme="majorHAnsi"/>
        </w:rPr>
        <w:t xml:space="preserve"> June 2023):</w:t>
      </w:r>
      <w:r w:rsidRPr="00B74507">
        <w:t xml:space="preserve"> The purpose is to undertake regular data collection and reporting to monitor implementation progress</w:t>
      </w:r>
      <w:r>
        <w:t xml:space="preserve"> and outputs at the </w:t>
      </w:r>
      <w:proofErr w:type="gramStart"/>
      <w:r>
        <w:t>national-level</w:t>
      </w:r>
      <w:proofErr w:type="gramEnd"/>
      <w:r>
        <w:t xml:space="preserve">. </w:t>
      </w:r>
    </w:p>
    <w:p w14:paraId="56D0A813" w14:textId="4FF3F5F8" w:rsidR="006D4DE5" w:rsidRPr="00D113FE" w:rsidRDefault="006D4DE5" w:rsidP="006D4DE5">
      <w:pPr>
        <w:pStyle w:val="Bullet"/>
        <w:spacing w:line="259" w:lineRule="auto"/>
      </w:pPr>
      <w:r w:rsidRPr="002E78E2">
        <w:rPr>
          <w:rFonts w:asciiTheme="majorHAnsi" w:hAnsiTheme="majorHAnsi" w:cstheme="majorHAnsi"/>
        </w:rPr>
        <w:t xml:space="preserve">Stage 3 (July 2023 </w:t>
      </w:r>
      <w:r w:rsidR="0096468E">
        <w:rPr>
          <w:rFonts w:asciiTheme="majorHAnsi" w:hAnsiTheme="majorHAnsi" w:cstheme="majorHAnsi"/>
        </w:rPr>
        <w:t>to</w:t>
      </w:r>
      <w:r w:rsidRPr="002E78E2">
        <w:rPr>
          <w:rFonts w:asciiTheme="majorHAnsi" w:hAnsiTheme="majorHAnsi" w:cstheme="majorHAnsi"/>
        </w:rPr>
        <w:t xml:space="preserve"> November 2023):</w:t>
      </w:r>
      <w:r>
        <w:t xml:space="preserve"> The purpose is to measure outcomes from the Measure against the baseline established in Stage 1, undertake the cost-effectiveness </w:t>
      </w:r>
      <w:proofErr w:type="gramStart"/>
      <w:r>
        <w:t>analysis</w:t>
      </w:r>
      <w:proofErr w:type="gramEnd"/>
      <w:r>
        <w:t xml:space="preserve"> and develop the </w:t>
      </w:r>
      <w:r w:rsidDel="00B056DD">
        <w:t xml:space="preserve">Final </w:t>
      </w:r>
      <w:r>
        <w:t xml:space="preserve">Evaluation Report, including overall findings and recommendations. </w:t>
      </w:r>
    </w:p>
    <w:p w14:paraId="3349B88B" w14:textId="16C47C3F" w:rsidR="006D4DE5" w:rsidRDefault="006D4DE5" w:rsidP="008F4630">
      <w:pPr>
        <w:pStyle w:val="Caption"/>
      </w:pPr>
      <w:bookmarkStart w:id="36" w:name="_Ref58265149"/>
      <w:bookmarkStart w:id="37" w:name="_Ref61337503"/>
      <w:r>
        <w:lastRenderedPageBreak/>
        <w:t xml:space="preserve">Figure </w:t>
      </w:r>
      <w:r>
        <w:fldChar w:fldCharType="begin"/>
      </w:r>
      <w:r>
        <w:instrText xml:space="preserve"> SEQ Figure \* ARABIC </w:instrText>
      </w:r>
      <w:r>
        <w:fldChar w:fldCharType="separate"/>
      </w:r>
      <w:r w:rsidR="00DF258C">
        <w:rPr>
          <w:noProof/>
        </w:rPr>
        <w:t>5</w:t>
      </w:r>
      <w:r>
        <w:fldChar w:fldCharType="end"/>
      </w:r>
      <w:bookmarkEnd w:id="36"/>
      <w:bookmarkEnd w:id="37"/>
      <w:r>
        <w:t xml:space="preserve"> | Evaluation timeline</w:t>
      </w:r>
      <w:r w:rsidR="008F4630">
        <w:br/>
      </w:r>
      <w:r w:rsidR="008F4630" w:rsidRPr="008F4630">
        <w:t xml:space="preserve"> </w:t>
      </w:r>
      <w:r w:rsidR="002B7FF1" w:rsidRPr="002B7FF1">
        <w:rPr>
          <w:noProof/>
          <w:lang w:eastAsia="en-AU"/>
        </w:rPr>
        <w:drawing>
          <wp:inline distT="0" distB="0" distL="0" distR="0" wp14:anchorId="6EE0A72F" wp14:editId="6F6F15B2">
            <wp:extent cx="5670000" cy="4465274"/>
            <wp:effectExtent l="0" t="0" r="6985" b="0"/>
            <wp:docPr id="27842" name="Picture 27842" descr="Figure 5 maps out the Evaluation timeline.&#10;&#10;Stage 1 of the Evaluation provides a baseline and goes from April 2021 until August 2021.&#10;&#10;Stage 2 is an ongoing data collection phase that begins in August 2021 and ends in June 2023.&#10;&#10;Stage 3 consists of the final reporting of evaluation which concludes with a presentation of findings to the Department in November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2" name="Picture 27842" descr="Figure 5 maps out the Evaluation timeline.&#10;&#10;Stage 1 of the Evaluation provides a baseline and goes from April 2021 until August 2021.&#10;&#10;Stage 2 is an ongoing data collection phase that begins in August 2021 and ends in June 2023.&#10;&#10;Stage 3 consists of the final reporting of evaluation which concludes with a presentation of findings to the Department in November 2023. "/>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3407"/>
                    <a:stretch/>
                  </pic:blipFill>
                  <pic:spPr bwMode="auto">
                    <a:xfrm>
                      <a:off x="0" y="0"/>
                      <a:ext cx="5670000" cy="4465274"/>
                    </a:xfrm>
                    <a:prstGeom prst="rect">
                      <a:avLst/>
                    </a:prstGeom>
                    <a:noFill/>
                    <a:ln>
                      <a:noFill/>
                    </a:ln>
                    <a:extLst>
                      <a:ext uri="{53640926-AAD7-44D8-BBD7-CCE9431645EC}">
                        <a14:shadowObscured xmlns:a14="http://schemas.microsoft.com/office/drawing/2010/main"/>
                      </a:ext>
                    </a:extLst>
                  </pic:spPr>
                </pic:pic>
              </a:graphicData>
            </a:graphic>
          </wp:inline>
        </w:drawing>
      </w:r>
    </w:p>
    <w:p w14:paraId="59CE20CF" w14:textId="79E28868" w:rsidR="006D4DE5" w:rsidRDefault="006D4DE5" w:rsidP="006D4DE5">
      <w:r>
        <w:t>Evaluation timeframes</w:t>
      </w:r>
      <w:r w:rsidRPr="004C3D24">
        <w:t xml:space="preserve"> are dependent on </w:t>
      </w:r>
      <w:r>
        <w:t>jurisdictional timeframes to:</w:t>
      </w:r>
    </w:p>
    <w:p w14:paraId="53CD8D80" w14:textId="77777777" w:rsidR="006D4DE5" w:rsidRDefault="006D4DE5" w:rsidP="006D4DE5">
      <w:pPr>
        <w:pStyle w:val="Bullet"/>
      </w:pPr>
      <w:r>
        <w:t>s</w:t>
      </w:r>
      <w:r w:rsidRPr="004C3D24">
        <w:t>ign</w:t>
      </w:r>
      <w:r>
        <w:t xml:space="preserve"> </w:t>
      </w:r>
      <w:r w:rsidRPr="004C3D24">
        <w:t>up to the Measure</w:t>
      </w:r>
    </w:p>
    <w:p w14:paraId="0FBA3B59" w14:textId="77777777" w:rsidR="006D4DE5" w:rsidRDefault="006D4DE5" w:rsidP="006D4DE5">
      <w:pPr>
        <w:pStyle w:val="Bullet"/>
      </w:pPr>
      <w:r>
        <w:t>d</w:t>
      </w:r>
      <w:r w:rsidRPr="004C3D24">
        <w:t>etermine</w:t>
      </w:r>
      <w:r>
        <w:t xml:space="preserve"> </w:t>
      </w:r>
      <w:r w:rsidRPr="004C3D24">
        <w:t>the</w:t>
      </w:r>
      <w:r>
        <w:t xml:space="preserve"> </w:t>
      </w:r>
      <w:r w:rsidRPr="004C3D24">
        <w:t>specific activities they will undertake (and in what locations)</w:t>
      </w:r>
    </w:p>
    <w:p w14:paraId="7683829F" w14:textId="1B574FC9" w:rsidR="006D4DE5" w:rsidRPr="00821FF1" w:rsidRDefault="006D4DE5" w:rsidP="006D4DE5">
      <w:pPr>
        <w:pStyle w:val="Bullet"/>
      </w:pPr>
      <w:r w:rsidRPr="004C3D24">
        <w:t>determine the evaluation approach and timeframes for the jurisdictional evaluations</w:t>
      </w:r>
      <w:r>
        <w:t xml:space="preserve"> – noting th</w:t>
      </w:r>
      <w:r w:rsidR="00E849C8">
        <w:t>at</w:t>
      </w:r>
      <w:r>
        <w:t xml:space="preserve"> most </w:t>
      </w:r>
      <w:r w:rsidRPr="00821FF1">
        <w:t xml:space="preserve">jurisdictions are not planning formal evaluations, rather </w:t>
      </w:r>
      <w:proofErr w:type="gramStart"/>
      <w:r w:rsidRPr="00821FF1">
        <w:t>monitoring</w:t>
      </w:r>
      <w:proofErr w:type="gramEnd"/>
      <w:r w:rsidRPr="00821FF1">
        <w:t xml:space="preserve"> and reporting activities. </w:t>
      </w:r>
    </w:p>
    <w:p w14:paraId="39AB85BD" w14:textId="1E0ECB7E" w:rsidR="006D4DE5" w:rsidRDefault="006D4DE5" w:rsidP="006D4DE5">
      <w:pPr>
        <w:pStyle w:val="Heading1"/>
      </w:pPr>
      <w:bookmarkStart w:id="38" w:name="_Ref57650139"/>
      <w:bookmarkStart w:id="39" w:name="_Ref57651247"/>
      <w:bookmarkStart w:id="40" w:name="_Ref58570223"/>
      <w:bookmarkStart w:id="41" w:name="_Ref58571188"/>
      <w:bookmarkStart w:id="42" w:name="_Ref58571194"/>
      <w:bookmarkStart w:id="43" w:name="_Ref58571360"/>
      <w:bookmarkStart w:id="44" w:name="_Toc82767213"/>
      <w:r>
        <w:lastRenderedPageBreak/>
        <w:t>Data collection and analysis</w:t>
      </w:r>
      <w:bookmarkEnd w:id="38"/>
      <w:bookmarkEnd w:id="39"/>
      <w:bookmarkEnd w:id="40"/>
      <w:bookmarkEnd w:id="41"/>
      <w:bookmarkEnd w:id="42"/>
      <w:bookmarkEnd w:id="43"/>
      <w:bookmarkEnd w:id="44"/>
      <w:r>
        <w:t xml:space="preserve"> </w:t>
      </w:r>
    </w:p>
    <w:tbl>
      <w:tblPr>
        <w:tblStyle w:val="TableGrid"/>
        <w:tblW w:w="0" w:type="auto"/>
        <w:tblInd w:w="85" w:type="dxa"/>
        <w:tblBorders>
          <w:top w:val="none" w:sz="0" w:space="0" w:color="auto"/>
          <w:bottom w:val="none" w:sz="0" w:space="0" w:color="auto"/>
          <w:insideH w:val="none" w:sz="0" w:space="0" w:color="auto"/>
        </w:tblBorders>
        <w:shd w:val="clear" w:color="auto" w:fill="00264D" w:themeFill="background2"/>
        <w:tblLook w:val="0600" w:firstRow="0" w:lastRow="0" w:firstColumn="0" w:lastColumn="0" w:noHBand="1" w:noVBand="1"/>
        <w:tblCaption w:val="Overview of the data collection and analysis section"/>
        <w:tblDescription w:val="This section details the data collection methods and analysis plans"/>
      </w:tblPr>
      <w:tblGrid>
        <w:gridCol w:w="1640"/>
        <w:gridCol w:w="7205"/>
      </w:tblGrid>
      <w:tr w:rsidR="00EB0B3C" w:rsidRPr="001D6B0A" w14:paraId="73163BE4" w14:textId="77777777" w:rsidTr="00EB0B3C">
        <w:tc>
          <w:tcPr>
            <w:tcW w:w="1640" w:type="dxa"/>
            <w:shd w:val="clear" w:color="auto" w:fill="FFFFFF" w:themeFill="background1"/>
          </w:tcPr>
          <w:p w14:paraId="6B7160E6" w14:textId="77777777" w:rsidR="00EB0B3C" w:rsidRPr="00EC36A5" w:rsidRDefault="00EB0B3C" w:rsidP="00DB065F">
            <w:pPr>
              <w:pStyle w:val="TableNText"/>
            </w:pPr>
            <w:r w:rsidRPr="00877AD2">
              <w:rPr>
                <w:noProof/>
                <w:lang w:eastAsia="en-AU"/>
              </w:rPr>
              <w:drawing>
                <wp:inline distT="0" distB="0" distL="0" distR="0" wp14:anchorId="3704825B" wp14:editId="13A03106">
                  <wp:extent cx="930302" cy="741040"/>
                  <wp:effectExtent l="0" t="0" r="3175" b="2540"/>
                  <wp:docPr id="27852" name="Picture 278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2" name="Picture 27852">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6137" cy="745688"/>
                          </a:xfrm>
                          <a:prstGeom prst="rect">
                            <a:avLst/>
                          </a:prstGeom>
                          <a:noFill/>
                          <a:ln>
                            <a:noFill/>
                          </a:ln>
                        </pic:spPr>
                      </pic:pic>
                    </a:graphicData>
                  </a:graphic>
                </wp:inline>
              </w:drawing>
            </w:r>
          </w:p>
        </w:tc>
        <w:tc>
          <w:tcPr>
            <w:tcW w:w="7743" w:type="dxa"/>
            <w:shd w:val="clear" w:color="auto" w:fill="00264D" w:themeFill="background2"/>
          </w:tcPr>
          <w:p w14:paraId="24051C2A" w14:textId="27126844" w:rsidR="00EB0B3C" w:rsidRPr="00EC36A5" w:rsidRDefault="00EB0B3C" w:rsidP="00016983">
            <w:pPr>
              <w:pStyle w:val="TableNText"/>
            </w:pPr>
            <w:r w:rsidRPr="00CF115B">
              <w:t xml:space="preserve">This section </w:t>
            </w:r>
            <w:r>
              <w:t>details the data collection methods and analysis plans.</w:t>
            </w:r>
          </w:p>
        </w:tc>
      </w:tr>
    </w:tbl>
    <w:p w14:paraId="6B118409" w14:textId="3A285E04" w:rsidR="006D4DE5" w:rsidRDefault="006D4DE5" w:rsidP="006D4DE5">
      <w:pPr>
        <w:pStyle w:val="Heading2"/>
      </w:pPr>
      <w:bookmarkStart w:id="45" w:name="_Ref61422006"/>
      <w:bookmarkStart w:id="46" w:name="_Toc82767214"/>
      <w:r>
        <w:t>Data collection methods</w:t>
      </w:r>
      <w:bookmarkEnd w:id="45"/>
      <w:bookmarkEnd w:id="46"/>
    </w:p>
    <w:p w14:paraId="0B5B3798" w14:textId="29B4722A" w:rsidR="003261AB" w:rsidRDefault="006D4DE5" w:rsidP="006D4DE5">
      <w:pPr>
        <w:rPr>
          <w:lang w:eastAsia="en-AU"/>
        </w:rPr>
      </w:pPr>
      <w:r>
        <w:rPr>
          <w:lang w:eastAsia="en-AU"/>
        </w:rPr>
        <w:t xml:space="preserve">The evaluation will use qualitative and quantitative methods, as shown in </w:t>
      </w:r>
      <w:r>
        <w:rPr>
          <w:lang w:eastAsia="en-AU"/>
        </w:rPr>
        <w:fldChar w:fldCharType="begin"/>
      </w:r>
      <w:r>
        <w:rPr>
          <w:lang w:eastAsia="en-AU"/>
        </w:rPr>
        <w:instrText xml:space="preserve"> REF _Ref42590961 \h </w:instrText>
      </w:r>
      <w:r>
        <w:rPr>
          <w:lang w:eastAsia="en-AU"/>
        </w:rPr>
      </w:r>
      <w:r>
        <w:rPr>
          <w:lang w:eastAsia="en-AU"/>
        </w:rPr>
        <w:fldChar w:fldCharType="separate"/>
      </w:r>
      <w:r w:rsidR="00DF258C">
        <w:t xml:space="preserve">Table </w:t>
      </w:r>
      <w:r w:rsidR="00DF258C">
        <w:rPr>
          <w:noProof/>
        </w:rPr>
        <w:t>5</w:t>
      </w:r>
      <w:r>
        <w:rPr>
          <w:lang w:eastAsia="en-AU"/>
        </w:rPr>
        <w:fldChar w:fldCharType="end"/>
      </w:r>
      <w:r>
        <w:rPr>
          <w:lang w:eastAsia="en-AU"/>
        </w:rPr>
        <w:t xml:space="preserve">. The mixed methods approach enables triangulation and informs the process, </w:t>
      </w:r>
      <w:proofErr w:type="gramStart"/>
      <w:r>
        <w:rPr>
          <w:lang w:eastAsia="en-AU"/>
        </w:rPr>
        <w:t>outcome</w:t>
      </w:r>
      <w:proofErr w:type="gramEnd"/>
      <w:r>
        <w:rPr>
          <w:lang w:eastAsia="en-AU"/>
        </w:rPr>
        <w:t xml:space="preserve"> and economic components. </w:t>
      </w:r>
    </w:p>
    <w:p w14:paraId="61BFFD20" w14:textId="741B44BA" w:rsidR="006D4DE5" w:rsidRDefault="006D4DE5" w:rsidP="006D4DE5">
      <w:r>
        <w:rPr>
          <w:lang w:eastAsia="en-AU"/>
        </w:rPr>
        <w:t>State and territory consultations</w:t>
      </w:r>
      <w:r w:rsidR="007C7B8A">
        <w:rPr>
          <w:lang w:eastAsia="en-AU"/>
        </w:rPr>
        <w:t xml:space="preserve"> and</w:t>
      </w:r>
      <w:r>
        <w:rPr>
          <w:lang w:eastAsia="en-AU"/>
        </w:rPr>
        <w:t xml:space="preserve"> the survey of a sample of RACFs will contribute to the evaluation baseline (to be provided in the July 2021 Progress Report 2). </w:t>
      </w:r>
      <w:r w:rsidR="007C7B8A">
        <w:rPr>
          <w:lang w:eastAsia="en-AU"/>
        </w:rPr>
        <w:t xml:space="preserve">NIHSI-AA will contribute to the baseline but will be </w:t>
      </w:r>
      <w:r w:rsidR="0034759A">
        <w:rPr>
          <w:lang w:eastAsia="en-AU"/>
        </w:rPr>
        <w:t>reported retrospectively</w:t>
      </w:r>
      <w:r w:rsidR="007C7B8A">
        <w:rPr>
          <w:lang w:eastAsia="en-AU"/>
        </w:rPr>
        <w:t xml:space="preserve"> in the </w:t>
      </w:r>
      <w:r w:rsidR="00504FDE">
        <w:rPr>
          <w:lang w:eastAsia="en-AU"/>
        </w:rPr>
        <w:t>midpoint report</w:t>
      </w:r>
      <w:r w:rsidR="0034759A">
        <w:rPr>
          <w:lang w:eastAsia="en-AU"/>
        </w:rPr>
        <w:t>,</w:t>
      </w:r>
      <w:r w:rsidR="007C7B8A">
        <w:rPr>
          <w:lang w:eastAsia="en-AU"/>
        </w:rPr>
        <w:t xml:space="preserve"> as data will not be available </w:t>
      </w:r>
      <w:r w:rsidR="00374374">
        <w:rPr>
          <w:lang w:eastAsia="en-AU"/>
        </w:rPr>
        <w:t>for the July 2021 Progress Report 2.</w:t>
      </w:r>
      <w:r w:rsidR="007C7B8A">
        <w:rPr>
          <w:lang w:eastAsia="en-AU"/>
        </w:rPr>
        <w:t xml:space="preserve"> </w:t>
      </w:r>
    </w:p>
    <w:p w14:paraId="1D5EA1B9" w14:textId="1579A6A9" w:rsidR="006D4DE5" w:rsidRDefault="006D4DE5" w:rsidP="006D4DE5">
      <w:pPr>
        <w:pStyle w:val="Caption"/>
      </w:pPr>
      <w:bookmarkStart w:id="47" w:name="_Ref42590961"/>
      <w:r>
        <w:t xml:space="preserve">Table </w:t>
      </w:r>
      <w:r>
        <w:fldChar w:fldCharType="begin"/>
      </w:r>
      <w:r>
        <w:instrText xml:space="preserve"> SEQ Table \* ARABIC </w:instrText>
      </w:r>
      <w:r>
        <w:fldChar w:fldCharType="separate"/>
      </w:r>
      <w:r w:rsidR="00DF258C">
        <w:rPr>
          <w:noProof/>
        </w:rPr>
        <w:t>5</w:t>
      </w:r>
      <w:r>
        <w:fldChar w:fldCharType="end"/>
      </w:r>
      <w:bookmarkEnd w:id="47"/>
      <w:r>
        <w:t xml:space="preserve"> | Summary of data collection methods</w:t>
      </w:r>
    </w:p>
    <w:p w14:paraId="17014755" w14:textId="76749B4E" w:rsidR="00231A5C" w:rsidRDefault="00106F7B" w:rsidP="00231A5C">
      <w:r w:rsidRPr="00106F7B">
        <w:rPr>
          <w:noProof/>
          <w:lang w:eastAsia="en-AU"/>
        </w:rPr>
        <w:drawing>
          <wp:inline distT="0" distB="0" distL="0" distR="0" wp14:anchorId="73114E09" wp14:editId="03856144">
            <wp:extent cx="5670550" cy="4199255"/>
            <wp:effectExtent l="0" t="0" r="6350" b="0"/>
            <wp:docPr id="23" name="Picture 23" descr="Table 5 summarises the data collection methods.&#10;&#10;Surveys help capture information to inform measurement of national outcomes and other information not available in existing data sources. &#10;&#10;Consultations provide rich qualitative information on the Measure implementation in each jurisdiction, success of models of care and more.&#10;&#10;Existing national government data sets contain information on palliative care activities and feedback in RACFs.&#10;&#10;Additional data sets provide additional information to inform the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 5 summarises the data collection methods.&#10;&#10;Surveys help capture information to inform measurement of national outcomes and other information not available in existing data sources. &#10;&#10;Consultations provide rich qualitative information on the Measure implementation in each jurisdiction, success of models of care and more.&#10;&#10;Existing national government data sets contain information on palliative care activities and feedback in RACFs.&#10;&#10;Additional data sets provide additional information to inform the evaluati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70550" cy="4199255"/>
                    </a:xfrm>
                    <a:prstGeom prst="rect">
                      <a:avLst/>
                    </a:prstGeom>
                    <a:noFill/>
                    <a:ln>
                      <a:noFill/>
                    </a:ln>
                  </pic:spPr>
                </pic:pic>
              </a:graphicData>
            </a:graphic>
          </wp:inline>
        </w:drawing>
      </w:r>
    </w:p>
    <w:p w14:paraId="1A7F9E7B" w14:textId="5152F336" w:rsidR="000819ED" w:rsidRDefault="000819ED"/>
    <w:p w14:paraId="76493D66" w14:textId="77777777" w:rsidR="000819ED" w:rsidRDefault="000819ED">
      <w:pPr>
        <w:spacing w:after="165" w:line="259" w:lineRule="auto"/>
      </w:pPr>
      <w:r>
        <w:br w:type="page"/>
      </w:r>
    </w:p>
    <w:tbl>
      <w:tblPr>
        <w:tblStyle w:val="TableGrid"/>
        <w:tblW w:w="0" w:type="auto"/>
        <w:tblLook w:val="0680" w:firstRow="0" w:lastRow="0" w:firstColumn="1" w:lastColumn="0" w:noHBand="1" w:noVBand="1"/>
        <w:tblCaption w:val="Data collection method: Surveys"/>
      </w:tblPr>
      <w:tblGrid>
        <w:gridCol w:w="1843"/>
        <w:gridCol w:w="7087"/>
      </w:tblGrid>
      <w:tr w:rsidR="00DB1183" w14:paraId="40892CF0" w14:textId="77777777" w:rsidTr="0071098B">
        <w:trPr>
          <w:trHeight w:val="715"/>
        </w:trPr>
        <w:tc>
          <w:tcPr>
            <w:tcW w:w="1843" w:type="dxa"/>
            <w:tcBorders>
              <w:top w:val="single" w:sz="18" w:space="0" w:color="FF3A40" w:themeColor="accent1"/>
              <w:bottom w:val="single" w:sz="18" w:space="0" w:color="FF3A40" w:themeColor="accent1"/>
            </w:tcBorders>
            <w:shd w:val="clear" w:color="auto" w:fill="E6E6E1" w:themeFill="accent5"/>
          </w:tcPr>
          <w:p w14:paraId="462A2B2E" w14:textId="671EB410" w:rsidR="0071098B" w:rsidRPr="0071098B" w:rsidRDefault="0071098B" w:rsidP="00DB1183">
            <w:pPr>
              <w:rPr>
                <w:rFonts w:asciiTheme="majorHAnsi" w:hAnsiTheme="majorHAnsi" w:cstheme="majorHAnsi"/>
                <w:noProof/>
                <w:lang w:eastAsia="en-AU"/>
              </w:rPr>
            </w:pPr>
            <w:r w:rsidRPr="0071098B">
              <w:rPr>
                <w:rFonts w:asciiTheme="majorHAnsi" w:hAnsiTheme="majorHAnsi" w:cstheme="majorHAnsi"/>
                <w:noProof/>
                <w:lang w:eastAsia="en-AU"/>
              </w:rPr>
              <w:lastRenderedPageBreak/>
              <w:drawing>
                <wp:inline distT="0" distB="0" distL="0" distR="0" wp14:anchorId="57D439D1" wp14:editId="2EF11604">
                  <wp:extent cx="827420" cy="524787"/>
                  <wp:effectExtent l="0" t="0" r="0" b="8890"/>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43970" cy="535284"/>
                          </a:xfrm>
                          <a:prstGeom prst="rect">
                            <a:avLst/>
                          </a:prstGeom>
                          <a:noFill/>
                          <a:ln>
                            <a:noFill/>
                          </a:ln>
                        </pic:spPr>
                      </pic:pic>
                    </a:graphicData>
                  </a:graphic>
                </wp:inline>
              </w:drawing>
            </w:r>
          </w:p>
        </w:tc>
        <w:tc>
          <w:tcPr>
            <w:tcW w:w="7087" w:type="dxa"/>
            <w:tcBorders>
              <w:top w:val="single" w:sz="18" w:space="0" w:color="FF3A40" w:themeColor="accent1"/>
              <w:bottom w:val="single" w:sz="18" w:space="0" w:color="FF3A40" w:themeColor="accent1"/>
            </w:tcBorders>
            <w:shd w:val="clear" w:color="auto" w:fill="E6E6E1" w:themeFill="accent5"/>
          </w:tcPr>
          <w:p w14:paraId="0FD3845A" w14:textId="1F81F574" w:rsidR="00DB1183" w:rsidRPr="0072127E" w:rsidRDefault="00DB1183" w:rsidP="00DB1183">
            <w:pPr>
              <w:rPr>
                <w:rFonts w:asciiTheme="majorHAnsi" w:hAnsiTheme="majorHAnsi" w:cstheme="majorHAnsi"/>
                <w:lang w:eastAsia="en-AU"/>
              </w:rPr>
            </w:pPr>
            <w:r w:rsidRPr="0072127E">
              <w:rPr>
                <w:rFonts w:asciiTheme="majorHAnsi" w:hAnsiTheme="majorHAnsi" w:cstheme="majorHAnsi"/>
                <w:color w:val="FF3A40" w:themeColor="accent1"/>
                <w:sz w:val="22"/>
                <w:szCs w:val="28"/>
                <w:lang w:eastAsia="en-AU"/>
              </w:rPr>
              <w:t xml:space="preserve">Data collection method: </w:t>
            </w:r>
            <w:r w:rsidRPr="00C145B9">
              <w:rPr>
                <w:rFonts w:asciiTheme="majorHAnsi" w:hAnsiTheme="majorHAnsi" w:cstheme="majorHAnsi"/>
                <w:color w:val="FF3A40" w:themeColor="accent1"/>
                <w:sz w:val="22"/>
                <w:szCs w:val="28"/>
                <w:lang w:eastAsia="en-AU"/>
              </w:rPr>
              <w:t>Surveys</w:t>
            </w:r>
          </w:p>
        </w:tc>
      </w:tr>
    </w:tbl>
    <w:p w14:paraId="398C0DB2" w14:textId="6DA24510" w:rsidR="006D4DE5" w:rsidRDefault="00657364" w:rsidP="00016983">
      <w:r>
        <w:br/>
      </w:r>
      <w:r w:rsidR="006D4DE5">
        <w:t>Nous will</w:t>
      </w:r>
      <w:r w:rsidR="006D4DE5" w:rsidDel="00657364">
        <w:t xml:space="preserve"> </w:t>
      </w:r>
      <w:r w:rsidR="006D4DE5">
        <w:t xml:space="preserve">conduct a survey of a sample of RACFs to supplement palliative care data provided in existing data sets, as detailed below. </w:t>
      </w:r>
    </w:p>
    <w:tbl>
      <w:tblPr>
        <w:tblStyle w:val="TableGridLight"/>
        <w:tblW w:w="8926" w:type="dxa"/>
        <w:tblBorders>
          <w:bottom w:val="none" w:sz="0" w:space="0" w:color="auto"/>
        </w:tblBorders>
        <w:tblCellMar>
          <w:top w:w="57" w:type="dxa"/>
        </w:tblCellMar>
        <w:tblLook w:val="04A0" w:firstRow="1" w:lastRow="0" w:firstColumn="1" w:lastColumn="0" w:noHBand="0" w:noVBand="1"/>
        <w:tblCaption w:val="This table provides details on the survey of a sample of RACFs which will be reported in the Progress Report 2 (baseline) and the Final Report"/>
        <w:tblDescription w:val="Purpose and rationale:&#10;Nous has developed a purpose-built survey to capture information about almost all national outcomes that are intended to be achieved by the Measure (see section 3.3). Currently, limited data exists regarding the provision of palliative care in RACFs including access, quality, planning and training at the facility level. This survey seeks to fill that gap by directly engaging with RACFs. A copy of the survey is provided in Appendix B.1.&#10;&#10;Collection methodology:&#10;Nous will administer the survey electronically through the Alchemer platform (previously SurveyGizmo). Nous will use different mechanisms to distribute and collect data through the survey across jurisdictions. Multiple mechanisms are necessary to maximise the quantity and quality of responses while also reflecting the different approaches jurisdictions are taking to implement the Measure. Nous intends to distribute the survey leveraging the Australian Department of Health database of approved providers and RACFs. We will also use networks and mechanisms in states and territories to follow-up and maximise responses where possible. We will aim to distribute the survey to all RACFs in Australia to the extent that is possible.&#10;Surveys distributed by Nous will have a unique link to the survey that can be used to identify the facility and track responses. Nous will use unique identifiers to conduct targeted follow-ups with RACFs that have not yet responded and encourage responses across all jurisdictions. Nous will also use unique identifiers to identify RACFs that are underrepresented in responses and encourage responses. For example, if there are limited responses from a particular jurisdiction or type of RACF, Nous or jurisdictional representatives will reach out to specific RACFs to encourage responses. &#10;Nous will conduct a small pilot of the survey with RACFs to ensure that RACFs are able to provide meaningful responses for the evaluation. &#10;&#10;Considerations:&#10;Nous developed the survey to provide data for specific indicators that measure the national outcomes of the measure (section 6.3.2). The questions also align to the goals of the National Palliative Care Strategy. &#10;RACF survey responses will contribute to the evaluation baseline (provided in Progress Report 2, July 2021) and Final Report. &#10;Key considerations in developing the survey included:&#10;• Reducing response burden by minimising the number of questions, using clear and concise questions and not requiring participants to provide extended text responses. &#10;• Ensuring questions are fit-for-purpose and can be answered by RACF staff. Nous tested the survey with RACF staff including facility managers and palliative care nurse practitioners. Nous will also pilot the survey before national distribution. &#10;• Stakeholders including RACFs understand the purpose of the survey and buy-in to its use for the evaluation. Stakeholders including RACFs, peak bodies and health departments (both Australian and states and territories) have been consulted and provided feedback for the survey. &#10;Ethics approval is not required because it will be conducted at the facility level, completed by people in their professional capacity and not include any personal information. Communications associated with the survey will make clear that the response should reflect the RACF not the respondent’s personal view. &#10;Nous will collate contextual information about the RACFs including the jurisdiction, region (metropolitan, regional, rural), size, provider organisation using the facility’s name collected through the survey and through unique identifiers used to distribute the survey.&#10;&#10;Frequency of collection:&#10;Nous will conduct the survey twice during the evaluation: in April 2021 and April 2023.&#10;&#10;Scope:&#10;All RACFs will be invited to participate in the survey and Nous will ensure that responses cover a representative sample. The representative sample will include responses across:&#10;• all jurisdictions participating in the Measure&#10;• metro, regional and remote areas&#10;• not-for-profit, for-profit, community and government providers&#10;• RACFs of varying sizes (in terms of number of residents)&#10;Where possible, we will seek to be able to identify and gather responses from: &#10;• providers focused on residential aged care for people living with dementia &#10;• providers that support people from CALD backgrounds and/or Aboriginal and Torres Strait Islander people and communities.&#10;"/>
      </w:tblPr>
      <w:tblGrid>
        <w:gridCol w:w="1432"/>
        <w:gridCol w:w="5421"/>
        <w:gridCol w:w="2067"/>
        <w:gridCol w:w="6"/>
      </w:tblGrid>
      <w:tr w:rsidR="006D4DE5" w:rsidRPr="0035440F" w14:paraId="01A60781" w14:textId="77777777" w:rsidTr="0071098B">
        <w:trPr>
          <w:gridAfter w:val="1"/>
          <w:wAfter w:w="6" w:type="dxa"/>
          <w:trHeight w:val="340"/>
        </w:trPr>
        <w:tc>
          <w:tcPr>
            <w:tcW w:w="1432" w:type="dxa"/>
            <w:tcBorders>
              <w:top w:val="single" w:sz="24" w:space="0" w:color="FF3A40" w:themeColor="accent1"/>
              <w:bottom w:val="single" w:sz="4" w:space="0" w:color="BFBFBF" w:themeColor="background1" w:themeShade="BF"/>
            </w:tcBorders>
            <w:shd w:val="clear" w:color="auto" w:fill="00264D" w:themeFill="background2"/>
            <w:vAlign w:val="center"/>
          </w:tcPr>
          <w:p w14:paraId="5D0E2147" w14:textId="275381D8" w:rsidR="006D4DE5" w:rsidRPr="0035440F" w:rsidRDefault="00112FD2" w:rsidP="00B25FA6">
            <w:pPr>
              <w:jc w:val="center"/>
              <w:rPr>
                <w:color w:val="FFFFFF" w:themeColor="background1"/>
                <w:sz w:val="16"/>
                <w:szCs w:val="16"/>
                <w:lang w:eastAsia="en-AU"/>
              </w:rPr>
            </w:pPr>
            <w:r w:rsidRPr="00112FD2">
              <w:rPr>
                <w:noProof/>
                <w:color w:val="FFFFFF" w:themeColor="background1"/>
                <w:sz w:val="16"/>
                <w:szCs w:val="16"/>
                <w:lang w:eastAsia="en-AU"/>
              </w:rPr>
              <w:drawing>
                <wp:inline distT="0" distB="0" distL="0" distR="0" wp14:anchorId="3BA3D780" wp14:editId="71E666A6">
                  <wp:extent cx="246380" cy="318135"/>
                  <wp:effectExtent l="0" t="0" r="1270" b="5715"/>
                  <wp:docPr id="27893" name="Picture 278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3" name="Picture 27893">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6380" cy="318135"/>
                          </a:xfrm>
                          <a:prstGeom prst="rect">
                            <a:avLst/>
                          </a:prstGeom>
                          <a:noFill/>
                          <a:ln>
                            <a:noFill/>
                          </a:ln>
                        </pic:spPr>
                      </pic:pic>
                    </a:graphicData>
                  </a:graphic>
                </wp:inline>
              </w:drawing>
            </w:r>
          </w:p>
        </w:tc>
        <w:tc>
          <w:tcPr>
            <w:tcW w:w="5421" w:type="dxa"/>
            <w:tcBorders>
              <w:top w:val="single" w:sz="24" w:space="0" w:color="FF3A40" w:themeColor="accent1"/>
              <w:bottom w:val="single" w:sz="4" w:space="0" w:color="BFBFBF" w:themeColor="background1" w:themeShade="BF"/>
            </w:tcBorders>
            <w:shd w:val="clear" w:color="auto" w:fill="00264D" w:themeFill="background2"/>
            <w:vAlign w:val="center"/>
          </w:tcPr>
          <w:p w14:paraId="021F90D1" w14:textId="5E2B1967" w:rsidR="006D4DE5" w:rsidRPr="00B47937" w:rsidRDefault="006D4DE5" w:rsidP="00B47937">
            <w:pPr>
              <w:pStyle w:val="TableNheader"/>
              <w:rPr>
                <w:color w:val="FFFFFF" w:themeColor="background1"/>
                <w:lang w:eastAsia="en-AU"/>
              </w:rPr>
            </w:pPr>
            <w:r w:rsidRPr="00B47937">
              <w:rPr>
                <w:color w:val="FFFFFF" w:themeColor="background1"/>
                <w:lang w:eastAsia="en-AU"/>
              </w:rPr>
              <w:t xml:space="preserve">Survey of a sample </w:t>
            </w:r>
            <w:r w:rsidR="002C620B" w:rsidRPr="00B47937">
              <w:rPr>
                <w:color w:val="FFFFFF" w:themeColor="background1"/>
                <w:lang w:eastAsia="en-AU"/>
              </w:rPr>
              <w:t xml:space="preserve">of </w:t>
            </w:r>
            <w:r w:rsidRPr="00B47937">
              <w:rPr>
                <w:color w:val="FFFFFF" w:themeColor="background1"/>
                <w:lang w:eastAsia="en-AU"/>
              </w:rPr>
              <w:t>RACFs</w:t>
            </w:r>
          </w:p>
        </w:tc>
        <w:tc>
          <w:tcPr>
            <w:tcW w:w="2067" w:type="dxa"/>
            <w:tcBorders>
              <w:top w:val="single" w:sz="24" w:space="0" w:color="FF3A40" w:themeColor="accent1"/>
              <w:bottom w:val="single" w:sz="4" w:space="0" w:color="BFBFBF" w:themeColor="background1" w:themeShade="BF"/>
            </w:tcBorders>
            <w:shd w:val="clear" w:color="auto" w:fill="00264D" w:themeFill="background2"/>
            <w:vAlign w:val="center"/>
          </w:tcPr>
          <w:p w14:paraId="10034FB6" w14:textId="45D05A77" w:rsidR="006D4DE5" w:rsidRPr="00B47937" w:rsidRDefault="006D4DE5" w:rsidP="001A6789">
            <w:pPr>
              <w:pStyle w:val="TableNheader"/>
              <w:jc w:val="center"/>
              <w:rPr>
                <w:rFonts w:asciiTheme="minorHAnsi" w:hAnsiTheme="minorHAnsi" w:cstheme="minorHAnsi"/>
                <w:color w:val="FFFFFF" w:themeColor="background1"/>
                <w:lang w:eastAsia="en-AU"/>
              </w:rPr>
            </w:pPr>
            <w:r w:rsidRPr="00B47937">
              <w:rPr>
                <w:rFonts w:asciiTheme="minorHAnsi" w:hAnsiTheme="minorHAnsi" w:cstheme="minorHAnsi"/>
                <w:color w:val="FFFFFF" w:themeColor="background1"/>
                <w:lang w:eastAsia="en-AU"/>
              </w:rPr>
              <w:t>Reported in:</w:t>
            </w:r>
          </w:p>
          <w:p w14:paraId="6A15ABEB" w14:textId="652B5514" w:rsidR="006D4DE5" w:rsidRPr="00B47937" w:rsidRDefault="006D4DE5" w:rsidP="001A6789">
            <w:pPr>
              <w:pStyle w:val="TableNheader"/>
              <w:jc w:val="center"/>
              <w:rPr>
                <w:rFonts w:asciiTheme="minorHAnsi" w:hAnsiTheme="minorHAnsi" w:cstheme="minorHAnsi"/>
                <w:color w:val="FFFFFF" w:themeColor="background1"/>
                <w:lang w:eastAsia="en-AU"/>
              </w:rPr>
            </w:pPr>
            <w:r w:rsidRPr="00B47937">
              <w:rPr>
                <w:rFonts w:asciiTheme="minorHAnsi" w:hAnsiTheme="minorHAnsi" w:cstheme="minorHAnsi"/>
                <w:color w:val="FFFFFF" w:themeColor="background1"/>
                <w:lang w:eastAsia="en-AU"/>
              </w:rPr>
              <w:t xml:space="preserve">Progress </w:t>
            </w:r>
            <w:r w:rsidR="00C62135" w:rsidRPr="00B47937">
              <w:rPr>
                <w:rFonts w:asciiTheme="minorHAnsi" w:hAnsiTheme="minorHAnsi" w:cstheme="minorHAnsi"/>
                <w:color w:val="FFFFFF" w:themeColor="background1"/>
                <w:lang w:eastAsia="en-AU"/>
              </w:rPr>
              <w:t xml:space="preserve">Report </w:t>
            </w:r>
            <w:r w:rsidRPr="00B47937">
              <w:rPr>
                <w:rFonts w:asciiTheme="minorHAnsi" w:hAnsiTheme="minorHAnsi" w:cstheme="minorHAnsi"/>
                <w:color w:val="FFFFFF" w:themeColor="background1"/>
                <w:lang w:eastAsia="en-AU"/>
              </w:rPr>
              <w:t>2 (baseline)</w:t>
            </w:r>
          </w:p>
          <w:p w14:paraId="5C714D0E" w14:textId="34221DAA" w:rsidR="006D4DE5" w:rsidRPr="00B47937" w:rsidRDefault="006D4DE5" w:rsidP="001A6789">
            <w:pPr>
              <w:pStyle w:val="TableNheader"/>
              <w:jc w:val="center"/>
              <w:rPr>
                <w:rFonts w:asciiTheme="minorHAnsi" w:hAnsiTheme="minorHAnsi" w:cstheme="minorHAnsi"/>
                <w:color w:val="FFFFFF" w:themeColor="background1"/>
                <w:lang w:eastAsia="en-AU"/>
              </w:rPr>
            </w:pPr>
            <w:r w:rsidRPr="00B47937">
              <w:rPr>
                <w:rFonts w:asciiTheme="minorHAnsi" w:hAnsiTheme="minorHAnsi" w:cstheme="minorHAnsi"/>
                <w:color w:val="FFFFFF" w:themeColor="background1"/>
                <w:lang w:eastAsia="en-AU"/>
              </w:rPr>
              <w:t xml:space="preserve">Final </w:t>
            </w:r>
            <w:r w:rsidR="007D1236" w:rsidRPr="00B47937">
              <w:rPr>
                <w:rFonts w:asciiTheme="minorHAnsi" w:hAnsiTheme="minorHAnsi" w:cstheme="minorHAnsi"/>
                <w:color w:val="FFFFFF" w:themeColor="background1"/>
                <w:lang w:eastAsia="en-AU"/>
              </w:rPr>
              <w:t>Report</w:t>
            </w:r>
          </w:p>
        </w:tc>
      </w:tr>
      <w:tr w:rsidR="006D4DE5" w:rsidRPr="0035440F" w14:paraId="4CC65550" w14:textId="77777777" w:rsidTr="005F2385">
        <w:tc>
          <w:tcPr>
            <w:tcW w:w="1432" w:type="dxa"/>
            <w:shd w:val="clear" w:color="auto" w:fill="E6E6E1" w:themeFill="accent5"/>
          </w:tcPr>
          <w:p w14:paraId="597A852D" w14:textId="77777777" w:rsidR="006D4DE5" w:rsidRPr="00A771A9" w:rsidRDefault="006D4DE5" w:rsidP="00016983">
            <w:pPr>
              <w:pStyle w:val="TableNheader"/>
              <w:rPr>
                <w:lang w:eastAsia="en-AU"/>
              </w:rPr>
            </w:pPr>
            <w:r w:rsidRPr="00A771A9">
              <w:rPr>
                <w:lang w:eastAsia="en-AU"/>
              </w:rPr>
              <w:t>Purpose and rationale</w:t>
            </w:r>
          </w:p>
        </w:tc>
        <w:tc>
          <w:tcPr>
            <w:tcW w:w="7494" w:type="dxa"/>
            <w:gridSpan w:val="3"/>
          </w:tcPr>
          <w:p w14:paraId="4C53FAB8" w14:textId="5B8DD3A3" w:rsidR="006D4DE5" w:rsidRPr="00A771A9" w:rsidRDefault="006D4DE5" w:rsidP="00B47937">
            <w:pPr>
              <w:pStyle w:val="TableNText"/>
            </w:pPr>
            <w:r w:rsidRPr="00A771A9">
              <w:t xml:space="preserve">Nous has developed a purpose-built survey to capture information about almost all national outcomes that are intended to be achieved by the Measure (see section </w:t>
            </w:r>
            <w:r w:rsidRPr="00A771A9">
              <w:fldChar w:fldCharType="begin"/>
            </w:r>
            <w:r w:rsidRPr="00A771A9">
              <w:instrText xml:space="preserve"> REF _Ref59025084 \r \h </w:instrText>
            </w:r>
            <w:r w:rsidR="003E3079" w:rsidRPr="00A771A9">
              <w:instrText xml:space="preserve"> \* MERGEFORMAT </w:instrText>
            </w:r>
            <w:r w:rsidRPr="00A771A9">
              <w:fldChar w:fldCharType="separate"/>
            </w:r>
            <w:r w:rsidR="00DF258C">
              <w:t>3.3</w:t>
            </w:r>
            <w:r w:rsidRPr="00A771A9">
              <w:fldChar w:fldCharType="end"/>
            </w:r>
            <w:r w:rsidRPr="00A771A9">
              <w:t xml:space="preserve">). Currently, limited data exists regarding the provision of palliative care in RACFs including access, quality, planning and training at the facility level. This survey seeks to fill that gap by directly engaging with RACFs. A copy of the survey is provided in Appendix </w:t>
            </w:r>
            <w:r w:rsidRPr="00A771A9">
              <w:fldChar w:fldCharType="begin"/>
            </w:r>
            <w:r w:rsidRPr="00A771A9">
              <w:instrText xml:space="preserve"> REF _Ref57908862 \r \h </w:instrText>
            </w:r>
            <w:r w:rsidR="003E3079" w:rsidRPr="00A771A9">
              <w:instrText xml:space="preserve"> \* MERGEFORMAT </w:instrText>
            </w:r>
            <w:r w:rsidRPr="00A771A9">
              <w:fldChar w:fldCharType="separate"/>
            </w:r>
            <w:r w:rsidR="00DF258C">
              <w:t>B.1</w:t>
            </w:r>
            <w:r w:rsidRPr="00A771A9">
              <w:fldChar w:fldCharType="end"/>
            </w:r>
            <w:r w:rsidRPr="00A771A9">
              <w:t>.</w:t>
            </w:r>
          </w:p>
        </w:tc>
      </w:tr>
      <w:tr w:rsidR="006D4DE5" w:rsidRPr="0035440F" w14:paraId="67C7D8CD" w14:textId="77777777" w:rsidTr="005F2385">
        <w:tc>
          <w:tcPr>
            <w:tcW w:w="1432" w:type="dxa"/>
            <w:shd w:val="clear" w:color="auto" w:fill="E6E6E1" w:themeFill="accent5"/>
          </w:tcPr>
          <w:p w14:paraId="6FC3AA30" w14:textId="77777777" w:rsidR="006D4DE5" w:rsidRPr="00A771A9" w:rsidRDefault="006D4DE5" w:rsidP="00016983">
            <w:pPr>
              <w:pStyle w:val="TableNheader"/>
              <w:rPr>
                <w:lang w:eastAsia="en-AU"/>
              </w:rPr>
            </w:pPr>
            <w:r w:rsidRPr="00A771A9">
              <w:rPr>
                <w:lang w:eastAsia="en-AU"/>
              </w:rPr>
              <w:t xml:space="preserve">Collection methodology </w:t>
            </w:r>
          </w:p>
        </w:tc>
        <w:tc>
          <w:tcPr>
            <w:tcW w:w="7494" w:type="dxa"/>
            <w:gridSpan w:val="3"/>
          </w:tcPr>
          <w:p w14:paraId="779C7882" w14:textId="745BA959" w:rsidR="003D7763" w:rsidRPr="00DF022F" w:rsidRDefault="00201E91" w:rsidP="00C5368D">
            <w:pPr>
              <w:pStyle w:val="TableNText"/>
              <w:rPr>
                <w:rFonts w:ascii="Segoe UI Semibold" w:hAnsi="Segoe UI Semibold" w:cs="Segoe UI Semibold"/>
              </w:rPr>
            </w:pPr>
            <w:r w:rsidRPr="00A771A9">
              <w:t xml:space="preserve">Nous will </w:t>
            </w:r>
            <w:r w:rsidR="0037208A" w:rsidRPr="00A771A9">
              <w:t>administer</w:t>
            </w:r>
            <w:r w:rsidRPr="00A771A9">
              <w:t xml:space="preserve"> the survey </w:t>
            </w:r>
            <w:r w:rsidR="00A163A8" w:rsidRPr="00A771A9">
              <w:t xml:space="preserve">electronically through the </w:t>
            </w:r>
            <w:proofErr w:type="spellStart"/>
            <w:r w:rsidR="00A163A8" w:rsidRPr="00A771A9">
              <w:t>Alchemer</w:t>
            </w:r>
            <w:proofErr w:type="spellEnd"/>
            <w:r w:rsidR="00A163A8" w:rsidRPr="00A771A9">
              <w:t xml:space="preserve"> </w:t>
            </w:r>
            <w:r w:rsidR="001C732D" w:rsidRPr="00A771A9">
              <w:t xml:space="preserve">platform </w:t>
            </w:r>
            <w:r w:rsidR="00A163A8" w:rsidRPr="00A771A9">
              <w:t>(previously SurveyGizmo</w:t>
            </w:r>
            <w:r w:rsidRPr="00A771A9">
              <w:t>)</w:t>
            </w:r>
            <w:r w:rsidR="00A163A8" w:rsidRPr="00A771A9">
              <w:t xml:space="preserve">. Nous will </w:t>
            </w:r>
            <w:r w:rsidR="00801B7E" w:rsidRPr="00A771A9">
              <w:t xml:space="preserve">use </w:t>
            </w:r>
            <w:r w:rsidR="00411A12" w:rsidRPr="00A771A9">
              <w:t xml:space="preserve">different </w:t>
            </w:r>
            <w:r w:rsidR="00801B7E" w:rsidRPr="00A771A9">
              <w:t xml:space="preserve">mechanisms to distribute and collect data through </w:t>
            </w:r>
            <w:r w:rsidR="00E765D3" w:rsidRPr="00A771A9">
              <w:t>the survey</w:t>
            </w:r>
            <w:r w:rsidR="00411A12" w:rsidRPr="00A771A9">
              <w:t xml:space="preserve"> across jurisdictions</w:t>
            </w:r>
            <w:r w:rsidR="00E765D3" w:rsidRPr="00A771A9">
              <w:t>. Multiple mechanisms are necessary to maximise the</w:t>
            </w:r>
            <w:r w:rsidR="00CF5093" w:rsidRPr="00A771A9">
              <w:t xml:space="preserve"> quantity</w:t>
            </w:r>
            <w:r w:rsidR="00E765D3" w:rsidRPr="00A771A9">
              <w:t xml:space="preserve"> and quality of responses </w:t>
            </w:r>
            <w:r w:rsidR="00F449EF" w:rsidRPr="00A771A9">
              <w:t>while also reflecting the different approach</w:t>
            </w:r>
            <w:r w:rsidR="002958C3" w:rsidRPr="00A771A9">
              <w:t>es</w:t>
            </w:r>
            <w:r w:rsidR="00F449EF" w:rsidRPr="00A771A9">
              <w:t xml:space="preserve"> jurisdictions are taking to implement the Measure.</w:t>
            </w:r>
            <w:r w:rsidR="0031574F">
              <w:t xml:space="preserve"> Nous intends to distribute the survey leveraging the Australian Department of Health database of approved providers and RACFs. </w:t>
            </w:r>
            <w:r w:rsidR="00CE0D85" w:rsidRPr="00CE0D85">
              <w:t>We will also use networks and mechanisms in states and territories to follow-up and maximise responses where possible</w:t>
            </w:r>
            <w:r w:rsidR="0031574F">
              <w:t xml:space="preserve">. </w:t>
            </w:r>
            <w:r w:rsidR="00734D8D">
              <w:t>We will aim to distribute the survey to all RACFs in Australia to the extent that is possible.</w:t>
            </w:r>
          </w:p>
          <w:p w14:paraId="78180C4B" w14:textId="7E059462" w:rsidR="006D4DE5" w:rsidRPr="00A771A9" w:rsidRDefault="00197CFB" w:rsidP="00B47937">
            <w:pPr>
              <w:pStyle w:val="TableNText"/>
            </w:pPr>
            <w:r w:rsidRPr="00A771A9">
              <w:t>Surveys distributed by Nous</w:t>
            </w:r>
            <w:r w:rsidR="00B515D3" w:rsidRPr="00A771A9">
              <w:t xml:space="preserve"> will have a unique link to the survey that can be used to identify the facility and track responses. </w:t>
            </w:r>
            <w:r w:rsidR="00C737F6" w:rsidRPr="00A771A9">
              <w:t>Nous will use unique identifiers to conduct targeted follow-up</w:t>
            </w:r>
            <w:r w:rsidR="008C74F8" w:rsidRPr="00A771A9">
              <w:t>s</w:t>
            </w:r>
            <w:r w:rsidR="00C737F6" w:rsidRPr="00A771A9">
              <w:t xml:space="preserve"> with </w:t>
            </w:r>
            <w:r w:rsidR="00147FD5">
              <w:t>RACFs</w:t>
            </w:r>
            <w:r w:rsidR="00C737F6" w:rsidRPr="00A771A9">
              <w:t xml:space="preserve"> that have not yet responded and encourage responses</w:t>
            </w:r>
            <w:r w:rsidR="00FB4829" w:rsidRPr="00A771A9">
              <w:t xml:space="preserve"> across all jurisdictions</w:t>
            </w:r>
            <w:r w:rsidR="00C737F6" w:rsidRPr="00A771A9">
              <w:t xml:space="preserve">. </w:t>
            </w:r>
            <w:r w:rsidR="00616715" w:rsidRPr="00A771A9">
              <w:t xml:space="preserve">Nous will also use unique identifiers to </w:t>
            </w:r>
            <w:r w:rsidR="0004323F" w:rsidRPr="00A771A9">
              <w:t xml:space="preserve">identify RACFs that are underrepresented in </w:t>
            </w:r>
            <w:r w:rsidR="00B3217D" w:rsidRPr="00A771A9">
              <w:t xml:space="preserve">responses </w:t>
            </w:r>
            <w:r w:rsidR="00B0017E" w:rsidRPr="00A771A9">
              <w:t>and encourage responses.</w:t>
            </w:r>
            <w:r w:rsidR="006D4DE5" w:rsidRPr="00A771A9">
              <w:t xml:space="preserve"> For example, if there are limited responses from a particular jurisdiction or type of RACF, Nous </w:t>
            </w:r>
            <w:r w:rsidR="004A7A79" w:rsidRPr="00A771A9">
              <w:t>or jurisdictional representatives</w:t>
            </w:r>
            <w:r w:rsidR="00673552" w:rsidRPr="00A771A9">
              <w:t xml:space="preserve"> </w:t>
            </w:r>
            <w:r w:rsidR="006D4DE5" w:rsidRPr="00A771A9">
              <w:t xml:space="preserve">will reach out to specific </w:t>
            </w:r>
            <w:r w:rsidR="00673552" w:rsidRPr="00A771A9">
              <w:t>RACFs</w:t>
            </w:r>
            <w:r w:rsidR="006D4DE5" w:rsidRPr="00A771A9">
              <w:t xml:space="preserve"> to encourage responses.</w:t>
            </w:r>
            <w:r w:rsidR="001361B0">
              <w:t xml:space="preserve"> </w:t>
            </w:r>
          </w:p>
          <w:p w14:paraId="7886D5E0" w14:textId="205AA992" w:rsidR="006D4DE5" w:rsidRPr="00A771A9" w:rsidRDefault="00DD3264" w:rsidP="00B47937">
            <w:pPr>
              <w:pStyle w:val="TableNText"/>
            </w:pPr>
            <w:r w:rsidRPr="00A771A9">
              <w:t xml:space="preserve">Nous will conduct a small pilot of the survey with RACFs </w:t>
            </w:r>
            <w:r w:rsidR="00926C64" w:rsidRPr="00A771A9">
              <w:t>to ensure that RA</w:t>
            </w:r>
            <w:r w:rsidR="003D7763" w:rsidRPr="00A771A9">
              <w:t xml:space="preserve">CFs are able to provide meaningful responses for the evaluation. </w:t>
            </w:r>
          </w:p>
        </w:tc>
      </w:tr>
      <w:tr w:rsidR="006D4DE5" w:rsidRPr="0035440F" w14:paraId="2A905790" w14:textId="77777777" w:rsidTr="005F2385">
        <w:tc>
          <w:tcPr>
            <w:tcW w:w="1432" w:type="dxa"/>
            <w:shd w:val="clear" w:color="auto" w:fill="E6E6E1" w:themeFill="accent5"/>
          </w:tcPr>
          <w:p w14:paraId="78D515FF" w14:textId="77777777" w:rsidR="006D4DE5" w:rsidRPr="00A771A9" w:rsidRDefault="006D4DE5" w:rsidP="00016983">
            <w:pPr>
              <w:pStyle w:val="TableNheader"/>
              <w:rPr>
                <w:lang w:eastAsia="en-AU"/>
              </w:rPr>
            </w:pPr>
            <w:r w:rsidRPr="00A771A9">
              <w:rPr>
                <w:lang w:eastAsia="en-AU"/>
              </w:rPr>
              <w:t xml:space="preserve">Considerations </w:t>
            </w:r>
          </w:p>
        </w:tc>
        <w:tc>
          <w:tcPr>
            <w:tcW w:w="7494" w:type="dxa"/>
            <w:gridSpan w:val="3"/>
          </w:tcPr>
          <w:p w14:paraId="21B9DC90" w14:textId="0786FB42" w:rsidR="006D4DE5" w:rsidRPr="00A771A9" w:rsidRDefault="006D4DE5" w:rsidP="00B25FA6">
            <w:pPr>
              <w:pStyle w:val="TableNText"/>
            </w:pPr>
            <w:r w:rsidRPr="00A771A9">
              <w:t xml:space="preserve">Nous developed the survey to provide data for specific indicators that measure the national outcomes of the measure (section </w:t>
            </w:r>
            <w:r w:rsidRPr="00A771A9">
              <w:fldChar w:fldCharType="begin"/>
            </w:r>
            <w:r w:rsidRPr="00A771A9">
              <w:instrText xml:space="preserve"> REF _Ref61955286 \r \h </w:instrText>
            </w:r>
            <w:r w:rsidR="003E3079" w:rsidRPr="00A771A9">
              <w:instrText xml:space="preserve"> \* MERGEFORMAT </w:instrText>
            </w:r>
            <w:r w:rsidRPr="00A771A9">
              <w:fldChar w:fldCharType="separate"/>
            </w:r>
            <w:r w:rsidR="00DF258C">
              <w:t>6.3.2</w:t>
            </w:r>
            <w:r w:rsidRPr="00A771A9">
              <w:fldChar w:fldCharType="end"/>
            </w:r>
            <w:r w:rsidRPr="00A771A9">
              <w:t>). The questions also align to the goals of the National Palliative Care Strategy</w:t>
            </w:r>
            <w:r w:rsidR="00126FDA" w:rsidRPr="00A771A9">
              <w:t>.</w:t>
            </w:r>
            <w:r w:rsidRPr="00A771A9">
              <w:t xml:space="preserve"> </w:t>
            </w:r>
          </w:p>
          <w:p w14:paraId="724F3CC7" w14:textId="1356AEBA" w:rsidR="006D4DE5" w:rsidRPr="00A771A9" w:rsidRDefault="006D4DE5" w:rsidP="00B47937">
            <w:pPr>
              <w:pStyle w:val="TableNText"/>
            </w:pPr>
            <w:r w:rsidRPr="00A771A9">
              <w:t>RACF survey responses will contribute to the evaluation baseline (provided in Progress Report 2, July 2021)</w:t>
            </w:r>
            <w:r w:rsidR="002B6DC8" w:rsidRPr="00A771A9">
              <w:t xml:space="preserve"> and </w:t>
            </w:r>
            <w:r w:rsidR="007D1236" w:rsidRPr="00A771A9">
              <w:t>Final Report</w:t>
            </w:r>
            <w:r w:rsidR="00CC6077" w:rsidRPr="00A771A9">
              <w:t>.</w:t>
            </w:r>
            <w:r w:rsidRPr="00A771A9">
              <w:t xml:space="preserve"> </w:t>
            </w:r>
          </w:p>
          <w:p w14:paraId="64DB8E89" w14:textId="77777777" w:rsidR="006D4DE5" w:rsidRPr="00A771A9" w:rsidRDefault="006D4DE5" w:rsidP="00B25FA6">
            <w:pPr>
              <w:pStyle w:val="TableNText"/>
            </w:pPr>
            <w:r w:rsidRPr="00A771A9">
              <w:t>Key considerations in developing the survey included:</w:t>
            </w:r>
          </w:p>
          <w:p w14:paraId="55F7FB81" w14:textId="77777777" w:rsidR="006D4DE5" w:rsidRPr="00B47937" w:rsidRDefault="006D4DE5" w:rsidP="006D4DE5">
            <w:pPr>
              <w:pStyle w:val="TableNBullet"/>
            </w:pPr>
            <w:r w:rsidRPr="00B47937">
              <w:t xml:space="preserve">Reducing response burden by minimising the number of questions, using clear and concise </w:t>
            </w:r>
            <w:proofErr w:type="gramStart"/>
            <w:r w:rsidRPr="00B47937">
              <w:t>questions</w:t>
            </w:r>
            <w:proofErr w:type="gramEnd"/>
            <w:r w:rsidRPr="00B47937">
              <w:t xml:space="preserve"> and not requiring participants to provide extended text responses. </w:t>
            </w:r>
          </w:p>
          <w:p w14:paraId="2578669F" w14:textId="48351819" w:rsidR="006D4DE5" w:rsidRPr="00B47937" w:rsidRDefault="006D4DE5" w:rsidP="006D4DE5">
            <w:pPr>
              <w:pStyle w:val="TableNBullet"/>
            </w:pPr>
            <w:r w:rsidRPr="00B47937">
              <w:t xml:space="preserve">Ensuring questions are fit-for-purpose and can be answered by RACF staff. Nous tested the survey with RACF staff including facility managers and palliative care nurse practitioners. </w:t>
            </w:r>
            <w:r w:rsidR="003B6842" w:rsidRPr="00B47937">
              <w:t xml:space="preserve">Nous will also pilot the survey before </w:t>
            </w:r>
            <w:r w:rsidR="001A766F" w:rsidRPr="00B47937">
              <w:t xml:space="preserve">national distribution. </w:t>
            </w:r>
          </w:p>
          <w:p w14:paraId="1705A4AD" w14:textId="42F876C6" w:rsidR="006D4DE5" w:rsidRPr="00B47937" w:rsidRDefault="006D4DE5" w:rsidP="006D4DE5">
            <w:pPr>
              <w:pStyle w:val="TableNBullet"/>
            </w:pPr>
            <w:r w:rsidRPr="00B47937">
              <w:t xml:space="preserve">Stakeholders including RACFs understand the purpose of the survey and buy-in to its use for the evaluation. Stakeholders including RACFs, peak bodies and health departments (both Australian and states and territories) have been consulted and provided feedback for the survey. </w:t>
            </w:r>
          </w:p>
          <w:p w14:paraId="1F2D50FB" w14:textId="77777777" w:rsidR="006D4DE5" w:rsidRDefault="006D4DE5" w:rsidP="00B47937">
            <w:pPr>
              <w:pStyle w:val="TableNText"/>
            </w:pPr>
            <w:r w:rsidRPr="00A771A9">
              <w:t xml:space="preserve">Ethics approval is not required because it will be conducted at the facility level, completed by people in their professional capacity and not include any personal information. </w:t>
            </w:r>
            <w:r w:rsidR="00B04E51" w:rsidRPr="00A771A9">
              <w:t xml:space="preserve">Communications associated with the survey will make clear that the response should reflect the RACF not the respondent’s personal view. </w:t>
            </w:r>
          </w:p>
          <w:p w14:paraId="4E90F83F" w14:textId="09183D45" w:rsidR="001361B0" w:rsidRPr="00A771A9" w:rsidRDefault="001361B0" w:rsidP="00B47937">
            <w:pPr>
              <w:pStyle w:val="TableNText"/>
            </w:pPr>
            <w:r>
              <w:lastRenderedPageBreak/>
              <w:t>Nous will collate contextual information about the RACF</w:t>
            </w:r>
            <w:r w:rsidR="00752F87">
              <w:t>s</w:t>
            </w:r>
            <w:r>
              <w:t xml:space="preserve"> including the jurisdiction, region (metropolitan, regional, rural), size, provider organisation using the facility’s name collected through the survey and through unique identifiers used to distribute the survey.</w:t>
            </w:r>
          </w:p>
        </w:tc>
      </w:tr>
      <w:tr w:rsidR="006D4DE5" w:rsidRPr="0035440F" w14:paraId="2403CB06" w14:textId="77777777" w:rsidTr="005F2385">
        <w:tc>
          <w:tcPr>
            <w:tcW w:w="1432" w:type="dxa"/>
            <w:shd w:val="clear" w:color="auto" w:fill="E6E6E1" w:themeFill="accent5"/>
          </w:tcPr>
          <w:p w14:paraId="7E7BFE82" w14:textId="77777777" w:rsidR="006D4DE5" w:rsidRPr="00A771A9" w:rsidRDefault="006D4DE5" w:rsidP="00016983">
            <w:pPr>
              <w:pStyle w:val="TableNheader"/>
              <w:rPr>
                <w:lang w:eastAsia="en-AU"/>
              </w:rPr>
            </w:pPr>
            <w:r w:rsidRPr="00A771A9">
              <w:rPr>
                <w:lang w:eastAsia="en-AU"/>
              </w:rPr>
              <w:lastRenderedPageBreak/>
              <w:t xml:space="preserve">Frequency of collection </w:t>
            </w:r>
          </w:p>
        </w:tc>
        <w:tc>
          <w:tcPr>
            <w:tcW w:w="7494" w:type="dxa"/>
            <w:gridSpan w:val="3"/>
          </w:tcPr>
          <w:p w14:paraId="75DFC133" w14:textId="20A433B9" w:rsidR="006D4DE5" w:rsidRPr="00A771A9" w:rsidRDefault="006D4DE5" w:rsidP="00B47937">
            <w:pPr>
              <w:pStyle w:val="TableNText"/>
              <w:rPr>
                <w:lang w:eastAsia="en-AU"/>
              </w:rPr>
            </w:pPr>
            <w:r w:rsidRPr="00A771A9">
              <w:rPr>
                <w:lang w:eastAsia="en-AU"/>
              </w:rPr>
              <w:t xml:space="preserve">Nous will </w:t>
            </w:r>
            <w:r w:rsidR="0052346D" w:rsidRPr="00A771A9">
              <w:rPr>
                <w:lang w:eastAsia="en-AU"/>
              </w:rPr>
              <w:t>conduct</w:t>
            </w:r>
            <w:r w:rsidRPr="00A771A9">
              <w:rPr>
                <w:lang w:eastAsia="en-AU"/>
              </w:rPr>
              <w:t xml:space="preserve"> the survey twice during the evaluation</w:t>
            </w:r>
            <w:r w:rsidR="0033129E" w:rsidRPr="00A771A9">
              <w:rPr>
                <w:lang w:eastAsia="en-AU"/>
              </w:rPr>
              <w:t>:</w:t>
            </w:r>
            <w:r w:rsidRPr="00A771A9">
              <w:rPr>
                <w:lang w:eastAsia="en-AU"/>
              </w:rPr>
              <w:t xml:space="preserve"> in April 2021 and April 2023.</w:t>
            </w:r>
          </w:p>
        </w:tc>
      </w:tr>
      <w:tr w:rsidR="006D4DE5" w:rsidRPr="0035440F" w14:paraId="71F85F49" w14:textId="77777777" w:rsidTr="005F2385">
        <w:tc>
          <w:tcPr>
            <w:tcW w:w="1432" w:type="dxa"/>
            <w:tcBorders>
              <w:bottom w:val="single" w:sz="4" w:space="0" w:color="BFBFBF" w:themeColor="background1" w:themeShade="BF"/>
            </w:tcBorders>
            <w:shd w:val="clear" w:color="auto" w:fill="E6E6E1" w:themeFill="accent5"/>
          </w:tcPr>
          <w:p w14:paraId="409064A5" w14:textId="77777777" w:rsidR="006D4DE5" w:rsidRPr="00A771A9" w:rsidRDefault="006D4DE5" w:rsidP="00016983">
            <w:pPr>
              <w:pStyle w:val="TableNheader"/>
              <w:rPr>
                <w:lang w:eastAsia="en-AU"/>
              </w:rPr>
            </w:pPr>
            <w:r w:rsidRPr="00A771A9">
              <w:rPr>
                <w:lang w:eastAsia="en-AU"/>
              </w:rPr>
              <w:t>Scope</w:t>
            </w:r>
          </w:p>
        </w:tc>
        <w:tc>
          <w:tcPr>
            <w:tcW w:w="7494" w:type="dxa"/>
            <w:gridSpan w:val="3"/>
            <w:tcBorders>
              <w:bottom w:val="single" w:sz="4" w:space="0" w:color="BFBFBF" w:themeColor="background1" w:themeShade="BF"/>
            </w:tcBorders>
          </w:tcPr>
          <w:p w14:paraId="2A983338" w14:textId="6CBE9A14" w:rsidR="006D4DE5" w:rsidRPr="00A771A9" w:rsidRDefault="00760847" w:rsidP="00B47937">
            <w:pPr>
              <w:pStyle w:val="TableNText"/>
              <w:rPr>
                <w:lang w:eastAsia="en-AU"/>
              </w:rPr>
            </w:pPr>
            <w:r w:rsidRPr="00A771A9">
              <w:rPr>
                <w:lang w:eastAsia="en-AU"/>
              </w:rPr>
              <w:t xml:space="preserve">All RACFs will be invited to participate in the survey and Nous </w:t>
            </w:r>
            <w:r w:rsidR="006E45DB" w:rsidRPr="00A771A9">
              <w:rPr>
                <w:lang w:eastAsia="en-AU"/>
              </w:rPr>
              <w:t xml:space="preserve">will </w:t>
            </w:r>
            <w:r w:rsidRPr="00A771A9">
              <w:rPr>
                <w:lang w:eastAsia="en-AU"/>
              </w:rPr>
              <w:t>ensure that responses cover a representative sample</w:t>
            </w:r>
            <w:r w:rsidR="00DF022F" w:rsidRPr="00A771A9">
              <w:rPr>
                <w:lang w:eastAsia="en-AU"/>
              </w:rPr>
              <w:t>. The representative sample will include responses across:</w:t>
            </w:r>
          </w:p>
          <w:p w14:paraId="3802D3DE" w14:textId="21087187" w:rsidR="00DF022F" w:rsidRDefault="006E45DB" w:rsidP="00DF022F">
            <w:pPr>
              <w:pStyle w:val="TableNBullet"/>
            </w:pPr>
            <w:r>
              <w:t>all</w:t>
            </w:r>
            <w:r w:rsidR="00CA67B8">
              <w:t xml:space="preserve"> j</w:t>
            </w:r>
            <w:r w:rsidR="001475C7">
              <w:t xml:space="preserve">urisdictions participating in the </w:t>
            </w:r>
            <w:r w:rsidR="00B51E77">
              <w:t>Me</w:t>
            </w:r>
            <w:r w:rsidR="001475C7">
              <w:t>asure</w:t>
            </w:r>
          </w:p>
          <w:p w14:paraId="2A420425" w14:textId="1EC31EBA" w:rsidR="001475C7" w:rsidRDefault="006E45DB" w:rsidP="00DF022F">
            <w:pPr>
              <w:pStyle w:val="TableNBullet"/>
            </w:pPr>
            <w:r>
              <w:t>m</w:t>
            </w:r>
            <w:r w:rsidR="00CD0E1B">
              <w:t xml:space="preserve">etro, </w:t>
            </w:r>
            <w:proofErr w:type="gramStart"/>
            <w:r w:rsidR="00CD0E1B">
              <w:t>regional</w:t>
            </w:r>
            <w:proofErr w:type="gramEnd"/>
            <w:r w:rsidR="00CD0E1B">
              <w:t xml:space="preserve"> and remote areas</w:t>
            </w:r>
          </w:p>
          <w:p w14:paraId="3245A7A6" w14:textId="31BF9BA7" w:rsidR="00CD0E1B" w:rsidRDefault="006E45DB" w:rsidP="00DF022F">
            <w:pPr>
              <w:pStyle w:val="TableNBullet"/>
            </w:pPr>
            <w:r>
              <w:t>n</w:t>
            </w:r>
            <w:r w:rsidR="00E008BB">
              <w:t>ot-for-profit, for-profit, community and government providers</w:t>
            </w:r>
          </w:p>
          <w:p w14:paraId="5B888655" w14:textId="53C5C522" w:rsidR="006D4DE5" w:rsidRDefault="00147FD5" w:rsidP="00DF022F">
            <w:pPr>
              <w:pStyle w:val="TableNBullet"/>
            </w:pPr>
            <w:r>
              <w:t>RACFs</w:t>
            </w:r>
            <w:r w:rsidR="00077CBF">
              <w:t xml:space="preserve"> of varying sizes</w:t>
            </w:r>
            <w:r w:rsidR="00B51E77">
              <w:t xml:space="preserve"> (in terms of number of residents)</w:t>
            </w:r>
          </w:p>
          <w:p w14:paraId="57FE6472" w14:textId="1FF112E1" w:rsidR="00A3481D" w:rsidRDefault="00A3481D" w:rsidP="00A3481D">
            <w:pPr>
              <w:pStyle w:val="TableNBullet"/>
              <w:numPr>
                <w:ilvl w:val="0"/>
                <w:numId w:val="0"/>
              </w:numPr>
            </w:pPr>
            <w:r>
              <w:t xml:space="preserve">Where possible, we will seek to be able to identify and gather responses from: </w:t>
            </w:r>
          </w:p>
          <w:p w14:paraId="556044FA" w14:textId="79F8E6F5" w:rsidR="00AA36F6" w:rsidRDefault="00AA36F6" w:rsidP="00077CBF">
            <w:pPr>
              <w:pStyle w:val="TableNBullet"/>
            </w:pPr>
            <w:r>
              <w:t xml:space="preserve">providers </w:t>
            </w:r>
            <w:r w:rsidR="009A37EE">
              <w:t>focused on residential aged care for people living with dementia</w:t>
            </w:r>
            <w:r w:rsidR="00535192">
              <w:t xml:space="preserve"> </w:t>
            </w:r>
          </w:p>
          <w:p w14:paraId="7E71E202" w14:textId="6943034F" w:rsidR="006D4DE5" w:rsidRPr="003E3079" w:rsidRDefault="00077CBF" w:rsidP="00DF022F">
            <w:pPr>
              <w:pStyle w:val="TableNBullet"/>
            </w:pPr>
            <w:r>
              <w:t>providers that support people from CALD backgrounds and/or Aboriginal and Torres Strait Islander people and communities.</w:t>
            </w:r>
          </w:p>
        </w:tc>
      </w:tr>
    </w:tbl>
    <w:p w14:paraId="52363A09" w14:textId="1825E1C7" w:rsidR="006D4DE5" w:rsidRDefault="006D4DE5" w:rsidP="006D4DE5">
      <w:pPr>
        <w:spacing w:after="165" w:line="259" w:lineRule="auto"/>
      </w:pPr>
    </w:p>
    <w:tbl>
      <w:tblPr>
        <w:tblStyle w:val="TableGrid"/>
        <w:tblW w:w="0" w:type="auto"/>
        <w:tblBorders>
          <w:top w:val="single" w:sz="18" w:space="0" w:color="F25E21" w:themeColor="accent2"/>
          <w:bottom w:val="single" w:sz="18" w:space="0" w:color="F25E21" w:themeColor="accent2"/>
          <w:insideH w:val="none" w:sz="0" w:space="0" w:color="auto"/>
        </w:tblBorders>
        <w:tblLook w:val="0400" w:firstRow="0" w:lastRow="0" w:firstColumn="0" w:lastColumn="0" w:noHBand="0" w:noVBand="1"/>
        <w:tblCaption w:val="Data collection methods: Consultations"/>
      </w:tblPr>
      <w:tblGrid>
        <w:gridCol w:w="1473"/>
        <w:gridCol w:w="7457"/>
      </w:tblGrid>
      <w:tr w:rsidR="006D4DE5" w14:paraId="60DC8674" w14:textId="77777777" w:rsidTr="00C00C2E">
        <w:trPr>
          <w:cnfStyle w:val="000000100000" w:firstRow="0" w:lastRow="0" w:firstColumn="0" w:lastColumn="0" w:oddVBand="0" w:evenVBand="0" w:oddHBand="1" w:evenHBand="0" w:firstRowFirstColumn="0" w:firstRowLastColumn="0" w:lastRowFirstColumn="0" w:lastRowLastColumn="0"/>
          <w:trHeight w:val="715"/>
        </w:trPr>
        <w:tc>
          <w:tcPr>
            <w:tcW w:w="1418" w:type="dxa"/>
            <w:shd w:val="clear" w:color="auto" w:fill="E6E6E1" w:themeFill="accent5"/>
          </w:tcPr>
          <w:p w14:paraId="2A20CCCA" w14:textId="136ECED2" w:rsidR="00F16001" w:rsidRPr="00F16001" w:rsidRDefault="00F16001" w:rsidP="00B25FA6">
            <w:pPr>
              <w:rPr>
                <w:rFonts w:asciiTheme="majorHAnsi" w:hAnsiTheme="majorHAnsi" w:cstheme="majorHAnsi"/>
                <w:noProof/>
                <w:lang w:eastAsia="en-AU"/>
              </w:rPr>
            </w:pPr>
            <w:r w:rsidRPr="00F16001">
              <w:rPr>
                <w:rFonts w:asciiTheme="majorHAnsi" w:hAnsiTheme="majorHAnsi" w:cstheme="majorHAnsi"/>
                <w:noProof/>
                <w:lang w:eastAsia="en-AU"/>
              </w:rPr>
              <w:drawing>
                <wp:inline distT="0" distB="0" distL="0" distR="0" wp14:anchorId="2F867759" wp14:editId="2EFCEE49">
                  <wp:extent cx="828000" cy="511176"/>
                  <wp:effectExtent l="0" t="0" r="0" b="3175"/>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28000" cy="511176"/>
                          </a:xfrm>
                          <a:prstGeom prst="rect">
                            <a:avLst/>
                          </a:prstGeom>
                          <a:noFill/>
                          <a:ln>
                            <a:noFill/>
                          </a:ln>
                        </pic:spPr>
                      </pic:pic>
                    </a:graphicData>
                  </a:graphic>
                </wp:inline>
              </w:drawing>
            </w:r>
          </w:p>
        </w:tc>
        <w:tc>
          <w:tcPr>
            <w:tcW w:w="7512" w:type="dxa"/>
            <w:shd w:val="clear" w:color="auto" w:fill="E6E6E1" w:themeFill="accent5"/>
          </w:tcPr>
          <w:p w14:paraId="0FC70376" w14:textId="71EAB367" w:rsidR="006D4DE5" w:rsidRPr="0072127E" w:rsidRDefault="006D4DE5" w:rsidP="00B25FA6">
            <w:pPr>
              <w:rPr>
                <w:rFonts w:asciiTheme="majorHAnsi" w:hAnsiTheme="majorHAnsi" w:cstheme="majorHAnsi"/>
                <w:lang w:eastAsia="en-AU"/>
              </w:rPr>
            </w:pPr>
            <w:r w:rsidRPr="005A0AC7">
              <w:rPr>
                <w:rFonts w:asciiTheme="majorHAnsi" w:hAnsiTheme="majorHAnsi" w:cstheme="majorHAnsi"/>
                <w:color w:val="F25E21" w:themeColor="accent2"/>
                <w:sz w:val="22"/>
                <w:szCs w:val="28"/>
                <w:lang w:eastAsia="en-AU"/>
              </w:rPr>
              <w:t xml:space="preserve">Data collection method: </w:t>
            </w:r>
            <w:r w:rsidRPr="00C145B9">
              <w:rPr>
                <w:rFonts w:asciiTheme="majorHAnsi" w:hAnsiTheme="majorHAnsi" w:cstheme="majorHAnsi"/>
                <w:color w:val="F25E21" w:themeColor="accent2"/>
                <w:sz w:val="22"/>
                <w:szCs w:val="28"/>
                <w:lang w:eastAsia="en-AU"/>
              </w:rPr>
              <w:t>Consultations</w:t>
            </w:r>
          </w:p>
        </w:tc>
      </w:tr>
    </w:tbl>
    <w:p w14:paraId="0B4162AD" w14:textId="4AE2DB65" w:rsidR="006D4DE5" w:rsidRDefault="006D2ECA" w:rsidP="006D4DE5">
      <w:r>
        <w:br/>
      </w:r>
      <w:r w:rsidR="006D4DE5" w:rsidRPr="00C41405">
        <w:t>Consultations</w:t>
      </w:r>
      <w:r w:rsidR="006D4DE5">
        <w:t xml:space="preserve"> will </w:t>
      </w:r>
      <w:r w:rsidR="006D4DE5" w:rsidRPr="00C41405">
        <w:t xml:space="preserve">provide qualitative insights </w:t>
      </w:r>
      <w:r w:rsidR="006D4DE5">
        <w:t xml:space="preserve">to </w:t>
      </w:r>
      <w:r w:rsidR="006D4DE5" w:rsidRPr="00C41405">
        <w:t>complement</w:t>
      </w:r>
      <w:r w:rsidR="006D4DE5" w:rsidRPr="00310F3D">
        <w:t xml:space="preserve"> quantitative data</w:t>
      </w:r>
      <w:r w:rsidR="006D4DE5" w:rsidRPr="00C41405">
        <w:t>.</w:t>
      </w:r>
      <w:r w:rsidR="006D4DE5">
        <w:t xml:space="preserve"> This is importan</w:t>
      </w:r>
      <w:r w:rsidR="006E45DB">
        <w:t>t</w:t>
      </w:r>
      <w:r w:rsidR="006D4DE5">
        <w:t xml:space="preserve"> given the limitations of the quantitative data sets and the need to collaborate with states and territories.</w:t>
      </w:r>
      <w:r w:rsidR="006D4DE5" w:rsidRPr="00310F3D">
        <w:t xml:space="preserve"> </w:t>
      </w:r>
      <w:r w:rsidR="006D4DE5">
        <w:t xml:space="preserve">Through consultations, Nous will </w:t>
      </w:r>
      <w:r w:rsidR="006D4DE5" w:rsidRPr="00310F3D">
        <w:t>identify</w:t>
      </w:r>
      <w:r w:rsidR="006D4DE5">
        <w:t xml:space="preserve"> additional relevant </w:t>
      </w:r>
      <w:r w:rsidR="006D4DE5" w:rsidRPr="00310F3D">
        <w:t>information, understand</w:t>
      </w:r>
      <w:r w:rsidR="006D4DE5">
        <w:t xml:space="preserve"> operating </w:t>
      </w:r>
      <w:proofErr w:type="gramStart"/>
      <w:r w:rsidR="006D4DE5">
        <w:t>contexts</w:t>
      </w:r>
      <w:proofErr w:type="gramEnd"/>
      <w:r w:rsidR="006D4DE5">
        <w:t xml:space="preserve"> and hear from RACFs about their delivery of activities under the Measure. Nous will consult with: </w:t>
      </w:r>
    </w:p>
    <w:p w14:paraId="322668F2" w14:textId="77777777" w:rsidR="006D4DE5" w:rsidRDefault="006D4DE5" w:rsidP="00580EE7">
      <w:pPr>
        <w:pStyle w:val="Bullet"/>
      </w:pPr>
      <w:r w:rsidRPr="004D33C9">
        <w:t>palliative care and aged care representatives from state and territory health departments</w:t>
      </w:r>
    </w:p>
    <w:p w14:paraId="1C61C43D" w14:textId="0F53C2E7" w:rsidR="006D4DE5" w:rsidRDefault="006D4DE5" w:rsidP="006D4DE5">
      <w:pPr>
        <w:pStyle w:val="Bullet"/>
      </w:pPr>
      <w:r>
        <w:t>a sample of RACFs</w:t>
      </w:r>
      <w:r w:rsidR="00E668E7">
        <w:t xml:space="preserve"> </w:t>
      </w:r>
      <w:r w:rsidR="00A84853">
        <w:t>that is representative across participating RACFs (to be determined in consultation with jurisdictions)</w:t>
      </w:r>
    </w:p>
    <w:p w14:paraId="4932C604" w14:textId="6D6E5436" w:rsidR="006D4DE5" w:rsidRDefault="006D4DE5" w:rsidP="006D4DE5">
      <w:pPr>
        <w:pStyle w:val="Bullet"/>
      </w:pPr>
      <w:r>
        <w:t xml:space="preserve">palliative care service providers including </w:t>
      </w:r>
      <w:r w:rsidR="006C013E">
        <w:t>GPs</w:t>
      </w:r>
      <w:r>
        <w:t xml:space="preserve">, </w:t>
      </w:r>
      <w:r w:rsidR="00E71819">
        <w:t xml:space="preserve">nurses, </w:t>
      </w:r>
      <w:r>
        <w:t xml:space="preserve">specialist palliative care services and </w:t>
      </w:r>
      <w:r w:rsidR="006C013E">
        <w:t xml:space="preserve">other </w:t>
      </w:r>
      <w:r>
        <w:t>clinicians</w:t>
      </w:r>
      <w:r w:rsidR="002E0D48">
        <w:rPr>
          <w:rStyle w:val="FootnoteReference"/>
        </w:rPr>
        <w:footnoteReference w:id="8"/>
      </w:r>
    </w:p>
    <w:p w14:paraId="7516BC1D" w14:textId="03794484" w:rsidR="006D4DE5" w:rsidRDefault="006D4DE5" w:rsidP="006D4DE5">
      <w:pPr>
        <w:pStyle w:val="Bullet"/>
      </w:pPr>
      <w:r>
        <w:t>key stakeholders</w:t>
      </w:r>
      <w:r w:rsidRPr="004D33C9">
        <w:t xml:space="preserve"> including peak bodies</w:t>
      </w:r>
      <w:r>
        <w:t xml:space="preserve"> and other</w:t>
      </w:r>
      <w:r w:rsidRPr="004D33C9">
        <w:t xml:space="preserve"> national initiatives</w:t>
      </w:r>
      <w:r>
        <w:t xml:space="preserve"> (</w:t>
      </w:r>
      <w:proofErr w:type="gramStart"/>
      <w:r>
        <w:t>e.g.</w:t>
      </w:r>
      <w:proofErr w:type="gramEnd"/>
      <w:r>
        <w:t xml:space="preserve"> </w:t>
      </w:r>
      <w:r w:rsidR="009D3C30" w:rsidRPr="00A771A9">
        <w:t xml:space="preserve">Palliative Care Outcomes Collaboration </w:t>
      </w:r>
      <w:r w:rsidR="00EF0EE6" w:rsidRPr="00A771A9">
        <w:t>(</w:t>
      </w:r>
      <w:r w:rsidRPr="00A771A9">
        <w:t>PCOC</w:t>
      </w:r>
      <w:r w:rsidR="00EF0EE6" w:rsidRPr="00A771A9">
        <w:t>)</w:t>
      </w:r>
      <w:r w:rsidR="002F2255" w:rsidRPr="00A771A9">
        <w:t>,</w:t>
      </w:r>
      <w:r w:rsidRPr="00A771A9">
        <w:t xml:space="preserve"> ELDAC</w:t>
      </w:r>
      <w:r w:rsidR="002F2255" w:rsidRPr="00A771A9">
        <w:t xml:space="preserve">, </w:t>
      </w:r>
      <w:r w:rsidR="000B4FDD">
        <w:t>Advance Care Planning Australia</w:t>
      </w:r>
      <w:r w:rsidR="00BB303E" w:rsidRPr="00A771A9">
        <w:t xml:space="preserve">, </w:t>
      </w:r>
      <w:r w:rsidR="00F41746" w:rsidRPr="00A771A9">
        <w:t>Palliative Care Australia (</w:t>
      </w:r>
      <w:r w:rsidR="003F5963" w:rsidRPr="00A771A9">
        <w:t>PC</w:t>
      </w:r>
      <w:r w:rsidR="002F2255" w:rsidRPr="00A771A9">
        <w:t>A</w:t>
      </w:r>
      <w:r w:rsidR="00F41746" w:rsidRPr="00A771A9">
        <w:t>)</w:t>
      </w:r>
      <w:r w:rsidRPr="00A771A9">
        <w:t>)</w:t>
      </w:r>
    </w:p>
    <w:p w14:paraId="1BE79094" w14:textId="738BD7BA" w:rsidR="006D4DE5" w:rsidRDefault="006D4DE5" w:rsidP="006D4DE5">
      <w:pPr>
        <w:pStyle w:val="Bullet"/>
      </w:pPr>
      <w:r>
        <w:t>PCA consumer representative groups</w:t>
      </w:r>
      <w:r w:rsidR="006E45DB">
        <w:t>.</w:t>
      </w:r>
    </w:p>
    <w:p w14:paraId="45708657" w14:textId="2115ACAE" w:rsidR="006D4DE5" w:rsidRDefault="006D4DE5" w:rsidP="006D4DE5">
      <w:r>
        <w:t xml:space="preserve">More detail is below. See also the </w:t>
      </w:r>
      <w:r w:rsidR="006E45DB">
        <w:t>stakeholder communication plan</w:t>
      </w:r>
      <w:r>
        <w:t xml:space="preserve"> at section </w:t>
      </w:r>
      <w:r>
        <w:fldChar w:fldCharType="begin"/>
      </w:r>
      <w:r>
        <w:instrText xml:space="preserve"> REF _Ref57898766 \r \h </w:instrText>
      </w:r>
      <w:r>
        <w:fldChar w:fldCharType="separate"/>
      </w:r>
      <w:r w:rsidR="00DF258C">
        <w:t>7</w:t>
      </w:r>
      <w:r>
        <w:fldChar w:fldCharType="end"/>
      </w:r>
      <w:r>
        <w:t>.</w:t>
      </w:r>
    </w:p>
    <w:tbl>
      <w:tblPr>
        <w:tblStyle w:val="TableGridLight"/>
        <w:tblW w:w="8926" w:type="dxa"/>
        <w:tblBorders>
          <w:bottom w:val="none" w:sz="0" w:space="0" w:color="auto"/>
        </w:tblBorders>
        <w:tblCellMar>
          <w:top w:w="57" w:type="dxa"/>
        </w:tblCellMar>
        <w:tblLook w:val="04A0" w:firstRow="1" w:lastRow="0" w:firstColumn="1" w:lastColumn="0" w:noHBand="0" w:noVBand="1"/>
        <w:tblCaption w:val="This table details the consultations with palliative care and aged care representatives from state and territory health departments which will be reported in the Progress Report 2 (baseline), Other Progress Reports, the Midpoint Report and the Final Report"/>
        <w:tblDescription w:val="Purpose and rationale:&#10;Input from jurisdictions is critical to understand implementation and explore models of care. This includes whether activities were implemented as planned, effectiveness of joint funding and delivery arrangements, and success of models of care. &#10;&#10;Collection methodology:&#10;Nous will seek input from jurisdictions every six months as follows: &#10;• Written data collection template: Nous will provide a standard data collection template for states and territories to complete on a six-monthly basis (see Appendix B). It collects information about implementation of the Measure activities in each jurisdiction, challenges and progress and any relevant jurisdiction-level evaluation or monitoring reports useful to inform the national evaluation. Note: &#10;• Nous anticipates that jurisdictions will provide a major update every 12 months via the template, with a more minor update in the intervening six-month period.&#10;• Consultation: Nous will undertake a subsequent teleconference with each jurisdiction to explore the information provided and collect other qualitative information to answer process and impact KEQs. It is also an opportunity to identify specific monitoring or evaluation reports available from each jurisdiction to inform the national evaluation. &#10;• End of evaluation showcase: During the second half of the evaluation, Nous will conduct a “showcase” with all states and territories to give each jurisdiction an opportunity to share their achievements and highlight successful models of care that they have implemented. &#10;&#10;Considerations:&#10;The benefit of a standard template is efficient collection of standard process and progress information from each jurisdiction, which is required for the national evaluation (given the variability in evaluation approaches).&#10;Jurisdictional input will contribute to the evaluation baseline (provided in Progress Report 2, July 2021). &#10;Jurisdictional-level evaluations are out-of-scope, so Nous will not conduct analysis of jurisdictional outcomes; however, where possible, will synthesise existing information to inform the national evaluation. &#10;States and territories will also provide a report on their progress to the Australian Department of Health on an annual basis, which Nous will review as part of the evaluation.&#10; &#10;Frequency of collection: &#10;A six-monthly basis between March/April 2021  and May/June 2023. Nous will also consult ad-hoc with state and territory representatives as needed. &#10;&#10;Scope: &#10;All jurisdictions participating in the Measure. "/>
      </w:tblPr>
      <w:tblGrid>
        <w:gridCol w:w="1432"/>
        <w:gridCol w:w="5429"/>
        <w:gridCol w:w="2059"/>
        <w:gridCol w:w="6"/>
      </w:tblGrid>
      <w:tr w:rsidR="006D4DE5" w:rsidRPr="0035440F" w14:paraId="69004389" w14:textId="77777777" w:rsidTr="00F16001">
        <w:trPr>
          <w:gridAfter w:val="1"/>
          <w:wAfter w:w="6" w:type="dxa"/>
          <w:trHeight w:val="340"/>
        </w:trPr>
        <w:tc>
          <w:tcPr>
            <w:tcW w:w="1432" w:type="dxa"/>
            <w:tcBorders>
              <w:top w:val="single" w:sz="24" w:space="0" w:color="F25E21" w:themeColor="accent2"/>
              <w:bottom w:val="single" w:sz="4" w:space="0" w:color="BFBFBF" w:themeColor="background1" w:themeShade="BF"/>
            </w:tcBorders>
            <w:shd w:val="clear" w:color="auto" w:fill="00264D" w:themeFill="background2"/>
            <w:vAlign w:val="center"/>
          </w:tcPr>
          <w:p w14:paraId="1E997002" w14:textId="76668984" w:rsidR="006D4DE5" w:rsidRPr="0035440F" w:rsidRDefault="00112FD2" w:rsidP="00B25FA6">
            <w:pPr>
              <w:jc w:val="center"/>
              <w:rPr>
                <w:color w:val="FFFFFF" w:themeColor="background1"/>
                <w:sz w:val="16"/>
                <w:szCs w:val="16"/>
                <w:lang w:eastAsia="en-AU"/>
              </w:rPr>
            </w:pPr>
            <w:r w:rsidRPr="00112FD2">
              <w:rPr>
                <w:noProof/>
                <w:color w:val="FFFFFF" w:themeColor="background1"/>
                <w:sz w:val="16"/>
                <w:szCs w:val="16"/>
                <w:lang w:eastAsia="en-AU"/>
              </w:rPr>
              <w:drawing>
                <wp:inline distT="0" distB="0" distL="0" distR="0" wp14:anchorId="0A3D4C2C" wp14:editId="384E234A">
                  <wp:extent cx="318135" cy="334010"/>
                  <wp:effectExtent l="0" t="0" r="5715" b="8890"/>
                  <wp:docPr id="27894" name="Picture 278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4" name="Picture 27894">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8135" cy="334010"/>
                          </a:xfrm>
                          <a:prstGeom prst="rect">
                            <a:avLst/>
                          </a:prstGeom>
                          <a:noFill/>
                          <a:ln>
                            <a:noFill/>
                          </a:ln>
                        </pic:spPr>
                      </pic:pic>
                    </a:graphicData>
                  </a:graphic>
                </wp:inline>
              </w:drawing>
            </w:r>
          </w:p>
        </w:tc>
        <w:tc>
          <w:tcPr>
            <w:tcW w:w="5429" w:type="dxa"/>
            <w:tcBorders>
              <w:top w:val="single" w:sz="24" w:space="0" w:color="F25E21" w:themeColor="accent2"/>
              <w:bottom w:val="single" w:sz="4" w:space="0" w:color="BFBFBF" w:themeColor="background1" w:themeShade="BF"/>
            </w:tcBorders>
            <w:shd w:val="clear" w:color="auto" w:fill="00264D" w:themeFill="background2"/>
            <w:vAlign w:val="center"/>
          </w:tcPr>
          <w:p w14:paraId="7F6ABB96" w14:textId="0390FE52" w:rsidR="006D4DE5" w:rsidRPr="00B47937" w:rsidRDefault="006D4DE5" w:rsidP="00B47937">
            <w:pPr>
              <w:pStyle w:val="TableNheader"/>
              <w:rPr>
                <w:color w:val="FFFFFF" w:themeColor="background1"/>
                <w:lang w:eastAsia="en-AU"/>
              </w:rPr>
            </w:pPr>
            <w:r w:rsidRPr="00B47937">
              <w:rPr>
                <w:color w:val="FFFFFF" w:themeColor="background1"/>
                <w:lang w:eastAsia="en-AU"/>
              </w:rPr>
              <w:t>Consultations with palliative care and aged care representatives from state and territory health departments</w:t>
            </w:r>
          </w:p>
        </w:tc>
        <w:tc>
          <w:tcPr>
            <w:tcW w:w="2059" w:type="dxa"/>
            <w:tcBorders>
              <w:top w:val="single" w:sz="24" w:space="0" w:color="F25E21" w:themeColor="accent2"/>
              <w:bottom w:val="single" w:sz="4" w:space="0" w:color="BFBFBF" w:themeColor="background1" w:themeShade="BF"/>
            </w:tcBorders>
            <w:shd w:val="clear" w:color="auto" w:fill="00264D" w:themeFill="background2"/>
            <w:vAlign w:val="center"/>
          </w:tcPr>
          <w:p w14:paraId="3CAB78E8" w14:textId="42B7EAE7" w:rsidR="006D4DE5" w:rsidRPr="00B47937" w:rsidRDefault="006D4DE5" w:rsidP="001A6789">
            <w:pPr>
              <w:pStyle w:val="TableNheader"/>
              <w:jc w:val="center"/>
              <w:rPr>
                <w:rFonts w:asciiTheme="minorHAnsi" w:hAnsiTheme="minorHAnsi" w:cstheme="minorHAnsi"/>
                <w:color w:val="FFFFFF" w:themeColor="background1"/>
                <w:lang w:eastAsia="en-AU"/>
              </w:rPr>
            </w:pPr>
            <w:r w:rsidRPr="00B47937">
              <w:rPr>
                <w:rFonts w:asciiTheme="minorHAnsi" w:hAnsiTheme="minorHAnsi" w:cstheme="minorHAnsi"/>
                <w:color w:val="FFFFFF" w:themeColor="background1"/>
                <w:lang w:eastAsia="en-AU"/>
              </w:rPr>
              <w:t>Reported in:</w:t>
            </w:r>
          </w:p>
          <w:p w14:paraId="194A293C" w14:textId="002F3DA6" w:rsidR="006D4DE5" w:rsidRPr="00B47937" w:rsidRDefault="006D4DE5" w:rsidP="001A6789">
            <w:pPr>
              <w:pStyle w:val="TableNheader"/>
              <w:jc w:val="center"/>
              <w:rPr>
                <w:rFonts w:asciiTheme="minorHAnsi" w:hAnsiTheme="minorHAnsi" w:cstheme="minorHAnsi"/>
                <w:color w:val="FFFFFF" w:themeColor="background1"/>
                <w:lang w:eastAsia="en-AU"/>
              </w:rPr>
            </w:pPr>
            <w:r w:rsidRPr="00B47937">
              <w:rPr>
                <w:rFonts w:asciiTheme="minorHAnsi" w:hAnsiTheme="minorHAnsi" w:cstheme="minorHAnsi"/>
                <w:color w:val="FFFFFF" w:themeColor="background1"/>
                <w:lang w:eastAsia="en-AU"/>
              </w:rPr>
              <w:t xml:space="preserve">Progress </w:t>
            </w:r>
            <w:r w:rsidR="006D2ECA" w:rsidRPr="00B47937">
              <w:rPr>
                <w:rFonts w:asciiTheme="minorHAnsi" w:hAnsiTheme="minorHAnsi" w:cstheme="minorHAnsi"/>
                <w:color w:val="FFFFFF" w:themeColor="background1"/>
                <w:lang w:eastAsia="en-AU"/>
              </w:rPr>
              <w:t xml:space="preserve">Report </w:t>
            </w:r>
            <w:r w:rsidRPr="00B47937">
              <w:rPr>
                <w:rFonts w:asciiTheme="minorHAnsi" w:hAnsiTheme="minorHAnsi" w:cstheme="minorHAnsi"/>
                <w:color w:val="FFFFFF" w:themeColor="background1"/>
                <w:lang w:eastAsia="en-AU"/>
              </w:rPr>
              <w:t>2 (baseline)</w:t>
            </w:r>
          </w:p>
          <w:p w14:paraId="4D1CAB2D" w14:textId="11BACDBE" w:rsidR="006D4DE5" w:rsidRPr="00B47937" w:rsidRDefault="006D4DE5" w:rsidP="001A6789">
            <w:pPr>
              <w:pStyle w:val="TableNheader"/>
              <w:jc w:val="center"/>
              <w:rPr>
                <w:rFonts w:asciiTheme="minorHAnsi" w:hAnsiTheme="minorHAnsi" w:cstheme="minorHAnsi"/>
                <w:color w:val="FFFFFF" w:themeColor="background1"/>
                <w:lang w:eastAsia="en-AU"/>
              </w:rPr>
            </w:pPr>
            <w:r w:rsidRPr="00B47937">
              <w:rPr>
                <w:rFonts w:asciiTheme="minorHAnsi" w:hAnsiTheme="minorHAnsi" w:cstheme="minorHAnsi"/>
                <w:color w:val="FFFFFF" w:themeColor="background1"/>
                <w:lang w:eastAsia="en-AU"/>
              </w:rPr>
              <w:t xml:space="preserve">Other </w:t>
            </w:r>
            <w:r w:rsidR="003B7A1F" w:rsidRPr="00B47937">
              <w:rPr>
                <w:rFonts w:asciiTheme="minorHAnsi" w:hAnsiTheme="minorHAnsi" w:cstheme="minorHAnsi"/>
                <w:color w:val="FFFFFF" w:themeColor="background1"/>
                <w:lang w:eastAsia="en-AU"/>
              </w:rPr>
              <w:t>Progress Reports</w:t>
            </w:r>
          </w:p>
          <w:p w14:paraId="5FDFC905" w14:textId="5C845DF9" w:rsidR="006D4DE5" w:rsidRPr="00B47937" w:rsidRDefault="007D1236" w:rsidP="001A6789">
            <w:pPr>
              <w:pStyle w:val="TableNheader"/>
              <w:jc w:val="center"/>
              <w:rPr>
                <w:rFonts w:asciiTheme="minorHAnsi" w:hAnsiTheme="minorHAnsi" w:cstheme="minorHAnsi"/>
                <w:color w:val="FFFFFF" w:themeColor="background1"/>
                <w:lang w:eastAsia="en-AU"/>
              </w:rPr>
            </w:pPr>
            <w:r w:rsidRPr="00B47937">
              <w:rPr>
                <w:rFonts w:asciiTheme="minorHAnsi" w:hAnsiTheme="minorHAnsi" w:cstheme="minorHAnsi"/>
                <w:color w:val="FFFFFF" w:themeColor="background1"/>
                <w:lang w:eastAsia="en-AU"/>
              </w:rPr>
              <w:t>Mid</w:t>
            </w:r>
            <w:r w:rsidR="006D2ECA" w:rsidRPr="00B47937">
              <w:rPr>
                <w:rFonts w:asciiTheme="minorHAnsi" w:hAnsiTheme="minorHAnsi" w:cstheme="minorHAnsi"/>
                <w:color w:val="FFFFFF" w:themeColor="background1"/>
                <w:lang w:eastAsia="en-AU"/>
              </w:rPr>
              <w:t>point</w:t>
            </w:r>
            <w:r w:rsidRPr="00B47937">
              <w:rPr>
                <w:rFonts w:asciiTheme="minorHAnsi" w:hAnsiTheme="minorHAnsi" w:cstheme="minorHAnsi"/>
                <w:color w:val="FFFFFF" w:themeColor="background1"/>
                <w:lang w:eastAsia="en-AU"/>
              </w:rPr>
              <w:t xml:space="preserve"> Report</w:t>
            </w:r>
          </w:p>
          <w:p w14:paraId="272F9F55" w14:textId="2834D845" w:rsidR="006D4DE5" w:rsidRPr="00B47937" w:rsidRDefault="006D4DE5" w:rsidP="001A6789">
            <w:pPr>
              <w:pStyle w:val="TableNheader"/>
              <w:jc w:val="center"/>
              <w:rPr>
                <w:rFonts w:asciiTheme="minorHAnsi" w:hAnsiTheme="minorHAnsi" w:cstheme="minorHAnsi"/>
                <w:color w:val="FFFFFF" w:themeColor="background1"/>
                <w:lang w:eastAsia="en-AU"/>
              </w:rPr>
            </w:pPr>
            <w:r w:rsidRPr="00B47937">
              <w:rPr>
                <w:rFonts w:asciiTheme="minorHAnsi" w:hAnsiTheme="minorHAnsi" w:cstheme="minorHAnsi"/>
                <w:color w:val="FFFFFF" w:themeColor="background1"/>
                <w:lang w:eastAsia="en-AU"/>
              </w:rPr>
              <w:t xml:space="preserve">Final </w:t>
            </w:r>
            <w:r w:rsidR="007D1236" w:rsidRPr="00B47937">
              <w:rPr>
                <w:rFonts w:asciiTheme="minorHAnsi" w:hAnsiTheme="minorHAnsi" w:cstheme="minorHAnsi"/>
                <w:color w:val="FFFFFF" w:themeColor="background1"/>
                <w:lang w:eastAsia="en-AU"/>
              </w:rPr>
              <w:t>Report</w:t>
            </w:r>
          </w:p>
        </w:tc>
      </w:tr>
      <w:tr w:rsidR="006D4DE5" w:rsidRPr="0035440F" w14:paraId="26BD90B2" w14:textId="77777777" w:rsidTr="00112FD2">
        <w:tc>
          <w:tcPr>
            <w:tcW w:w="1432" w:type="dxa"/>
            <w:shd w:val="clear" w:color="auto" w:fill="E6E6E1" w:themeFill="accent5"/>
          </w:tcPr>
          <w:p w14:paraId="4A2BDFCC" w14:textId="77777777" w:rsidR="006D4DE5" w:rsidRPr="00A771A9" w:rsidRDefault="006D4DE5" w:rsidP="00B47937">
            <w:pPr>
              <w:pStyle w:val="TableNheader"/>
              <w:rPr>
                <w:lang w:eastAsia="en-AU"/>
              </w:rPr>
            </w:pPr>
            <w:r w:rsidRPr="00A771A9">
              <w:rPr>
                <w:lang w:eastAsia="en-AU"/>
              </w:rPr>
              <w:t>Purpose and rationale</w:t>
            </w:r>
          </w:p>
        </w:tc>
        <w:tc>
          <w:tcPr>
            <w:tcW w:w="7494" w:type="dxa"/>
            <w:gridSpan w:val="3"/>
          </w:tcPr>
          <w:p w14:paraId="6BB2002C" w14:textId="748A5D7A" w:rsidR="006D4DE5" w:rsidRPr="00A771A9" w:rsidRDefault="00972302" w:rsidP="00B47937">
            <w:pPr>
              <w:pStyle w:val="TableNText"/>
            </w:pPr>
            <w:r w:rsidRPr="00A771A9">
              <w:t>I</w:t>
            </w:r>
            <w:r w:rsidR="006D4DE5" w:rsidRPr="00A771A9">
              <w:t xml:space="preserve">nput from </w:t>
            </w:r>
            <w:r w:rsidRPr="00A771A9">
              <w:t>jurisdictions</w:t>
            </w:r>
            <w:r w:rsidR="006D4DE5" w:rsidRPr="00A771A9">
              <w:t xml:space="preserve"> is critical to understand implementation and explore models of care. This includes whether activities were implemented as planned, effectiveness of joint funding and delivery arrangements</w:t>
            </w:r>
            <w:r w:rsidR="003253A6" w:rsidRPr="00A771A9">
              <w:t>,</w:t>
            </w:r>
            <w:r w:rsidR="006D4DE5" w:rsidRPr="00A771A9">
              <w:t xml:space="preserve"> and </w:t>
            </w:r>
            <w:r w:rsidR="00DF2205" w:rsidRPr="00A771A9">
              <w:t xml:space="preserve">success of </w:t>
            </w:r>
            <w:r w:rsidR="006D4DE5" w:rsidRPr="00A771A9">
              <w:t xml:space="preserve">models of care. </w:t>
            </w:r>
          </w:p>
        </w:tc>
      </w:tr>
      <w:tr w:rsidR="006D4DE5" w:rsidRPr="0035440F" w14:paraId="13D10D31" w14:textId="77777777" w:rsidTr="00112FD2">
        <w:tc>
          <w:tcPr>
            <w:tcW w:w="1432" w:type="dxa"/>
            <w:shd w:val="clear" w:color="auto" w:fill="E6E6E1" w:themeFill="accent5"/>
          </w:tcPr>
          <w:p w14:paraId="5164C81E" w14:textId="77777777" w:rsidR="006D4DE5" w:rsidRPr="00A771A9" w:rsidRDefault="006D4DE5" w:rsidP="00B47937">
            <w:pPr>
              <w:pStyle w:val="TableNheader"/>
              <w:rPr>
                <w:lang w:eastAsia="en-AU"/>
              </w:rPr>
            </w:pPr>
            <w:r w:rsidRPr="00A771A9">
              <w:rPr>
                <w:lang w:eastAsia="en-AU"/>
              </w:rPr>
              <w:lastRenderedPageBreak/>
              <w:t xml:space="preserve">Collection methodology </w:t>
            </w:r>
          </w:p>
        </w:tc>
        <w:tc>
          <w:tcPr>
            <w:tcW w:w="7494" w:type="dxa"/>
            <w:gridSpan w:val="3"/>
          </w:tcPr>
          <w:p w14:paraId="3810119A" w14:textId="3F807FBE" w:rsidR="00DF2205" w:rsidRPr="00A771A9" w:rsidRDefault="00DF2205" w:rsidP="00B47937">
            <w:pPr>
              <w:pStyle w:val="TableNText"/>
            </w:pPr>
            <w:r w:rsidRPr="00A771A9">
              <w:t xml:space="preserve">Nous will seek input from </w:t>
            </w:r>
            <w:r w:rsidR="00384B24" w:rsidRPr="00A771A9">
              <w:t>jurisdictions</w:t>
            </w:r>
            <w:r w:rsidRPr="00A771A9">
              <w:t xml:space="preserve"> every six months as follows: </w:t>
            </w:r>
          </w:p>
          <w:p w14:paraId="6568E444" w14:textId="07B26AD6" w:rsidR="00DF2205" w:rsidRPr="00B47937" w:rsidRDefault="007E4DF3" w:rsidP="006D4DE5">
            <w:pPr>
              <w:pStyle w:val="TableNBullet"/>
            </w:pPr>
            <w:r w:rsidRPr="00B54A5F">
              <w:rPr>
                <w:rFonts w:asciiTheme="majorHAnsi" w:hAnsiTheme="majorHAnsi" w:cstheme="majorHAnsi"/>
              </w:rPr>
              <w:t>Written data collection template</w:t>
            </w:r>
            <w:r w:rsidRPr="00B47937">
              <w:t xml:space="preserve">: </w:t>
            </w:r>
            <w:r w:rsidR="006D4DE5" w:rsidRPr="00B47937">
              <w:t>Nous will provide a standard data collection template for states and territories to complete on a six-monthly basis</w:t>
            </w:r>
            <w:r w:rsidRPr="00B47937">
              <w:t xml:space="preserve"> (see </w:t>
            </w:r>
            <w:r w:rsidR="00C36775" w:rsidRPr="00B47937">
              <w:fldChar w:fldCharType="begin"/>
            </w:r>
            <w:r w:rsidR="00C36775" w:rsidRPr="00B47937">
              <w:instrText xml:space="preserve"> REF _Ref61853001 \n \h </w:instrText>
            </w:r>
            <w:r w:rsidR="00B47937" w:rsidRPr="00B47937">
              <w:instrText xml:space="preserve"> \* MERGEFORMAT </w:instrText>
            </w:r>
            <w:r w:rsidR="00C36775" w:rsidRPr="00B47937">
              <w:fldChar w:fldCharType="separate"/>
            </w:r>
            <w:r w:rsidR="00DF258C">
              <w:t>Appendix B</w:t>
            </w:r>
            <w:r w:rsidR="00C36775" w:rsidRPr="00B47937">
              <w:fldChar w:fldCharType="end"/>
            </w:r>
            <w:r w:rsidRPr="00B47937">
              <w:t>)</w:t>
            </w:r>
            <w:r w:rsidR="006D4DE5" w:rsidRPr="00B47937">
              <w:t>. It collects information about implementation of the Measure activities in each jurisdiction, challenges and progress</w:t>
            </w:r>
            <w:r w:rsidR="007C4FEF" w:rsidRPr="00B47937">
              <w:t xml:space="preserve"> and any relevant jurisdiction-level evaluation or monitoring reports useful to inform the national evaluation</w:t>
            </w:r>
            <w:r w:rsidRPr="00B47937">
              <w:t>.</w:t>
            </w:r>
            <w:r w:rsidR="00DF2205" w:rsidRPr="00B47937">
              <w:t xml:space="preserve"> Note: </w:t>
            </w:r>
          </w:p>
          <w:p w14:paraId="2EA13DC6" w14:textId="48E1A682" w:rsidR="007E4DF3" w:rsidRPr="00B54A5F" w:rsidRDefault="00A4510F" w:rsidP="00DF2205">
            <w:pPr>
              <w:pStyle w:val="TableNBullet"/>
              <w:numPr>
                <w:ilvl w:val="1"/>
                <w:numId w:val="19"/>
              </w:numPr>
            </w:pPr>
            <w:r w:rsidRPr="00B54A5F">
              <w:t>Nous anticipates that jurisdictions will provide a major update every 12 months via the template, with a more minor update in the intervening six-month period.</w:t>
            </w:r>
          </w:p>
          <w:p w14:paraId="230370B1" w14:textId="57F02E88" w:rsidR="00455E8B" w:rsidRPr="00B54A5F" w:rsidRDefault="007E4DF3" w:rsidP="006D4DE5">
            <w:pPr>
              <w:pStyle w:val="TableNBullet"/>
            </w:pPr>
            <w:r w:rsidRPr="00B54A5F">
              <w:rPr>
                <w:rFonts w:asciiTheme="majorHAnsi" w:hAnsiTheme="majorHAnsi" w:cstheme="majorHAnsi"/>
              </w:rPr>
              <w:t>Consultation</w:t>
            </w:r>
            <w:r w:rsidRPr="00B54A5F">
              <w:t xml:space="preserve">: </w:t>
            </w:r>
            <w:r w:rsidR="006D4DE5" w:rsidRPr="00B54A5F">
              <w:t xml:space="preserve">Nous will undertake a subsequent teleconference </w:t>
            </w:r>
            <w:r w:rsidR="002F4F78">
              <w:t>with each jurisdiction</w:t>
            </w:r>
            <w:r w:rsidR="00C0797F">
              <w:t xml:space="preserve"> </w:t>
            </w:r>
            <w:r w:rsidR="006D4DE5" w:rsidRPr="00B54A5F">
              <w:t xml:space="preserve">to explore the information provided and collect other qualitative information to answer process and impact KEQs. It is also an opportunity to identify specific monitoring or evaluation reports available from each jurisdiction to inform the national evaluation. </w:t>
            </w:r>
          </w:p>
          <w:p w14:paraId="0ACDCA28" w14:textId="0E8F0EC9" w:rsidR="006D4DE5" w:rsidRPr="00A771A9" w:rsidRDefault="007E4DF3" w:rsidP="006D4DE5">
            <w:pPr>
              <w:pStyle w:val="TableNBullet"/>
            </w:pPr>
            <w:r w:rsidRPr="00B54A5F">
              <w:rPr>
                <w:rFonts w:asciiTheme="majorHAnsi" w:hAnsiTheme="majorHAnsi" w:cstheme="majorHAnsi"/>
              </w:rPr>
              <w:t>End of evaluation showcase</w:t>
            </w:r>
            <w:r w:rsidRPr="00B54A5F">
              <w:t xml:space="preserve">: </w:t>
            </w:r>
            <w:r w:rsidR="00455E8B" w:rsidRPr="00B54A5F">
              <w:t xml:space="preserve">During the second half of the evaluation, Nous will conduct a </w:t>
            </w:r>
            <w:r w:rsidR="00C576DB" w:rsidRPr="00B54A5F">
              <w:t>“</w:t>
            </w:r>
            <w:r w:rsidR="00455E8B" w:rsidRPr="00B54A5F">
              <w:t>showcase</w:t>
            </w:r>
            <w:r w:rsidR="00C576DB" w:rsidRPr="00B54A5F">
              <w:t>”</w:t>
            </w:r>
            <w:r w:rsidR="00455E8B" w:rsidRPr="00B54A5F">
              <w:t xml:space="preserve"> with all states and territories to give each jurisdiction an opportunity to share their achievements and highlight successful models of care that they have implemented.</w:t>
            </w:r>
            <w:r w:rsidR="000C7CC5" w:rsidRPr="00A771A9">
              <w:t xml:space="preserve"> </w:t>
            </w:r>
          </w:p>
        </w:tc>
      </w:tr>
      <w:tr w:rsidR="006D4DE5" w:rsidRPr="0035440F" w14:paraId="38294E63" w14:textId="77777777" w:rsidTr="00112FD2">
        <w:tc>
          <w:tcPr>
            <w:tcW w:w="1432" w:type="dxa"/>
            <w:shd w:val="clear" w:color="auto" w:fill="E6E6E1" w:themeFill="accent5"/>
          </w:tcPr>
          <w:p w14:paraId="55F3CE2B" w14:textId="77777777" w:rsidR="006D4DE5" w:rsidRPr="00B54A5F" w:rsidRDefault="006D4DE5" w:rsidP="00B54A5F">
            <w:pPr>
              <w:pStyle w:val="TableNheader"/>
            </w:pPr>
            <w:r w:rsidRPr="00B54A5F">
              <w:t xml:space="preserve">Considerations </w:t>
            </w:r>
          </w:p>
        </w:tc>
        <w:tc>
          <w:tcPr>
            <w:tcW w:w="7494" w:type="dxa"/>
            <w:gridSpan w:val="3"/>
          </w:tcPr>
          <w:p w14:paraId="05391866" w14:textId="61B86E92" w:rsidR="006D4DE5" w:rsidRPr="00A771A9" w:rsidRDefault="00A4510F" w:rsidP="00B54A5F">
            <w:pPr>
              <w:pStyle w:val="TableNText"/>
            </w:pPr>
            <w:r w:rsidRPr="00A771A9">
              <w:t>The benefit</w:t>
            </w:r>
            <w:r w:rsidR="00384B24" w:rsidRPr="00A771A9">
              <w:t xml:space="preserve"> of a standard template</w:t>
            </w:r>
            <w:r w:rsidRPr="00A771A9">
              <w:t xml:space="preserve"> is efficient collection of standard process and progress information from each jurisdiction, which is required for the national evaluation (given the variability in evaluation approaches).</w:t>
            </w:r>
          </w:p>
          <w:p w14:paraId="7A69AD2F" w14:textId="77777777" w:rsidR="006D4DE5" w:rsidRPr="00A771A9" w:rsidRDefault="006D4DE5" w:rsidP="00B54A5F">
            <w:pPr>
              <w:pStyle w:val="TableNText"/>
            </w:pPr>
            <w:r w:rsidRPr="00A771A9">
              <w:t xml:space="preserve">Jurisdictional input will contribute to the evaluation baseline (provided in Progress Report 2, July 2021). </w:t>
            </w:r>
          </w:p>
          <w:p w14:paraId="4325E3C1" w14:textId="4409D4E0" w:rsidR="006D4DE5" w:rsidRPr="00A771A9" w:rsidRDefault="006D4DE5" w:rsidP="00B54A5F">
            <w:pPr>
              <w:pStyle w:val="TableNText"/>
            </w:pPr>
            <w:r w:rsidRPr="00A771A9">
              <w:t>Jurisdictional-level evaluations are out-of-scope, so Nous will not conduct analysis of jurisdictional outcomes</w:t>
            </w:r>
            <w:r w:rsidR="00C83D2C" w:rsidRPr="00A771A9">
              <w:t>; however,</w:t>
            </w:r>
            <w:r w:rsidRPr="00A771A9">
              <w:t xml:space="preserve"> where possible</w:t>
            </w:r>
            <w:r w:rsidR="00C83D2C" w:rsidRPr="00A771A9">
              <w:t>,</w:t>
            </w:r>
            <w:r w:rsidRPr="00A771A9">
              <w:t xml:space="preserve"> will synthesise existing information to inform the national evaluation. </w:t>
            </w:r>
          </w:p>
          <w:p w14:paraId="1F9F2A5F" w14:textId="043D7A03" w:rsidR="006D4DE5" w:rsidRPr="00A771A9" w:rsidRDefault="006D4DE5" w:rsidP="00B54A5F">
            <w:pPr>
              <w:pStyle w:val="TableNText"/>
            </w:pPr>
            <w:r w:rsidRPr="00A771A9">
              <w:t xml:space="preserve">States and territories will also provide a report on their progress to the Australian Department of Health on an annual basis, which Nous will review as part of the evaluation. </w:t>
            </w:r>
          </w:p>
        </w:tc>
      </w:tr>
      <w:tr w:rsidR="006D4DE5" w:rsidRPr="0035440F" w14:paraId="5351C219" w14:textId="77777777" w:rsidTr="00112FD2">
        <w:tc>
          <w:tcPr>
            <w:tcW w:w="1432" w:type="dxa"/>
            <w:shd w:val="clear" w:color="auto" w:fill="E6E6E1" w:themeFill="accent5"/>
          </w:tcPr>
          <w:p w14:paraId="23B0F792" w14:textId="77777777" w:rsidR="006D4DE5" w:rsidRPr="00B54A5F" w:rsidRDefault="006D4DE5" w:rsidP="00B54A5F">
            <w:pPr>
              <w:pStyle w:val="TableNheader"/>
            </w:pPr>
            <w:r w:rsidRPr="00B54A5F">
              <w:t xml:space="preserve">Frequency of collection </w:t>
            </w:r>
          </w:p>
        </w:tc>
        <w:tc>
          <w:tcPr>
            <w:tcW w:w="7494" w:type="dxa"/>
            <w:gridSpan w:val="3"/>
          </w:tcPr>
          <w:p w14:paraId="0F8A9A65" w14:textId="5EF6889E" w:rsidR="006D4DE5" w:rsidRPr="00A771A9" w:rsidRDefault="006D4DE5" w:rsidP="00B54A5F">
            <w:pPr>
              <w:pStyle w:val="TableNText"/>
              <w:rPr>
                <w:lang w:eastAsia="en-AU"/>
              </w:rPr>
            </w:pPr>
            <w:r w:rsidRPr="00A771A9">
              <w:rPr>
                <w:lang w:eastAsia="en-AU"/>
              </w:rPr>
              <w:t xml:space="preserve">A six-monthly basis between </w:t>
            </w:r>
            <w:r w:rsidR="00B96E2D">
              <w:rPr>
                <w:lang w:eastAsia="en-AU"/>
              </w:rPr>
              <w:t>March/</w:t>
            </w:r>
            <w:r w:rsidRPr="00A771A9">
              <w:rPr>
                <w:lang w:eastAsia="en-AU"/>
              </w:rPr>
              <w:t>April 2021</w:t>
            </w:r>
            <w:r w:rsidR="00093772">
              <w:rPr>
                <w:rStyle w:val="FootnoteReference"/>
                <w:lang w:eastAsia="en-AU"/>
              </w:rPr>
              <w:footnoteReference w:id="9"/>
            </w:r>
            <w:r w:rsidRPr="00A771A9">
              <w:rPr>
                <w:lang w:eastAsia="en-AU"/>
              </w:rPr>
              <w:t xml:space="preserve"> and </w:t>
            </w:r>
            <w:r w:rsidR="00B96E2D">
              <w:rPr>
                <w:lang w:eastAsia="en-AU"/>
              </w:rPr>
              <w:t>May/</w:t>
            </w:r>
            <w:r w:rsidRPr="00A771A9">
              <w:rPr>
                <w:lang w:eastAsia="en-AU"/>
              </w:rPr>
              <w:t>June 2023.</w:t>
            </w:r>
            <w:r w:rsidR="00765387" w:rsidRPr="00A771A9">
              <w:rPr>
                <w:lang w:eastAsia="en-AU"/>
              </w:rPr>
              <w:t xml:space="preserve"> </w:t>
            </w:r>
            <w:r w:rsidRPr="00A771A9">
              <w:rPr>
                <w:lang w:eastAsia="en-AU"/>
              </w:rPr>
              <w:t>Nous will also consult ad-hoc with state and territory representatives as need</w:t>
            </w:r>
            <w:r w:rsidR="00C83D2C" w:rsidRPr="00A771A9">
              <w:rPr>
                <w:lang w:eastAsia="en-AU"/>
              </w:rPr>
              <w:t>ed</w:t>
            </w:r>
            <w:r w:rsidRPr="00A771A9">
              <w:rPr>
                <w:lang w:eastAsia="en-AU"/>
              </w:rPr>
              <w:t xml:space="preserve">. </w:t>
            </w:r>
          </w:p>
        </w:tc>
      </w:tr>
      <w:tr w:rsidR="006D4DE5" w:rsidRPr="00E44B5D" w14:paraId="4F735C05" w14:textId="77777777" w:rsidTr="3F19EB1F">
        <w:tblPrEx>
          <w:tblBorders>
            <w:bottom w:val="single" w:sz="4" w:space="0" w:color="BFBFBF" w:themeColor="background1" w:themeShade="BF"/>
          </w:tblBorders>
          <w:tblCellMar>
            <w:top w:w="0" w:type="dxa"/>
          </w:tblCellMar>
        </w:tblPrEx>
        <w:tc>
          <w:tcPr>
            <w:tcW w:w="1432" w:type="dxa"/>
            <w:tcBorders>
              <w:bottom w:val="single" w:sz="4" w:space="0" w:color="BFBFBF" w:themeColor="background1" w:themeShade="BF"/>
            </w:tcBorders>
            <w:shd w:val="clear" w:color="auto" w:fill="E6E6E1" w:themeFill="accent5"/>
          </w:tcPr>
          <w:p w14:paraId="029015C6" w14:textId="77777777" w:rsidR="006D4DE5" w:rsidRPr="00B54A5F" w:rsidRDefault="006D4DE5" w:rsidP="00B54A5F">
            <w:pPr>
              <w:pStyle w:val="TableNheader"/>
            </w:pPr>
            <w:r w:rsidRPr="00B54A5F">
              <w:t>Scope</w:t>
            </w:r>
          </w:p>
        </w:tc>
        <w:tc>
          <w:tcPr>
            <w:tcW w:w="7494" w:type="dxa"/>
            <w:gridSpan w:val="3"/>
            <w:tcBorders>
              <w:bottom w:val="single" w:sz="4" w:space="0" w:color="BFBFBF" w:themeColor="background1" w:themeShade="BF"/>
            </w:tcBorders>
          </w:tcPr>
          <w:p w14:paraId="6C9FF47D" w14:textId="1D12A4D0" w:rsidR="006D4DE5" w:rsidRPr="00A771A9" w:rsidRDefault="006D4DE5" w:rsidP="00B54A5F">
            <w:pPr>
              <w:pStyle w:val="TableNText"/>
              <w:rPr>
                <w:lang w:eastAsia="en-AU"/>
              </w:rPr>
            </w:pPr>
            <w:r w:rsidRPr="00A771A9">
              <w:rPr>
                <w:lang w:eastAsia="en-AU"/>
              </w:rPr>
              <w:t xml:space="preserve">All jurisdictions participating in the Measure. </w:t>
            </w:r>
          </w:p>
        </w:tc>
      </w:tr>
    </w:tbl>
    <w:p w14:paraId="68F3D6DA" w14:textId="77777777" w:rsidR="00F55E11" w:rsidRDefault="00F55E11" w:rsidP="006D4DE5"/>
    <w:tbl>
      <w:tblPr>
        <w:tblStyle w:val="TableGridLight"/>
        <w:tblW w:w="0" w:type="auto"/>
        <w:tblBorders>
          <w:bottom w:val="none" w:sz="0" w:space="0" w:color="auto"/>
        </w:tblBorders>
        <w:tblCellMar>
          <w:top w:w="57" w:type="dxa"/>
        </w:tblCellMar>
        <w:tblLook w:val="04A0" w:firstRow="1" w:lastRow="0" w:firstColumn="1" w:lastColumn="0" w:noHBand="0" w:noVBand="1"/>
        <w:tblCaption w:val="This table details the consultations with a representative sample of RACFs which will be reported in the Midpoint Report and the Final Report"/>
        <w:tblDescription w:val="Purpose and rationale:&#10;Consultations with RACFs will provide information on the delivery, access and quality of palliative care in RACFs to help identify Measure outcomes. A representative sample of RACFs across participating RACFs will be determined in consultation with jurisdictions. &#10;Consultations with RACFs will also inform the evaluation on the impact of external factors (such as COVID-19 or the unique circumstances of RACFs). They will provide qualitative information on the success of activities under the Measure in meeting the needs of residents, families and carers, and in addressing health interface issues.&#10;&#10;Collection methodology:&#10;Nous will hold semi-structured 60-minute focus group teleconferences with a sample of RACFs in each jurisdiction twice during the evaluation. Larger jurisdictions may involve multiple focus groups to ensure all perspectives are captured. &#10;Nous will identify RACFs to invite to participate in consultations through two channels: &#10;• state/territory health departments will be asked to nominate RACFs in their jurisdiction &#10;• RACFs will be able to indicate their willingness to participate in focus groups through the RACF survey. &#10;Nous will ensure that RACFs invited to consultations include a representative sample (see Considerations below). Nous will also identify potential RACFs through state and territory health departments and existing contacts of Nous. &#10;&#10;Considerations:&#10;Nous will aim to ensure that the sample of RACFs in consultations is representative of the RACFs participating in the Measure and includes a mix across:&#10;• all jurisdictions participating in the Measure&#10;• metro, regional and remote areas&#10;• not-for-profit,  for-profit, and government providers&#10;• RACFs of varying sizes (in terms of number of residents)&#10;Where possible, we will seek to consult with: &#10;• providers focused on residential aged care for people living with dementia &#10;• providers that support people from CALD backgrounds and/or Aboriginal and Torres Strait Islander people and communities. &#10;The number of RACFs engaged will be determined by survey response rates and state/territory nominations; however, Nous intends to conduct one focus group in each state and territory, and two to three focus groups in larger jurisdictions such as NSW, Queensland and Victoria.&#10;Consultations with RACFs will need to be cognisant of external pressures such as COVID-19 that might delay timeframes. &#10;&#10;Frequency of collection: &#10;Twice during the evaluation: in May 2022 and June 2023.&#10; &#10;Scope:&#10;All jurisdictions participating in the Measure. "/>
      </w:tblPr>
      <w:tblGrid>
        <w:gridCol w:w="1432"/>
        <w:gridCol w:w="5602"/>
        <w:gridCol w:w="1886"/>
      </w:tblGrid>
      <w:tr w:rsidR="006D4DE5" w:rsidRPr="00E44B5D" w14:paraId="713CA742" w14:textId="77777777" w:rsidTr="00F16001">
        <w:trPr>
          <w:trHeight w:val="340"/>
        </w:trPr>
        <w:tc>
          <w:tcPr>
            <w:tcW w:w="1432" w:type="dxa"/>
            <w:tcBorders>
              <w:top w:val="single" w:sz="24" w:space="0" w:color="F25E21" w:themeColor="accent2"/>
              <w:bottom w:val="single" w:sz="4" w:space="0" w:color="BFBFBF" w:themeColor="background1" w:themeShade="BF"/>
            </w:tcBorders>
            <w:shd w:val="clear" w:color="auto" w:fill="00264D" w:themeFill="background2"/>
            <w:vAlign w:val="center"/>
          </w:tcPr>
          <w:p w14:paraId="50A9B45E" w14:textId="57B1D78C" w:rsidR="006D4DE5" w:rsidRPr="00E44B5D" w:rsidRDefault="008B036F" w:rsidP="00B25FA6">
            <w:pPr>
              <w:jc w:val="center"/>
              <w:rPr>
                <w:color w:val="FFFFFF" w:themeColor="background1"/>
                <w:sz w:val="16"/>
                <w:szCs w:val="16"/>
                <w:lang w:eastAsia="en-AU"/>
              </w:rPr>
            </w:pPr>
            <w:r w:rsidRPr="00112FD2">
              <w:rPr>
                <w:noProof/>
                <w:color w:val="FFFFFF" w:themeColor="background1"/>
                <w:sz w:val="16"/>
                <w:szCs w:val="16"/>
                <w:lang w:eastAsia="en-AU"/>
              </w:rPr>
              <w:drawing>
                <wp:inline distT="0" distB="0" distL="0" distR="0" wp14:anchorId="5CA6F491" wp14:editId="28AC8D46">
                  <wp:extent cx="318135" cy="334010"/>
                  <wp:effectExtent l="0" t="0" r="5715" b="8890"/>
                  <wp:docPr id="27895" name="Picture 278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5" name="Picture 27895">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8135" cy="334010"/>
                          </a:xfrm>
                          <a:prstGeom prst="rect">
                            <a:avLst/>
                          </a:prstGeom>
                          <a:noFill/>
                          <a:ln>
                            <a:noFill/>
                          </a:ln>
                        </pic:spPr>
                      </pic:pic>
                    </a:graphicData>
                  </a:graphic>
                </wp:inline>
              </w:drawing>
            </w:r>
          </w:p>
        </w:tc>
        <w:tc>
          <w:tcPr>
            <w:tcW w:w="5713" w:type="dxa"/>
            <w:tcBorders>
              <w:top w:val="single" w:sz="24" w:space="0" w:color="F25E21" w:themeColor="accent2"/>
              <w:bottom w:val="single" w:sz="4" w:space="0" w:color="BFBFBF" w:themeColor="background1" w:themeShade="BF"/>
            </w:tcBorders>
            <w:shd w:val="clear" w:color="auto" w:fill="00264D" w:themeFill="background2"/>
            <w:vAlign w:val="center"/>
          </w:tcPr>
          <w:p w14:paraId="1979556A" w14:textId="6C89791B" w:rsidR="006D4DE5" w:rsidRPr="00B54A5F" w:rsidRDefault="006D4DE5" w:rsidP="00B54A5F">
            <w:pPr>
              <w:pStyle w:val="TableNheader"/>
              <w:rPr>
                <w:color w:val="FFFFFF" w:themeColor="background1"/>
                <w:lang w:eastAsia="en-AU"/>
              </w:rPr>
            </w:pPr>
            <w:r w:rsidRPr="00B54A5F">
              <w:rPr>
                <w:color w:val="FFFFFF" w:themeColor="background1"/>
                <w:lang w:eastAsia="en-AU"/>
              </w:rPr>
              <w:t xml:space="preserve">Consultations with a representative sample of RACFs </w:t>
            </w:r>
          </w:p>
        </w:tc>
        <w:tc>
          <w:tcPr>
            <w:tcW w:w="1910" w:type="dxa"/>
            <w:tcBorders>
              <w:top w:val="single" w:sz="24" w:space="0" w:color="F25E21" w:themeColor="accent2"/>
              <w:bottom w:val="single" w:sz="4" w:space="0" w:color="BFBFBF" w:themeColor="background1" w:themeShade="BF"/>
            </w:tcBorders>
            <w:shd w:val="clear" w:color="auto" w:fill="00264D" w:themeFill="background2"/>
            <w:vAlign w:val="center"/>
          </w:tcPr>
          <w:p w14:paraId="5ECE8020" w14:textId="61D6E431" w:rsidR="006D4DE5" w:rsidRPr="00B54A5F" w:rsidRDefault="006D4DE5" w:rsidP="001A6789">
            <w:pPr>
              <w:pStyle w:val="TableNheader"/>
              <w:jc w:val="center"/>
              <w:rPr>
                <w:rFonts w:asciiTheme="minorHAnsi" w:hAnsiTheme="minorHAnsi" w:cstheme="minorHAnsi"/>
                <w:color w:val="FFFFFF" w:themeColor="background1"/>
                <w:lang w:eastAsia="en-AU"/>
              </w:rPr>
            </w:pPr>
            <w:r w:rsidRPr="00B54A5F">
              <w:rPr>
                <w:rFonts w:asciiTheme="minorHAnsi" w:hAnsiTheme="minorHAnsi" w:cstheme="minorHAnsi"/>
                <w:color w:val="FFFFFF" w:themeColor="background1"/>
                <w:lang w:eastAsia="en-AU"/>
              </w:rPr>
              <w:t>Reported in:</w:t>
            </w:r>
          </w:p>
          <w:p w14:paraId="33162371" w14:textId="72E405BC" w:rsidR="006D4DE5" w:rsidRPr="00B54A5F" w:rsidRDefault="007D1236" w:rsidP="001A6789">
            <w:pPr>
              <w:pStyle w:val="TableNheader"/>
              <w:jc w:val="center"/>
              <w:rPr>
                <w:rFonts w:asciiTheme="minorHAnsi" w:hAnsiTheme="minorHAnsi" w:cstheme="minorHAnsi"/>
                <w:color w:val="FFFFFF" w:themeColor="background1"/>
                <w:lang w:eastAsia="en-AU"/>
              </w:rPr>
            </w:pPr>
            <w:r w:rsidRPr="00B54A5F">
              <w:rPr>
                <w:rFonts w:asciiTheme="minorHAnsi" w:hAnsiTheme="minorHAnsi" w:cstheme="minorHAnsi"/>
                <w:color w:val="FFFFFF" w:themeColor="background1"/>
                <w:lang w:eastAsia="en-AU"/>
              </w:rPr>
              <w:t>Mid</w:t>
            </w:r>
            <w:r w:rsidR="006D2ECA" w:rsidRPr="00B54A5F">
              <w:rPr>
                <w:rFonts w:asciiTheme="minorHAnsi" w:hAnsiTheme="minorHAnsi" w:cstheme="minorHAnsi"/>
                <w:color w:val="FFFFFF" w:themeColor="background1"/>
                <w:lang w:eastAsia="en-AU"/>
              </w:rPr>
              <w:t>point</w:t>
            </w:r>
            <w:r w:rsidRPr="00B54A5F">
              <w:rPr>
                <w:rFonts w:asciiTheme="minorHAnsi" w:hAnsiTheme="minorHAnsi" w:cstheme="minorHAnsi"/>
                <w:color w:val="FFFFFF" w:themeColor="background1"/>
                <w:lang w:eastAsia="en-AU"/>
              </w:rPr>
              <w:t xml:space="preserve"> Report</w:t>
            </w:r>
          </w:p>
          <w:p w14:paraId="735A7B64" w14:textId="1B4DDC08" w:rsidR="006D4DE5" w:rsidRPr="00B54A5F" w:rsidRDefault="006D4DE5" w:rsidP="001A6789">
            <w:pPr>
              <w:pStyle w:val="TableNheader"/>
              <w:jc w:val="center"/>
              <w:rPr>
                <w:rFonts w:asciiTheme="minorHAnsi" w:hAnsiTheme="minorHAnsi" w:cstheme="minorHAnsi"/>
                <w:color w:val="FFFFFF" w:themeColor="background1"/>
                <w:lang w:eastAsia="en-AU"/>
              </w:rPr>
            </w:pPr>
            <w:r w:rsidRPr="00B54A5F">
              <w:rPr>
                <w:rFonts w:asciiTheme="minorHAnsi" w:hAnsiTheme="minorHAnsi" w:cstheme="minorHAnsi"/>
                <w:color w:val="FFFFFF" w:themeColor="background1"/>
                <w:lang w:eastAsia="en-AU"/>
              </w:rPr>
              <w:t xml:space="preserve">Final </w:t>
            </w:r>
            <w:r w:rsidR="007D1236" w:rsidRPr="00B54A5F">
              <w:rPr>
                <w:rFonts w:asciiTheme="minorHAnsi" w:hAnsiTheme="minorHAnsi" w:cstheme="minorHAnsi"/>
                <w:color w:val="FFFFFF" w:themeColor="background1"/>
                <w:lang w:eastAsia="en-AU"/>
              </w:rPr>
              <w:t>Report</w:t>
            </w:r>
          </w:p>
        </w:tc>
      </w:tr>
      <w:tr w:rsidR="006D4DE5" w:rsidRPr="00E44B5D" w14:paraId="6BEF26FD" w14:textId="77777777" w:rsidTr="00F16001">
        <w:tc>
          <w:tcPr>
            <w:tcW w:w="1432" w:type="dxa"/>
            <w:tcBorders>
              <w:top w:val="single" w:sz="4" w:space="0" w:color="BFBFBF" w:themeColor="background1" w:themeShade="BF"/>
            </w:tcBorders>
            <w:shd w:val="clear" w:color="auto" w:fill="E6E6E1" w:themeFill="accent5"/>
          </w:tcPr>
          <w:p w14:paraId="3EE9799A" w14:textId="77777777" w:rsidR="006D4DE5" w:rsidRPr="00A771A9" w:rsidRDefault="006D4DE5" w:rsidP="00B54A5F">
            <w:pPr>
              <w:pStyle w:val="TableNheader"/>
              <w:rPr>
                <w:lang w:eastAsia="en-AU"/>
              </w:rPr>
            </w:pPr>
            <w:r w:rsidRPr="00A771A9">
              <w:rPr>
                <w:lang w:eastAsia="en-AU"/>
              </w:rPr>
              <w:t>Purpose and rationale</w:t>
            </w:r>
          </w:p>
        </w:tc>
        <w:tc>
          <w:tcPr>
            <w:tcW w:w="7623" w:type="dxa"/>
            <w:gridSpan w:val="2"/>
            <w:tcBorders>
              <w:top w:val="single" w:sz="4" w:space="0" w:color="BFBFBF" w:themeColor="background1" w:themeShade="BF"/>
            </w:tcBorders>
          </w:tcPr>
          <w:p w14:paraId="1DEACEB5" w14:textId="7C1F6312" w:rsidR="006D4DE5" w:rsidRPr="00A771A9" w:rsidRDefault="006D4DE5" w:rsidP="00B54A5F">
            <w:pPr>
              <w:pStyle w:val="TableNText"/>
            </w:pPr>
            <w:r w:rsidRPr="00A771A9">
              <w:t xml:space="preserve">Consultations with RACFs will provide information on the delivery, </w:t>
            </w:r>
            <w:proofErr w:type="gramStart"/>
            <w:r w:rsidRPr="00A771A9">
              <w:t>access</w:t>
            </w:r>
            <w:proofErr w:type="gramEnd"/>
            <w:r w:rsidRPr="00A771A9">
              <w:t xml:space="preserve"> and quality of palliative care in RACFs to help identify Measure outcomes. </w:t>
            </w:r>
            <w:r w:rsidR="00D8782D" w:rsidRPr="00A771A9">
              <w:t xml:space="preserve">A representative sample of RACFs across participating RACFs will be </w:t>
            </w:r>
            <w:r w:rsidR="008A4E96" w:rsidRPr="00A771A9">
              <w:t xml:space="preserve">determined in consultation with jurisdictions. </w:t>
            </w:r>
          </w:p>
          <w:p w14:paraId="5408AD5A" w14:textId="0142BB58" w:rsidR="006D4DE5" w:rsidRPr="00A771A9" w:rsidRDefault="006D4DE5" w:rsidP="00B54A5F">
            <w:pPr>
              <w:pStyle w:val="TableNText"/>
            </w:pPr>
            <w:r w:rsidRPr="00A771A9">
              <w:t xml:space="preserve">Consultations </w:t>
            </w:r>
            <w:r w:rsidR="008A4E96" w:rsidRPr="00A771A9">
              <w:t xml:space="preserve">with RACFs </w:t>
            </w:r>
            <w:r w:rsidRPr="00A771A9">
              <w:t xml:space="preserve">will also inform the evaluation on the impact of external factors (such as COVID-19 or the unique circumstances of RACFs). They will provide qualitative information on the success of activities under the Measure in meeting the needs of </w:t>
            </w:r>
            <w:r w:rsidR="00936549">
              <w:t>residents</w:t>
            </w:r>
            <w:r w:rsidRPr="00A771A9">
              <w:t xml:space="preserve">, </w:t>
            </w:r>
            <w:proofErr w:type="gramStart"/>
            <w:r w:rsidRPr="00A771A9">
              <w:t>families</w:t>
            </w:r>
            <w:proofErr w:type="gramEnd"/>
            <w:r w:rsidRPr="00A771A9">
              <w:t xml:space="preserve"> and carers</w:t>
            </w:r>
            <w:r w:rsidR="0033598F" w:rsidRPr="00A771A9">
              <w:t>,</w:t>
            </w:r>
            <w:r w:rsidRPr="00A771A9">
              <w:t xml:space="preserve"> and in addressing health interface issues.</w:t>
            </w:r>
          </w:p>
        </w:tc>
      </w:tr>
      <w:tr w:rsidR="006D4DE5" w:rsidRPr="00E44B5D" w14:paraId="4B47C794" w14:textId="77777777" w:rsidTr="001A6789">
        <w:tc>
          <w:tcPr>
            <w:tcW w:w="1432" w:type="dxa"/>
            <w:shd w:val="clear" w:color="auto" w:fill="E6E6E1" w:themeFill="accent5"/>
          </w:tcPr>
          <w:p w14:paraId="50B7BB2F" w14:textId="77777777" w:rsidR="006D4DE5" w:rsidRPr="00A771A9" w:rsidRDefault="006D4DE5" w:rsidP="00B54A5F">
            <w:pPr>
              <w:pStyle w:val="TableNheader"/>
              <w:rPr>
                <w:lang w:eastAsia="en-AU"/>
              </w:rPr>
            </w:pPr>
            <w:r w:rsidRPr="00A771A9">
              <w:rPr>
                <w:lang w:eastAsia="en-AU"/>
              </w:rPr>
              <w:t xml:space="preserve">Collection methodology </w:t>
            </w:r>
          </w:p>
        </w:tc>
        <w:tc>
          <w:tcPr>
            <w:tcW w:w="7623" w:type="dxa"/>
            <w:gridSpan w:val="2"/>
          </w:tcPr>
          <w:p w14:paraId="181814BD" w14:textId="39174FCF" w:rsidR="000E2D00" w:rsidRPr="00A771A9" w:rsidRDefault="006D4DE5" w:rsidP="00B54A5F">
            <w:pPr>
              <w:pStyle w:val="TableNText"/>
            </w:pPr>
            <w:r w:rsidRPr="00A771A9">
              <w:t xml:space="preserve">Nous will hold semi-structured 60-minute </w:t>
            </w:r>
            <w:r w:rsidR="004738B6" w:rsidRPr="00A771A9">
              <w:t xml:space="preserve">focus group </w:t>
            </w:r>
            <w:r w:rsidRPr="00A771A9">
              <w:t xml:space="preserve">teleconferences with a </w:t>
            </w:r>
            <w:r w:rsidR="00235D95" w:rsidRPr="00A771A9">
              <w:t>sample</w:t>
            </w:r>
            <w:r w:rsidRPr="00A771A9">
              <w:t xml:space="preserve"> of RACFs </w:t>
            </w:r>
            <w:r w:rsidR="00CE75F0" w:rsidRPr="00A771A9">
              <w:t>in each jurisdiction</w:t>
            </w:r>
            <w:r w:rsidRPr="00A771A9">
              <w:t xml:space="preserve"> twice during the evaluation. </w:t>
            </w:r>
            <w:r w:rsidR="00224376" w:rsidRPr="00A771A9">
              <w:t xml:space="preserve">Larger jurisdictions may involve </w:t>
            </w:r>
            <w:r w:rsidR="00D80465" w:rsidRPr="00A771A9">
              <w:t xml:space="preserve">multiple </w:t>
            </w:r>
            <w:r w:rsidR="006352A4" w:rsidRPr="00A771A9">
              <w:t xml:space="preserve">focus groups </w:t>
            </w:r>
            <w:r w:rsidR="00415015" w:rsidRPr="00A771A9">
              <w:t xml:space="preserve">to ensure all perspectives are captured. </w:t>
            </w:r>
          </w:p>
          <w:p w14:paraId="69D52590" w14:textId="77777777" w:rsidR="007250F9" w:rsidRPr="00A771A9" w:rsidRDefault="007250F9" w:rsidP="00B54A5F">
            <w:pPr>
              <w:pStyle w:val="TableNText"/>
            </w:pPr>
            <w:r w:rsidRPr="00A771A9">
              <w:t xml:space="preserve">Nous will identify RACFs to invite to participate in consultations through two channels: </w:t>
            </w:r>
          </w:p>
          <w:p w14:paraId="2F142254" w14:textId="7604B383" w:rsidR="007250F9" w:rsidRPr="00B54A5F" w:rsidRDefault="00B64BED" w:rsidP="007250F9">
            <w:pPr>
              <w:pStyle w:val="TableNBullet"/>
            </w:pPr>
            <w:r w:rsidRPr="00B54A5F">
              <w:t>s</w:t>
            </w:r>
            <w:r w:rsidR="007250F9" w:rsidRPr="00B54A5F">
              <w:t xml:space="preserve">tate/territory health departments will be asked to nominate RACFs in their jurisdiction </w:t>
            </w:r>
          </w:p>
          <w:p w14:paraId="67AAE73A" w14:textId="5A5AEE2B" w:rsidR="007250F9" w:rsidRPr="00B54A5F" w:rsidRDefault="007250F9" w:rsidP="007250F9">
            <w:pPr>
              <w:pStyle w:val="TableNBullet"/>
            </w:pPr>
            <w:r w:rsidRPr="00B54A5F">
              <w:t>RACFs will be able to indicate their willingness to participate in focus groups through the RACF survey</w:t>
            </w:r>
            <w:r w:rsidR="00682262" w:rsidRPr="00B54A5F">
              <w:t xml:space="preserve">. </w:t>
            </w:r>
          </w:p>
          <w:p w14:paraId="14BA547C" w14:textId="72619FAC" w:rsidR="006D4DE5" w:rsidRPr="00A771A9" w:rsidRDefault="001F4F57" w:rsidP="00B54A5F">
            <w:pPr>
              <w:pStyle w:val="TableNText"/>
            </w:pPr>
            <w:r w:rsidRPr="00A771A9">
              <w:lastRenderedPageBreak/>
              <w:t xml:space="preserve">Nous will </w:t>
            </w:r>
            <w:r w:rsidR="00C75C36" w:rsidRPr="00A771A9">
              <w:t xml:space="preserve">ensure that RACFs invited to consultations </w:t>
            </w:r>
            <w:r w:rsidR="00762EB2" w:rsidRPr="00A771A9">
              <w:t>include a</w:t>
            </w:r>
            <w:r w:rsidR="004332F1" w:rsidRPr="00A771A9">
              <w:t xml:space="preserve"> representative sample (see </w:t>
            </w:r>
            <w:r w:rsidR="00102895" w:rsidRPr="00A771A9">
              <w:t>C</w:t>
            </w:r>
            <w:r w:rsidR="004332F1" w:rsidRPr="00A771A9">
              <w:t xml:space="preserve">onsiderations below). </w:t>
            </w:r>
            <w:r w:rsidR="002A55FF" w:rsidRPr="00A771A9">
              <w:t>Nous will</w:t>
            </w:r>
            <w:r w:rsidR="006D4DE5" w:rsidRPr="00A771A9">
              <w:t xml:space="preserve"> also </w:t>
            </w:r>
            <w:r w:rsidR="002A55FF" w:rsidRPr="00A771A9">
              <w:t>identify potential</w:t>
            </w:r>
            <w:r w:rsidR="006D4DE5" w:rsidRPr="00A771A9">
              <w:t xml:space="preserve"> RACFs through state and territory </w:t>
            </w:r>
            <w:r w:rsidR="002A55FF" w:rsidRPr="00A771A9">
              <w:t xml:space="preserve">health </w:t>
            </w:r>
            <w:r w:rsidR="006D4DE5" w:rsidRPr="00A771A9">
              <w:t xml:space="preserve">departments and existing contacts of Nous. </w:t>
            </w:r>
          </w:p>
        </w:tc>
      </w:tr>
      <w:tr w:rsidR="006D4DE5" w:rsidRPr="00E44B5D" w14:paraId="57340ABA" w14:textId="77777777" w:rsidTr="001A6789">
        <w:tc>
          <w:tcPr>
            <w:tcW w:w="1432" w:type="dxa"/>
            <w:shd w:val="clear" w:color="auto" w:fill="E6E6E1" w:themeFill="accent5"/>
          </w:tcPr>
          <w:p w14:paraId="1BC04AE4" w14:textId="77777777" w:rsidR="006D4DE5" w:rsidRPr="00A771A9" w:rsidRDefault="006D4DE5" w:rsidP="00B54A5F">
            <w:pPr>
              <w:pStyle w:val="TableNheader"/>
              <w:rPr>
                <w:lang w:eastAsia="en-AU"/>
              </w:rPr>
            </w:pPr>
            <w:r w:rsidRPr="00A771A9">
              <w:rPr>
                <w:lang w:eastAsia="en-AU"/>
              </w:rPr>
              <w:lastRenderedPageBreak/>
              <w:t xml:space="preserve">Considerations </w:t>
            </w:r>
          </w:p>
        </w:tc>
        <w:tc>
          <w:tcPr>
            <w:tcW w:w="7623" w:type="dxa"/>
            <w:gridSpan w:val="2"/>
          </w:tcPr>
          <w:p w14:paraId="3B05C34D" w14:textId="1B9F4A28" w:rsidR="006D4DE5" w:rsidRPr="00A771A9" w:rsidRDefault="006D4DE5" w:rsidP="00B54A5F">
            <w:pPr>
              <w:pStyle w:val="TableNText"/>
            </w:pPr>
            <w:r w:rsidRPr="00A771A9">
              <w:t xml:space="preserve">Nous will aim to ensure that the sample of RACFs in consultations is representative </w:t>
            </w:r>
            <w:r w:rsidR="009C603D" w:rsidRPr="00A771A9">
              <w:t xml:space="preserve">of the </w:t>
            </w:r>
            <w:r w:rsidR="004A57CC" w:rsidRPr="00A771A9">
              <w:t>RACFs</w:t>
            </w:r>
            <w:r w:rsidR="00986D47" w:rsidRPr="00A771A9">
              <w:t xml:space="preserve"> participating in the Measure </w:t>
            </w:r>
            <w:r w:rsidRPr="00A771A9">
              <w:t>and includes a mix across:</w:t>
            </w:r>
          </w:p>
          <w:p w14:paraId="6A626452" w14:textId="77777777" w:rsidR="007F601D" w:rsidRPr="00B54A5F" w:rsidRDefault="007F601D" w:rsidP="007F601D">
            <w:pPr>
              <w:pStyle w:val="TableNBullet"/>
            </w:pPr>
            <w:r w:rsidRPr="00B54A5F">
              <w:t>all jurisdictions participating in the Measure</w:t>
            </w:r>
          </w:p>
          <w:p w14:paraId="5BAF81E4" w14:textId="77777777" w:rsidR="006D4DE5" w:rsidRPr="00B54A5F" w:rsidRDefault="00E064FE" w:rsidP="006D4DE5">
            <w:pPr>
              <w:pStyle w:val="TableNBullet"/>
            </w:pPr>
            <w:r w:rsidRPr="00B54A5F">
              <w:t>m</w:t>
            </w:r>
            <w:r w:rsidR="006D4DE5" w:rsidRPr="00B54A5F">
              <w:t xml:space="preserve">etro, </w:t>
            </w:r>
            <w:proofErr w:type="gramStart"/>
            <w:r w:rsidR="006D4DE5" w:rsidRPr="00B54A5F">
              <w:t>regional</w:t>
            </w:r>
            <w:proofErr w:type="gramEnd"/>
            <w:r w:rsidR="006D4DE5" w:rsidRPr="00B54A5F">
              <w:t xml:space="preserve"> and remote areas</w:t>
            </w:r>
          </w:p>
          <w:p w14:paraId="7716FB70" w14:textId="78591456" w:rsidR="007F601D" w:rsidRPr="00B54A5F" w:rsidRDefault="007F601D" w:rsidP="007F601D">
            <w:pPr>
              <w:pStyle w:val="TableNBullet"/>
            </w:pPr>
            <w:r w:rsidRPr="00B54A5F">
              <w:t>not-for-profit,</w:t>
            </w:r>
            <w:r w:rsidR="00504050">
              <w:rPr>
                <w:rStyle w:val="FootnoteReference"/>
              </w:rPr>
              <w:footnoteReference w:id="10"/>
            </w:r>
            <w:r w:rsidR="007B5694">
              <w:t xml:space="preserve"> </w:t>
            </w:r>
            <w:r w:rsidRPr="00B54A5F">
              <w:t>for-profit</w:t>
            </w:r>
            <w:r w:rsidR="00C76430">
              <w:t>,</w:t>
            </w:r>
            <w:r w:rsidRPr="00B54A5F">
              <w:t xml:space="preserve"> and government providers</w:t>
            </w:r>
          </w:p>
          <w:p w14:paraId="47B9024E" w14:textId="5E463A71" w:rsidR="007F601D" w:rsidRPr="00B54A5F" w:rsidRDefault="00147FD5" w:rsidP="007F601D">
            <w:pPr>
              <w:pStyle w:val="TableNBullet"/>
            </w:pPr>
            <w:r>
              <w:t>RACFs</w:t>
            </w:r>
            <w:r w:rsidR="007F601D" w:rsidRPr="00B54A5F">
              <w:t xml:space="preserve"> of varying sizes (in terms of number of residents)</w:t>
            </w:r>
          </w:p>
          <w:p w14:paraId="105B4C3F" w14:textId="77777777" w:rsidR="000B4FDD" w:rsidRPr="00B54A5F" w:rsidRDefault="000B4FDD" w:rsidP="000B4FDD">
            <w:pPr>
              <w:pStyle w:val="TableNBullet"/>
              <w:numPr>
                <w:ilvl w:val="0"/>
                <w:numId w:val="0"/>
              </w:numPr>
              <w:ind w:left="227" w:hanging="227"/>
            </w:pPr>
            <w:r>
              <w:t xml:space="preserve">Where possible, we will seek to consult with: </w:t>
            </w:r>
          </w:p>
          <w:p w14:paraId="1F9A45AD" w14:textId="7AABD4E7" w:rsidR="007F601D" w:rsidRPr="00B54A5F" w:rsidRDefault="007F601D" w:rsidP="007F601D">
            <w:pPr>
              <w:pStyle w:val="TableNBullet"/>
            </w:pPr>
            <w:r w:rsidRPr="00B54A5F">
              <w:t>providers focused on residential aged care for people living with dementia</w:t>
            </w:r>
            <w:r w:rsidR="00535192">
              <w:t xml:space="preserve"> </w:t>
            </w:r>
          </w:p>
          <w:p w14:paraId="7C6FC16E" w14:textId="77777777" w:rsidR="007F601D" w:rsidRPr="00B54A5F" w:rsidRDefault="007F601D" w:rsidP="007F601D">
            <w:pPr>
              <w:pStyle w:val="TableNBullet"/>
            </w:pPr>
            <w:r w:rsidRPr="00B54A5F">
              <w:t xml:space="preserve">providers that support people from CALD backgrounds and/or Aboriginal and Torres Strait Islander people and communities. </w:t>
            </w:r>
          </w:p>
          <w:p w14:paraId="5ADA9F53" w14:textId="21939F3C" w:rsidR="00986D47" w:rsidRPr="00A771A9" w:rsidRDefault="00986D47" w:rsidP="000E07CE">
            <w:pPr>
              <w:pStyle w:val="TableNText"/>
            </w:pPr>
            <w:r w:rsidRPr="00A771A9">
              <w:t xml:space="preserve">The number of RACFs </w:t>
            </w:r>
            <w:r w:rsidR="009D7075" w:rsidRPr="00A771A9">
              <w:t>engage</w:t>
            </w:r>
            <w:r w:rsidR="000E07CE" w:rsidRPr="00A771A9">
              <w:t>d will be determined by survey response rates and state/territory nominations</w:t>
            </w:r>
            <w:r w:rsidR="00F8436E" w:rsidRPr="00A771A9">
              <w:t>; h</w:t>
            </w:r>
            <w:r w:rsidR="000E07CE" w:rsidRPr="00A771A9">
              <w:t xml:space="preserve">owever, Nous intends to conduct one focus group in each state and territory, and </w:t>
            </w:r>
            <w:r w:rsidR="00F8436E" w:rsidRPr="00A771A9">
              <w:t>two to three</w:t>
            </w:r>
            <w:r w:rsidR="008824F4" w:rsidRPr="00A771A9">
              <w:t xml:space="preserve"> focus group</w:t>
            </w:r>
            <w:r w:rsidR="00C320B5" w:rsidRPr="00A771A9">
              <w:t>s</w:t>
            </w:r>
            <w:r w:rsidR="000E07CE" w:rsidRPr="00A771A9">
              <w:t xml:space="preserve"> in larger jurisdictions such as NSW, </w:t>
            </w:r>
            <w:proofErr w:type="gramStart"/>
            <w:r w:rsidR="000E07CE" w:rsidRPr="00A771A9">
              <w:t>Queensland</w:t>
            </w:r>
            <w:proofErr w:type="gramEnd"/>
            <w:r w:rsidR="000E07CE" w:rsidRPr="00A771A9">
              <w:t xml:space="preserve"> and Victoria.</w:t>
            </w:r>
          </w:p>
          <w:p w14:paraId="6766360A" w14:textId="6F873B89" w:rsidR="006D4DE5" w:rsidRPr="00A771A9" w:rsidRDefault="006D4DE5" w:rsidP="00B54A5F">
            <w:pPr>
              <w:pStyle w:val="TableNText"/>
            </w:pPr>
            <w:r w:rsidRPr="00A771A9">
              <w:t xml:space="preserve">Consultations with RACFs will need to be cognisant of external pressures such as COVID-19 that might delay timeframes. </w:t>
            </w:r>
          </w:p>
        </w:tc>
      </w:tr>
      <w:tr w:rsidR="006D4DE5" w:rsidRPr="00E44B5D" w14:paraId="17DF1D14" w14:textId="77777777" w:rsidTr="001A6789">
        <w:tc>
          <w:tcPr>
            <w:tcW w:w="1432" w:type="dxa"/>
            <w:shd w:val="clear" w:color="auto" w:fill="E6E6E1" w:themeFill="accent5"/>
          </w:tcPr>
          <w:p w14:paraId="028C6D65" w14:textId="77777777" w:rsidR="006D4DE5" w:rsidRPr="00A771A9" w:rsidRDefault="006D4DE5" w:rsidP="00B54A5F">
            <w:pPr>
              <w:pStyle w:val="TableNheader"/>
              <w:rPr>
                <w:lang w:eastAsia="en-AU"/>
              </w:rPr>
            </w:pPr>
            <w:r w:rsidRPr="00A771A9">
              <w:rPr>
                <w:lang w:eastAsia="en-AU"/>
              </w:rPr>
              <w:t xml:space="preserve">Frequency of collection </w:t>
            </w:r>
          </w:p>
        </w:tc>
        <w:tc>
          <w:tcPr>
            <w:tcW w:w="7623" w:type="dxa"/>
            <w:gridSpan w:val="2"/>
          </w:tcPr>
          <w:p w14:paraId="604D7DC7" w14:textId="3203EA89" w:rsidR="006D4DE5" w:rsidRPr="00A771A9" w:rsidRDefault="006D4DE5" w:rsidP="00B54A5F">
            <w:pPr>
              <w:pStyle w:val="TableNText"/>
              <w:rPr>
                <w:lang w:eastAsia="en-AU"/>
              </w:rPr>
            </w:pPr>
            <w:r w:rsidRPr="00A771A9">
              <w:rPr>
                <w:lang w:eastAsia="en-AU"/>
              </w:rPr>
              <w:t xml:space="preserve">Twice during the evaluation: in May 2022 and June 2023. </w:t>
            </w:r>
          </w:p>
        </w:tc>
      </w:tr>
      <w:tr w:rsidR="006D4DE5" w:rsidRPr="00E44B5D" w14:paraId="351B6731" w14:textId="77777777" w:rsidTr="001A6789">
        <w:tc>
          <w:tcPr>
            <w:tcW w:w="1432" w:type="dxa"/>
            <w:tcBorders>
              <w:bottom w:val="single" w:sz="4" w:space="0" w:color="BFBFBF" w:themeColor="background1" w:themeShade="BF"/>
            </w:tcBorders>
            <w:shd w:val="clear" w:color="auto" w:fill="E6E6E1" w:themeFill="accent5"/>
          </w:tcPr>
          <w:p w14:paraId="656B5451" w14:textId="77777777" w:rsidR="006D4DE5" w:rsidRPr="00A771A9" w:rsidRDefault="006D4DE5" w:rsidP="00B54A5F">
            <w:pPr>
              <w:pStyle w:val="TableNheader"/>
              <w:rPr>
                <w:lang w:eastAsia="en-AU"/>
              </w:rPr>
            </w:pPr>
            <w:r w:rsidRPr="00A771A9">
              <w:rPr>
                <w:lang w:eastAsia="en-AU"/>
              </w:rPr>
              <w:t>Scope</w:t>
            </w:r>
          </w:p>
        </w:tc>
        <w:tc>
          <w:tcPr>
            <w:tcW w:w="7623" w:type="dxa"/>
            <w:gridSpan w:val="2"/>
            <w:tcBorders>
              <w:bottom w:val="single" w:sz="4" w:space="0" w:color="BFBFBF" w:themeColor="background1" w:themeShade="BF"/>
            </w:tcBorders>
          </w:tcPr>
          <w:p w14:paraId="618E8F46" w14:textId="5B4955AC" w:rsidR="006D4DE5" w:rsidRPr="00A771A9" w:rsidRDefault="006D4DE5" w:rsidP="00B54A5F">
            <w:pPr>
              <w:pStyle w:val="TableNText"/>
              <w:rPr>
                <w:lang w:eastAsia="en-AU"/>
              </w:rPr>
            </w:pPr>
            <w:r w:rsidRPr="00A771A9">
              <w:rPr>
                <w:lang w:eastAsia="en-AU"/>
              </w:rPr>
              <w:t xml:space="preserve">All jurisdictions participating in the Measure. </w:t>
            </w:r>
          </w:p>
        </w:tc>
      </w:tr>
    </w:tbl>
    <w:p w14:paraId="69E81733" w14:textId="3C7AE173" w:rsidR="00F55E11" w:rsidRDefault="00F55E11">
      <w:pPr>
        <w:spacing w:after="165" w:line="259" w:lineRule="auto"/>
      </w:pPr>
    </w:p>
    <w:tbl>
      <w:tblPr>
        <w:tblStyle w:val="TableGridLight"/>
        <w:tblW w:w="0" w:type="auto"/>
        <w:tblCellMar>
          <w:top w:w="57" w:type="dxa"/>
        </w:tblCellMar>
        <w:tblLook w:val="04A0" w:firstRow="1" w:lastRow="0" w:firstColumn="1" w:lastColumn="0" w:noHBand="0" w:noVBand="1"/>
        <w:tblCaption w:val="This table details the consultations with palliative care service providers including GPs, specialist palliatve care services and other clinicans which will be reported in the Midpoint Report and the Final Report"/>
        <w:tblDescription w:val="Purpose and rationale:&#10;Consultations with palliative care service providers – such as GPs, specialist palliative care services and other clinicians – will provide the palliative care providers perspective to inform the evaluation of the Measure.&#10;The provider’s perspective on palliative care will include qualitative information on delivery, care coordination across the health and aged care sectors and training. These consultations will supplement limited data on palliative care service delivery within RACFs. &#10;&#10;Collection methodology:&#10;Nous will hold semi-structured 30- to 60-minute focus group teleconferences twice during the evaluation. &#10;Nous will aim to hold two focus groups per jurisdiction – one for generalist palliative care providers and specialist palliative care providers; however, in larger jurisdictions (Victoria, NSW, Queensland), we may hold up to four (e.g. two each for generalist and specialist providers). Nous may combine smaller jurisdictions into one focus group if there are small numbers. &#10;&#10;Considerations:&#10;Nous will request states and territories to nominate clinician contacts via the six-monthly standard data collection templates they will provide. &#10;&#10;Frequency of collection:&#10;Twice during the evaluation: in May 2022 and June 2023.&#10;&#10;Scope:&#10;A sample of service providers from all jurisdictions participating in the Measure. "/>
      </w:tblPr>
      <w:tblGrid>
        <w:gridCol w:w="1432"/>
        <w:gridCol w:w="5602"/>
        <w:gridCol w:w="1886"/>
      </w:tblGrid>
      <w:tr w:rsidR="006D4DE5" w:rsidRPr="0035440F" w14:paraId="0C5472B1" w14:textId="77777777" w:rsidTr="00F16001">
        <w:trPr>
          <w:trHeight w:val="340"/>
        </w:trPr>
        <w:tc>
          <w:tcPr>
            <w:tcW w:w="1432" w:type="dxa"/>
            <w:tcBorders>
              <w:top w:val="single" w:sz="24" w:space="0" w:color="F25E21" w:themeColor="accent2"/>
            </w:tcBorders>
            <w:shd w:val="clear" w:color="auto" w:fill="00264D" w:themeFill="background2"/>
            <w:vAlign w:val="center"/>
          </w:tcPr>
          <w:p w14:paraId="1DAB854B" w14:textId="0B14FC3F" w:rsidR="006D4DE5" w:rsidRPr="0035440F" w:rsidRDefault="008B036F" w:rsidP="00B25FA6">
            <w:pPr>
              <w:jc w:val="center"/>
              <w:rPr>
                <w:color w:val="FFFFFF" w:themeColor="background1"/>
                <w:sz w:val="16"/>
                <w:szCs w:val="16"/>
                <w:lang w:eastAsia="en-AU"/>
              </w:rPr>
            </w:pPr>
            <w:r w:rsidRPr="00112FD2">
              <w:rPr>
                <w:noProof/>
                <w:color w:val="FFFFFF" w:themeColor="background1"/>
                <w:sz w:val="16"/>
                <w:szCs w:val="16"/>
                <w:lang w:eastAsia="en-AU"/>
              </w:rPr>
              <w:drawing>
                <wp:inline distT="0" distB="0" distL="0" distR="0" wp14:anchorId="3F1DA499" wp14:editId="7EB48387">
                  <wp:extent cx="318135" cy="334010"/>
                  <wp:effectExtent l="0" t="0" r="5715" b="8890"/>
                  <wp:docPr id="27896" name="Picture 278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6" name="Picture 27896">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8135" cy="334010"/>
                          </a:xfrm>
                          <a:prstGeom prst="rect">
                            <a:avLst/>
                          </a:prstGeom>
                          <a:noFill/>
                          <a:ln>
                            <a:noFill/>
                          </a:ln>
                        </pic:spPr>
                      </pic:pic>
                    </a:graphicData>
                  </a:graphic>
                </wp:inline>
              </w:drawing>
            </w:r>
          </w:p>
        </w:tc>
        <w:tc>
          <w:tcPr>
            <w:tcW w:w="5602" w:type="dxa"/>
            <w:tcBorders>
              <w:top w:val="single" w:sz="24" w:space="0" w:color="F25E21" w:themeColor="accent2"/>
            </w:tcBorders>
            <w:shd w:val="clear" w:color="auto" w:fill="00264D" w:themeFill="background2"/>
            <w:vAlign w:val="center"/>
          </w:tcPr>
          <w:p w14:paraId="58255055" w14:textId="074A0675" w:rsidR="006D4DE5" w:rsidRPr="00B54A5F" w:rsidRDefault="006D4DE5" w:rsidP="00B54A5F">
            <w:pPr>
              <w:pStyle w:val="TableNheader"/>
              <w:rPr>
                <w:color w:val="FFFFFF" w:themeColor="background1"/>
                <w:lang w:eastAsia="en-AU"/>
              </w:rPr>
            </w:pPr>
            <w:r w:rsidRPr="00B54A5F">
              <w:rPr>
                <w:color w:val="FFFFFF" w:themeColor="background1"/>
                <w:lang w:eastAsia="en-AU"/>
              </w:rPr>
              <w:t xml:space="preserve">Consultations with palliative care service providers including </w:t>
            </w:r>
            <w:r w:rsidR="006C013E" w:rsidRPr="00B54A5F">
              <w:rPr>
                <w:color w:val="FFFFFF" w:themeColor="background1"/>
                <w:lang w:eastAsia="en-AU"/>
              </w:rPr>
              <w:t>GP</w:t>
            </w:r>
            <w:r w:rsidRPr="00B54A5F">
              <w:rPr>
                <w:color w:val="FFFFFF" w:themeColor="background1"/>
                <w:lang w:eastAsia="en-AU"/>
              </w:rPr>
              <w:t xml:space="preserve">s, specialist palliative care services and </w:t>
            </w:r>
            <w:r w:rsidR="006C013E" w:rsidRPr="00B54A5F">
              <w:rPr>
                <w:color w:val="FFFFFF" w:themeColor="background1"/>
                <w:lang w:eastAsia="en-AU"/>
              </w:rPr>
              <w:t xml:space="preserve">other </w:t>
            </w:r>
            <w:r w:rsidRPr="00B54A5F">
              <w:rPr>
                <w:color w:val="FFFFFF" w:themeColor="background1"/>
                <w:lang w:eastAsia="en-AU"/>
              </w:rPr>
              <w:t>clinicians</w:t>
            </w:r>
          </w:p>
        </w:tc>
        <w:tc>
          <w:tcPr>
            <w:tcW w:w="1886" w:type="dxa"/>
            <w:tcBorders>
              <w:top w:val="single" w:sz="24" w:space="0" w:color="F25E21" w:themeColor="accent2"/>
            </w:tcBorders>
            <w:shd w:val="clear" w:color="auto" w:fill="00264D" w:themeFill="background2"/>
            <w:vAlign w:val="center"/>
          </w:tcPr>
          <w:p w14:paraId="2A87AEA9" w14:textId="3C1B0193" w:rsidR="006D4DE5" w:rsidRPr="00B54A5F" w:rsidRDefault="006D4DE5" w:rsidP="001A6789">
            <w:pPr>
              <w:pStyle w:val="TableNheader"/>
              <w:jc w:val="center"/>
              <w:rPr>
                <w:rFonts w:asciiTheme="minorHAnsi" w:hAnsiTheme="minorHAnsi" w:cstheme="minorHAnsi"/>
                <w:color w:val="FFFFFF" w:themeColor="background1"/>
                <w:lang w:eastAsia="en-AU"/>
              </w:rPr>
            </w:pPr>
            <w:r w:rsidRPr="00B54A5F">
              <w:rPr>
                <w:rFonts w:asciiTheme="minorHAnsi" w:hAnsiTheme="minorHAnsi" w:cstheme="minorHAnsi"/>
                <w:color w:val="FFFFFF" w:themeColor="background1"/>
                <w:lang w:eastAsia="en-AU"/>
              </w:rPr>
              <w:t>Reported in:</w:t>
            </w:r>
          </w:p>
          <w:p w14:paraId="324464CF" w14:textId="17457009" w:rsidR="006D4DE5" w:rsidRPr="00B54A5F" w:rsidRDefault="007D1236" w:rsidP="001A6789">
            <w:pPr>
              <w:pStyle w:val="TableNheader"/>
              <w:jc w:val="center"/>
              <w:rPr>
                <w:rFonts w:asciiTheme="minorHAnsi" w:hAnsiTheme="minorHAnsi" w:cstheme="minorHAnsi"/>
                <w:color w:val="FFFFFF" w:themeColor="background1"/>
                <w:lang w:eastAsia="en-AU"/>
              </w:rPr>
            </w:pPr>
            <w:r w:rsidRPr="00B54A5F">
              <w:rPr>
                <w:rFonts w:asciiTheme="minorHAnsi" w:hAnsiTheme="minorHAnsi" w:cstheme="minorHAnsi"/>
                <w:color w:val="FFFFFF" w:themeColor="background1"/>
                <w:lang w:eastAsia="en-AU"/>
              </w:rPr>
              <w:t>Mid</w:t>
            </w:r>
            <w:r w:rsidR="00A50340" w:rsidRPr="00B54A5F">
              <w:rPr>
                <w:rFonts w:asciiTheme="minorHAnsi" w:hAnsiTheme="minorHAnsi" w:cstheme="minorHAnsi"/>
                <w:color w:val="FFFFFF" w:themeColor="background1"/>
                <w:lang w:eastAsia="en-AU"/>
              </w:rPr>
              <w:t>point</w:t>
            </w:r>
            <w:r w:rsidRPr="00B54A5F">
              <w:rPr>
                <w:rFonts w:asciiTheme="minorHAnsi" w:hAnsiTheme="minorHAnsi" w:cstheme="minorHAnsi"/>
                <w:color w:val="FFFFFF" w:themeColor="background1"/>
                <w:lang w:eastAsia="en-AU"/>
              </w:rPr>
              <w:t xml:space="preserve"> Report</w:t>
            </w:r>
          </w:p>
          <w:p w14:paraId="04DC23C2" w14:textId="120466CE" w:rsidR="006D4DE5" w:rsidRPr="00B54A5F" w:rsidRDefault="006D4DE5" w:rsidP="001A6789">
            <w:pPr>
              <w:pStyle w:val="TableNheader"/>
              <w:jc w:val="center"/>
              <w:rPr>
                <w:rFonts w:asciiTheme="minorHAnsi" w:hAnsiTheme="minorHAnsi" w:cstheme="minorHAnsi"/>
                <w:color w:val="FFFFFF" w:themeColor="background1"/>
                <w:lang w:eastAsia="en-AU"/>
              </w:rPr>
            </w:pPr>
            <w:r w:rsidRPr="00B54A5F">
              <w:rPr>
                <w:rFonts w:asciiTheme="minorHAnsi" w:hAnsiTheme="minorHAnsi" w:cstheme="minorHAnsi"/>
                <w:color w:val="FFFFFF" w:themeColor="background1"/>
                <w:lang w:eastAsia="en-AU"/>
              </w:rPr>
              <w:t xml:space="preserve">Final </w:t>
            </w:r>
            <w:r w:rsidR="007D1236" w:rsidRPr="00B54A5F">
              <w:rPr>
                <w:rFonts w:asciiTheme="minorHAnsi" w:hAnsiTheme="minorHAnsi" w:cstheme="minorHAnsi"/>
                <w:color w:val="FFFFFF" w:themeColor="background1"/>
                <w:lang w:eastAsia="en-AU"/>
              </w:rPr>
              <w:t>Report</w:t>
            </w:r>
          </w:p>
        </w:tc>
      </w:tr>
      <w:tr w:rsidR="006D4DE5" w:rsidRPr="0035440F" w14:paraId="1C013C5A" w14:textId="77777777" w:rsidTr="00F55E11">
        <w:tc>
          <w:tcPr>
            <w:tcW w:w="1432" w:type="dxa"/>
            <w:shd w:val="clear" w:color="auto" w:fill="E6E6E1" w:themeFill="accent5"/>
          </w:tcPr>
          <w:p w14:paraId="1EC0A008" w14:textId="77777777" w:rsidR="006D4DE5" w:rsidRPr="00A771A9" w:rsidRDefault="006D4DE5" w:rsidP="00B54A5F">
            <w:pPr>
              <w:pStyle w:val="TableNheader"/>
              <w:rPr>
                <w:lang w:eastAsia="en-AU"/>
              </w:rPr>
            </w:pPr>
            <w:r w:rsidRPr="00A771A9">
              <w:rPr>
                <w:lang w:eastAsia="en-AU"/>
              </w:rPr>
              <w:t>Purpose and rationale</w:t>
            </w:r>
          </w:p>
        </w:tc>
        <w:tc>
          <w:tcPr>
            <w:tcW w:w="7488" w:type="dxa"/>
            <w:gridSpan w:val="2"/>
          </w:tcPr>
          <w:p w14:paraId="5EC8216E" w14:textId="5BDB7E17" w:rsidR="006D4DE5" w:rsidRPr="00A771A9" w:rsidRDefault="006D4DE5" w:rsidP="00B54A5F">
            <w:pPr>
              <w:pStyle w:val="TableNText"/>
            </w:pPr>
            <w:r w:rsidRPr="00A771A9">
              <w:t xml:space="preserve">Consultations with palliative care service providers – such as </w:t>
            </w:r>
            <w:r w:rsidR="00B9691D" w:rsidRPr="00A771A9">
              <w:t>GPs</w:t>
            </w:r>
            <w:r w:rsidRPr="00A771A9">
              <w:t>, specialist palliative care services and other clinicians – will provide the palliative care providers perspective to inform the evaluation of the Measure.</w:t>
            </w:r>
          </w:p>
          <w:p w14:paraId="3EB76096" w14:textId="15DE38A3" w:rsidR="006D4DE5" w:rsidRPr="00A771A9" w:rsidRDefault="006D4DE5" w:rsidP="00B54A5F">
            <w:pPr>
              <w:pStyle w:val="TableNText"/>
            </w:pPr>
            <w:r w:rsidRPr="00A771A9">
              <w:t xml:space="preserve">The provider’s perspective on palliative care will include qualitative information on delivery, care coordination </w:t>
            </w:r>
            <w:r w:rsidR="000B1E9E" w:rsidRPr="00A771A9">
              <w:t xml:space="preserve">across the health and aged care sectors </w:t>
            </w:r>
            <w:r w:rsidRPr="00A771A9">
              <w:t xml:space="preserve">and training. These consultations will supplement limited data on palliative care service delivery within RACFs. </w:t>
            </w:r>
          </w:p>
        </w:tc>
      </w:tr>
      <w:tr w:rsidR="006D4DE5" w:rsidRPr="0035440F" w14:paraId="520A2EF5" w14:textId="77777777" w:rsidTr="00F55E11">
        <w:tc>
          <w:tcPr>
            <w:tcW w:w="1432" w:type="dxa"/>
            <w:shd w:val="clear" w:color="auto" w:fill="E6E6E1" w:themeFill="accent5"/>
          </w:tcPr>
          <w:p w14:paraId="767504B6" w14:textId="77777777" w:rsidR="006D4DE5" w:rsidRPr="00A771A9" w:rsidRDefault="006D4DE5" w:rsidP="00B54A5F">
            <w:pPr>
              <w:pStyle w:val="TableNheader"/>
              <w:rPr>
                <w:lang w:eastAsia="en-AU"/>
              </w:rPr>
            </w:pPr>
            <w:r w:rsidRPr="00A771A9">
              <w:rPr>
                <w:lang w:eastAsia="en-AU"/>
              </w:rPr>
              <w:t xml:space="preserve">Collection methodology </w:t>
            </w:r>
          </w:p>
        </w:tc>
        <w:tc>
          <w:tcPr>
            <w:tcW w:w="7488" w:type="dxa"/>
            <w:gridSpan w:val="2"/>
          </w:tcPr>
          <w:p w14:paraId="27C1434A" w14:textId="40019B78" w:rsidR="003B0875" w:rsidRPr="00A771A9" w:rsidRDefault="006D4DE5" w:rsidP="00B54A5F">
            <w:pPr>
              <w:pStyle w:val="TableNText"/>
            </w:pPr>
            <w:r w:rsidRPr="00A771A9">
              <w:t>Nous will hold semi-structured 30-</w:t>
            </w:r>
            <w:r w:rsidR="00CA7913" w:rsidRPr="00A771A9">
              <w:t xml:space="preserve"> to </w:t>
            </w:r>
            <w:r w:rsidRPr="00A771A9">
              <w:t>60</w:t>
            </w:r>
            <w:r w:rsidR="00CA7913" w:rsidRPr="00A771A9">
              <w:t>-</w:t>
            </w:r>
            <w:r w:rsidRPr="00A771A9">
              <w:t xml:space="preserve">minute </w:t>
            </w:r>
            <w:r w:rsidR="00A16C92" w:rsidRPr="00A771A9">
              <w:t>focus group</w:t>
            </w:r>
            <w:r w:rsidRPr="00A771A9">
              <w:t xml:space="preserve"> teleconferences twice during the evaluation. </w:t>
            </w:r>
          </w:p>
          <w:p w14:paraId="0242A6EB" w14:textId="514E65F7" w:rsidR="006D4DE5" w:rsidRPr="00A771A9" w:rsidRDefault="003B0875" w:rsidP="00B54A5F">
            <w:pPr>
              <w:pStyle w:val="TableNText"/>
            </w:pPr>
            <w:r w:rsidRPr="00A771A9">
              <w:t>Nous</w:t>
            </w:r>
            <w:r w:rsidR="00D019A5" w:rsidRPr="00A771A9">
              <w:t xml:space="preserve"> will </w:t>
            </w:r>
            <w:r w:rsidR="003A5D9E" w:rsidRPr="00A771A9">
              <w:t>aim to</w:t>
            </w:r>
            <w:r w:rsidRPr="00A771A9">
              <w:t xml:space="preserve"> hold </w:t>
            </w:r>
            <w:r w:rsidR="003A5D9E" w:rsidRPr="00A771A9">
              <w:t>two focus groups per jurisdiction – one for</w:t>
            </w:r>
            <w:r w:rsidR="00D019A5" w:rsidRPr="00A771A9">
              <w:t xml:space="preserve"> </w:t>
            </w:r>
            <w:r w:rsidR="007A387D" w:rsidRPr="00A771A9">
              <w:t>generalist palliative care providers and specialist palliative care providers</w:t>
            </w:r>
            <w:r w:rsidR="00CA7913" w:rsidRPr="00A771A9">
              <w:t>; h</w:t>
            </w:r>
            <w:r w:rsidR="003A5D9E" w:rsidRPr="00A771A9">
              <w:t>owever, in larger jurisdictions (Victoria, NSW, Queensland), we may hold up to four (</w:t>
            </w:r>
            <w:proofErr w:type="gramStart"/>
            <w:r w:rsidR="003A5D9E" w:rsidRPr="00A771A9">
              <w:t>e.g.</w:t>
            </w:r>
            <w:proofErr w:type="gramEnd"/>
            <w:r w:rsidR="003A5D9E" w:rsidRPr="00A771A9">
              <w:t xml:space="preserve"> two each for generalist and specialist providers). Nous may combine smaller jurisdictions into one focus group if there are small numbers. </w:t>
            </w:r>
          </w:p>
        </w:tc>
      </w:tr>
      <w:tr w:rsidR="006D4DE5" w:rsidRPr="0035440F" w14:paraId="43BDFD5F" w14:textId="77777777" w:rsidTr="00F55E11">
        <w:tc>
          <w:tcPr>
            <w:tcW w:w="1432" w:type="dxa"/>
            <w:shd w:val="clear" w:color="auto" w:fill="E6E6E1" w:themeFill="accent5"/>
          </w:tcPr>
          <w:p w14:paraId="6BB83F93" w14:textId="77777777" w:rsidR="006D4DE5" w:rsidRPr="00A771A9" w:rsidRDefault="006D4DE5" w:rsidP="00B54A5F">
            <w:pPr>
              <w:pStyle w:val="TableNheader"/>
              <w:rPr>
                <w:lang w:eastAsia="en-AU"/>
              </w:rPr>
            </w:pPr>
            <w:r w:rsidRPr="00A771A9">
              <w:rPr>
                <w:lang w:eastAsia="en-AU"/>
              </w:rPr>
              <w:t xml:space="preserve">Considerations </w:t>
            </w:r>
          </w:p>
        </w:tc>
        <w:tc>
          <w:tcPr>
            <w:tcW w:w="7488" w:type="dxa"/>
            <w:gridSpan w:val="2"/>
          </w:tcPr>
          <w:p w14:paraId="166BE1B1" w14:textId="61B01A14" w:rsidR="006D4DE5" w:rsidRPr="00A771A9" w:rsidRDefault="006D4DE5" w:rsidP="00B96E2D">
            <w:pPr>
              <w:pStyle w:val="TableNText"/>
            </w:pPr>
            <w:r w:rsidRPr="00A771A9">
              <w:t>Nous will request states and territories to nominate clinician contacts via the six-monthly standard data collection templates they will provide.</w:t>
            </w:r>
            <w:r w:rsidR="00535192">
              <w:t xml:space="preserve"> </w:t>
            </w:r>
          </w:p>
        </w:tc>
      </w:tr>
      <w:tr w:rsidR="006D4DE5" w:rsidRPr="0035440F" w14:paraId="6DEF1754" w14:textId="77777777" w:rsidTr="00F55E11">
        <w:tc>
          <w:tcPr>
            <w:tcW w:w="1432" w:type="dxa"/>
            <w:shd w:val="clear" w:color="auto" w:fill="E6E6E1" w:themeFill="accent5"/>
          </w:tcPr>
          <w:p w14:paraId="6AADF695" w14:textId="77777777" w:rsidR="006D4DE5" w:rsidRPr="00A771A9" w:rsidRDefault="006D4DE5" w:rsidP="00B54A5F">
            <w:pPr>
              <w:pStyle w:val="TableNheader"/>
              <w:rPr>
                <w:lang w:eastAsia="en-AU"/>
              </w:rPr>
            </w:pPr>
            <w:r w:rsidRPr="00A771A9">
              <w:rPr>
                <w:lang w:eastAsia="en-AU"/>
              </w:rPr>
              <w:t xml:space="preserve">Frequency of collection </w:t>
            </w:r>
          </w:p>
        </w:tc>
        <w:tc>
          <w:tcPr>
            <w:tcW w:w="7488" w:type="dxa"/>
            <w:gridSpan w:val="2"/>
          </w:tcPr>
          <w:p w14:paraId="2ED9A080" w14:textId="788FC7EE" w:rsidR="006D4DE5" w:rsidRPr="00A771A9" w:rsidRDefault="006D4DE5" w:rsidP="00B54A5F">
            <w:pPr>
              <w:pStyle w:val="TableNText"/>
              <w:rPr>
                <w:lang w:eastAsia="en-AU"/>
              </w:rPr>
            </w:pPr>
            <w:r w:rsidRPr="00A771A9">
              <w:rPr>
                <w:lang w:eastAsia="en-AU"/>
              </w:rPr>
              <w:t>Twice during the evaluation: in May 2022 and June 2023.</w:t>
            </w:r>
          </w:p>
        </w:tc>
      </w:tr>
      <w:tr w:rsidR="006D4DE5" w:rsidRPr="0035440F" w14:paraId="3A69BF25" w14:textId="77777777" w:rsidTr="00F55E11">
        <w:tc>
          <w:tcPr>
            <w:tcW w:w="1432" w:type="dxa"/>
            <w:shd w:val="clear" w:color="auto" w:fill="E6E6E1" w:themeFill="accent5"/>
          </w:tcPr>
          <w:p w14:paraId="085EE0A3" w14:textId="77777777" w:rsidR="006D4DE5" w:rsidRPr="00A771A9" w:rsidRDefault="006D4DE5" w:rsidP="00B54A5F">
            <w:pPr>
              <w:pStyle w:val="TableNheader"/>
              <w:rPr>
                <w:lang w:eastAsia="en-AU"/>
              </w:rPr>
            </w:pPr>
            <w:r w:rsidRPr="00A771A9">
              <w:rPr>
                <w:lang w:eastAsia="en-AU"/>
              </w:rPr>
              <w:t>Scope</w:t>
            </w:r>
          </w:p>
        </w:tc>
        <w:tc>
          <w:tcPr>
            <w:tcW w:w="7488" w:type="dxa"/>
            <w:gridSpan w:val="2"/>
          </w:tcPr>
          <w:p w14:paraId="3ADC8F14" w14:textId="3EF5EA93" w:rsidR="006D4DE5" w:rsidRPr="00A771A9" w:rsidRDefault="006D4DE5" w:rsidP="00B54A5F">
            <w:pPr>
              <w:pStyle w:val="TableNText"/>
              <w:rPr>
                <w:lang w:eastAsia="en-AU"/>
              </w:rPr>
            </w:pPr>
            <w:r w:rsidRPr="00A771A9">
              <w:rPr>
                <w:lang w:eastAsia="en-AU"/>
              </w:rPr>
              <w:t xml:space="preserve">A sample of service providers from all jurisdictions participating in the Measure. </w:t>
            </w:r>
          </w:p>
        </w:tc>
      </w:tr>
    </w:tbl>
    <w:p w14:paraId="597D7C50" w14:textId="2763707A" w:rsidR="007E6EEF" w:rsidRDefault="007E6EEF" w:rsidP="006D4DE5"/>
    <w:p w14:paraId="2CDEB311" w14:textId="77777777" w:rsidR="007E6EEF" w:rsidRDefault="007E6EEF">
      <w:pPr>
        <w:spacing w:after="165" w:line="259" w:lineRule="auto"/>
      </w:pPr>
      <w:r>
        <w:br w:type="page"/>
      </w:r>
    </w:p>
    <w:tbl>
      <w:tblPr>
        <w:tblStyle w:val="TableGridLight"/>
        <w:tblW w:w="8926" w:type="dxa"/>
        <w:tblCellMar>
          <w:top w:w="57" w:type="dxa"/>
        </w:tblCellMar>
        <w:tblLook w:val="04A0" w:firstRow="1" w:lastRow="0" w:firstColumn="1" w:lastColumn="0" w:noHBand="0" w:noVBand="1"/>
        <w:tblCaption w:val="This table details the consultations with other key stakeholders including peak bodies and other national palliative care projects which will be reported in the Midpoint Report and the Final Report"/>
        <w:tblDescription w:val="Purpose and rationale:&#10;Consultations with key stakeholders, such as aged care and palliative care peak bodies and other national initiatives will provide qualitative information to inform the evaluation of the Measure. They will inform the operational context and provide information to assist in understanding the process and impact aspects of the evaluation. This will include identifying successful models of care and how health interface issues have been addressed.&#10;Consultations with bodies that may hold relevant data, such as Australian Institute of Health and Welfare (AIHW), ELDAC and PCOC, will be held throughout the evaluation to their current data holdings and how they may inform the evaluation.&#10;&#10;Collection methodology:&#10;Nous will hold semi-structured 30- to 60-minute teleconferences twice during the evaluation.&#10;&#10;Considerations:&#10;Stakeholders in this group will likely include national and jurisdictional PCA bodies, Leading Age Services Australia (LASA), Council on the Ageing Australia (COTA), PCOC, ELDAC and others. See section 7 for further information.&#10;&#10;Frequency of collection:&#10;Twice during the evaluation: in May 2022 and June 2023.&#10;&#10;Scope:&#10;A sample of stakeholders across all jurisdictions participating in the Measure. &#10;"/>
      </w:tblPr>
      <w:tblGrid>
        <w:gridCol w:w="1432"/>
        <w:gridCol w:w="5429"/>
        <w:gridCol w:w="2059"/>
        <w:gridCol w:w="6"/>
      </w:tblGrid>
      <w:tr w:rsidR="006D4DE5" w:rsidRPr="0035440F" w14:paraId="56B95D76" w14:textId="77777777" w:rsidTr="00F16001">
        <w:trPr>
          <w:gridAfter w:val="1"/>
          <w:wAfter w:w="6" w:type="dxa"/>
          <w:trHeight w:val="340"/>
        </w:trPr>
        <w:tc>
          <w:tcPr>
            <w:tcW w:w="1432" w:type="dxa"/>
            <w:tcBorders>
              <w:top w:val="single" w:sz="24" w:space="0" w:color="F25E21" w:themeColor="accent2"/>
            </w:tcBorders>
            <w:shd w:val="clear" w:color="auto" w:fill="00264D" w:themeFill="background2"/>
            <w:vAlign w:val="center"/>
          </w:tcPr>
          <w:p w14:paraId="000142E9" w14:textId="183EFEC3" w:rsidR="006D4DE5" w:rsidRPr="0035440F" w:rsidRDefault="008B036F" w:rsidP="00B25FA6">
            <w:pPr>
              <w:jc w:val="center"/>
              <w:rPr>
                <w:color w:val="FFFFFF" w:themeColor="background1"/>
                <w:sz w:val="16"/>
                <w:szCs w:val="16"/>
                <w:lang w:eastAsia="en-AU"/>
              </w:rPr>
            </w:pPr>
            <w:r w:rsidRPr="00112FD2">
              <w:rPr>
                <w:noProof/>
                <w:color w:val="FFFFFF" w:themeColor="background1"/>
                <w:sz w:val="16"/>
                <w:szCs w:val="16"/>
                <w:lang w:eastAsia="en-AU"/>
              </w:rPr>
              <w:lastRenderedPageBreak/>
              <w:drawing>
                <wp:inline distT="0" distB="0" distL="0" distR="0" wp14:anchorId="43C042F3" wp14:editId="6E26CEB9">
                  <wp:extent cx="318135" cy="334010"/>
                  <wp:effectExtent l="0" t="0" r="5715" b="8890"/>
                  <wp:docPr id="27897" name="Picture 278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7" name="Picture 27897">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8135" cy="334010"/>
                          </a:xfrm>
                          <a:prstGeom prst="rect">
                            <a:avLst/>
                          </a:prstGeom>
                          <a:noFill/>
                          <a:ln>
                            <a:noFill/>
                          </a:ln>
                        </pic:spPr>
                      </pic:pic>
                    </a:graphicData>
                  </a:graphic>
                </wp:inline>
              </w:drawing>
            </w:r>
          </w:p>
        </w:tc>
        <w:tc>
          <w:tcPr>
            <w:tcW w:w="5429" w:type="dxa"/>
            <w:tcBorders>
              <w:top w:val="single" w:sz="24" w:space="0" w:color="F25E21" w:themeColor="accent2"/>
            </w:tcBorders>
            <w:shd w:val="clear" w:color="auto" w:fill="00264D" w:themeFill="background2"/>
            <w:vAlign w:val="center"/>
          </w:tcPr>
          <w:p w14:paraId="4B708730" w14:textId="74942AAF" w:rsidR="006D4DE5" w:rsidRPr="00B54A5F" w:rsidRDefault="006D4DE5" w:rsidP="00B54A5F">
            <w:pPr>
              <w:pStyle w:val="TableNheader"/>
              <w:rPr>
                <w:color w:val="FFFFFF" w:themeColor="background1"/>
                <w:lang w:eastAsia="en-AU"/>
              </w:rPr>
            </w:pPr>
            <w:r w:rsidRPr="00B54A5F">
              <w:rPr>
                <w:color w:val="FFFFFF" w:themeColor="background1"/>
                <w:lang w:eastAsia="en-AU"/>
              </w:rPr>
              <w:t xml:space="preserve">Consultations with other key stakeholders including peak bodies and other national </w:t>
            </w:r>
            <w:r w:rsidR="00463E57" w:rsidRPr="00B54A5F">
              <w:rPr>
                <w:color w:val="FFFFFF" w:themeColor="background1"/>
                <w:lang w:eastAsia="en-AU"/>
              </w:rPr>
              <w:t>palliative care projects</w:t>
            </w:r>
            <w:r w:rsidRPr="00B54A5F">
              <w:rPr>
                <w:color w:val="FFFFFF" w:themeColor="background1"/>
                <w:lang w:eastAsia="en-AU"/>
              </w:rPr>
              <w:t xml:space="preserve"> </w:t>
            </w:r>
          </w:p>
        </w:tc>
        <w:tc>
          <w:tcPr>
            <w:tcW w:w="2059" w:type="dxa"/>
            <w:tcBorders>
              <w:top w:val="single" w:sz="24" w:space="0" w:color="F25E21" w:themeColor="accent2"/>
            </w:tcBorders>
            <w:shd w:val="clear" w:color="auto" w:fill="00264D" w:themeFill="background2"/>
            <w:vAlign w:val="center"/>
          </w:tcPr>
          <w:p w14:paraId="36FF0C2A" w14:textId="02807490" w:rsidR="006D4DE5" w:rsidRPr="00B54A5F" w:rsidRDefault="006D4DE5" w:rsidP="001A6789">
            <w:pPr>
              <w:pStyle w:val="TableNheader"/>
              <w:jc w:val="center"/>
              <w:rPr>
                <w:rFonts w:asciiTheme="minorHAnsi" w:hAnsiTheme="minorHAnsi" w:cstheme="minorHAnsi"/>
                <w:color w:val="FFFFFF" w:themeColor="background1"/>
                <w:lang w:eastAsia="en-AU"/>
              </w:rPr>
            </w:pPr>
            <w:r w:rsidRPr="00B54A5F">
              <w:rPr>
                <w:rFonts w:asciiTheme="minorHAnsi" w:hAnsiTheme="minorHAnsi" w:cstheme="minorHAnsi"/>
                <w:color w:val="FFFFFF" w:themeColor="background1"/>
                <w:lang w:eastAsia="en-AU"/>
              </w:rPr>
              <w:t>Reported in:</w:t>
            </w:r>
          </w:p>
          <w:p w14:paraId="718272C8" w14:textId="6E5C0F60" w:rsidR="006D4DE5" w:rsidRPr="00B54A5F" w:rsidRDefault="007D1236" w:rsidP="001A6789">
            <w:pPr>
              <w:pStyle w:val="TableNheader"/>
              <w:jc w:val="center"/>
              <w:rPr>
                <w:rFonts w:asciiTheme="minorHAnsi" w:hAnsiTheme="minorHAnsi" w:cstheme="minorHAnsi"/>
                <w:color w:val="FFFFFF" w:themeColor="background1"/>
                <w:lang w:eastAsia="en-AU"/>
              </w:rPr>
            </w:pPr>
            <w:r w:rsidRPr="00B54A5F">
              <w:rPr>
                <w:rFonts w:asciiTheme="minorHAnsi" w:hAnsiTheme="minorHAnsi" w:cstheme="minorHAnsi"/>
                <w:color w:val="FFFFFF" w:themeColor="background1"/>
                <w:lang w:eastAsia="en-AU"/>
              </w:rPr>
              <w:t>Mid</w:t>
            </w:r>
            <w:r w:rsidR="00A50340" w:rsidRPr="00B54A5F">
              <w:rPr>
                <w:rFonts w:asciiTheme="minorHAnsi" w:hAnsiTheme="minorHAnsi" w:cstheme="minorHAnsi"/>
                <w:color w:val="FFFFFF" w:themeColor="background1"/>
                <w:lang w:eastAsia="en-AU"/>
              </w:rPr>
              <w:t>point</w:t>
            </w:r>
            <w:r w:rsidRPr="00B54A5F">
              <w:rPr>
                <w:rFonts w:asciiTheme="minorHAnsi" w:hAnsiTheme="minorHAnsi" w:cstheme="minorHAnsi"/>
                <w:color w:val="FFFFFF" w:themeColor="background1"/>
                <w:lang w:eastAsia="en-AU"/>
              </w:rPr>
              <w:t xml:space="preserve"> Report</w:t>
            </w:r>
          </w:p>
          <w:p w14:paraId="347A6675" w14:textId="745A40B1" w:rsidR="006D4DE5" w:rsidRPr="00B54A5F" w:rsidRDefault="006D4DE5" w:rsidP="001A6789">
            <w:pPr>
              <w:pStyle w:val="TableNheader"/>
              <w:jc w:val="center"/>
              <w:rPr>
                <w:rFonts w:asciiTheme="minorHAnsi" w:hAnsiTheme="minorHAnsi" w:cstheme="minorHAnsi"/>
                <w:color w:val="FFFFFF" w:themeColor="background1"/>
                <w:lang w:eastAsia="en-AU"/>
              </w:rPr>
            </w:pPr>
            <w:r w:rsidRPr="00B54A5F">
              <w:rPr>
                <w:rFonts w:asciiTheme="minorHAnsi" w:hAnsiTheme="minorHAnsi" w:cstheme="minorHAnsi"/>
                <w:color w:val="FFFFFF" w:themeColor="background1"/>
                <w:lang w:eastAsia="en-AU"/>
              </w:rPr>
              <w:t xml:space="preserve">Final </w:t>
            </w:r>
            <w:r w:rsidR="007D1236" w:rsidRPr="00B54A5F">
              <w:rPr>
                <w:rFonts w:asciiTheme="minorHAnsi" w:hAnsiTheme="minorHAnsi" w:cstheme="minorHAnsi"/>
                <w:color w:val="FFFFFF" w:themeColor="background1"/>
                <w:lang w:eastAsia="en-AU"/>
              </w:rPr>
              <w:t>Report</w:t>
            </w:r>
          </w:p>
        </w:tc>
      </w:tr>
      <w:tr w:rsidR="006D4DE5" w:rsidRPr="0035440F" w14:paraId="7A986D8D" w14:textId="77777777" w:rsidTr="00B26B42">
        <w:tc>
          <w:tcPr>
            <w:tcW w:w="1432" w:type="dxa"/>
            <w:shd w:val="clear" w:color="auto" w:fill="E6E6E1" w:themeFill="accent5"/>
          </w:tcPr>
          <w:p w14:paraId="2043523C" w14:textId="77777777" w:rsidR="006D4DE5" w:rsidRPr="00A771A9" w:rsidRDefault="006D4DE5" w:rsidP="00B54A5F">
            <w:pPr>
              <w:pStyle w:val="TableNheader"/>
              <w:rPr>
                <w:lang w:eastAsia="en-AU"/>
              </w:rPr>
            </w:pPr>
            <w:r w:rsidRPr="00A771A9">
              <w:rPr>
                <w:lang w:eastAsia="en-AU"/>
              </w:rPr>
              <w:t>Purpose and rationale</w:t>
            </w:r>
          </w:p>
        </w:tc>
        <w:tc>
          <w:tcPr>
            <w:tcW w:w="7494" w:type="dxa"/>
            <w:gridSpan w:val="3"/>
          </w:tcPr>
          <w:p w14:paraId="51B67D85" w14:textId="77777777" w:rsidR="006D4DE5" w:rsidRPr="00A771A9" w:rsidRDefault="006D4DE5" w:rsidP="00B54A5F">
            <w:pPr>
              <w:pStyle w:val="TableNText"/>
            </w:pPr>
            <w:r w:rsidRPr="00A771A9">
              <w:t>Consultations with key stakeholders, such as aged care and palliative care peak bodies and other national initiatives will provide qualitative information to inform the evaluation of the Measure. They will inform the operational context and provide information to assist in understanding the process and impact aspects of the evaluation. This will include identifying successful models of care and how health interface issues have been addressed.</w:t>
            </w:r>
          </w:p>
          <w:p w14:paraId="60FA3A38" w14:textId="0C1A7E3D" w:rsidR="006D4DE5" w:rsidRPr="00A771A9" w:rsidRDefault="006D4DE5" w:rsidP="00B54A5F">
            <w:pPr>
              <w:pStyle w:val="TableNText"/>
            </w:pPr>
            <w:r w:rsidRPr="00A771A9">
              <w:t xml:space="preserve">Consultations with bodies that may hold relevant data, such as </w:t>
            </w:r>
            <w:r w:rsidR="009A7603" w:rsidRPr="00A771A9">
              <w:t>Australian Institute of Health and Welfare</w:t>
            </w:r>
            <w:r w:rsidRPr="00A771A9">
              <w:t xml:space="preserve"> </w:t>
            </w:r>
            <w:r w:rsidR="00A978B2" w:rsidRPr="00A771A9">
              <w:t>(</w:t>
            </w:r>
            <w:r w:rsidR="00793F1D" w:rsidRPr="00A771A9">
              <w:t>AIHW</w:t>
            </w:r>
            <w:r w:rsidR="00A978B2" w:rsidRPr="00A771A9">
              <w:t>)</w:t>
            </w:r>
            <w:r w:rsidR="00793F1D" w:rsidRPr="00A771A9">
              <w:t>, E</w:t>
            </w:r>
            <w:r w:rsidR="00A978B2" w:rsidRPr="00A771A9">
              <w:t>L</w:t>
            </w:r>
            <w:r w:rsidR="00793F1D" w:rsidRPr="00A771A9">
              <w:t>DAC</w:t>
            </w:r>
            <w:r w:rsidRPr="00A771A9">
              <w:t xml:space="preserve"> and PCOC, will be held throughout the evaluation to their current data holdings and how they may inform the evaluation.</w:t>
            </w:r>
          </w:p>
        </w:tc>
      </w:tr>
      <w:tr w:rsidR="006D4DE5" w:rsidRPr="0035440F" w14:paraId="116913BF" w14:textId="77777777" w:rsidTr="00B26B42">
        <w:tc>
          <w:tcPr>
            <w:tcW w:w="1432" w:type="dxa"/>
            <w:shd w:val="clear" w:color="auto" w:fill="E6E6E1" w:themeFill="accent5"/>
          </w:tcPr>
          <w:p w14:paraId="44AFBA0D" w14:textId="77777777" w:rsidR="006D4DE5" w:rsidRPr="00A771A9" w:rsidRDefault="006D4DE5" w:rsidP="00B54A5F">
            <w:pPr>
              <w:pStyle w:val="TableNheader"/>
              <w:rPr>
                <w:lang w:eastAsia="en-AU"/>
              </w:rPr>
            </w:pPr>
            <w:r w:rsidRPr="00A771A9">
              <w:rPr>
                <w:lang w:eastAsia="en-AU"/>
              </w:rPr>
              <w:t xml:space="preserve">Collection methodology </w:t>
            </w:r>
          </w:p>
        </w:tc>
        <w:tc>
          <w:tcPr>
            <w:tcW w:w="7494" w:type="dxa"/>
            <w:gridSpan w:val="3"/>
          </w:tcPr>
          <w:p w14:paraId="24815A11" w14:textId="3B568745" w:rsidR="006D4DE5" w:rsidRPr="00A771A9" w:rsidRDefault="006D4DE5" w:rsidP="00B54A5F">
            <w:pPr>
              <w:pStyle w:val="TableNText"/>
            </w:pPr>
            <w:r w:rsidRPr="00A771A9">
              <w:t>Nous will hold semi-structured 30-</w:t>
            </w:r>
            <w:r w:rsidR="00933531" w:rsidRPr="00A771A9">
              <w:t xml:space="preserve"> to </w:t>
            </w:r>
            <w:r w:rsidRPr="00A771A9">
              <w:t>60</w:t>
            </w:r>
            <w:r w:rsidR="00933531" w:rsidRPr="00A771A9">
              <w:t>-</w:t>
            </w:r>
            <w:r w:rsidRPr="00A771A9">
              <w:t>minute teleconferences twice during the evaluation.</w:t>
            </w:r>
          </w:p>
        </w:tc>
      </w:tr>
      <w:tr w:rsidR="006D4DE5" w:rsidRPr="0035440F" w14:paraId="074BF820" w14:textId="77777777" w:rsidTr="00B26B42">
        <w:tc>
          <w:tcPr>
            <w:tcW w:w="1432" w:type="dxa"/>
            <w:shd w:val="clear" w:color="auto" w:fill="E6E6E1" w:themeFill="accent5"/>
          </w:tcPr>
          <w:p w14:paraId="07274A80" w14:textId="77777777" w:rsidR="006D4DE5" w:rsidRPr="00A771A9" w:rsidRDefault="006D4DE5" w:rsidP="00B54A5F">
            <w:pPr>
              <w:pStyle w:val="TableNheader"/>
              <w:rPr>
                <w:lang w:eastAsia="en-AU"/>
              </w:rPr>
            </w:pPr>
            <w:r w:rsidRPr="00A771A9">
              <w:rPr>
                <w:lang w:eastAsia="en-AU"/>
              </w:rPr>
              <w:t xml:space="preserve">Considerations </w:t>
            </w:r>
          </w:p>
        </w:tc>
        <w:tc>
          <w:tcPr>
            <w:tcW w:w="7494" w:type="dxa"/>
            <w:gridSpan w:val="3"/>
          </w:tcPr>
          <w:p w14:paraId="0961C840" w14:textId="7AE7EA40" w:rsidR="006D4DE5" w:rsidRPr="00A771A9" w:rsidRDefault="006D4DE5" w:rsidP="00B54A5F">
            <w:pPr>
              <w:pStyle w:val="TableNText"/>
            </w:pPr>
            <w:r w:rsidRPr="00A771A9">
              <w:t>Stakeholders in this group will likely include national and jurisdictional PCA bodies,</w:t>
            </w:r>
            <w:r>
              <w:t xml:space="preserve"> </w:t>
            </w:r>
            <w:r w:rsidRPr="00A771A9">
              <w:t xml:space="preserve">Leading Age Services Australia (LASA), Council on the Ageing Australia (COTA), PCOC, ELDAC and others. See section </w:t>
            </w:r>
            <w:r w:rsidRPr="00A771A9">
              <w:fldChar w:fldCharType="begin"/>
            </w:r>
            <w:r w:rsidRPr="00A771A9">
              <w:instrText xml:space="preserve"> REF _Ref57898766 \r \h </w:instrText>
            </w:r>
            <w:r w:rsidR="00B54A5F">
              <w:instrText xml:space="preserve"> \* MERGEFORMAT </w:instrText>
            </w:r>
            <w:r w:rsidRPr="00A771A9">
              <w:fldChar w:fldCharType="separate"/>
            </w:r>
            <w:r w:rsidR="00DF258C">
              <w:t>7</w:t>
            </w:r>
            <w:r w:rsidRPr="00A771A9">
              <w:fldChar w:fldCharType="end"/>
            </w:r>
            <w:r w:rsidRPr="00A771A9">
              <w:t xml:space="preserve"> for further information.</w:t>
            </w:r>
          </w:p>
        </w:tc>
      </w:tr>
      <w:tr w:rsidR="006D4DE5" w:rsidRPr="0035440F" w14:paraId="050ED7D6" w14:textId="77777777" w:rsidTr="00B26B42">
        <w:tc>
          <w:tcPr>
            <w:tcW w:w="1432" w:type="dxa"/>
            <w:shd w:val="clear" w:color="auto" w:fill="E6E6E1" w:themeFill="accent5"/>
          </w:tcPr>
          <w:p w14:paraId="087A91EF" w14:textId="77777777" w:rsidR="006D4DE5" w:rsidRPr="00A771A9" w:rsidRDefault="006D4DE5" w:rsidP="00B54A5F">
            <w:pPr>
              <w:pStyle w:val="TableNheader"/>
              <w:rPr>
                <w:lang w:eastAsia="en-AU"/>
              </w:rPr>
            </w:pPr>
            <w:r w:rsidRPr="00A771A9">
              <w:rPr>
                <w:lang w:eastAsia="en-AU"/>
              </w:rPr>
              <w:t xml:space="preserve">Frequency of collection </w:t>
            </w:r>
          </w:p>
        </w:tc>
        <w:tc>
          <w:tcPr>
            <w:tcW w:w="7494" w:type="dxa"/>
            <w:gridSpan w:val="3"/>
          </w:tcPr>
          <w:p w14:paraId="613D3B0A" w14:textId="258ED1D2" w:rsidR="006D4DE5" w:rsidRPr="00A771A9" w:rsidRDefault="006D4DE5" w:rsidP="00B54A5F">
            <w:pPr>
              <w:pStyle w:val="TableNText"/>
              <w:rPr>
                <w:lang w:eastAsia="en-AU"/>
              </w:rPr>
            </w:pPr>
            <w:r w:rsidRPr="00A771A9">
              <w:rPr>
                <w:lang w:eastAsia="en-AU"/>
              </w:rPr>
              <w:t>Twice during the evaluation: in May 2022 and June 2023.</w:t>
            </w:r>
          </w:p>
        </w:tc>
      </w:tr>
      <w:tr w:rsidR="006D4DE5" w:rsidRPr="0035440F" w14:paraId="07ECE789" w14:textId="77777777" w:rsidTr="00B26B42">
        <w:tc>
          <w:tcPr>
            <w:tcW w:w="1432" w:type="dxa"/>
            <w:shd w:val="clear" w:color="auto" w:fill="E6E6E1" w:themeFill="accent5"/>
          </w:tcPr>
          <w:p w14:paraId="257AE11E" w14:textId="77777777" w:rsidR="006D4DE5" w:rsidRPr="00A771A9" w:rsidRDefault="006D4DE5" w:rsidP="00B54A5F">
            <w:pPr>
              <w:pStyle w:val="TableNheader"/>
              <w:rPr>
                <w:lang w:eastAsia="en-AU"/>
              </w:rPr>
            </w:pPr>
            <w:r w:rsidRPr="00A771A9">
              <w:rPr>
                <w:lang w:eastAsia="en-AU"/>
              </w:rPr>
              <w:t>Scope</w:t>
            </w:r>
          </w:p>
        </w:tc>
        <w:tc>
          <w:tcPr>
            <w:tcW w:w="7494" w:type="dxa"/>
            <w:gridSpan w:val="3"/>
          </w:tcPr>
          <w:p w14:paraId="761B1476" w14:textId="73143862" w:rsidR="006D4DE5" w:rsidRPr="00A771A9" w:rsidRDefault="006D4DE5" w:rsidP="00B54A5F">
            <w:pPr>
              <w:pStyle w:val="TableNText"/>
              <w:rPr>
                <w:lang w:eastAsia="en-AU"/>
              </w:rPr>
            </w:pPr>
            <w:r w:rsidRPr="00A771A9">
              <w:rPr>
                <w:lang w:eastAsia="en-AU"/>
              </w:rPr>
              <w:t xml:space="preserve">A sample of stakeholders across all jurisdictions participating in the Measure. </w:t>
            </w:r>
          </w:p>
        </w:tc>
      </w:tr>
    </w:tbl>
    <w:p w14:paraId="3DBAE6FB" w14:textId="7688563C" w:rsidR="00F55E11" w:rsidRDefault="00F55E11">
      <w:pPr>
        <w:spacing w:after="165" w:line="259" w:lineRule="auto"/>
      </w:pPr>
    </w:p>
    <w:tbl>
      <w:tblPr>
        <w:tblStyle w:val="TableGridLight"/>
        <w:tblW w:w="8926" w:type="dxa"/>
        <w:tblBorders>
          <w:bottom w:val="none" w:sz="0" w:space="0" w:color="auto"/>
        </w:tblBorders>
        <w:tblCellMar>
          <w:top w:w="57" w:type="dxa"/>
        </w:tblCellMar>
        <w:tblLook w:val="04A0" w:firstRow="1" w:lastRow="0" w:firstColumn="1" w:lastColumn="0" w:noHBand="0" w:noVBand="1"/>
        <w:tblCaption w:val="This table details the consultations with PCA consumer representative groups which will be reported in the Midpoint Report and the Final Report"/>
        <w:tblDescription w:val="Purpose and rationale:&#10;Consultations with PCA consumer representative groups, with chapters in each state and territory, will provide critical input from the perspective of carers and families. &#10;The PCA consumer groups provide the family and carer perspective on palliative care delivery in RACFs, the needs of residents, carers and families, and reflections on successful models of care. Where possible, their input may help to identify the change in quality of service delivery during the evaluation. &#10;&#10;Collection methodology:&#10;Nous will hold semi-structured 60- to 90-minute focus groups with PCA’s consumer representative group. We will also hold focus groups with up to three state/territory PCA chapters should they have an existing consumer representative group that would like to provide input to the evaluation. &#10;Nous will provide interview questions to the consumer representative group ahead of the teleconferences (see Appendix B.3).&#10;&#10;Considerations: &#10;There is a small risk of inconvenience or discomfort if consumer representatives reflect on personal experiences; however, Nous will conduct the consultations ethically and sensitively (see section 7.1). The risk is largely mitigated by the fact that participants have opted in to the PCA consumer group specifically to participate in these types of consultations. Nous will work with the PCA chapter ahead of the consultation to understand any other important considerations.&#10;&#10;Frequency of collection:&#10;Twice during the evaluation: in May 2022 and June 2023. &#10;&#10;Scope:&#10;All jurisdictions participating in the Measure."/>
      </w:tblPr>
      <w:tblGrid>
        <w:gridCol w:w="1432"/>
        <w:gridCol w:w="5430"/>
        <w:gridCol w:w="2058"/>
        <w:gridCol w:w="6"/>
      </w:tblGrid>
      <w:tr w:rsidR="00933531" w:rsidRPr="0035440F" w14:paraId="0339A209" w14:textId="77777777" w:rsidTr="00F16001">
        <w:trPr>
          <w:gridAfter w:val="1"/>
          <w:wAfter w:w="6" w:type="dxa"/>
          <w:trHeight w:val="340"/>
        </w:trPr>
        <w:tc>
          <w:tcPr>
            <w:tcW w:w="1432" w:type="dxa"/>
            <w:tcBorders>
              <w:top w:val="single" w:sz="24" w:space="0" w:color="F25E21" w:themeColor="accent2"/>
              <w:bottom w:val="single" w:sz="4" w:space="0" w:color="BFBFBF" w:themeColor="background1" w:themeShade="BF"/>
            </w:tcBorders>
            <w:shd w:val="clear" w:color="auto" w:fill="00264D" w:themeFill="background2"/>
            <w:vAlign w:val="center"/>
          </w:tcPr>
          <w:p w14:paraId="6C892B54" w14:textId="5F99ABDE" w:rsidR="00933531" w:rsidRPr="0035440F" w:rsidRDefault="008B036F" w:rsidP="00964F0B">
            <w:pPr>
              <w:jc w:val="center"/>
              <w:rPr>
                <w:color w:val="FFFFFF" w:themeColor="background1"/>
                <w:sz w:val="16"/>
                <w:szCs w:val="16"/>
                <w:lang w:eastAsia="en-AU"/>
              </w:rPr>
            </w:pPr>
            <w:r w:rsidRPr="00112FD2">
              <w:rPr>
                <w:noProof/>
                <w:color w:val="FFFFFF" w:themeColor="background1"/>
                <w:sz w:val="16"/>
                <w:szCs w:val="16"/>
                <w:lang w:eastAsia="en-AU"/>
              </w:rPr>
              <w:drawing>
                <wp:inline distT="0" distB="0" distL="0" distR="0" wp14:anchorId="256358B0" wp14:editId="61D572A3">
                  <wp:extent cx="318135" cy="334010"/>
                  <wp:effectExtent l="0" t="0" r="5715" b="8890"/>
                  <wp:docPr id="27898" name="Picture 278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8" name="Picture 27898">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8135" cy="334010"/>
                          </a:xfrm>
                          <a:prstGeom prst="rect">
                            <a:avLst/>
                          </a:prstGeom>
                          <a:noFill/>
                          <a:ln>
                            <a:noFill/>
                          </a:ln>
                        </pic:spPr>
                      </pic:pic>
                    </a:graphicData>
                  </a:graphic>
                </wp:inline>
              </w:drawing>
            </w:r>
          </w:p>
        </w:tc>
        <w:tc>
          <w:tcPr>
            <w:tcW w:w="5430" w:type="dxa"/>
            <w:tcBorders>
              <w:top w:val="single" w:sz="24" w:space="0" w:color="F25E21" w:themeColor="accent2"/>
              <w:bottom w:val="single" w:sz="4" w:space="0" w:color="BFBFBF" w:themeColor="background1" w:themeShade="BF"/>
            </w:tcBorders>
            <w:shd w:val="clear" w:color="auto" w:fill="00264D" w:themeFill="background2"/>
            <w:vAlign w:val="center"/>
          </w:tcPr>
          <w:p w14:paraId="65502A54" w14:textId="77777777" w:rsidR="00933531" w:rsidRPr="00B54A5F" w:rsidRDefault="00933531" w:rsidP="00B54A5F">
            <w:pPr>
              <w:pStyle w:val="TableNheader"/>
              <w:rPr>
                <w:color w:val="FFFFFF" w:themeColor="background1"/>
                <w:lang w:eastAsia="en-AU"/>
              </w:rPr>
            </w:pPr>
            <w:r w:rsidRPr="00B54A5F">
              <w:rPr>
                <w:color w:val="FFFFFF" w:themeColor="background1"/>
                <w:lang w:eastAsia="en-AU"/>
              </w:rPr>
              <w:t xml:space="preserve">Consultations with PCA consumer representative groups </w:t>
            </w:r>
          </w:p>
        </w:tc>
        <w:tc>
          <w:tcPr>
            <w:tcW w:w="2058" w:type="dxa"/>
            <w:tcBorders>
              <w:top w:val="single" w:sz="24" w:space="0" w:color="F25E21" w:themeColor="accent2"/>
              <w:bottom w:val="single" w:sz="4" w:space="0" w:color="BFBFBF" w:themeColor="background1" w:themeShade="BF"/>
            </w:tcBorders>
            <w:shd w:val="clear" w:color="auto" w:fill="00264D" w:themeFill="background2"/>
            <w:vAlign w:val="center"/>
          </w:tcPr>
          <w:p w14:paraId="4F74B93F" w14:textId="61B2B1EB" w:rsidR="00933531" w:rsidRPr="00B54A5F" w:rsidRDefault="00933531" w:rsidP="001A6789">
            <w:pPr>
              <w:pStyle w:val="TableNheader"/>
              <w:jc w:val="center"/>
              <w:rPr>
                <w:rFonts w:asciiTheme="minorHAnsi" w:hAnsiTheme="minorHAnsi" w:cstheme="minorHAnsi"/>
                <w:color w:val="FFFFFF" w:themeColor="background1"/>
                <w:lang w:eastAsia="en-AU"/>
              </w:rPr>
            </w:pPr>
            <w:r w:rsidRPr="00B54A5F">
              <w:rPr>
                <w:rFonts w:asciiTheme="minorHAnsi" w:hAnsiTheme="minorHAnsi" w:cstheme="minorHAnsi"/>
                <w:color w:val="FFFFFF" w:themeColor="background1"/>
                <w:lang w:eastAsia="en-AU"/>
              </w:rPr>
              <w:t>Reported in:</w:t>
            </w:r>
          </w:p>
          <w:p w14:paraId="4BF392D5" w14:textId="77777777" w:rsidR="00933531" w:rsidRPr="00B54A5F" w:rsidRDefault="00933531" w:rsidP="001A6789">
            <w:pPr>
              <w:pStyle w:val="TableNheader"/>
              <w:jc w:val="center"/>
              <w:rPr>
                <w:rFonts w:asciiTheme="minorHAnsi" w:hAnsiTheme="minorHAnsi" w:cstheme="minorHAnsi"/>
                <w:color w:val="FFFFFF" w:themeColor="background1"/>
                <w:lang w:eastAsia="en-AU"/>
              </w:rPr>
            </w:pPr>
            <w:r w:rsidRPr="00B54A5F">
              <w:rPr>
                <w:rFonts w:asciiTheme="minorHAnsi" w:hAnsiTheme="minorHAnsi" w:cstheme="minorHAnsi"/>
                <w:color w:val="FFFFFF" w:themeColor="background1"/>
                <w:lang w:eastAsia="en-AU"/>
              </w:rPr>
              <w:t>Midpoint Report</w:t>
            </w:r>
          </w:p>
          <w:p w14:paraId="5A54D343" w14:textId="77777777" w:rsidR="00933531" w:rsidRPr="00B54A5F" w:rsidRDefault="00933531" w:rsidP="001A6789">
            <w:pPr>
              <w:pStyle w:val="TableNheader"/>
              <w:jc w:val="center"/>
              <w:rPr>
                <w:rFonts w:asciiTheme="minorHAnsi" w:hAnsiTheme="minorHAnsi" w:cstheme="minorHAnsi"/>
                <w:color w:val="FFFFFF" w:themeColor="background1"/>
                <w:lang w:eastAsia="en-AU"/>
              </w:rPr>
            </w:pPr>
            <w:r w:rsidRPr="00B54A5F">
              <w:rPr>
                <w:rFonts w:asciiTheme="minorHAnsi" w:hAnsiTheme="minorHAnsi" w:cstheme="minorHAnsi"/>
                <w:color w:val="FFFFFF" w:themeColor="background1"/>
                <w:lang w:eastAsia="en-AU"/>
              </w:rPr>
              <w:t>Final Report</w:t>
            </w:r>
          </w:p>
        </w:tc>
      </w:tr>
      <w:tr w:rsidR="00933531" w:rsidRPr="0035440F" w14:paraId="1F218118" w14:textId="77777777" w:rsidTr="00B26B42">
        <w:tc>
          <w:tcPr>
            <w:tcW w:w="1432" w:type="dxa"/>
            <w:shd w:val="clear" w:color="auto" w:fill="E6E6E1" w:themeFill="accent5"/>
          </w:tcPr>
          <w:p w14:paraId="5509EDF0" w14:textId="77777777" w:rsidR="00933531" w:rsidRPr="00A771A9" w:rsidRDefault="00933531" w:rsidP="00B54A5F">
            <w:pPr>
              <w:pStyle w:val="TableNheader"/>
              <w:rPr>
                <w:lang w:eastAsia="en-AU"/>
              </w:rPr>
            </w:pPr>
            <w:r w:rsidRPr="00A771A9">
              <w:rPr>
                <w:lang w:eastAsia="en-AU"/>
              </w:rPr>
              <w:t>Purpose and rationale</w:t>
            </w:r>
          </w:p>
        </w:tc>
        <w:tc>
          <w:tcPr>
            <w:tcW w:w="7494" w:type="dxa"/>
            <w:gridSpan w:val="3"/>
          </w:tcPr>
          <w:p w14:paraId="78F9F2A4" w14:textId="77777777" w:rsidR="00933531" w:rsidRPr="00A771A9" w:rsidRDefault="00933531" w:rsidP="00B54A5F">
            <w:pPr>
              <w:pStyle w:val="TableNText"/>
            </w:pPr>
            <w:r w:rsidRPr="00A771A9">
              <w:t xml:space="preserve">Consultations with PCA consumer representative groups, with chapters in each state and territory, will provide critical input from the perspective of carers and families. </w:t>
            </w:r>
          </w:p>
          <w:p w14:paraId="27DE8859" w14:textId="59840B08" w:rsidR="00933531" w:rsidRPr="00A771A9" w:rsidRDefault="00933531" w:rsidP="00B54A5F">
            <w:pPr>
              <w:pStyle w:val="TableNText"/>
            </w:pPr>
            <w:r w:rsidRPr="00A771A9">
              <w:t>The PCA consumer groups provide the family and carer perspective on palliative care delivery in RACFs, the needs of residents, carers and families</w:t>
            </w:r>
            <w:r w:rsidR="002319B5" w:rsidRPr="00A771A9">
              <w:t>,</w:t>
            </w:r>
            <w:r w:rsidRPr="00A771A9">
              <w:t xml:space="preserve"> and reflections on successful models of care. Where possible, their input may help to identify the change in </w:t>
            </w:r>
            <w:proofErr w:type="gramStart"/>
            <w:r w:rsidRPr="00A771A9">
              <w:t>quality of service</w:t>
            </w:r>
            <w:proofErr w:type="gramEnd"/>
            <w:r w:rsidRPr="00A771A9">
              <w:t xml:space="preserve"> delivery during the evaluation. </w:t>
            </w:r>
          </w:p>
        </w:tc>
      </w:tr>
      <w:tr w:rsidR="00933531" w:rsidRPr="0035440F" w14:paraId="50F820F8" w14:textId="77777777" w:rsidTr="00B26B42">
        <w:tc>
          <w:tcPr>
            <w:tcW w:w="1432" w:type="dxa"/>
            <w:shd w:val="clear" w:color="auto" w:fill="E6E6E1" w:themeFill="accent5"/>
          </w:tcPr>
          <w:p w14:paraId="6362497D" w14:textId="77777777" w:rsidR="00933531" w:rsidRPr="00A771A9" w:rsidRDefault="00933531" w:rsidP="00B54A5F">
            <w:pPr>
              <w:pStyle w:val="TableNheader"/>
              <w:rPr>
                <w:lang w:eastAsia="en-AU"/>
              </w:rPr>
            </w:pPr>
            <w:r w:rsidRPr="00A771A9">
              <w:rPr>
                <w:lang w:eastAsia="en-AU"/>
              </w:rPr>
              <w:t xml:space="preserve">Collection methodology </w:t>
            </w:r>
          </w:p>
        </w:tc>
        <w:tc>
          <w:tcPr>
            <w:tcW w:w="7494" w:type="dxa"/>
            <w:gridSpan w:val="3"/>
          </w:tcPr>
          <w:p w14:paraId="4CAA1D19" w14:textId="2756F395" w:rsidR="00933531" w:rsidRPr="00A771A9" w:rsidRDefault="00933531" w:rsidP="00B54A5F">
            <w:pPr>
              <w:pStyle w:val="TableNText"/>
            </w:pPr>
            <w:r w:rsidRPr="00A771A9">
              <w:t>Nous will hold semi-structured 60-</w:t>
            </w:r>
            <w:r w:rsidR="002319B5" w:rsidRPr="00A771A9">
              <w:t xml:space="preserve"> to </w:t>
            </w:r>
            <w:r w:rsidRPr="00A771A9">
              <w:t>90</w:t>
            </w:r>
            <w:r w:rsidR="002319B5" w:rsidRPr="00A771A9">
              <w:t>-</w:t>
            </w:r>
            <w:r w:rsidRPr="00A771A9">
              <w:t xml:space="preserve">minute focus groups with PCA’s consumer representative group. We will also hold focus groups with up to three state/territory PCA chapters should they have an existing consumer representative group that would like to provide input to the evaluation. </w:t>
            </w:r>
          </w:p>
          <w:p w14:paraId="352B1602" w14:textId="1B0E8375" w:rsidR="00933531" w:rsidRPr="00A771A9" w:rsidRDefault="00933531" w:rsidP="00B54A5F">
            <w:pPr>
              <w:pStyle w:val="TableNText"/>
            </w:pPr>
            <w:r w:rsidRPr="00A771A9">
              <w:t xml:space="preserve">Nous will provide interview questions to the consumer representative group ahead of the teleconferences (see Appendix </w:t>
            </w:r>
            <w:r w:rsidRPr="00A771A9">
              <w:fldChar w:fldCharType="begin"/>
            </w:r>
            <w:r w:rsidRPr="00A771A9">
              <w:instrText xml:space="preserve"> REF _Ref61513506 \r \h </w:instrText>
            </w:r>
            <w:r w:rsidR="00B54A5F">
              <w:instrText xml:space="preserve"> \* MERGEFORMAT </w:instrText>
            </w:r>
            <w:r w:rsidRPr="00A771A9">
              <w:fldChar w:fldCharType="separate"/>
            </w:r>
            <w:r w:rsidR="00DF258C">
              <w:t>B.3</w:t>
            </w:r>
            <w:r w:rsidRPr="00A771A9">
              <w:fldChar w:fldCharType="end"/>
            </w:r>
            <w:r w:rsidRPr="00A771A9">
              <w:t>).</w:t>
            </w:r>
          </w:p>
        </w:tc>
      </w:tr>
      <w:tr w:rsidR="00933531" w:rsidRPr="0035440F" w14:paraId="18CB30B4" w14:textId="77777777" w:rsidTr="00B26B42">
        <w:tc>
          <w:tcPr>
            <w:tcW w:w="1432" w:type="dxa"/>
            <w:shd w:val="clear" w:color="auto" w:fill="E6E6E1" w:themeFill="accent5"/>
          </w:tcPr>
          <w:p w14:paraId="5A15A68E" w14:textId="77777777" w:rsidR="00933531" w:rsidRPr="00A771A9" w:rsidRDefault="00933531" w:rsidP="00B54A5F">
            <w:pPr>
              <w:pStyle w:val="TableNheader"/>
              <w:rPr>
                <w:lang w:eastAsia="en-AU"/>
              </w:rPr>
            </w:pPr>
            <w:r w:rsidRPr="00A771A9">
              <w:rPr>
                <w:lang w:eastAsia="en-AU"/>
              </w:rPr>
              <w:t xml:space="preserve">Considerations </w:t>
            </w:r>
          </w:p>
        </w:tc>
        <w:tc>
          <w:tcPr>
            <w:tcW w:w="7494" w:type="dxa"/>
            <w:gridSpan w:val="3"/>
          </w:tcPr>
          <w:p w14:paraId="0BA374F9" w14:textId="27D46D46" w:rsidR="00933531" w:rsidRPr="00A771A9" w:rsidRDefault="00933531" w:rsidP="00B54A5F">
            <w:pPr>
              <w:pStyle w:val="TableNText"/>
            </w:pPr>
            <w:r w:rsidRPr="00A771A9">
              <w:t>There is a small risk of inconvenience or discomfort if consumer representatives reflect on personal experiences</w:t>
            </w:r>
            <w:r w:rsidR="006C4B18" w:rsidRPr="00A771A9">
              <w:t xml:space="preserve">; however, </w:t>
            </w:r>
            <w:r w:rsidRPr="00A771A9">
              <w:t xml:space="preserve">Nous will conduct the consultations ethically and sensitively (see </w:t>
            </w:r>
            <w:r w:rsidR="006C4B18" w:rsidRPr="00A771A9">
              <w:t>s</w:t>
            </w:r>
            <w:r w:rsidRPr="00A771A9">
              <w:t xml:space="preserve">ection </w:t>
            </w:r>
            <w:r w:rsidRPr="00A771A9">
              <w:fldChar w:fldCharType="begin"/>
            </w:r>
            <w:r w:rsidRPr="00A771A9">
              <w:instrText xml:space="preserve"> REF _Ref61452729 \r \h </w:instrText>
            </w:r>
            <w:r w:rsidR="00B54A5F">
              <w:instrText xml:space="preserve"> \* MERGEFORMAT </w:instrText>
            </w:r>
            <w:r w:rsidRPr="00A771A9">
              <w:fldChar w:fldCharType="separate"/>
            </w:r>
            <w:r w:rsidR="00DF258C">
              <w:t>7.1</w:t>
            </w:r>
            <w:r w:rsidRPr="00A771A9">
              <w:fldChar w:fldCharType="end"/>
            </w:r>
            <w:r w:rsidRPr="00A771A9">
              <w:t xml:space="preserve">). The risk is largely mitigated by the fact </w:t>
            </w:r>
            <w:r w:rsidR="006C4B18" w:rsidRPr="00A771A9">
              <w:t xml:space="preserve">that </w:t>
            </w:r>
            <w:r w:rsidRPr="00A771A9">
              <w:t>participants have opted in to the PCA consumer group specifically to participate in these types of consultations. Nous will work with the PCA chapter ahead of the consultation to understand any other important considerations.</w:t>
            </w:r>
          </w:p>
        </w:tc>
      </w:tr>
      <w:tr w:rsidR="00933531" w:rsidRPr="0035440F" w14:paraId="293562FE" w14:textId="77777777" w:rsidTr="00B26B42">
        <w:tc>
          <w:tcPr>
            <w:tcW w:w="1432" w:type="dxa"/>
            <w:tcBorders>
              <w:bottom w:val="single" w:sz="4" w:space="0" w:color="BFBFBF" w:themeColor="background1" w:themeShade="BF"/>
            </w:tcBorders>
            <w:shd w:val="clear" w:color="auto" w:fill="E6E6E1" w:themeFill="accent5"/>
          </w:tcPr>
          <w:p w14:paraId="46181E5D" w14:textId="77777777" w:rsidR="00933531" w:rsidRPr="00A771A9" w:rsidRDefault="00933531" w:rsidP="00B54A5F">
            <w:pPr>
              <w:pStyle w:val="TableNheader"/>
              <w:rPr>
                <w:lang w:eastAsia="en-AU"/>
              </w:rPr>
            </w:pPr>
            <w:r w:rsidRPr="00A771A9">
              <w:rPr>
                <w:lang w:eastAsia="en-AU"/>
              </w:rPr>
              <w:t xml:space="preserve">Frequency of collection </w:t>
            </w:r>
          </w:p>
        </w:tc>
        <w:tc>
          <w:tcPr>
            <w:tcW w:w="7494" w:type="dxa"/>
            <w:gridSpan w:val="3"/>
            <w:tcBorders>
              <w:bottom w:val="single" w:sz="4" w:space="0" w:color="BFBFBF" w:themeColor="background1" w:themeShade="BF"/>
            </w:tcBorders>
          </w:tcPr>
          <w:p w14:paraId="2651BFBC" w14:textId="77777777" w:rsidR="00933531" w:rsidRPr="00A771A9" w:rsidRDefault="00933531" w:rsidP="00B54A5F">
            <w:pPr>
              <w:pStyle w:val="TableNText"/>
              <w:rPr>
                <w:lang w:eastAsia="en-AU"/>
              </w:rPr>
            </w:pPr>
            <w:r w:rsidRPr="00A771A9">
              <w:rPr>
                <w:lang w:eastAsia="en-AU"/>
              </w:rPr>
              <w:t xml:space="preserve">Twice during the evaluation: in May 2022 and June 2023. </w:t>
            </w:r>
          </w:p>
        </w:tc>
      </w:tr>
      <w:tr w:rsidR="00933531" w:rsidRPr="0035440F" w14:paraId="1BC2F0A9" w14:textId="77777777" w:rsidTr="00B26B42">
        <w:tc>
          <w:tcPr>
            <w:tcW w:w="1432" w:type="dxa"/>
            <w:tcBorders>
              <w:bottom w:val="single" w:sz="4" w:space="0" w:color="BFBFBF" w:themeColor="background1" w:themeShade="BF"/>
            </w:tcBorders>
            <w:shd w:val="clear" w:color="auto" w:fill="E6E6E1" w:themeFill="accent5"/>
          </w:tcPr>
          <w:p w14:paraId="00237FFF" w14:textId="77777777" w:rsidR="00933531" w:rsidRPr="00A771A9" w:rsidRDefault="00933531" w:rsidP="00B54A5F">
            <w:pPr>
              <w:pStyle w:val="TableNheader"/>
              <w:rPr>
                <w:lang w:eastAsia="en-AU"/>
              </w:rPr>
            </w:pPr>
            <w:r w:rsidRPr="00A771A9">
              <w:rPr>
                <w:lang w:eastAsia="en-AU"/>
              </w:rPr>
              <w:t>Scope</w:t>
            </w:r>
          </w:p>
        </w:tc>
        <w:tc>
          <w:tcPr>
            <w:tcW w:w="7494" w:type="dxa"/>
            <w:gridSpan w:val="3"/>
            <w:tcBorders>
              <w:bottom w:val="single" w:sz="4" w:space="0" w:color="BFBFBF" w:themeColor="background1" w:themeShade="BF"/>
            </w:tcBorders>
          </w:tcPr>
          <w:p w14:paraId="6CF20551" w14:textId="7506C1FE" w:rsidR="00933531" w:rsidRPr="00A771A9" w:rsidRDefault="00933531" w:rsidP="00B54A5F">
            <w:pPr>
              <w:pStyle w:val="TableNText"/>
              <w:rPr>
                <w:lang w:eastAsia="en-AU"/>
              </w:rPr>
            </w:pPr>
            <w:r w:rsidRPr="00A771A9">
              <w:rPr>
                <w:lang w:eastAsia="en-AU"/>
              </w:rPr>
              <w:t>All jurisdictions participating in the Measure</w:t>
            </w:r>
            <w:r w:rsidR="009148F0" w:rsidRPr="00A771A9">
              <w:rPr>
                <w:lang w:eastAsia="en-AU"/>
              </w:rPr>
              <w:t>.</w:t>
            </w:r>
          </w:p>
        </w:tc>
      </w:tr>
    </w:tbl>
    <w:p w14:paraId="5BA1AA8E" w14:textId="77777777" w:rsidR="00933531" w:rsidRDefault="00933531" w:rsidP="006D4DE5">
      <w:pPr>
        <w:spacing w:after="165" w:line="259" w:lineRule="auto"/>
      </w:pPr>
    </w:p>
    <w:tbl>
      <w:tblPr>
        <w:tblStyle w:val="TableGrid"/>
        <w:tblW w:w="0" w:type="auto"/>
        <w:tblBorders>
          <w:top w:val="single" w:sz="18" w:space="0" w:color="F8981D" w:themeColor="accent3"/>
          <w:bottom w:val="single" w:sz="18" w:space="0" w:color="F8981D" w:themeColor="accent3"/>
          <w:insideH w:val="none" w:sz="0" w:space="0" w:color="auto"/>
        </w:tblBorders>
        <w:tblLook w:val="0400" w:firstRow="0" w:lastRow="0" w:firstColumn="0" w:lastColumn="0" w:noHBand="0" w:noVBand="1"/>
        <w:tblCaption w:val="Data colletion method: Existing national government datasets"/>
      </w:tblPr>
      <w:tblGrid>
        <w:gridCol w:w="1473"/>
        <w:gridCol w:w="7457"/>
      </w:tblGrid>
      <w:tr w:rsidR="006D4DE5" w14:paraId="5C9D7B24" w14:textId="77777777" w:rsidTr="00F16001">
        <w:trPr>
          <w:cnfStyle w:val="000000100000" w:firstRow="0" w:lastRow="0" w:firstColumn="0" w:lastColumn="0" w:oddVBand="0" w:evenVBand="0" w:oddHBand="1" w:evenHBand="0" w:firstRowFirstColumn="0" w:firstRowLastColumn="0" w:lastRowFirstColumn="0" w:lastRowLastColumn="0"/>
          <w:trHeight w:val="715"/>
        </w:trPr>
        <w:tc>
          <w:tcPr>
            <w:tcW w:w="1418" w:type="dxa"/>
            <w:shd w:val="clear" w:color="auto" w:fill="E6E6E1" w:themeFill="accent5"/>
          </w:tcPr>
          <w:p w14:paraId="08F5BF70" w14:textId="02635647" w:rsidR="00D70AE8" w:rsidRPr="00D70AE8" w:rsidRDefault="00D70AE8" w:rsidP="00B25FA6">
            <w:pPr>
              <w:rPr>
                <w:rFonts w:asciiTheme="majorHAnsi" w:hAnsiTheme="majorHAnsi" w:cstheme="majorHAnsi"/>
                <w:noProof/>
                <w:lang w:eastAsia="en-AU"/>
              </w:rPr>
            </w:pPr>
            <w:r w:rsidRPr="00D70AE8">
              <w:rPr>
                <w:rFonts w:asciiTheme="majorHAnsi" w:hAnsiTheme="majorHAnsi" w:cstheme="majorHAnsi"/>
                <w:noProof/>
                <w:lang w:eastAsia="en-AU"/>
              </w:rPr>
              <w:lastRenderedPageBreak/>
              <w:drawing>
                <wp:inline distT="0" distB="0" distL="0" distR="0" wp14:anchorId="07AFE356" wp14:editId="549BB28D">
                  <wp:extent cx="828000" cy="525155"/>
                  <wp:effectExtent l="0" t="0" r="0" b="8255"/>
                  <wp:docPr id="68"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28000" cy="525155"/>
                          </a:xfrm>
                          <a:prstGeom prst="rect">
                            <a:avLst/>
                          </a:prstGeom>
                          <a:noFill/>
                          <a:ln>
                            <a:noFill/>
                          </a:ln>
                        </pic:spPr>
                      </pic:pic>
                    </a:graphicData>
                  </a:graphic>
                </wp:inline>
              </w:drawing>
            </w:r>
          </w:p>
        </w:tc>
        <w:tc>
          <w:tcPr>
            <w:tcW w:w="7512" w:type="dxa"/>
            <w:shd w:val="clear" w:color="auto" w:fill="E6E6E1" w:themeFill="accent5"/>
          </w:tcPr>
          <w:p w14:paraId="23430181" w14:textId="56C4BB7C" w:rsidR="006D4DE5" w:rsidRPr="0072127E" w:rsidRDefault="006D4DE5" w:rsidP="00B25FA6">
            <w:pPr>
              <w:rPr>
                <w:rFonts w:asciiTheme="majorHAnsi" w:hAnsiTheme="majorHAnsi" w:cstheme="majorHAnsi"/>
                <w:lang w:eastAsia="en-AU"/>
              </w:rPr>
            </w:pPr>
            <w:r w:rsidRPr="005A0AC7">
              <w:rPr>
                <w:rFonts w:asciiTheme="majorHAnsi" w:hAnsiTheme="majorHAnsi" w:cstheme="majorHAnsi"/>
                <w:color w:val="F8981D" w:themeColor="accent3"/>
                <w:sz w:val="22"/>
                <w:szCs w:val="28"/>
                <w:lang w:eastAsia="en-AU"/>
              </w:rPr>
              <w:t xml:space="preserve">Data collection method: </w:t>
            </w:r>
            <w:r>
              <w:rPr>
                <w:rFonts w:asciiTheme="majorHAnsi" w:hAnsiTheme="majorHAnsi" w:cstheme="majorHAnsi"/>
                <w:color w:val="F8981D" w:themeColor="accent3"/>
                <w:sz w:val="22"/>
                <w:szCs w:val="28"/>
                <w:lang w:eastAsia="en-AU"/>
              </w:rPr>
              <w:t>Existing na</w:t>
            </w:r>
            <w:r w:rsidRPr="00C145B9">
              <w:rPr>
                <w:rFonts w:asciiTheme="majorHAnsi" w:hAnsiTheme="majorHAnsi" w:cstheme="majorHAnsi"/>
                <w:color w:val="F8981D" w:themeColor="accent3"/>
                <w:sz w:val="22"/>
                <w:szCs w:val="28"/>
                <w:lang w:eastAsia="en-AU"/>
              </w:rPr>
              <w:t>tional</w:t>
            </w:r>
            <w:r>
              <w:rPr>
                <w:rFonts w:asciiTheme="majorHAnsi" w:hAnsiTheme="majorHAnsi" w:cstheme="majorHAnsi"/>
                <w:color w:val="F8981D" w:themeColor="accent3"/>
                <w:sz w:val="22"/>
                <w:szCs w:val="28"/>
                <w:lang w:eastAsia="en-AU"/>
              </w:rPr>
              <w:t xml:space="preserve"> government</w:t>
            </w:r>
            <w:r w:rsidRPr="00C145B9">
              <w:rPr>
                <w:rFonts w:asciiTheme="majorHAnsi" w:hAnsiTheme="majorHAnsi" w:cstheme="majorHAnsi"/>
                <w:color w:val="F8981D" w:themeColor="accent3"/>
                <w:sz w:val="22"/>
                <w:szCs w:val="28"/>
                <w:lang w:eastAsia="en-AU"/>
              </w:rPr>
              <w:t xml:space="preserve"> datasets</w:t>
            </w:r>
          </w:p>
        </w:tc>
      </w:tr>
    </w:tbl>
    <w:p w14:paraId="0C480045" w14:textId="558506D5" w:rsidR="006D4DE5" w:rsidRDefault="009148F0" w:rsidP="006D4DE5">
      <w:r>
        <w:br/>
      </w:r>
      <w:r w:rsidR="006D4DE5">
        <w:t xml:space="preserve">Nous will use national datasets as a major source of information for the outcome and cost-effectiveness components of the evaluation. National data sets vary in their quality and availability in jurisdictions (see section </w:t>
      </w:r>
      <w:r w:rsidR="006D4DE5">
        <w:fldChar w:fldCharType="begin"/>
      </w:r>
      <w:r w:rsidR="006D4DE5">
        <w:instrText xml:space="preserve"> REF _Ref58570233 \r \h </w:instrText>
      </w:r>
      <w:r w:rsidR="006D4DE5">
        <w:fldChar w:fldCharType="separate"/>
      </w:r>
      <w:r w:rsidR="00DF258C">
        <w:t>8</w:t>
      </w:r>
      <w:r w:rsidR="006D4DE5">
        <w:fldChar w:fldCharType="end"/>
      </w:r>
      <w:r w:rsidR="006D4DE5">
        <w:t xml:space="preserve">). National data sets, such as NIHSI-AA, may contain linked data between state and territory data sets and nationally held data sets. Nous will use two key national data sets, which are: </w:t>
      </w:r>
    </w:p>
    <w:p w14:paraId="093FB8D0" w14:textId="027E62B1" w:rsidR="006D4DE5" w:rsidRDefault="006D4DE5" w:rsidP="006D4DE5">
      <w:pPr>
        <w:pStyle w:val="Bullet"/>
      </w:pPr>
      <w:r>
        <w:t>NIHSI-AA</w:t>
      </w:r>
    </w:p>
    <w:p w14:paraId="213C54F6" w14:textId="32C61071" w:rsidR="006D4DE5" w:rsidRDefault="006D4DE5" w:rsidP="006D4DE5">
      <w:pPr>
        <w:pStyle w:val="Bullet"/>
      </w:pPr>
      <w:r w:rsidRPr="00624679">
        <w:t>ACQS</w:t>
      </w:r>
      <w:r>
        <w:t>C</w:t>
      </w:r>
      <w:r w:rsidRPr="00624679">
        <w:t xml:space="preserve"> </w:t>
      </w:r>
      <w:r>
        <w:t>complaints data.</w:t>
      </w:r>
    </w:p>
    <w:p w14:paraId="7E86C4C6" w14:textId="32955BE4" w:rsidR="00F55E11" w:rsidRDefault="006D4DE5" w:rsidP="006D4DE5">
      <w:r>
        <w:t xml:space="preserve">Each of these are detailed below. </w:t>
      </w:r>
    </w:p>
    <w:tbl>
      <w:tblPr>
        <w:tblStyle w:val="TableGridLight"/>
        <w:tblW w:w="0" w:type="auto"/>
        <w:tblBorders>
          <w:bottom w:val="none" w:sz="0" w:space="0" w:color="auto"/>
        </w:tblBorders>
        <w:tblCellMar>
          <w:top w:w="57" w:type="dxa"/>
        </w:tblCellMar>
        <w:tblLook w:val="04A0" w:firstRow="1" w:lastRow="0" w:firstColumn="1" w:lastColumn="0" w:noHBand="0" w:noVBand="1"/>
        <w:tblCaption w:val="This table looks at collection of NIHSI-AA to be reported in the Midpoint and Final Report"/>
        <w:tblDescription w:val="Purpose and rationale:&#10;AIHW has worked with the Australian Department of Health and state and territory health authorities to create NIHSI-AA, a multi-jurisdictional linked data asset that includes hospital admitted, non-admitted and emergency department care, residential aged care, mortality, and the MBS and PBS. &#10;Analysis of NIHSI-AA is likely to be highly useful as it provides robust information on the health services (including palliative care) accessed by residents in RACFs. This is not available in other unlinked datasets. &#10;Many of the evaluation indicators provided in section 6.3.2 require linked data such as NIHSI-AA to identify RACF residents within other health datasets (MBS, PBS, hospital datasets). &#10;&#10;Collection methodology:&#10;Nous is working with AIHW to initiate a project that will produce analysis from NIHSI-AA that can then be included in the evaluation. It is expected that Nous will be involved in this project as part of the Project Advisory Committee. Details regarding the provision of data from this project are still being determined with AIHW. &#10;&#10;Considerations:&#10;The inclusion of NIHSI-AA in the evaluation is still to be confirmed. Access to NIHSI-AA is limited to state and territory health authorities, the Department and AIHW. Nous is seeking to contract AIHW to conduct analysis of NIHSI-AA due to restrictions on access. &#10;Should this be unsuccessful, Nous will work with states and territories to develop an alternative plan for jurisdictional data analysis. This would include identifying opportunities to link data within jurisdictions to generate similar insights. It is not expected that it will be possible to create a national linked dataset like NIHSI-AA for this evaluation. It is also expected that there will be varying capabilities of jurisdictions to link data. In some jurisdictions, linkage may need to occur for specific regions or hospitals where it is possible rather than the jurisdiction as a whole. &#10;Approval from the NIHSI Advisory Committee is necessary for the project to go ahead. AIHW has existing ethics approvals in place to conduct analysis with NIHSI-AA; however, the project will need approval from the head of the AIHW Ethics Committee. &#10;There are limitations regarding the coverage and timeliness of NIHSI-AA data which are expected to improve during the evaluation. NIHSI-AA is a new dataset that started being built in 2018 and currently contains four jurisdictions: NSW, South Australia, Tasmania and Victoria. It is expected that further states and territories will be included in NIHSI-AA in 2021. NIHSI currently holds data between 2010-11 and 2016-17; however, it is anticipated to be updated to include 2019-20 in 2021. Further data should be included throughout the evaluation. This may mean that indicators that report on NIHSI-AA data take more time to report than indicators that use other data sources.&#10;&#10;Frequency of collection:&#10;Analysis will be conducted twice during the evaluation: once to determine the baseline (July-December 2021) which will be included in the Midpoint Report and once with updated data for the Final Report in 2023. &#10;&#10;Scope:&#10;Currently includes TAS, NSW, VIC, SA. NIHSI is expected to expand to further states and territories in 2021. "/>
      </w:tblPr>
      <w:tblGrid>
        <w:gridCol w:w="1432"/>
        <w:gridCol w:w="5600"/>
        <w:gridCol w:w="1888"/>
      </w:tblGrid>
      <w:tr w:rsidR="006D4DE5" w:rsidRPr="00752D1E" w14:paraId="14DDA7AE" w14:textId="77777777" w:rsidTr="00D70AE8">
        <w:trPr>
          <w:trHeight w:val="340"/>
        </w:trPr>
        <w:tc>
          <w:tcPr>
            <w:tcW w:w="1432" w:type="dxa"/>
            <w:tcBorders>
              <w:top w:val="single" w:sz="24" w:space="0" w:color="F8981D" w:themeColor="accent3"/>
              <w:bottom w:val="single" w:sz="4" w:space="0" w:color="BFBFBF" w:themeColor="background1" w:themeShade="BF"/>
            </w:tcBorders>
            <w:shd w:val="clear" w:color="auto" w:fill="00264D" w:themeFill="background2"/>
            <w:vAlign w:val="center"/>
          </w:tcPr>
          <w:p w14:paraId="2FFA004B" w14:textId="7CB81713" w:rsidR="006D4DE5" w:rsidRPr="00752D1E" w:rsidRDefault="00294BF2" w:rsidP="00B25FA6">
            <w:pPr>
              <w:jc w:val="center"/>
              <w:rPr>
                <w:color w:val="FFFFFF" w:themeColor="background1"/>
                <w:sz w:val="16"/>
                <w:szCs w:val="16"/>
                <w:lang w:eastAsia="en-AU"/>
              </w:rPr>
            </w:pPr>
            <w:r w:rsidRPr="00294BF2">
              <w:rPr>
                <w:noProof/>
                <w:color w:val="FFFFFF" w:themeColor="background1"/>
                <w:sz w:val="16"/>
                <w:szCs w:val="16"/>
                <w:lang w:eastAsia="en-AU"/>
              </w:rPr>
              <w:drawing>
                <wp:inline distT="0" distB="0" distL="0" distR="0" wp14:anchorId="24A2BBE6" wp14:editId="741DB52B">
                  <wp:extent cx="334010" cy="286385"/>
                  <wp:effectExtent l="0" t="0" r="8890" b="0"/>
                  <wp:docPr id="27899" name="Picture 278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9" name="Picture 27899">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4010" cy="286385"/>
                          </a:xfrm>
                          <a:prstGeom prst="rect">
                            <a:avLst/>
                          </a:prstGeom>
                          <a:noFill/>
                          <a:ln>
                            <a:noFill/>
                          </a:ln>
                        </pic:spPr>
                      </pic:pic>
                    </a:graphicData>
                  </a:graphic>
                </wp:inline>
              </w:drawing>
            </w:r>
          </w:p>
        </w:tc>
        <w:tc>
          <w:tcPr>
            <w:tcW w:w="5600" w:type="dxa"/>
            <w:tcBorders>
              <w:top w:val="single" w:sz="24" w:space="0" w:color="F8981D" w:themeColor="accent3"/>
              <w:bottom w:val="single" w:sz="4" w:space="0" w:color="BFBFBF" w:themeColor="background1" w:themeShade="BF"/>
            </w:tcBorders>
            <w:shd w:val="clear" w:color="auto" w:fill="00264D" w:themeFill="background2"/>
            <w:vAlign w:val="center"/>
          </w:tcPr>
          <w:p w14:paraId="24EA0BEC" w14:textId="648491A1" w:rsidR="006D4DE5" w:rsidRPr="00B54A5F" w:rsidRDefault="006D4DE5" w:rsidP="00B54A5F">
            <w:pPr>
              <w:pStyle w:val="TableNheader"/>
              <w:rPr>
                <w:color w:val="FFFFFF" w:themeColor="background1"/>
                <w:lang w:eastAsia="en-AU"/>
              </w:rPr>
            </w:pPr>
            <w:r w:rsidRPr="00B54A5F">
              <w:rPr>
                <w:color w:val="FFFFFF" w:themeColor="background1"/>
                <w:lang w:eastAsia="en-AU"/>
              </w:rPr>
              <w:t>NIHSI-AA</w:t>
            </w:r>
          </w:p>
        </w:tc>
        <w:tc>
          <w:tcPr>
            <w:tcW w:w="1888" w:type="dxa"/>
            <w:tcBorders>
              <w:top w:val="single" w:sz="24" w:space="0" w:color="F8981D" w:themeColor="accent3"/>
              <w:bottom w:val="single" w:sz="4" w:space="0" w:color="BFBFBF" w:themeColor="background1" w:themeShade="BF"/>
            </w:tcBorders>
            <w:shd w:val="clear" w:color="auto" w:fill="00264D" w:themeFill="background2"/>
            <w:vAlign w:val="center"/>
          </w:tcPr>
          <w:p w14:paraId="41D82BEF" w14:textId="24F4ADAA" w:rsidR="006D4DE5" w:rsidRPr="00B54A5F" w:rsidRDefault="006D4DE5" w:rsidP="001A6789">
            <w:pPr>
              <w:pStyle w:val="TableNheader"/>
              <w:jc w:val="center"/>
              <w:rPr>
                <w:rFonts w:asciiTheme="minorHAnsi" w:hAnsiTheme="minorHAnsi" w:cstheme="minorHAnsi"/>
                <w:color w:val="FFFFFF" w:themeColor="background1"/>
                <w:lang w:eastAsia="en-AU"/>
              </w:rPr>
            </w:pPr>
            <w:r w:rsidRPr="00B54A5F">
              <w:rPr>
                <w:rFonts w:asciiTheme="minorHAnsi" w:hAnsiTheme="minorHAnsi" w:cstheme="minorHAnsi"/>
                <w:color w:val="FFFFFF" w:themeColor="background1"/>
                <w:lang w:eastAsia="en-AU"/>
              </w:rPr>
              <w:t>Reported in:</w:t>
            </w:r>
          </w:p>
          <w:p w14:paraId="1D1A4971" w14:textId="45850C5A" w:rsidR="006D4DE5" w:rsidRPr="00B54A5F" w:rsidRDefault="007D1236" w:rsidP="001A6789">
            <w:pPr>
              <w:pStyle w:val="TableNheader"/>
              <w:jc w:val="center"/>
              <w:rPr>
                <w:rFonts w:asciiTheme="minorHAnsi" w:hAnsiTheme="minorHAnsi" w:cstheme="minorHAnsi"/>
                <w:color w:val="FFFFFF" w:themeColor="background1"/>
                <w:lang w:eastAsia="en-AU"/>
              </w:rPr>
            </w:pPr>
            <w:r w:rsidRPr="00B54A5F">
              <w:rPr>
                <w:rFonts w:asciiTheme="minorHAnsi" w:hAnsiTheme="minorHAnsi" w:cstheme="minorHAnsi"/>
                <w:color w:val="FFFFFF" w:themeColor="background1"/>
                <w:lang w:eastAsia="en-AU"/>
              </w:rPr>
              <w:t>Mid</w:t>
            </w:r>
            <w:r w:rsidR="00A50340" w:rsidRPr="00B54A5F">
              <w:rPr>
                <w:rFonts w:asciiTheme="minorHAnsi" w:hAnsiTheme="minorHAnsi" w:cstheme="minorHAnsi"/>
                <w:color w:val="FFFFFF" w:themeColor="background1"/>
                <w:lang w:eastAsia="en-AU"/>
              </w:rPr>
              <w:t>point</w:t>
            </w:r>
            <w:r w:rsidRPr="00B54A5F">
              <w:rPr>
                <w:rFonts w:asciiTheme="minorHAnsi" w:hAnsiTheme="minorHAnsi" w:cstheme="minorHAnsi"/>
                <w:color w:val="FFFFFF" w:themeColor="background1"/>
                <w:lang w:eastAsia="en-AU"/>
              </w:rPr>
              <w:t xml:space="preserve"> Report</w:t>
            </w:r>
          </w:p>
          <w:p w14:paraId="148030D2" w14:textId="364E93A7" w:rsidR="006D4DE5" w:rsidRPr="00B54A5F" w:rsidRDefault="006D4DE5" w:rsidP="001A6789">
            <w:pPr>
              <w:pStyle w:val="TableNheader"/>
              <w:jc w:val="center"/>
              <w:rPr>
                <w:rFonts w:asciiTheme="minorHAnsi" w:hAnsiTheme="minorHAnsi" w:cstheme="minorHAnsi"/>
                <w:color w:val="FFFFFF" w:themeColor="background1"/>
                <w:lang w:eastAsia="en-AU"/>
              </w:rPr>
            </w:pPr>
            <w:r w:rsidRPr="00B54A5F">
              <w:rPr>
                <w:rFonts w:asciiTheme="minorHAnsi" w:hAnsiTheme="minorHAnsi" w:cstheme="minorHAnsi"/>
                <w:color w:val="FFFFFF" w:themeColor="background1"/>
                <w:lang w:eastAsia="en-AU"/>
              </w:rPr>
              <w:t xml:space="preserve">Final </w:t>
            </w:r>
            <w:r w:rsidR="007D1236" w:rsidRPr="00B54A5F">
              <w:rPr>
                <w:rFonts w:asciiTheme="minorHAnsi" w:hAnsiTheme="minorHAnsi" w:cstheme="minorHAnsi"/>
                <w:color w:val="FFFFFF" w:themeColor="background1"/>
                <w:lang w:eastAsia="en-AU"/>
              </w:rPr>
              <w:t>Report</w:t>
            </w:r>
          </w:p>
        </w:tc>
      </w:tr>
      <w:tr w:rsidR="006D4DE5" w:rsidRPr="00752D1E" w14:paraId="07A4A7BC" w14:textId="77777777" w:rsidTr="00D70AE8">
        <w:tc>
          <w:tcPr>
            <w:tcW w:w="1432" w:type="dxa"/>
            <w:tcBorders>
              <w:top w:val="single" w:sz="4" w:space="0" w:color="BFBFBF" w:themeColor="background1" w:themeShade="BF"/>
            </w:tcBorders>
            <w:shd w:val="clear" w:color="auto" w:fill="E6E6E1" w:themeFill="accent5"/>
          </w:tcPr>
          <w:p w14:paraId="16768B51" w14:textId="77777777" w:rsidR="006D4DE5" w:rsidRPr="00F64C30" w:rsidRDefault="006D4DE5" w:rsidP="00B54A5F">
            <w:pPr>
              <w:pStyle w:val="TableNheader"/>
              <w:rPr>
                <w:sz w:val="17"/>
                <w:szCs w:val="17"/>
                <w:lang w:eastAsia="en-AU"/>
              </w:rPr>
            </w:pPr>
            <w:r w:rsidRPr="00F64C30">
              <w:rPr>
                <w:sz w:val="17"/>
                <w:szCs w:val="17"/>
                <w:lang w:eastAsia="en-AU"/>
              </w:rPr>
              <w:t>Purpose and rationale</w:t>
            </w:r>
          </w:p>
        </w:tc>
        <w:tc>
          <w:tcPr>
            <w:tcW w:w="7488" w:type="dxa"/>
            <w:gridSpan w:val="2"/>
            <w:tcBorders>
              <w:top w:val="single" w:sz="4" w:space="0" w:color="BFBFBF" w:themeColor="background1" w:themeShade="BF"/>
            </w:tcBorders>
          </w:tcPr>
          <w:p w14:paraId="5CCB5261" w14:textId="70042212" w:rsidR="006D4DE5" w:rsidRPr="00F64C30" w:rsidRDefault="006D4DE5" w:rsidP="00B54A5F">
            <w:pPr>
              <w:pStyle w:val="TableNText"/>
              <w:rPr>
                <w:rFonts w:asciiTheme="minorHAnsi" w:hAnsiTheme="minorHAnsi" w:cstheme="minorHAnsi"/>
                <w:b/>
                <w:szCs w:val="17"/>
              </w:rPr>
            </w:pPr>
            <w:r w:rsidRPr="00F64C30">
              <w:rPr>
                <w:rFonts w:asciiTheme="minorHAnsi" w:hAnsiTheme="minorHAnsi" w:cstheme="minorHAnsi"/>
                <w:szCs w:val="17"/>
              </w:rPr>
              <w:t>AIHW has worked with the Australian Department of Health and state and territory health authorities to create NIHSI-AA, a multi-jurisdictional linked data asset that includes hospital admitted, non-admitted and emergency department care, residential aged care, mortality, and the MBS and PBS</w:t>
            </w:r>
            <w:r w:rsidR="003F5E7D">
              <w:rPr>
                <w:rFonts w:asciiTheme="minorHAnsi" w:hAnsiTheme="minorHAnsi" w:cstheme="minorHAnsi"/>
                <w:szCs w:val="17"/>
              </w:rPr>
              <w:t>.</w:t>
            </w:r>
            <w:r w:rsidRPr="00F64C30">
              <w:rPr>
                <w:rFonts w:asciiTheme="minorHAnsi" w:hAnsiTheme="minorHAnsi" w:cstheme="minorHAnsi"/>
                <w:b/>
                <w:szCs w:val="17"/>
              </w:rPr>
              <w:t xml:space="preserve"> </w:t>
            </w:r>
          </w:p>
          <w:p w14:paraId="7F2436AA" w14:textId="77777777" w:rsidR="006D4DE5" w:rsidRPr="00F64C30" w:rsidRDefault="006D4DE5" w:rsidP="00B54A5F">
            <w:pPr>
              <w:pStyle w:val="TableNText"/>
              <w:rPr>
                <w:rFonts w:asciiTheme="minorHAnsi" w:hAnsiTheme="minorHAnsi" w:cstheme="minorHAnsi"/>
                <w:szCs w:val="17"/>
              </w:rPr>
            </w:pPr>
            <w:r w:rsidRPr="00F64C30">
              <w:rPr>
                <w:rFonts w:asciiTheme="minorHAnsi" w:hAnsiTheme="minorHAnsi" w:cstheme="minorHAnsi"/>
                <w:szCs w:val="17"/>
              </w:rPr>
              <w:t xml:space="preserve">Analysis of NIHSI-AA is likely to be highly useful as it provides robust information on the health services (including palliative care) accessed by residents in RACFs. This is not available in other unlinked datasets. </w:t>
            </w:r>
          </w:p>
          <w:p w14:paraId="2B521963" w14:textId="7878AED8" w:rsidR="006D4DE5" w:rsidRPr="00F64C30" w:rsidRDefault="006D4DE5" w:rsidP="00B54A5F">
            <w:pPr>
              <w:pStyle w:val="TableNText"/>
              <w:rPr>
                <w:rFonts w:asciiTheme="minorHAnsi" w:hAnsiTheme="minorHAnsi" w:cstheme="minorHAnsi"/>
                <w:szCs w:val="17"/>
              </w:rPr>
            </w:pPr>
            <w:r w:rsidRPr="00F64C30">
              <w:rPr>
                <w:rFonts w:asciiTheme="minorHAnsi" w:hAnsiTheme="minorHAnsi" w:cstheme="minorHAnsi"/>
                <w:szCs w:val="17"/>
              </w:rPr>
              <w:t xml:space="preserve">Many of the evaluation indicators provided in section </w:t>
            </w:r>
            <w:r w:rsidRPr="00F64C30">
              <w:rPr>
                <w:rFonts w:asciiTheme="minorHAnsi" w:hAnsiTheme="minorHAnsi" w:cstheme="minorHAnsi"/>
                <w:szCs w:val="17"/>
              </w:rPr>
              <w:fldChar w:fldCharType="begin"/>
            </w:r>
            <w:r w:rsidRPr="00F64C30">
              <w:rPr>
                <w:rFonts w:asciiTheme="minorHAnsi" w:hAnsiTheme="minorHAnsi" w:cstheme="minorHAnsi"/>
                <w:szCs w:val="17"/>
              </w:rPr>
              <w:instrText xml:space="preserve"> REF _Ref61955286 \r \h </w:instrText>
            </w:r>
            <w:r w:rsidR="00B54A5F" w:rsidRPr="00F64C30">
              <w:rPr>
                <w:rFonts w:asciiTheme="minorHAnsi" w:hAnsiTheme="minorHAnsi" w:cstheme="minorHAnsi"/>
                <w:szCs w:val="17"/>
              </w:rPr>
              <w:instrText xml:space="preserve"> \* MERGEFORMAT </w:instrText>
            </w:r>
            <w:r w:rsidRPr="00F64C30">
              <w:rPr>
                <w:rFonts w:asciiTheme="minorHAnsi" w:hAnsiTheme="minorHAnsi" w:cstheme="minorHAnsi"/>
                <w:szCs w:val="17"/>
              </w:rPr>
            </w:r>
            <w:r w:rsidRPr="00F64C30">
              <w:rPr>
                <w:rFonts w:asciiTheme="minorHAnsi" w:hAnsiTheme="minorHAnsi" w:cstheme="minorHAnsi"/>
                <w:szCs w:val="17"/>
              </w:rPr>
              <w:fldChar w:fldCharType="separate"/>
            </w:r>
            <w:r w:rsidR="00DF258C">
              <w:rPr>
                <w:rFonts w:asciiTheme="minorHAnsi" w:hAnsiTheme="minorHAnsi" w:cstheme="minorHAnsi"/>
                <w:szCs w:val="17"/>
              </w:rPr>
              <w:t>6.3.2</w:t>
            </w:r>
            <w:r w:rsidRPr="00F64C30">
              <w:rPr>
                <w:rFonts w:asciiTheme="minorHAnsi" w:hAnsiTheme="minorHAnsi" w:cstheme="minorHAnsi"/>
                <w:szCs w:val="17"/>
              </w:rPr>
              <w:fldChar w:fldCharType="end"/>
            </w:r>
            <w:r w:rsidRPr="00F64C30">
              <w:rPr>
                <w:rStyle w:val="TableNTextChar"/>
                <w:rFonts w:asciiTheme="minorHAnsi" w:hAnsiTheme="minorHAnsi" w:cstheme="minorHAnsi"/>
                <w:szCs w:val="17"/>
              </w:rPr>
              <w:t xml:space="preserve"> require linked data such as NIHSI-AA to identify RACF residents within other health datasets (MBS, PBS, hospital datasets). </w:t>
            </w:r>
          </w:p>
        </w:tc>
      </w:tr>
      <w:tr w:rsidR="006D4DE5" w:rsidRPr="00752D1E" w14:paraId="144674F4" w14:textId="77777777" w:rsidTr="00F55E11">
        <w:tc>
          <w:tcPr>
            <w:tcW w:w="1432" w:type="dxa"/>
            <w:shd w:val="clear" w:color="auto" w:fill="E6E6E1" w:themeFill="accent5"/>
          </w:tcPr>
          <w:p w14:paraId="52C396AF" w14:textId="77777777" w:rsidR="006D4DE5" w:rsidRPr="00F64C30" w:rsidRDefault="006D4DE5" w:rsidP="00B54A5F">
            <w:pPr>
              <w:pStyle w:val="TableNheader"/>
              <w:rPr>
                <w:sz w:val="17"/>
                <w:szCs w:val="17"/>
                <w:lang w:eastAsia="en-AU"/>
              </w:rPr>
            </w:pPr>
            <w:r w:rsidRPr="00F64C30">
              <w:rPr>
                <w:sz w:val="17"/>
                <w:szCs w:val="17"/>
                <w:lang w:eastAsia="en-AU"/>
              </w:rPr>
              <w:t xml:space="preserve">Collection methodology </w:t>
            </w:r>
          </w:p>
        </w:tc>
        <w:tc>
          <w:tcPr>
            <w:tcW w:w="7488" w:type="dxa"/>
            <w:gridSpan w:val="2"/>
          </w:tcPr>
          <w:p w14:paraId="3478AB0A" w14:textId="1AF11CFA" w:rsidR="006D4DE5" w:rsidRPr="00F64C30" w:rsidRDefault="006D4DE5" w:rsidP="00B54A5F">
            <w:pPr>
              <w:pStyle w:val="TableNText"/>
              <w:rPr>
                <w:rFonts w:asciiTheme="minorHAnsi" w:hAnsiTheme="minorHAnsi" w:cstheme="minorHAnsi"/>
                <w:szCs w:val="17"/>
              </w:rPr>
            </w:pPr>
            <w:r w:rsidRPr="00F64C30">
              <w:rPr>
                <w:rFonts w:asciiTheme="minorHAnsi" w:hAnsiTheme="minorHAnsi" w:cstheme="minorHAnsi"/>
                <w:szCs w:val="17"/>
              </w:rPr>
              <w:t xml:space="preserve">Nous is working with AIHW to initiate a project that will produce analysis from NIHSI-AA that can then be included in the evaluation. It is expected that Nous will be involved in this project as part of the Project Advisory Committee. Details regarding the provision of data from this project are still being determined with AIHW. </w:t>
            </w:r>
          </w:p>
        </w:tc>
      </w:tr>
      <w:tr w:rsidR="006D4DE5" w:rsidRPr="00752D1E" w14:paraId="593D7548" w14:textId="77777777" w:rsidTr="00F55E11">
        <w:tc>
          <w:tcPr>
            <w:tcW w:w="1432" w:type="dxa"/>
            <w:shd w:val="clear" w:color="auto" w:fill="E6E6E1" w:themeFill="accent5"/>
          </w:tcPr>
          <w:p w14:paraId="6E0171B4" w14:textId="77777777" w:rsidR="006D4DE5" w:rsidRPr="00F64C30" w:rsidRDefault="006D4DE5" w:rsidP="00B54A5F">
            <w:pPr>
              <w:pStyle w:val="TableNheader"/>
              <w:rPr>
                <w:sz w:val="17"/>
                <w:szCs w:val="17"/>
                <w:lang w:eastAsia="en-AU"/>
              </w:rPr>
            </w:pPr>
            <w:r w:rsidRPr="00F64C30">
              <w:rPr>
                <w:sz w:val="17"/>
                <w:szCs w:val="17"/>
                <w:lang w:eastAsia="en-AU"/>
              </w:rPr>
              <w:t xml:space="preserve">Considerations </w:t>
            </w:r>
          </w:p>
        </w:tc>
        <w:tc>
          <w:tcPr>
            <w:tcW w:w="7488" w:type="dxa"/>
            <w:gridSpan w:val="2"/>
          </w:tcPr>
          <w:p w14:paraId="48740804" w14:textId="26C0847A" w:rsidR="006D4DE5" w:rsidRPr="00F64C30" w:rsidRDefault="006D4DE5" w:rsidP="00B54A5F">
            <w:pPr>
              <w:pStyle w:val="TableNText"/>
              <w:rPr>
                <w:rStyle w:val="TableNTextChar"/>
                <w:rFonts w:asciiTheme="minorHAnsi" w:hAnsiTheme="minorHAnsi" w:cstheme="minorHAnsi"/>
                <w:szCs w:val="17"/>
              </w:rPr>
            </w:pPr>
            <w:r w:rsidRPr="00F64C30">
              <w:rPr>
                <w:rStyle w:val="TableNTextChar"/>
                <w:rFonts w:asciiTheme="minorHAnsi" w:hAnsiTheme="minorHAnsi" w:cstheme="minorHAnsi"/>
                <w:szCs w:val="17"/>
                <w:highlight w:val="yellow"/>
              </w:rPr>
              <w:t>The inclusion of NIHSI-AA in the evaluation is still to be confirmed.</w:t>
            </w:r>
            <w:r w:rsidRPr="00F64C30">
              <w:rPr>
                <w:rStyle w:val="TableNTextChar"/>
                <w:rFonts w:asciiTheme="minorHAnsi" w:hAnsiTheme="minorHAnsi" w:cstheme="minorHAnsi"/>
                <w:szCs w:val="17"/>
              </w:rPr>
              <w:t xml:space="preserve"> </w:t>
            </w:r>
            <w:r w:rsidRPr="00F64C30">
              <w:rPr>
                <w:rFonts w:asciiTheme="minorHAnsi" w:hAnsiTheme="minorHAnsi" w:cstheme="minorHAnsi"/>
                <w:szCs w:val="17"/>
              </w:rPr>
              <w:t xml:space="preserve">Access to NIHSI-AA is limited to state and territory health authorities, </w:t>
            </w:r>
            <w:r w:rsidRPr="00F64C30" w:rsidDel="003735C7">
              <w:rPr>
                <w:rFonts w:asciiTheme="minorHAnsi" w:hAnsiTheme="minorHAnsi" w:cstheme="minorHAnsi"/>
                <w:szCs w:val="17"/>
              </w:rPr>
              <w:t xml:space="preserve">the </w:t>
            </w:r>
            <w:r w:rsidR="003735C7" w:rsidRPr="00F64C30">
              <w:rPr>
                <w:rFonts w:asciiTheme="minorHAnsi" w:hAnsiTheme="minorHAnsi" w:cstheme="minorHAnsi"/>
                <w:szCs w:val="17"/>
              </w:rPr>
              <w:t xml:space="preserve">Department </w:t>
            </w:r>
            <w:r w:rsidRPr="00F64C30">
              <w:rPr>
                <w:rFonts w:asciiTheme="minorHAnsi" w:hAnsiTheme="minorHAnsi" w:cstheme="minorHAnsi"/>
                <w:szCs w:val="17"/>
              </w:rPr>
              <w:t xml:space="preserve">and AIHW. </w:t>
            </w:r>
            <w:r w:rsidRPr="00F64C30">
              <w:rPr>
                <w:rStyle w:val="TableNTextChar"/>
                <w:rFonts w:asciiTheme="minorHAnsi" w:hAnsiTheme="minorHAnsi" w:cstheme="minorHAnsi"/>
                <w:szCs w:val="17"/>
              </w:rPr>
              <w:t xml:space="preserve">Nous is seeking to contract AIHW to conduct analysis of NIHSI-AA due to restrictions on access. </w:t>
            </w:r>
          </w:p>
          <w:p w14:paraId="26646496" w14:textId="7819DDD5" w:rsidR="006D4DE5" w:rsidRPr="00F64C30" w:rsidRDefault="006D4DE5" w:rsidP="00B54A5F">
            <w:pPr>
              <w:pStyle w:val="TableNText"/>
              <w:rPr>
                <w:rStyle w:val="TableNTextChar"/>
                <w:rFonts w:asciiTheme="minorHAnsi" w:hAnsiTheme="minorHAnsi" w:cstheme="minorHAnsi"/>
                <w:szCs w:val="17"/>
              </w:rPr>
            </w:pPr>
            <w:r w:rsidRPr="00F64C30">
              <w:rPr>
                <w:rStyle w:val="TableNTextChar"/>
                <w:rFonts w:asciiTheme="minorHAnsi" w:hAnsiTheme="minorHAnsi" w:cstheme="minorHAnsi"/>
                <w:szCs w:val="17"/>
              </w:rPr>
              <w:t xml:space="preserve">Should this be unsuccessful, Nous will work with states and territories to </w:t>
            </w:r>
            <w:r w:rsidR="00136F14" w:rsidRPr="00F64C30">
              <w:rPr>
                <w:rStyle w:val="TableNTextChar"/>
                <w:rFonts w:asciiTheme="minorHAnsi" w:hAnsiTheme="minorHAnsi" w:cstheme="minorHAnsi"/>
                <w:szCs w:val="17"/>
              </w:rPr>
              <w:t>d</w:t>
            </w:r>
            <w:r w:rsidR="00136F14" w:rsidRPr="00F64C30">
              <w:rPr>
                <w:rStyle w:val="TableNTextChar"/>
                <w:rFonts w:cstheme="minorHAnsi"/>
                <w:szCs w:val="17"/>
              </w:rPr>
              <w:t xml:space="preserve">evelop an alternative plan for </w:t>
            </w:r>
            <w:r w:rsidR="003853D3" w:rsidRPr="00F64C30">
              <w:rPr>
                <w:rStyle w:val="TableNTextChar"/>
                <w:rFonts w:cstheme="minorHAnsi"/>
                <w:szCs w:val="17"/>
              </w:rPr>
              <w:t xml:space="preserve">jurisdictional data analysis. This would include </w:t>
            </w:r>
            <w:r w:rsidRPr="00F64C30">
              <w:rPr>
                <w:rStyle w:val="TableNTextChar"/>
                <w:rFonts w:asciiTheme="minorHAnsi" w:hAnsiTheme="minorHAnsi" w:cstheme="minorHAnsi"/>
                <w:szCs w:val="17"/>
              </w:rPr>
              <w:t>identify</w:t>
            </w:r>
            <w:r w:rsidR="003853D3" w:rsidRPr="00F64C30">
              <w:rPr>
                <w:rStyle w:val="TableNTextChar"/>
                <w:rFonts w:asciiTheme="minorHAnsi" w:hAnsiTheme="minorHAnsi" w:cstheme="minorHAnsi"/>
                <w:szCs w:val="17"/>
              </w:rPr>
              <w:t>ing</w:t>
            </w:r>
            <w:r w:rsidRPr="00F64C30">
              <w:rPr>
                <w:rStyle w:val="TableNTextChar"/>
                <w:rFonts w:asciiTheme="minorHAnsi" w:hAnsiTheme="minorHAnsi" w:cstheme="minorHAnsi"/>
                <w:szCs w:val="17"/>
              </w:rPr>
              <w:t xml:space="preserve"> opportunities to link data within jurisdictions to generate similar insights. It is not expected that it will be possible to create a national linked dataset like NIHSI-AA for this evaluation. It is also expected that there will be varying capabilities of jurisdictions to link data. In some jurisdictions, linkage may need to occur for specific regions or hospitals where it is possible rather than the </w:t>
            </w:r>
            <w:r w:rsidR="00922016" w:rsidRPr="00F64C30">
              <w:rPr>
                <w:rStyle w:val="TableNTextChar"/>
                <w:rFonts w:asciiTheme="minorHAnsi" w:hAnsiTheme="minorHAnsi" w:cstheme="minorHAnsi"/>
                <w:szCs w:val="17"/>
              </w:rPr>
              <w:t>j</w:t>
            </w:r>
            <w:r w:rsidR="00922016" w:rsidRPr="00F64C30">
              <w:rPr>
                <w:rStyle w:val="TableNTextChar"/>
                <w:rFonts w:cstheme="minorHAnsi"/>
                <w:szCs w:val="17"/>
              </w:rPr>
              <w:t>urisdiction</w:t>
            </w:r>
            <w:r w:rsidR="00922016" w:rsidRPr="00F64C30">
              <w:rPr>
                <w:rStyle w:val="TableNTextChar"/>
                <w:rFonts w:asciiTheme="minorHAnsi" w:hAnsiTheme="minorHAnsi" w:cstheme="minorHAnsi"/>
                <w:szCs w:val="17"/>
              </w:rPr>
              <w:t xml:space="preserve"> </w:t>
            </w:r>
            <w:r w:rsidRPr="00F64C30">
              <w:rPr>
                <w:rStyle w:val="TableNTextChar"/>
                <w:rFonts w:asciiTheme="minorHAnsi" w:hAnsiTheme="minorHAnsi" w:cstheme="minorHAnsi"/>
                <w:szCs w:val="17"/>
              </w:rPr>
              <w:t xml:space="preserve">as a whole. </w:t>
            </w:r>
          </w:p>
          <w:p w14:paraId="74738DE1" w14:textId="1F1309A5" w:rsidR="006D4DE5" w:rsidRPr="00F64C30" w:rsidRDefault="006D4DE5" w:rsidP="00B25FA6">
            <w:pPr>
              <w:pStyle w:val="TableNText"/>
              <w:rPr>
                <w:rFonts w:asciiTheme="minorHAnsi" w:hAnsiTheme="minorHAnsi" w:cstheme="minorHAnsi"/>
                <w:szCs w:val="17"/>
              </w:rPr>
            </w:pPr>
            <w:r w:rsidRPr="00F64C30">
              <w:rPr>
                <w:rFonts w:asciiTheme="minorHAnsi" w:hAnsiTheme="minorHAnsi" w:cstheme="minorHAnsi"/>
                <w:szCs w:val="17"/>
              </w:rPr>
              <w:t>Approval from the NIHSI Advisory Committee is necessary for the project to go ahead. AIHW has existing ethics approvals in place to conduct analysis with NIHSI-AA</w:t>
            </w:r>
            <w:r w:rsidR="005761DD" w:rsidRPr="00F64C30">
              <w:rPr>
                <w:rFonts w:asciiTheme="minorHAnsi" w:hAnsiTheme="minorHAnsi" w:cstheme="minorHAnsi"/>
                <w:szCs w:val="17"/>
              </w:rPr>
              <w:t>; however,</w:t>
            </w:r>
            <w:r w:rsidRPr="00F64C30">
              <w:rPr>
                <w:rFonts w:asciiTheme="minorHAnsi" w:hAnsiTheme="minorHAnsi" w:cstheme="minorHAnsi"/>
                <w:szCs w:val="17"/>
              </w:rPr>
              <w:t xml:space="preserve"> the project will need approval from the head of the AIHW Ethics Committee. </w:t>
            </w:r>
          </w:p>
          <w:p w14:paraId="1016E435" w14:textId="6E437D2F" w:rsidR="006D4DE5" w:rsidRPr="00F64C30" w:rsidRDefault="006D4DE5" w:rsidP="00B25FA6">
            <w:pPr>
              <w:pStyle w:val="TableNText"/>
              <w:rPr>
                <w:rFonts w:asciiTheme="minorHAnsi" w:hAnsiTheme="minorHAnsi" w:cstheme="minorHAnsi"/>
                <w:szCs w:val="17"/>
              </w:rPr>
            </w:pPr>
            <w:r w:rsidRPr="00F64C30">
              <w:rPr>
                <w:rFonts w:asciiTheme="minorHAnsi" w:hAnsiTheme="minorHAnsi" w:cstheme="minorHAnsi"/>
                <w:szCs w:val="17"/>
              </w:rPr>
              <w:t>There are limitations regarding the coverage and timeliness of NIHSI-AA data which are expected to improve during the evaluation. NIHSI-AA is a new dataset that started being built in 2018 and currently contains four jurisdictions</w:t>
            </w:r>
            <w:r w:rsidR="006F71E9" w:rsidRPr="00F64C30">
              <w:rPr>
                <w:rFonts w:asciiTheme="minorHAnsi" w:hAnsiTheme="minorHAnsi" w:cstheme="minorHAnsi"/>
                <w:szCs w:val="17"/>
              </w:rPr>
              <w:t>:</w:t>
            </w:r>
            <w:r w:rsidRPr="00F64C30">
              <w:rPr>
                <w:rFonts w:asciiTheme="minorHAnsi" w:hAnsiTheme="minorHAnsi" w:cstheme="minorHAnsi"/>
                <w:szCs w:val="17"/>
              </w:rPr>
              <w:t xml:space="preserve"> NSW, South Australia, </w:t>
            </w:r>
            <w:proofErr w:type="gramStart"/>
            <w:r w:rsidRPr="00F64C30">
              <w:rPr>
                <w:rFonts w:asciiTheme="minorHAnsi" w:hAnsiTheme="minorHAnsi" w:cstheme="minorHAnsi"/>
                <w:szCs w:val="17"/>
              </w:rPr>
              <w:t>Tasmania</w:t>
            </w:r>
            <w:proofErr w:type="gramEnd"/>
            <w:r w:rsidRPr="00F64C30">
              <w:rPr>
                <w:rFonts w:asciiTheme="minorHAnsi" w:hAnsiTheme="minorHAnsi" w:cstheme="minorHAnsi"/>
                <w:szCs w:val="17"/>
              </w:rPr>
              <w:t xml:space="preserve"> and Victoria. It is expected that </w:t>
            </w:r>
            <w:r w:rsidR="00A65411">
              <w:rPr>
                <w:rFonts w:asciiTheme="minorHAnsi" w:hAnsiTheme="minorHAnsi" w:cstheme="minorHAnsi"/>
                <w:szCs w:val="17"/>
              </w:rPr>
              <w:t>further</w:t>
            </w:r>
            <w:r w:rsidRPr="00F64C30">
              <w:rPr>
                <w:rFonts w:asciiTheme="minorHAnsi" w:hAnsiTheme="minorHAnsi" w:cstheme="minorHAnsi"/>
                <w:szCs w:val="17"/>
              </w:rPr>
              <w:t xml:space="preserve"> states and territories will be included in NIHSI-AA in 2021. NIHSI currently holds data between 2010-11 and 2016-17</w:t>
            </w:r>
            <w:r w:rsidR="004B0C2E" w:rsidRPr="00F64C30">
              <w:rPr>
                <w:rFonts w:asciiTheme="minorHAnsi" w:hAnsiTheme="minorHAnsi" w:cstheme="minorHAnsi"/>
                <w:szCs w:val="17"/>
              </w:rPr>
              <w:t xml:space="preserve">; however, </w:t>
            </w:r>
            <w:r w:rsidR="001B5A7C" w:rsidRPr="00F64C30">
              <w:rPr>
                <w:rFonts w:asciiTheme="minorHAnsi" w:hAnsiTheme="minorHAnsi" w:cstheme="minorHAnsi"/>
                <w:szCs w:val="17"/>
              </w:rPr>
              <w:t>it</w:t>
            </w:r>
            <w:r w:rsidRPr="00F64C30">
              <w:rPr>
                <w:rFonts w:asciiTheme="minorHAnsi" w:hAnsiTheme="minorHAnsi" w:cstheme="minorHAnsi"/>
                <w:szCs w:val="17"/>
              </w:rPr>
              <w:t xml:space="preserve"> is anticipated to be updated to include 2019-20 in 2021. Further data should be included throughout the evaluation. This may mean that indicators that report on NIHSI-AA data take more time to report than indicators that use other data sources.</w:t>
            </w:r>
          </w:p>
        </w:tc>
      </w:tr>
      <w:tr w:rsidR="006D4DE5" w:rsidRPr="00752D1E" w14:paraId="491D45ED" w14:textId="77777777" w:rsidTr="00F55E11">
        <w:tc>
          <w:tcPr>
            <w:tcW w:w="1432" w:type="dxa"/>
            <w:shd w:val="clear" w:color="auto" w:fill="E6E6E1" w:themeFill="accent5"/>
          </w:tcPr>
          <w:p w14:paraId="25C9358E" w14:textId="77777777" w:rsidR="006D4DE5" w:rsidRPr="00A771A9" w:rsidRDefault="006D4DE5" w:rsidP="00B54A5F">
            <w:pPr>
              <w:pStyle w:val="TableNheader"/>
              <w:rPr>
                <w:lang w:eastAsia="en-AU"/>
              </w:rPr>
            </w:pPr>
            <w:r w:rsidRPr="00A771A9">
              <w:rPr>
                <w:lang w:eastAsia="en-AU"/>
              </w:rPr>
              <w:lastRenderedPageBreak/>
              <w:t xml:space="preserve">Frequency of collection </w:t>
            </w:r>
          </w:p>
        </w:tc>
        <w:tc>
          <w:tcPr>
            <w:tcW w:w="7488" w:type="dxa"/>
            <w:gridSpan w:val="2"/>
          </w:tcPr>
          <w:p w14:paraId="33185FBB" w14:textId="05CCF0A8" w:rsidR="006D4DE5" w:rsidRPr="00A771A9" w:rsidRDefault="006821A6" w:rsidP="00B54A5F">
            <w:pPr>
              <w:pStyle w:val="TableNText"/>
              <w:rPr>
                <w:lang w:eastAsia="en-AU"/>
              </w:rPr>
            </w:pPr>
            <w:r w:rsidRPr="00A771A9">
              <w:rPr>
                <w:lang w:eastAsia="en-AU"/>
              </w:rPr>
              <w:t>Analysis will be conducted twice during the evaluation</w:t>
            </w:r>
            <w:r w:rsidR="002A70E6" w:rsidRPr="00A771A9">
              <w:rPr>
                <w:lang w:eastAsia="en-AU"/>
              </w:rPr>
              <w:t>: once to determine the baseline (July</w:t>
            </w:r>
            <w:r w:rsidR="001B5A7C" w:rsidRPr="00A771A9">
              <w:rPr>
                <w:lang w:eastAsia="en-AU"/>
              </w:rPr>
              <w:t>-</w:t>
            </w:r>
            <w:r w:rsidR="002A70E6" w:rsidRPr="00A771A9">
              <w:rPr>
                <w:lang w:eastAsia="en-AU"/>
              </w:rPr>
              <w:t>December 2021) which will be included in the Mid</w:t>
            </w:r>
            <w:r w:rsidR="00A50340" w:rsidRPr="00A771A9">
              <w:rPr>
                <w:lang w:eastAsia="en-AU"/>
              </w:rPr>
              <w:t>point</w:t>
            </w:r>
            <w:r w:rsidR="007D1236" w:rsidRPr="00A771A9">
              <w:rPr>
                <w:lang w:eastAsia="en-AU"/>
              </w:rPr>
              <w:t xml:space="preserve"> Report</w:t>
            </w:r>
            <w:r w:rsidR="002A70E6" w:rsidRPr="00A771A9">
              <w:rPr>
                <w:lang w:eastAsia="en-AU"/>
              </w:rPr>
              <w:t xml:space="preserve"> and once </w:t>
            </w:r>
            <w:r w:rsidR="00AA0A1B" w:rsidRPr="00A771A9">
              <w:rPr>
                <w:lang w:eastAsia="en-AU"/>
              </w:rPr>
              <w:t xml:space="preserve">with updated data for the Final </w:t>
            </w:r>
            <w:r w:rsidR="007D1236" w:rsidRPr="00A771A9">
              <w:rPr>
                <w:lang w:eastAsia="en-AU"/>
              </w:rPr>
              <w:t>Report</w:t>
            </w:r>
            <w:r w:rsidR="00AA0A1B" w:rsidRPr="00A771A9">
              <w:rPr>
                <w:lang w:eastAsia="en-AU"/>
              </w:rPr>
              <w:t xml:space="preserve"> in 2023. </w:t>
            </w:r>
          </w:p>
        </w:tc>
      </w:tr>
      <w:tr w:rsidR="006D4DE5" w:rsidRPr="00752D1E" w14:paraId="74583B67" w14:textId="77777777" w:rsidTr="00F55E11">
        <w:tc>
          <w:tcPr>
            <w:tcW w:w="1432" w:type="dxa"/>
            <w:tcBorders>
              <w:bottom w:val="single" w:sz="4" w:space="0" w:color="BFBFBF" w:themeColor="background1" w:themeShade="BF"/>
            </w:tcBorders>
            <w:shd w:val="clear" w:color="auto" w:fill="E6E6E1" w:themeFill="accent5"/>
          </w:tcPr>
          <w:p w14:paraId="03106965" w14:textId="77777777" w:rsidR="006D4DE5" w:rsidRPr="00A771A9" w:rsidRDefault="006D4DE5" w:rsidP="00B54A5F">
            <w:pPr>
              <w:pStyle w:val="TableNheader"/>
              <w:rPr>
                <w:lang w:eastAsia="en-AU"/>
              </w:rPr>
            </w:pPr>
            <w:r w:rsidRPr="00A771A9">
              <w:rPr>
                <w:lang w:eastAsia="en-AU"/>
              </w:rPr>
              <w:t>Scope</w:t>
            </w:r>
          </w:p>
        </w:tc>
        <w:tc>
          <w:tcPr>
            <w:tcW w:w="7488" w:type="dxa"/>
            <w:gridSpan w:val="2"/>
            <w:tcBorders>
              <w:bottom w:val="single" w:sz="4" w:space="0" w:color="BFBFBF" w:themeColor="background1" w:themeShade="BF"/>
            </w:tcBorders>
          </w:tcPr>
          <w:p w14:paraId="27A8086E" w14:textId="2E2657E1" w:rsidR="006D4DE5" w:rsidRPr="00A771A9" w:rsidRDefault="006D4DE5" w:rsidP="00B54A5F">
            <w:pPr>
              <w:pStyle w:val="TableNText"/>
              <w:rPr>
                <w:lang w:eastAsia="en-AU"/>
              </w:rPr>
            </w:pPr>
            <w:r w:rsidRPr="00A771A9">
              <w:rPr>
                <w:lang w:eastAsia="en-AU"/>
              </w:rPr>
              <w:t xml:space="preserve">Currently includes TAS, NSW, VIC, SA. NIHSI is expected to expand to </w:t>
            </w:r>
            <w:r w:rsidR="000A1B18">
              <w:rPr>
                <w:lang w:eastAsia="en-AU"/>
              </w:rPr>
              <w:t>further</w:t>
            </w:r>
            <w:r w:rsidRPr="00A771A9">
              <w:rPr>
                <w:lang w:eastAsia="en-AU"/>
              </w:rPr>
              <w:t xml:space="preserve"> states and territories in 2021.</w:t>
            </w:r>
            <w:r w:rsidR="00675687">
              <w:rPr>
                <w:lang w:eastAsia="en-AU"/>
              </w:rPr>
              <w:t xml:space="preserve"> </w:t>
            </w:r>
          </w:p>
        </w:tc>
      </w:tr>
    </w:tbl>
    <w:p w14:paraId="77D3403D" w14:textId="77777777" w:rsidR="00F55E11" w:rsidRDefault="00F55E11" w:rsidP="006D4DE5">
      <w:pPr>
        <w:spacing w:after="165" w:line="259" w:lineRule="auto"/>
      </w:pPr>
    </w:p>
    <w:tbl>
      <w:tblPr>
        <w:tblStyle w:val="TableGridLight"/>
        <w:tblW w:w="8926" w:type="dxa"/>
        <w:tblBorders>
          <w:bottom w:val="none" w:sz="0" w:space="0" w:color="auto"/>
        </w:tblBorders>
        <w:tblCellMar>
          <w:top w:w="57" w:type="dxa"/>
        </w:tblCellMar>
        <w:tblLook w:val="04A0" w:firstRow="1" w:lastRow="0" w:firstColumn="1" w:lastColumn="0" w:noHBand="0" w:noVBand="1"/>
        <w:tblCaption w:val="This table looks at collection of ACQSC Complaints to be reported in the Midpoint and Final Report"/>
        <w:tblDescription w:val="Purpose and rationale:&#10;ACQSC records data for the aged care sector, including RACFs. The performance information includes data on site visits, compliance issues and complaints. This data will provide jurisdictional-level information on the RACFs operating contexts, complaints in particular, to inform the evaluation. Any changes in frequency or severity of complaints will be monitored over the course of the evaluation. &#10;&#10;Collection methodology: &#10;Nous will collate the reports that ACQSC publicly releases each quarter. &#10;&#10;Considerations:&#10;ACQSC data is provided at the jurisdictional-level (e.g. RACFs are not identified). Nous will explore the value of individual facility accreditation reports in consultation with the ACQSC.&#10;Complaints data is likely to be biased towards negative input. Nous will be conscious of the negative bias when interpreting and using ACQSC data.&#10;&#10;Frequency of collection:&#10;Twice during the evaluation: in May 2022 and June 2023.&#10;&#10;Scope:&#10;All states and territories."/>
      </w:tblPr>
      <w:tblGrid>
        <w:gridCol w:w="1432"/>
        <w:gridCol w:w="5426"/>
        <w:gridCol w:w="2062"/>
        <w:gridCol w:w="6"/>
      </w:tblGrid>
      <w:tr w:rsidR="00ED0816" w:rsidRPr="0035440F" w14:paraId="48EC0397" w14:textId="77777777" w:rsidTr="00D70AE8">
        <w:trPr>
          <w:gridAfter w:val="1"/>
          <w:wAfter w:w="6" w:type="dxa"/>
          <w:trHeight w:val="340"/>
        </w:trPr>
        <w:tc>
          <w:tcPr>
            <w:tcW w:w="1432" w:type="dxa"/>
            <w:tcBorders>
              <w:top w:val="single" w:sz="24" w:space="0" w:color="F8981D" w:themeColor="accent3"/>
              <w:bottom w:val="single" w:sz="4" w:space="0" w:color="BFBFBF" w:themeColor="background1" w:themeShade="BF"/>
            </w:tcBorders>
            <w:shd w:val="clear" w:color="auto" w:fill="00264D" w:themeFill="background2"/>
            <w:vAlign w:val="center"/>
          </w:tcPr>
          <w:p w14:paraId="06AF34B5" w14:textId="65A5BEE8" w:rsidR="00ED0816" w:rsidRPr="0035440F" w:rsidRDefault="00294BF2" w:rsidP="00DB065F">
            <w:pPr>
              <w:jc w:val="center"/>
              <w:rPr>
                <w:color w:val="FFFFFF" w:themeColor="background1"/>
                <w:sz w:val="16"/>
                <w:szCs w:val="16"/>
                <w:lang w:eastAsia="en-AU"/>
              </w:rPr>
            </w:pPr>
            <w:r w:rsidRPr="00294BF2">
              <w:rPr>
                <w:noProof/>
                <w:color w:val="FFFFFF" w:themeColor="background1"/>
                <w:sz w:val="16"/>
                <w:szCs w:val="16"/>
                <w:lang w:eastAsia="en-AU"/>
              </w:rPr>
              <w:drawing>
                <wp:inline distT="0" distB="0" distL="0" distR="0" wp14:anchorId="54269E00" wp14:editId="32BC2CAE">
                  <wp:extent cx="334010" cy="286385"/>
                  <wp:effectExtent l="0" t="0" r="8890" b="0"/>
                  <wp:docPr id="27900" name="Picture 279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0" name="Picture 27900">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4010" cy="286385"/>
                          </a:xfrm>
                          <a:prstGeom prst="rect">
                            <a:avLst/>
                          </a:prstGeom>
                          <a:noFill/>
                          <a:ln>
                            <a:noFill/>
                          </a:ln>
                        </pic:spPr>
                      </pic:pic>
                    </a:graphicData>
                  </a:graphic>
                </wp:inline>
              </w:drawing>
            </w:r>
          </w:p>
        </w:tc>
        <w:tc>
          <w:tcPr>
            <w:tcW w:w="5426" w:type="dxa"/>
            <w:tcBorders>
              <w:top w:val="single" w:sz="24" w:space="0" w:color="F8981D" w:themeColor="accent3"/>
              <w:bottom w:val="single" w:sz="4" w:space="0" w:color="BFBFBF" w:themeColor="background1" w:themeShade="BF"/>
            </w:tcBorders>
            <w:shd w:val="clear" w:color="auto" w:fill="00264D" w:themeFill="background2"/>
            <w:vAlign w:val="center"/>
          </w:tcPr>
          <w:p w14:paraId="0A85A7F3" w14:textId="77777777" w:rsidR="00ED0816" w:rsidRPr="00B54A5F" w:rsidRDefault="00ED0816" w:rsidP="00B54A5F">
            <w:pPr>
              <w:pStyle w:val="TableNheader"/>
              <w:rPr>
                <w:color w:val="FFFFFF" w:themeColor="background1"/>
                <w:lang w:eastAsia="en-AU"/>
              </w:rPr>
            </w:pPr>
            <w:r w:rsidRPr="00B54A5F">
              <w:rPr>
                <w:color w:val="FFFFFF" w:themeColor="background1"/>
                <w:lang w:eastAsia="en-AU"/>
              </w:rPr>
              <w:t>ACQSC Complaints</w:t>
            </w:r>
          </w:p>
        </w:tc>
        <w:tc>
          <w:tcPr>
            <w:tcW w:w="2062" w:type="dxa"/>
            <w:tcBorders>
              <w:top w:val="single" w:sz="24" w:space="0" w:color="F8981D" w:themeColor="accent3"/>
              <w:bottom w:val="single" w:sz="4" w:space="0" w:color="BFBFBF" w:themeColor="background1" w:themeShade="BF"/>
            </w:tcBorders>
            <w:shd w:val="clear" w:color="auto" w:fill="00264D" w:themeFill="background2"/>
            <w:vAlign w:val="center"/>
          </w:tcPr>
          <w:p w14:paraId="4488BE7D" w14:textId="36E0BCD0" w:rsidR="00ED0816" w:rsidRPr="00B54A5F" w:rsidRDefault="00ED0816" w:rsidP="001A6789">
            <w:pPr>
              <w:pStyle w:val="TableNheader"/>
              <w:jc w:val="center"/>
              <w:rPr>
                <w:rFonts w:asciiTheme="minorHAnsi" w:hAnsiTheme="minorHAnsi" w:cstheme="minorHAnsi"/>
                <w:color w:val="FFFFFF" w:themeColor="background1"/>
                <w:lang w:eastAsia="en-AU"/>
              </w:rPr>
            </w:pPr>
            <w:r w:rsidRPr="00B54A5F">
              <w:rPr>
                <w:rFonts w:asciiTheme="minorHAnsi" w:hAnsiTheme="minorHAnsi" w:cstheme="minorHAnsi"/>
                <w:color w:val="FFFFFF" w:themeColor="background1"/>
                <w:lang w:eastAsia="en-AU"/>
              </w:rPr>
              <w:t>Reported in:</w:t>
            </w:r>
          </w:p>
          <w:p w14:paraId="4D009781" w14:textId="24652B30" w:rsidR="00ED0816" w:rsidRPr="00B54A5F" w:rsidRDefault="007D1236" w:rsidP="001A6789">
            <w:pPr>
              <w:pStyle w:val="TableNheader"/>
              <w:jc w:val="center"/>
              <w:rPr>
                <w:rFonts w:asciiTheme="minorHAnsi" w:hAnsiTheme="minorHAnsi" w:cstheme="minorHAnsi"/>
                <w:color w:val="FFFFFF" w:themeColor="background1"/>
                <w:lang w:eastAsia="en-AU"/>
              </w:rPr>
            </w:pPr>
            <w:r w:rsidRPr="00B54A5F">
              <w:rPr>
                <w:rFonts w:asciiTheme="minorHAnsi" w:hAnsiTheme="minorHAnsi" w:cstheme="minorHAnsi"/>
                <w:color w:val="FFFFFF" w:themeColor="background1"/>
                <w:lang w:eastAsia="en-AU"/>
              </w:rPr>
              <w:t>Mid</w:t>
            </w:r>
            <w:r w:rsidR="00A50340" w:rsidRPr="00B54A5F">
              <w:rPr>
                <w:rFonts w:asciiTheme="minorHAnsi" w:hAnsiTheme="minorHAnsi" w:cstheme="minorHAnsi"/>
                <w:color w:val="FFFFFF" w:themeColor="background1"/>
                <w:lang w:eastAsia="en-AU"/>
              </w:rPr>
              <w:t>point</w:t>
            </w:r>
            <w:r w:rsidRPr="00B54A5F">
              <w:rPr>
                <w:rFonts w:asciiTheme="minorHAnsi" w:hAnsiTheme="minorHAnsi" w:cstheme="minorHAnsi"/>
                <w:color w:val="FFFFFF" w:themeColor="background1"/>
                <w:lang w:eastAsia="en-AU"/>
              </w:rPr>
              <w:t xml:space="preserve"> Report</w:t>
            </w:r>
          </w:p>
          <w:p w14:paraId="2AC0FE64" w14:textId="27FA9FE2" w:rsidR="00ED0816" w:rsidRPr="00B54A5F" w:rsidRDefault="00ED0816" w:rsidP="001A6789">
            <w:pPr>
              <w:pStyle w:val="TableNheader"/>
              <w:jc w:val="center"/>
              <w:rPr>
                <w:rFonts w:asciiTheme="minorHAnsi" w:hAnsiTheme="minorHAnsi" w:cstheme="minorHAnsi"/>
                <w:color w:val="FFFFFF" w:themeColor="background1"/>
                <w:lang w:eastAsia="en-AU"/>
              </w:rPr>
            </w:pPr>
            <w:r w:rsidRPr="00B54A5F">
              <w:rPr>
                <w:rFonts w:asciiTheme="minorHAnsi" w:hAnsiTheme="minorHAnsi" w:cstheme="minorHAnsi"/>
                <w:color w:val="FFFFFF" w:themeColor="background1"/>
                <w:lang w:eastAsia="en-AU"/>
              </w:rPr>
              <w:t xml:space="preserve">Final </w:t>
            </w:r>
            <w:r w:rsidR="007D1236" w:rsidRPr="00B54A5F">
              <w:rPr>
                <w:rFonts w:asciiTheme="minorHAnsi" w:hAnsiTheme="minorHAnsi" w:cstheme="minorHAnsi"/>
                <w:color w:val="FFFFFF" w:themeColor="background1"/>
                <w:lang w:eastAsia="en-AU"/>
              </w:rPr>
              <w:t>Report</w:t>
            </w:r>
          </w:p>
        </w:tc>
      </w:tr>
      <w:tr w:rsidR="00ED0816" w:rsidRPr="0035440F" w14:paraId="3A759DEF" w14:textId="77777777" w:rsidTr="00ED6468">
        <w:tc>
          <w:tcPr>
            <w:tcW w:w="1432" w:type="dxa"/>
            <w:shd w:val="clear" w:color="auto" w:fill="E6E6E1" w:themeFill="accent5"/>
          </w:tcPr>
          <w:p w14:paraId="215299B7" w14:textId="77777777" w:rsidR="00ED0816" w:rsidRPr="00A771A9" w:rsidRDefault="00ED0816" w:rsidP="00B54A5F">
            <w:pPr>
              <w:pStyle w:val="TableNheader"/>
              <w:rPr>
                <w:lang w:eastAsia="en-AU"/>
              </w:rPr>
            </w:pPr>
            <w:r w:rsidRPr="00A771A9">
              <w:rPr>
                <w:lang w:eastAsia="en-AU"/>
              </w:rPr>
              <w:t>Purpose and rationale</w:t>
            </w:r>
          </w:p>
        </w:tc>
        <w:tc>
          <w:tcPr>
            <w:tcW w:w="7494" w:type="dxa"/>
            <w:gridSpan w:val="3"/>
          </w:tcPr>
          <w:p w14:paraId="78DFBD7F" w14:textId="574B7E74" w:rsidR="00ED0816" w:rsidRPr="00A771A9" w:rsidRDefault="00ED0816" w:rsidP="00DB065F">
            <w:pPr>
              <w:pStyle w:val="TableNText"/>
            </w:pPr>
            <w:r w:rsidRPr="00A771A9">
              <w:t xml:space="preserve">ACQSC records data for the aged care sector, including RACFs. The </w:t>
            </w:r>
            <w:r w:rsidRPr="003A0D10">
              <w:rPr>
                <w:rStyle w:val="TableNTextChar"/>
                <w:sz w:val="16"/>
                <w:szCs w:val="16"/>
              </w:rPr>
              <w:t xml:space="preserve">performance information includes data on site visits, compliance issues and complaints. This data will provide </w:t>
            </w:r>
            <w:r w:rsidR="00D13ED2">
              <w:rPr>
                <w:rStyle w:val="TableNTextChar"/>
                <w:sz w:val="16"/>
                <w:szCs w:val="16"/>
              </w:rPr>
              <w:t>j</w:t>
            </w:r>
            <w:r w:rsidRPr="003A0D10">
              <w:rPr>
                <w:rStyle w:val="TableNTextChar"/>
                <w:sz w:val="16"/>
                <w:szCs w:val="16"/>
              </w:rPr>
              <w:t xml:space="preserve">urisdictional-level information on the RACFs operating contexts, </w:t>
            </w:r>
            <w:proofErr w:type="gramStart"/>
            <w:r w:rsidRPr="003A0D10">
              <w:rPr>
                <w:rStyle w:val="TableNTextChar"/>
                <w:sz w:val="16"/>
                <w:szCs w:val="16"/>
              </w:rPr>
              <w:t>complaints in particular, to</w:t>
            </w:r>
            <w:proofErr w:type="gramEnd"/>
            <w:r w:rsidRPr="003A0D10">
              <w:rPr>
                <w:rStyle w:val="TableNTextChar"/>
                <w:sz w:val="16"/>
                <w:szCs w:val="16"/>
              </w:rPr>
              <w:t xml:space="preserve"> inform the evaluation. Any changes in frequency or severity of complaints will be monitored over the course of the evaluation. </w:t>
            </w:r>
          </w:p>
        </w:tc>
      </w:tr>
      <w:tr w:rsidR="00ED0816" w:rsidRPr="0035440F" w14:paraId="558585C8" w14:textId="77777777" w:rsidTr="00ED6468">
        <w:tc>
          <w:tcPr>
            <w:tcW w:w="1432" w:type="dxa"/>
            <w:shd w:val="clear" w:color="auto" w:fill="E6E6E1" w:themeFill="accent5"/>
          </w:tcPr>
          <w:p w14:paraId="4D38A9C6" w14:textId="77777777" w:rsidR="00ED0816" w:rsidRPr="00A771A9" w:rsidRDefault="00ED0816" w:rsidP="00B54A5F">
            <w:pPr>
              <w:pStyle w:val="TableNheader"/>
              <w:rPr>
                <w:lang w:eastAsia="en-AU"/>
              </w:rPr>
            </w:pPr>
            <w:r w:rsidRPr="00A771A9">
              <w:rPr>
                <w:lang w:eastAsia="en-AU"/>
              </w:rPr>
              <w:t xml:space="preserve">Collection methodology </w:t>
            </w:r>
          </w:p>
        </w:tc>
        <w:tc>
          <w:tcPr>
            <w:tcW w:w="7494" w:type="dxa"/>
            <w:gridSpan w:val="3"/>
          </w:tcPr>
          <w:p w14:paraId="11D5E381" w14:textId="77777777" w:rsidR="00ED0816" w:rsidRPr="00A771A9" w:rsidRDefault="00ED0816" w:rsidP="00B54A5F">
            <w:pPr>
              <w:pStyle w:val="TableNText"/>
            </w:pPr>
            <w:r w:rsidRPr="00A771A9">
              <w:t xml:space="preserve">Nous will collate the reports that ACQSC publicly releases each quarter. </w:t>
            </w:r>
          </w:p>
        </w:tc>
      </w:tr>
      <w:tr w:rsidR="00ED0816" w:rsidRPr="0035440F" w14:paraId="20F87F55" w14:textId="77777777" w:rsidTr="00ED6468">
        <w:tc>
          <w:tcPr>
            <w:tcW w:w="1432" w:type="dxa"/>
            <w:shd w:val="clear" w:color="auto" w:fill="E6E6E1" w:themeFill="accent5"/>
          </w:tcPr>
          <w:p w14:paraId="7E6A3327" w14:textId="77777777" w:rsidR="00ED0816" w:rsidRPr="00A771A9" w:rsidRDefault="00ED0816" w:rsidP="00B54A5F">
            <w:pPr>
              <w:pStyle w:val="TableNheader"/>
              <w:rPr>
                <w:lang w:eastAsia="en-AU"/>
              </w:rPr>
            </w:pPr>
            <w:r w:rsidRPr="00A771A9">
              <w:rPr>
                <w:lang w:eastAsia="en-AU"/>
              </w:rPr>
              <w:t xml:space="preserve">Considerations </w:t>
            </w:r>
          </w:p>
        </w:tc>
        <w:tc>
          <w:tcPr>
            <w:tcW w:w="7494" w:type="dxa"/>
            <w:gridSpan w:val="3"/>
          </w:tcPr>
          <w:p w14:paraId="4B3955C7" w14:textId="5BB127ED" w:rsidR="00ED0816" w:rsidRPr="00A771A9" w:rsidRDefault="00ED0816" w:rsidP="00DB065F">
            <w:pPr>
              <w:pStyle w:val="TableNText"/>
            </w:pPr>
            <w:r w:rsidRPr="00A771A9">
              <w:t xml:space="preserve">ACQSC data is provided at the </w:t>
            </w:r>
            <w:proofErr w:type="gramStart"/>
            <w:r w:rsidRPr="00A771A9">
              <w:t>jurisdictional-level</w:t>
            </w:r>
            <w:proofErr w:type="gramEnd"/>
            <w:r w:rsidRPr="00A771A9">
              <w:t xml:space="preserve"> (e.g. RACFs are not identified).</w:t>
            </w:r>
            <w:r w:rsidR="005611B2">
              <w:t xml:space="preserve"> Nous will explore the value of individual facility accreditation reports in consultation with the ACQSC.</w:t>
            </w:r>
          </w:p>
          <w:p w14:paraId="719CA1CF" w14:textId="1E16A5B8" w:rsidR="00ED0816" w:rsidRPr="00A771A9" w:rsidRDefault="00ED0816" w:rsidP="00DB065F">
            <w:pPr>
              <w:pStyle w:val="TableNText"/>
            </w:pPr>
            <w:proofErr w:type="gramStart"/>
            <w:r w:rsidRPr="00A771A9">
              <w:t>Complaints</w:t>
            </w:r>
            <w:proofErr w:type="gramEnd"/>
            <w:r w:rsidRPr="00A771A9">
              <w:t xml:space="preserve"> data is likely to be biased towards negative input. Nous will be conscious of the negative bias when interpreting and using ACQSC data.</w:t>
            </w:r>
          </w:p>
        </w:tc>
      </w:tr>
      <w:tr w:rsidR="00ED0816" w:rsidRPr="0035440F" w14:paraId="45213B3B" w14:textId="77777777" w:rsidTr="00ED6468">
        <w:tc>
          <w:tcPr>
            <w:tcW w:w="1432" w:type="dxa"/>
            <w:shd w:val="clear" w:color="auto" w:fill="E6E6E1" w:themeFill="accent5"/>
          </w:tcPr>
          <w:p w14:paraId="7839A08A" w14:textId="77777777" w:rsidR="00ED0816" w:rsidRPr="00A771A9" w:rsidRDefault="00ED0816" w:rsidP="00B54A5F">
            <w:pPr>
              <w:pStyle w:val="TableNheader"/>
              <w:rPr>
                <w:lang w:eastAsia="en-AU"/>
              </w:rPr>
            </w:pPr>
            <w:r w:rsidRPr="00A771A9">
              <w:rPr>
                <w:lang w:eastAsia="en-AU"/>
              </w:rPr>
              <w:t xml:space="preserve">Frequency of collection </w:t>
            </w:r>
          </w:p>
        </w:tc>
        <w:tc>
          <w:tcPr>
            <w:tcW w:w="7494" w:type="dxa"/>
            <w:gridSpan w:val="3"/>
          </w:tcPr>
          <w:p w14:paraId="55D0C4F8" w14:textId="77777777" w:rsidR="00ED0816" w:rsidRPr="00A771A9" w:rsidRDefault="00ED0816" w:rsidP="00B54A5F">
            <w:pPr>
              <w:pStyle w:val="TableNText"/>
              <w:rPr>
                <w:lang w:eastAsia="en-AU"/>
              </w:rPr>
            </w:pPr>
            <w:r w:rsidRPr="00A771A9">
              <w:rPr>
                <w:lang w:eastAsia="en-AU"/>
              </w:rPr>
              <w:t>Twice during the evaluation: in May 2022 and June 2023.</w:t>
            </w:r>
          </w:p>
        </w:tc>
      </w:tr>
      <w:tr w:rsidR="00ED0816" w:rsidRPr="0035440F" w14:paraId="02A0D432" w14:textId="77777777" w:rsidTr="00ED6468">
        <w:trPr>
          <w:trHeight w:val="13"/>
        </w:trPr>
        <w:tc>
          <w:tcPr>
            <w:tcW w:w="1432" w:type="dxa"/>
            <w:tcBorders>
              <w:bottom w:val="single" w:sz="4" w:space="0" w:color="BFBFBF" w:themeColor="background1" w:themeShade="BF"/>
            </w:tcBorders>
            <w:shd w:val="clear" w:color="auto" w:fill="E6E6E1" w:themeFill="accent5"/>
          </w:tcPr>
          <w:p w14:paraId="26EA17CF" w14:textId="77777777" w:rsidR="00ED0816" w:rsidRPr="00A771A9" w:rsidRDefault="00ED0816" w:rsidP="00B54A5F">
            <w:pPr>
              <w:pStyle w:val="TableNheader"/>
              <w:rPr>
                <w:lang w:eastAsia="en-AU"/>
              </w:rPr>
            </w:pPr>
            <w:r w:rsidRPr="00A771A9">
              <w:rPr>
                <w:lang w:eastAsia="en-AU"/>
              </w:rPr>
              <w:t>Scope</w:t>
            </w:r>
          </w:p>
        </w:tc>
        <w:tc>
          <w:tcPr>
            <w:tcW w:w="7494" w:type="dxa"/>
            <w:gridSpan w:val="3"/>
            <w:tcBorders>
              <w:bottom w:val="single" w:sz="4" w:space="0" w:color="BFBFBF" w:themeColor="background1" w:themeShade="BF"/>
            </w:tcBorders>
          </w:tcPr>
          <w:p w14:paraId="7DA01DB6" w14:textId="77777777" w:rsidR="00ED0816" w:rsidRPr="00A771A9" w:rsidRDefault="00ED0816" w:rsidP="00B54A5F">
            <w:pPr>
              <w:pStyle w:val="TableNText"/>
              <w:rPr>
                <w:lang w:eastAsia="en-AU"/>
              </w:rPr>
            </w:pPr>
            <w:r w:rsidRPr="00A771A9">
              <w:rPr>
                <w:lang w:eastAsia="en-AU"/>
              </w:rPr>
              <w:t>All states and territories.</w:t>
            </w:r>
          </w:p>
        </w:tc>
      </w:tr>
    </w:tbl>
    <w:p w14:paraId="09E8699B" w14:textId="00D05077" w:rsidR="00F64C30" w:rsidRDefault="00F64C30" w:rsidP="006D4DE5">
      <w:pPr>
        <w:spacing w:after="165" w:line="259" w:lineRule="auto"/>
      </w:pPr>
    </w:p>
    <w:p w14:paraId="2B6C9D03" w14:textId="20F8E79E" w:rsidR="006D4DE5" w:rsidRDefault="00F64C30" w:rsidP="006D4DE5">
      <w:pPr>
        <w:spacing w:after="165" w:line="259" w:lineRule="auto"/>
      </w:pPr>
      <w:r>
        <w:br w:type="page"/>
      </w:r>
    </w:p>
    <w:tbl>
      <w:tblPr>
        <w:tblStyle w:val="TableGrid"/>
        <w:tblpPr w:leftFromText="180" w:rightFromText="180" w:vertAnchor="text" w:horzAnchor="margin" w:tblpY="57"/>
        <w:tblW w:w="0" w:type="auto"/>
        <w:tblBorders>
          <w:top w:val="single" w:sz="18" w:space="0" w:color="FED13B" w:themeColor="accent4"/>
          <w:bottom w:val="single" w:sz="18" w:space="0" w:color="FED13B" w:themeColor="accent4"/>
          <w:insideH w:val="none" w:sz="0" w:space="0" w:color="auto"/>
        </w:tblBorders>
        <w:tblLook w:val="0400" w:firstRow="0" w:lastRow="0" w:firstColumn="0" w:lastColumn="0" w:noHBand="0" w:noVBand="1"/>
        <w:tblCaption w:val="Data collection methods: Other Data Sets"/>
      </w:tblPr>
      <w:tblGrid>
        <w:gridCol w:w="1560"/>
        <w:gridCol w:w="7370"/>
      </w:tblGrid>
      <w:tr w:rsidR="006D4DE5" w14:paraId="081BE928" w14:textId="77777777" w:rsidTr="004F40D0">
        <w:trPr>
          <w:cnfStyle w:val="000000100000" w:firstRow="0" w:lastRow="0" w:firstColumn="0" w:lastColumn="0" w:oddVBand="0" w:evenVBand="0" w:oddHBand="1" w:evenHBand="0" w:firstRowFirstColumn="0" w:firstRowLastColumn="0" w:lastRowFirstColumn="0" w:lastRowLastColumn="0"/>
          <w:trHeight w:val="715"/>
        </w:trPr>
        <w:tc>
          <w:tcPr>
            <w:tcW w:w="1560" w:type="dxa"/>
            <w:tcBorders>
              <w:top w:val="single" w:sz="12" w:space="0" w:color="00264D" w:themeColor="background2"/>
              <w:bottom w:val="single" w:sz="12" w:space="0" w:color="00264D" w:themeColor="background2"/>
            </w:tcBorders>
            <w:shd w:val="clear" w:color="auto" w:fill="E6E6E1" w:themeFill="accent5"/>
          </w:tcPr>
          <w:p w14:paraId="0291281C" w14:textId="7C96F235" w:rsidR="00402D1D" w:rsidRPr="00402D1D" w:rsidRDefault="00ED2A8E" w:rsidP="00B25FA6">
            <w:pPr>
              <w:rPr>
                <w:rFonts w:asciiTheme="majorHAnsi" w:hAnsiTheme="majorHAnsi" w:cstheme="majorHAnsi"/>
                <w:noProof/>
                <w:lang w:eastAsia="en-AU"/>
              </w:rPr>
            </w:pPr>
            <w:r>
              <w:rPr>
                <w:rFonts w:asciiTheme="majorHAnsi" w:hAnsiTheme="majorHAnsi" w:cstheme="majorHAnsi"/>
                <w:noProof/>
                <w:lang w:eastAsia="en-AU"/>
              </w:rPr>
              <w:lastRenderedPageBreak/>
              <mc:AlternateContent>
                <mc:Choice Requires="wps">
                  <w:drawing>
                    <wp:anchor distT="0" distB="0" distL="114300" distR="114300" simplePos="0" relativeHeight="251661315" behindDoc="0" locked="0" layoutInCell="1" allowOverlap="1" wp14:anchorId="31F9FAA5" wp14:editId="45D6E173">
                      <wp:simplePos x="0" y="0"/>
                      <wp:positionH relativeFrom="column">
                        <wp:posOffset>3810</wp:posOffset>
                      </wp:positionH>
                      <wp:positionV relativeFrom="paragraph">
                        <wp:posOffset>22225</wp:posOffset>
                      </wp:positionV>
                      <wp:extent cx="514350" cy="504825"/>
                      <wp:effectExtent l="0" t="0" r="0" b="9525"/>
                      <wp:wrapNone/>
                      <wp:docPr id="44" name="TextBox 43">
                        <a:extLst xmlns:a="http://schemas.openxmlformats.org/drawingml/2006/main">
                          <a:ext uri="{FF2B5EF4-FFF2-40B4-BE49-F238E27FC236}">
                            <a16:creationId xmlns:a16="http://schemas.microsoft.com/office/drawing/2014/main" id="{EC67B47E-C25F-4C24-80FF-EB1AE51C77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 cy="504825"/>
                              </a:xfrm>
                              <a:prstGeom prst="ellipse">
                                <a:avLst/>
                              </a:prstGeom>
                              <a:solidFill>
                                <a:schemeClr val="bg2"/>
                              </a:solidFill>
                              <a:ln>
                                <a:noFill/>
                              </a:ln>
                            </wps:spPr>
                            <wps:txbx>
                              <w:txbxContent>
                                <w:p w14:paraId="53AEA0EB" w14:textId="77777777" w:rsidR="00DD19BA" w:rsidRPr="00DD19BA" w:rsidRDefault="00DD19BA" w:rsidP="00DD19BA">
                                  <w:pPr>
                                    <w:jc w:val="center"/>
                                    <w:rPr>
                                      <w:rFonts w:asciiTheme="majorHAnsi" w:hAnsi="Segoe UI Semibold"/>
                                      <w:caps/>
                                      <w:color w:val="FFFFFF" w:themeColor="background1"/>
                                      <w:kern w:val="24"/>
                                      <w:sz w:val="10"/>
                                      <w:szCs w:val="10"/>
                                    </w:rPr>
                                  </w:pPr>
                                  <w:r w:rsidRPr="00DD19BA">
                                    <w:rPr>
                                      <w:rFonts w:asciiTheme="majorHAnsi" w:hAnsi="Segoe UI Semibold"/>
                                      <w:caps/>
                                      <w:color w:val="FFFFFF" w:themeColor="background1"/>
                                      <w:kern w:val="24"/>
                                      <w:sz w:val="10"/>
                                      <w:szCs w:val="10"/>
                                    </w:rPr>
                                    <w:t xml:space="preserve">Other </w:t>
                                  </w:r>
                                  <w:r w:rsidRPr="00DD19BA">
                                    <w:rPr>
                                      <w:rFonts w:asciiTheme="majorHAnsi" w:hAnsi="Segoe UI Semibold"/>
                                      <w:caps/>
                                      <w:color w:val="FFFFFF" w:themeColor="background1"/>
                                      <w:kern w:val="24"/>
                                      <w:sz w:val="10"/>
                                      <w:szCs w:val="10"/>
                                    </w:rPr>
                                    <w:br/>
                                    <w:t>data sets</w:t>
                                  </w:r>
                                </w:p>
                              </w:txbxContent>
                            </wps:txbx>
                            <wps:bodyPr wrap="square" lIns="0" tIns="0" rIns="0" bIns="0" rtlCol="0" anchor="ctr">
                              <a:noAutofit/>
                            </wps:bodyPr>
                          </wps:wsp>
                        </a:graphicData>
                      </a:graphic>
                    </wp:anchor>
                  </w:drawing>
                </mc:Choice>
                <mc:Fallback>
                  <w:pict>
                    <v:oval w14:anchorId="31F9FAA5" id="TextBox 43" o:spid="_x0000_s1028" style="position:absolute;margin-left:.3pt;margin-top:1.75pt;width:40.5pt;height:39.75pt;z-index:2516613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" fillcolor="#00264d [3214]" stroked="f">
                      <v:textbox inset="0,0,0,0">
                        <w:txbxContent>
                          <w:p w14:paraId="53AEA0EB" w14:textId="77777777" w:rsidR="00DD19BA" w:rsidRPr="00DD19BA" w:rsidRDefault="00DD19BA" w:rsidP="00DD19BA">
                            <w:pPr>
                              <w:jc w:val="center"/>
                              <w:rPr>
                                <w:rFonts w:asciiTheme="majorHAnsi" w:hAnsi="Segoe UI Semibold"/>
                                <w:caps/>
                                <w:color w:val="FFFFFF" w:themeColor="background1"/>
                                <w:kern w:val="24"/>
                                <w:sz w:val="10"/>
                                <w:szCs w:val="10"/>
                              </w:rPr>
                            </w:pPr>
                            <w:r w:rsidRPr="00DD19BA">
                              <w:rPr>
                                <w:rFonts w:asciiTheme="majorHAnsi" w:hAnsi="Segoe UI Semibold"/>
                                <w:caps/>
                                <w:color w:val="FFFFFF" w:themeColor="background1"/>
                                <w:kern w:val="24"/>
                                <w:sz w:val="10"/>
                                <w:szCs w:val="10"/>
                              </w:rPr>
                              <w:t xml:space="preserve">Other </w:t>
                            </w:r>
                            <w:r w:rsidRPr="00DD19BA">
                              <w:rPr>
                                <w:rFonts w:asciiTheme="majorHAnsi" w:hAnsi="Segoe UI Semibold"/>
                                <w:caps/>
                                <w:color w:val="FFFFFF" w:themeColor="background1"/>
                                <w:kern w:val="24"/>
                                <w:sz w:val="10"/>
                                <w:szCs w:val="10"/>
                              </w:rPr>
                              <w:br/>
                              <w:t>data sets</w:t>
                            </w:r>
                          </w:p>
                        </w:txbxContent>
                      </v:textbox>
                    </v:oval>
                  </w:pict>
                </mc:Fallback>
              </mc:AlternateContent>
            </w:r>
            <w:r w:rsidR="00402D1D" w:rsidRPr="00402D1D">
              <w:rPr>
                <w:rFonts w:asciiTheme="majorHAnsi" w:hAnsiTheme="majorHAnsi" w:cstheme="majorHAnsi"/>
                <w:noProof/>
                <w:lang w:eastAsia="en-AU"/>
              </w:rPr>
              <w:drawing>
                <wp:inline distT="0" distB="0" distL="0" distR="0" wp14:anchorId="69B7EA0E" wp14:editId="034CCAFD">
                  <wp:extent cx="828000" cy="525155"/>
                  <wp:effectExtent l="0" t="0" r="0" b="8255"/>
                  <wp:docPr id="69"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28000" cy="525155"/>
                          </a:xfrm>
                          <a:prstGeom prst="rect">
                            <a:avLst/>
                          </a:prstGeom>
                          <a:noFill/>
                          <a:ln>
                            <a:noFill/>
                          </a:ln>
                        </pic:spPr>
                      </pic:pic>
                    </a:graphicData>
                  </a:graphic>
                </wp:inline>
              </w:drawing>
            </w:r>
          </w:p>
        </w:tc>
        <w:tc>
          <w:tcPr>
            <w:tcW w:w="7370" w:type="dxa"/>
            <w:tcBorders>
              <w:top w:val="single" w:sz="12" w:space="0" w:color="00264D" w:themeColor="background2"/>
              <w:bottom w:val="single" w:sz="12" w:space="0" w:color="00264D" w:themeColor="background2"/>
            </w:tcBorders>
            <w:shd w:val="clear" w:color="auto" w:fill="E6E6E1" w:themeFill="accent5"/>
          </w:tcPr>
          <w:p w14:paraId="5C88D338" w14:textId="504D0A46" w:rsidR="006D4DE5" w:rsidRPr="005B6A90" w:rsidRDefault="006D4DE5" w:rsidP="00B25FA6">
            <w:pPr>
              <w:rPr>
                <w:rFonts w:asciiTheme="majorHAnsi" w:hAnsiTheme="majorHAnsi" w:cstheme="majorHAnsi"/>
                <w:color w:val="00264D" w:themeColor="background2"/>
                <w:lang w:eastAsia="en-AU"/>
              </w:rPr>
            </w:pPr>
            <w:r w:rsidRPr="005B6A90">
              <w:rPr>
                <w:rFonts w:asciiTheme="majorHAnsi" w:hAnsiTheme="majorHAnsi" w:cstheme="majorHAnsi"/>
                <w:color w:val="00264D" w:themeColor="background2"/>
                <w:sz w:val="22"/>
                <w:szCs w:val="28"/>
                <w:lang w:eastAsia="en-AU"/>
              </w:rPr>
              <w:t>Data collection method: Other datasets</w:t>
            </w:r>
          </w:p>
        </w:tc>
      </w:tr>
    </w:tbl>
    <w:p w14:paraId="492A8D97" w14:textId="173952BA" w:rsidR="006D4DE5" w:rsidRDefault="00D13ED2" w:rsidP="006D4DE5">
      <w:r>
        <w:br/>
      </w:r>
      <w:r w:rsidR="006D4DE5">
        <w:t>Nous will use additional data sets</w:t>
      </w:r>
      <w:r w:rsidR="00B221B2">
        <w:t>, including:</w:t>
      </w:r>
    </w:p>
    <w:p w14:paraId="49D0EF09" w14:textId="77777777" w:rsidR="006D4DE5" w:rsidRDefault="006D4DE5" w:rsidP="006D4DE5">
      <w:pPr>
        <w:pStyle w:val="Bullet"/>
      </w:pPr>
      <w:r>
        <w:t>ELDAC</w:t>
      </w:r>
    </w:p>
    <w:p w14:paraId="2EB4311A" w14:textId="25D2F168" w:rsidR="006D4DE5" w:rsidRDefault="006D4DE5" w:rsidP="006D4DE5">
      <w:pPr>
        <w:pStyle w:val="Bullet"/>
      </w:pPr>
      <w:r>
        <w:t>Australian Healthcare and Hospitals Association (AHHA) progress reports</w:t>
      </w:r>
    </w:p>
    <w:p w14:paraId="665B7167" w14:textId="528017F8" w:rsidR="000819ED" w:rsidRDefault="00094CE2" w:rsidP="000819ED">
      <w:pPr>
        <w:pStyle w:val="Bullet"/>
      </w:pPr>
      <w:r>
        <w:t xml:space="preserve">Potential inclusion of </w:t>
      </w:r>
      <w:r w:rsidR="000819ED">
        <w:t>Ambulance data</w:t>
      </w:r>
      <w:r>
        <w:t xml:space="preserve"> </w:t>
      </w:r>
      <w:r w:rsidR="00E459B5">
        <w:t>has been explored but no</w:t>
      </w:r>
      <w:r w:rsidR="00934C49">
        <w:t xml:space="preserve"> </w:t>
      </w:r>
      <w:r w:rsidR="00E459B5">
        <w:t xml:space="preserve">funding source is available </w:t>
      </w:r>
      <w:proofErr w:type="gramStart"/>
      <w:r w:rsidR="00E459B5">
        <w:t>at the moment</w:t>
      </w:r>
      <w:proofErr w:type="gramEnd"/>
      <w:r w:rsidR="00E459B5">
        <w:t xml:space="preserve">. </w:t>
      </w:r>
    </w:p>
    <w:p w14:paraId="06531905" w14:textId="49361A6F" w:rsidR="001A6789" w:rsidRDefault="006D4DE5" w:rsidP="00F64C30">
      <w:r>
        <w:t>Each of these are detailed below.</w:t>
      </w:r>
    </w:p>
    <w:tbl>
      <w:tblPr>
        <w:tblStyle w:val="TableGridLight"/>
        <w:tblW w:w="0" w:type="auto"/>
        <w:tblBorders>
          <w:bottom w:val="none" w:sz="0" w:space="0" w:color="auto"/>
        </w:tblBorders>
        <w:tblCellMar>
          <w:top w:w="57" w:type="dxa"/>
        </w:tblCellMar>
        <w:tblLook w:val="04A0" w:firstRow="1" w:lastRow="0" w:firstColumn="1" w:lastColumn="0" w:noHBand="0" w:noVBand="1"/>
        <w:tblCaption w:val="This table looks at collection of ELDAC to be reported in the Midpoint and Final Report"/>
        <w:tblDescription w:val="Purpose and rationale:&#10;ELDAC is a national palliative care and advance care planning advisory service that provides resources for palliative care. &#10;ELDAC has agreed to provide data/information to inform an understanding of training and education activities and outcomes. This includes information on the extent to which RACFs undertake an ELDAC After Death Audit, uptake of the ELDAC digital dashboards to monitor palliative care and training/education initiatives (limited to those undertaken as part of ELDAC). &#10;There are limitations, in that it is only collecting information about RACFs that use and report to ELDAC; however, it is helpful as there is no alternate national or comprehensive data on training and education activities in RACFs. &#10;&#10;Collection methodology:&#10;Nous will request the following data from ELDAC annually: &#10;• After Death Audit data (aggregate, pre and post data), which will provide information on the number of RACFs using the ELDAC After Death Audit and aggregate improvements over time. &#10;• Uptake of ELDAC digital dashboard data, which will provide aggregate information on the number of RACFs over time using the ELDAC tool to monitor palliative care activities in RACFs. &#10;• Any additional data such as learning needs assessment and organisational readiness (aggregate), which could provide a view of high-level training and education needs in RACFs regarding palliative care. &#10;&#10;Considerations:&#10;Access to ELDAC data is dependent on whether the ELDAC team receives ethics approval to share deidentified data with Nous. &#10;ELDAC’s initiatives have varying uptake across the states and territories. Uptake is expected to increase during the evaluation. &#10;ELDAC is not the only palliative care education and training provider, nor the only After Death Audit tool. ELDAC provided data will be limited to RACFs that engage with and use ELDAC activities and tools. To supplement the ELDAC provided data, the survey of a sample of RACFs also asks more generally about their uptake of digital tools to monitor palliative care and any form of After Death Audit that may take place. &#10;&#10;Frequency of collection:&#10;Twice during the evaluation: in May 2022 and June 2023.&#10;&#10;Scope:&#10;All states and territories that currently use ELDAC. &#10;"/>
      </w:tblPr>
      <w:tblGrid>
        <w:gridCol w:w="1432"/>
        <w:gridCol w:w="5600"/>
        <w:gridCol w:w="1888"/>
      </w:tblGrid>
      <w:tr w:rsidR="006D4DE5" w:rsidRPr="0035440F" w14:paraId="2D6F8D80" w14:textId="77777777" w:rsidTr="004F40D0">
        <w:trPr>
          <w:trHeight w:val="340"/>
        </w:trPr>
        <w:tc>
          <w:tcPr>
            <w:tcW w:w="1432" w:type="dxa"/>
            <w:tcBorders>
              <w:top w:val="single" w:sz="12" w:space="0" w:color="00264D" w:themeColor="background2"/>
              <w:bottom w:val="single" w:sz="4" w:space="0" w:color="BFBFBF" w:themeColor="background1" w:themeShade="BF"/>
            </w:tcBorders>
            <w:shd w:val="clear" w:color="auto" w:fill="00264D" w:themeFill="background2"/>
            <w:vAlign w:val="center"/>
          </w:tcPr>
          <w:p w14:paraId="4B582B21" w14:textId="332AB0ED" w:rsidR="006D4DE5" w:rsidRPr="0035440F" w:rsidRDefault="009860DB" w:rsidP="00B25FA6">
            <w:pPr>
              <w:jc w:val="center"/>
              <w:rPr>
                <w:color w:val="FFFFFF" w:themeColor="background1"/>
                <w:sz w:val="16"/>
                <w:szCs w:val="16"/>
                <w:lang w:eastAsia="en-AU"/>
              </w:rPr>
            </w:pPr>
            <w:r w:rsidRPr="009860DB">
              <w:rPr>
                <w:noProof/>
                <w:color w:val="FFFFFF" w:themeColor="background1"/>
                <w:sz w:val="16"/>
                <w:szCs w:val="16"/>
                <w:lang w:eastAsia="en-AU"/>
              </w:rPr>
              <w:drawing>
                <wp:inline distT="0" distB="0" distL="0" distR="0" wp14:anchorId="5A2F7840" wp14:editId="341405E8">
                  <wp:extent cx="349885" cy="286385"/>
                  <wp:effectExtent l="0" t="0" r="0" b="0"/>
                  <wp:docPr id="27901" name="Picture 279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1" name="Picture 27901">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9885" cy="286385"/>
                          </a:xfrm>
                          <a:prstGeom prst="rect">
                            <a:avLst/>
                          </a:prstGeom>
                          <a:noFill/>
                          <a:ln>
                            <a:noFill/>
                          </a:ln>
                        </pic:spPr>
                      </pic:pic>
                    </a:graphicData>
                  </a:graphic>
                </wp:inline>
              </w:drawing>
            </w:r>
          </w:p>
        </w:tc>
        <w:tc>
          <w:tcPr>
            <w:tcW w:w="5713" w:type="dxa"/>
            <w:tcBorders>
              <w:top w:val="single" w:sz="12" w:space="0" w:color="00264D" w:themeColor="background2"/>
              <w:bottom w:val="single" w:sz="4" w:space="0" w:color="BFBFBF" w:themeColor="background1" w:themeShade="BF"/>
            </w:tcBorders>
            <w:shd w:val="clear" w:color="auto" w:fill="00264D" w:themeFill="background2"/>
            <w:vAlign w:val="center"/>
          </w:tcPr>
          <w:p w14:paraId="107B72EC" w14:textId="04F075A1" w:rsidR="006D4DE5" w:rsidRPr="00B54A5F" w:rsidRDefault="006D4DE5" w:rsidP="00B54A5F">
            <w:pPr>
              <w:pStyle w:val="TableNheader"/>
              <w:rPr>
                <w:color w:val="FFFFFF" w:themeColor="background1"/>
                <w:lang w:eastAsia="en-AU"/>
              </w:rPr>
            </w:pPr>
            <w:r w:rsidRPr="00B54A5F">
              <w:rPr>
                <w:color w:val="FFFFFF" w:themeColor="background1"/>
                <w:lang w:eastAsia="en-AU"/>
              </w:rPr>
              <w:t>ELDAC</w:t>
            </w:r>
          </w:p>
        </w:tc>
        <w:tc>
          <w:tcPr>
            <w:tcW w:w="1910" w:type="dxa"/>
            <w:tcBorders>
              <w:top w:val="single" w:sz="12" w:space="0" w:color="00264D" w:themeColor="background2"/>
              <w:bottom w:val="single" w:sz="4" w:space="0" w:color="BFBFBF" w:themeColor="background1" w:themeShade="BF"/>
            </w:tcBorders>
            <w:shd w:val="clear" w:color="auto" w:fill="00264D" w:themeFill="background2"/>
            <w:vAlign w:val="center"/>
          </w:tcPr>
          <w:p w14:paraId="6AF48AB8" w14:textId="47FAEF62" w:rsidR="006D4DE5" w:rsidRPr="00B54A5F" w:rsidRDefault="006D4DE5" w:rsidP="001A6789">
            <w:pPr>
              <w:pStyle w:val="TableNheader"/>
              <w:jc w:val="center"/>
              <w:rPr>
                <w:rFonts w:asciiTheme="minorHAnsi" w:hAnsiTheme="minorHAnsi" w:cstheme="minorHAnsi"/>
                <w:color w:val="FFFFFF" w:themeColor="background1"/>
                <w:lang w:eastAsia="en-AU"/>
              </w:rPr>
            </w:pPr>
            <w:r w:rsidRPr="00B54A5F">
              <w:rPr>
                <w:rFonts w:asciiTheme="minorHAnsi" w:hAnsiTheme="minorHAnsi" w:cstheme="minorHAnsi"/>
                <w:color w:val="FFFFFF" w:themeColor="background1"/>
                <w:lang w:eastAsia="en-AU"/>
              </w:rPr>
              <w:t>Reported in:</w:t>
            </w:r>
          </w:p>
          <w:p w14:paraId="427A9D85" w14:textId="285D0EEC" w:rsidR="006D4DE5" w:rsidRPr="00B54A5F" w:rsidRDefault="007D1236" w:rsidP="001A6789">
            <w:pPr>
              <w:pStyle w:val="TableNheader"/>
              <w:jc w:val="center"/>
              <w:rPr>
                <w:rFonts w:asciiTheme="minorHAnsi" w:hAnsiTheme="minorHAnsi" w:cstheme="minorHAnsi"/>
                <w:color w:val="FFFFFF" w:themeColor="background1"/>
                <w:lang w:eastAsia="en-AU"/>
              </w:rPr>
            </w:pPr>
            <w:r w:rsidRPr="00B54A5F">
              <w:rPr>
                <w:rFonts w:asciiTheme="minorHAnsi" w:hAnsiTheme="minorHAnsi" w:cstheme="minorHAnsi"/>
                <w:color w:val="FFFFFF" w:themeColor="background1"/>
                <w:lang w:eastAsia="en-AU"/>
              </w:rPr>
              <w:t>Mid</w:t>
            </w:r>
            <w:r w:rsidR="00A50340" w:rsidRPr="00B54A5F">
              <w:rPr>
                <w:rFonts w:asciiTheme="minorHAnsi" w:hAnsiTheme="minorHAnsi" w:cstheme="minorHAnsi"/>
                <w:color w:val="FFFFFF" w:themeColor="background1"/>
                <w:lang w:eastAsia="en-AU"/>
              </w:rPr>
              <w:t>point</w:t>
            </w:r>
            <w:r w:rsidRPr="00B54A5F">
              <w:rPr>
                <w:rFonts w:asciiTheme="minorHAnsi" w:hAnsiTheme="minorHAnsi" w:cstheme="minorHAnsi"/>
                <w:color w:val="FFFFFF" w:themeColor="background1"/>
                <w:lang w:eastAsia="en-AU"/>
              </w:rPr>
              <w:t xml:space="preserve"> Report</w:t>
            </w:r>
          </w:p>
          <w:p w14:paraId="74F9C7B6" w14:textId="768E8072" w:rsidR="006D4DE5" w:rsidRPr="00B54A5F" w:rsidRDefault="006D4DE5" w:rsidP="001A6789">
            <w:pPr>
              <w:pStyle w:val="TableNheader"/>
              <w:jc w:val="center"/>
              <w:rPr>
                <w:rFonts w:asciiTheme="minorHAnsi" w:hAnsiTheme="minorHAnsi" w:cstheme="minorHAnsi"/>
                <w:color w:val="FFFFFF" w:themeColor="background1"/>
                <w:lang w:eastAsia="en-AU"/>
              </w:rPr>
            </w:pPr>
            <w:r w:rsidRPr="00B54A5F">
              <w:rPr>
                <w:rFonts w:asciiTheme="minorHAnsi" w:hAnsiTheme="minorHAnsi" w:cstheme="minorHAnsi"/>
                <w:color w:val="FFFFFF" w:themeColor="background1"/>
                <w:lang w:eastAsia="en-AU"/>
              </w:rPr>
              <w:t xml:space="preserve">Final </w:t>
            </w:r>
            <w:r w:rsidR="007D1236" w:rsidRPr="00B54A5F">
              <w:rPr>
                <w:rFonts w:asciiTheme="minorHAnsi" w:hAnsiTheme="minorHAnsi" w:cstheme="minorHAnsi"/>
                <w:color w:val="FFFFFF" w:themeColor="background1"/>
                <w:lang w:eastAsia="en-AU"/>
              </w:rPr>
              <w:t>Report</w:t>
            </w:r>
          </w:p>
        </w:tc>
      </w:tr>
      <w:tr w:rsidR="006D4DE5" w:rsidRPr="0035440F" w14:paraId="07BD4191" w14:textId="77777777" w:rsidTr="00402D1D">
        <w:tc>
          <w:tcPr>
            <w:tcW w:w="1432" w:type="dxa"/>
            <w:tcBorders>
              <w:top w:val="single" w:sz="4" w:space="0" w:color="BFBFBF" w:themeColor="background1" w:themeShade="BF"/>
            </w:tcBorders>
            <w:shd w:val="clear" w:color="auto" w:fill="E6E6E1" w:themeFill="accent5"/>
          </w:tcPr>
          <w:p w14:paraId="2B942F0F" w14:textId="77777777" w:rsidR="006D4DE5" w:rsidRPr="00A771A9" w:rsidRDefault="006D4DE5" w:rsidP="00B54A5F">
            <w:pPr>
              <w:pStyle w:val="TableNheader"/>
              <w:rPr>
                <w:lang w:eastAsia="en-AU"/>
              </w:rPr>
            </w:pPr>
            <w:r w:rsidRPr="00A771A9">
              <w:rPr>
                <w:lang w:eastAsia="en-AU"/>
              </w:rPr>
              <w:t>Purpose and rationale</w:t>
            </w:r>
          </w:p>
        </w:tc>
        <w:tc>
          <w:tcPr>
            <w:tcW w:w="7623" w:type="dxa"/>
            <w:gridSpan w:val="2"/>
            <w:tcBorders>
              <w:top w:val="single" w:sz="4" w:space="0" w:color="BFBFBF" w:themeColor="background1" w:themeShade="BF"/>
            </w:tcBorders>
          </w:tcPr>
          <w:p w14:paraId="6EDE17D5" w14:textId="17AB1215" w:rsidR="006D4DE5" w:rsidRPr="00A771A9" w:rsidRDefault="006D4DE5" w:rsidP="00B54A5F">
            <w:pPr>
              <w:pStyle w:val="TableNText"/>
            </w:pPr>
            <w:r w:rsidRPr="00A771A9">
              <w:t xml:space="preserve">ELDAC is a national palliative care </w:t>
            </w:r>
            <w:r w:rsidR="00F91FDA" w:rsidRPr="00A771A9">
              <w:t xml:space="preserve">and advance care planning </w:t>
            </w:r>
            <w:r w:rsidR="00176044" w:rsidRPr="00A771A9">
              <w:t>advisory</w:t>
            </w:r>
            <w:r w:rsidR="00F91FDA" w:rsidRPr="00A771A9">
              <w:t xml:space="preserve"> service</w:t>
            </w:r>
            <w:r w:rsidRPr="00A771A9">
              <w:t xml:space="preserve"> that provides </w:t>
            </w:r>
            <w:r w:rsidR="00256E22" w:rsidRPr="00A771A9">
              <w:t>resources</w:t>
            </w:r>
            <w:r w:rsidRPr="00A771A9">
              <w:t xml:space="preserve"> for palliative care. </w:t>
            </w:r>
          </w:p>
          <w:p w14:paraId="452796D9" w14:textId="4F593D4C" w:rsidR="00C4579D" w:rsidRPr="00A771A9" w:rsidRDefault="003811C5" w:rsidP="00B54A5F">
            <w:pPr>
              <w:pStyle w:val="TableNText"/>
            </w:pPr>
            <w:r w:rsidRPr="00A771A9">
              <w:t xml:space="preserve">ELDAC has agreed to provide </w:t>
            </w:r>
            <w:r w:rsidR="008A2304" w:rsidRPr="00A771A9">
              <w:t>data/</w:t>
            </w:r>
            <w:r w:rsidRPr="00A771A9">
              <w:t xml:space="preserve">information to inform </w:t>
            </w:r>
            <w:r w:rsidR="002D2F54" w:rsidRPr="00A771A9">
              <w:t>an understanding of</w:t>
            </w:r>
            <w:r w:rsidR="00581410" w:rsidRPr="00A771A9">
              <w:t xml:space="preserve"> training and education activities and outcomes</w:t>
            </w:r>
            <w:r w:rsidRPr="00A771A9">
              <w:t xml:space="preserve">. This </w:t>
            </w:r>
            <w:r w:rsidR="00361C15" w:rsidRPr="00A771A9">
              <w:t>includes information on the extent to which</w:t>
            </w:r>
            <w:r w:rsidRPr="00A771A9">
              <w:t xml:space="preserve"> RACFs</w:t>
            </w:r>
            <w:r w:rsidR="0090045F" w:rsidRPr="00A771A9">
              <w:t xml:space="preserve"> undertake an </w:t>
            </w:r>
            <w:r w:rsidR="003F5953" w:rsidRPr="00A771A9">
              <w:t>ELDAC After Death Audit</w:t>
            </w:r>
            <w:r w:rsidR="00E7359F" w:rsidRPr="00A771A9">
              <w:t xml:space="preserve">, uptake of </w:t>
            </w:r>
            <w:r w:rsidR="003F5953" w:rsidRPr="00A771A9">
              <w:t xml:space="preserve">the ELDAC </w:t>
            </w:r>
            <w:r w:rsidR="00E7359F" w:rsidRPr="00A771A9">
              <w:t>digital dashboards</w:t>
            </w:r>
            <w:r w:rsidR="003F5953" w:rsidRPr="00A771A9">
              <w:t xml:space="preserve"> to monitor palliative care and training/education initiatives (limited to those undertaken as part of EL</w:t>
            </w:r>
            <w:r w:rsidR="00E77B98" w:rsidRPr="00A771A9">
              <w:t>D</w:t>
            </w:r>
            <w:r w:rsidR="003F5953" w:rsidRPr="00A771A9">
              <w:t xml:space="preserve">AC). </w:t>
            </w:r>
          </w:p>
          <w:p w14:paraId="4D1708E6" w14:textId="4847B14B" w:rsidR="006D4DE5" w:rsidRPr="00A771A9" w:rsidRDefault="00510590" w:rsidP="00B54A5F">
            <w:pPr>
              <w:pStyle w:val="TableNText"/>
            </w:pPr>
            <w:r w:rsidRPr="00A771A9">
              <w:t xml:space="preserve">There are limitations, in that it is only collecting information about </w:t>
            </w:r>
            <w:r w:rsidR="00977423" w:rsidRPr="00977423">
              <w:t>RACFs</w:t>
            </w:r>
            <w:r w:rsidRPr="00A771A9">
              <w:t xml:space="preserve"> that use and report to ELDAC</w:t>
            </w:r>
            <w:r w:rsidR="00E77B98" w:rsidRPr="00A771A9">
              <w:t>; however,</w:t>
            </w:r>
            <w:r w:rsidRPr="00A771A9">
              <w:t xml:space="preserve"> i</w:t>
            </w:r>
            <w:r w:rsidR="00B708C2" w:rsidRPr="00A771A9">
              <w:t>t is helpful as there is no</w:t>
            </w:r>
            <w:r w:rsidR="00581410" w:rsidRPr="00A771A9">
              <w:t xml:space="preserve"> alternate</w:t>
            </w:r>
            <w:r w:rsidR="00B708C2" w:rsidRPr="00A771A9">
              <w:t xml:space="preserve"> national </w:t>
            </w:r>
            <w:r w:rsidR="00581410" w:rsidRPr="00A771A9">
              <w:t xml:space="preserve">or comprehensive data on </w:t>
            </w:r>
            <w:r w:rsidR="00B708C2" w:rsidRPr="00A771A9">
              <w:t xml:space="preserve">training and education </w:t>
            </w:r>
            <w:r w:rsidR="00581410" w:rsidRPr="00A771A9">
              <w:t xml:space="preserve">activities in RACFs. </w:t>
            </w:r>
          </w:p>
        </w:tc>
      </w:tr>
      <w:tr w:rsidR="006D4DE5" w:rsidRPr="0035440F" w14:paraId="437368AD" w14:textId="77777777" w:rsidTr="001A6789">
        <w:tc>
          <w:tcPr>
            <w:tcW w:w="1432" w:type="dxa"/>
            <w:shd w:val="clear" w:color="auto" w:fill="E6E6E1" w:themeFill="accent5"/>
          </w:tcPr>
          <w:p w14:paraId="0288FB45" w14:textId="77777777" w:rsidR="006D4DE5" w:rsidRPr="00A771A9" w:rsidRDefault="006D4DE5" w:rsidP="00B54A5F">
            <w:pPr>
              <w:pStyle w:val="TableNheader"/>
              <w:rPr>
                <w:lang w:eastAsia="en-AU"/>
              </w:rPr>
            </w:pPr>
            <w:r w:rsidRPr="00A771A9">
              <w:rPr>
                <w:lang w:eastAsia="en-AU"/>
              </w:rPr>
              <w:t xml:space="preserve">Collection methodology </w:t>
            </w:r>
          </w:p>
        </w:tc>
        <w:tc>
          <w:tcPr>
            <w:tcW w:w="7623" w:type="dxa"/>
            <w:gridSpan w:val="2"/>
          </w:tcPr>
          <w:p w14:paraId="4335C00B" w14:textId="77777777" w:rsidR="00C4579D" w:rsidRPr="00A771A9" w:rsidRDefault="006D4DE5" w:rsidP="00B54A5F">
            <w:pPr>
              <w:pStyle w:val="TableNText"/>
            </w:pPr>
            <w:r w:rsidRPr="00A771A9">
              <w:t xml:space="preserve">Nous </w:t>
            </w:r>
            <w:r w:rsidR="00581410" w:rsidRPr="00A771A9">
              <w:t>will</w:t>
            </w:r>
            <w:r w:rsidRPr="00A771A9">
              <w:t xml:space="preserve"> request </w:t>
            </w:r>
            <w:r w:rsidR="00C4579D" w:rsidRPr="00A771A9">
              <w:t xml:space="preserve">the following data from ELDAC annually: </w:t>
            </w:r>
          </w:p>
          <w:p w14:paraId="08AF14CE" w14:textId="368A6036" w:rsidR="002D2875" w:rsidRPr="00B54A5F" w:rsidRDefault="00C4579D" w:rsidP="002B531B">
            <w:pPr>
              <w:pStyle w:val="TableNBullet"/>
            </w:pPr>
            <w:r w:rsidRPr="00B54A5F">
              <w:t>After Death Audit data (</w:t>
            </w:r>
            <w:r w:rsidR="002D2875" w:rsidRPr="00B54A5F">
              <w:t>aggregate, pre and post data)</w:t>
            </w:r>
            <w:r w:rsidR="00567C6D" w:rsidRPr="00B54A5F">
              <w:t xml:space="preserve">, which will provide information on the number of </w:t>
            </w:r>
            <w:r w:rsidR="00977423" w:rsidRPr="00977423">
              <w:t>RACFs</w:t>
            </w:r>
            <w:r w:rsidR="00567C6D" w:rsidRPr="00B54A5F">
              <w:t xml:space="preserve"> using the ELDAC After Death Audit and aggregate improvements over time. </w:t>
            </w:r>
          </w:p>
          <w:p w14:paraId="59715553" w14:textId="3DE52020" w:rsidR="00567C6D" w:rsidRPr="00B54A5F" w:rsidRDefault="00567C6D" w:rsidP="002B531B">
            <w:pPr>
              <w:pStyle w:val="TableNBullet"/>
            </w:pPr>
            <w:r w:rsidRPr="00B54A5F">
              <w:t xml:space="preserve">Uptake of ELDAC digital dashboard data, which will provide aggregate information on the number of </w:t>
            </w:r>
            <w:r w:rsidR="00977423" w:rsidRPr="00977423">
              <w:t>RACFs</w:t>
            </w:r>
            <w:r w:rsidRPr="00B54A5F">
              <w:t xml:space="preserve"> over time using the ELDAC tool to monitor palliative care activities in RACFs. </w:t>
            </w:r>
          </w:p>
          <w:p w14:paraId="5C1C4441" w14:textId="108F9FA0" w:rsidR="006D4DE5" w:rsidRPr="00A771A9" w:rsidRDefault="00567C6D" w:rsidP="002B531B">
            <w:pPr>
              <w:pStyle w:val="TableNBullet"/>
            </w:pPr>
            <w:r w:rsidRPr="00B54A5F">
              <w:t>Any additional data such as learning needs assessment and organisational readiness</w:t>
            </w:r>
            <w:r w:rsidR="00692B0E" w:rsidRPr="00B54A5F">
              <w:t xml:space="preserve"> (aggregate)</w:t>
            </w:r>
            <w:r w:rsidR="00EE5D5C" w:rsidRPr="00B54A5F">
              <w:t xml:space="preserve">, which could provide a view of </w:t>
            </w:r>
            <w:r w:rsidR="009A62C8" w:rsidRPr="00B54A5F">
              <w:t>high-level training and education needs</w:t>
            </w:r>
            <w:r w:rsidR="006A5EC0" w:rsidRPr="00B54A5F">
              <w:t xml:space="preserve"> in RACFs regarding palliative care.</w:t>
            </w:r>
            <w:r w:rsidR="006A5EC0" w:rsidRPr="00A771A9">
              <w:t xml:space="preserve"> </w:t>
            </w:r>
          </w:p>
        </w:tc>
      </w:tr>
      <w:tr w:rsidR="006D4DE5" w:rsidRPr="0035440F" w14:paraId="1FAF8061" w14:textId="77777777" w:rsidTr="001A6789">
        <w:tc>
          <w:tcPr>
            <w:tcW w:w="1432" w:type="dxa"/>
            <w:shd w:val="clear" w:color="auto" w:fill="E6E6E1" w:themeFill="accent5"/>
          </w:tcPr>
          <w:p w14:paraId="3D839761" w14:textId="77777777" w:rsidR="006D4DE5" w:rsidRPr="00A771A9" w:rsidRDefault="006D4DE5" w:rsidP="00B54A5F">
            <w:pPr>
              <w:pStyle w:val="TableNheader"/>
              <w:rPr>
                <w:lang w:eastAsia="en-AU"/>
              </w:rPr>
            </w:pPr>
            <w:r w:rsidRPr="00A771A9">
              <w:rPr>
                <w:lang w:eastAsia="en-AU"/>
              </w:rPr>
              <w:t xml:space="preserve">Considerations </w:t>
            </w:r>
          </w:p>
        </w:tc>
        <w:tc>
          <w:tcPr>
            <w:tcW w:w="7623" w:type="dxa"/>
            <w:gridSpan w:val="2"/>
          </w:tcPr>
          <w:p w14:paraId="04028340" w14:textId="450E2A28" w:rsidR="00A224D3" w:rsidRPr="00A771A9" w:rsidRDefault="00A224D3" w:rsidP="00B25FA6">
            <w:pPr>
              <w:pStyle w:val="TableNText"/>
            </w:pPr>
            <w:r w:rsidRPr="00A771A9">
              <w:t xml:space="preserve">Access to ELDAC data is dependent on whether the ELDAC team receives ethics approval to share deidentified data with Nous. </w:t>
            </w:r>
          </w:p>
          <w:p w14:paraId="27FE0B75" w14:textId="66311514" w:rsidR="00A224D3" w:rsidRPr="00A771A9" w:rsidRDefault="006D4DE5" w:rsidP="00B25FA6">
            <w:pPr>
              <w:pStyle w:val="TableNText"/>
            </w:pPr>
            <w:r w:rsidRPr="00A771A9">
              <w:t xml:space="preserve">ELDAC’s initiatives have </w:t>
            </w:r>
            <w:r w:rsidR="0031541F" w:rsidRPr="00A771A9">
              <w:t>varying</w:t>
            </w:r>
            <w:r w:rsidRPr="00A771A9">
              <w:t xml:space="preserve"> uptake across the states and territories. </w:t>
            </w:r>
            <w:r w:rsidR="00A224D3" w:rsidRPr="00A771A9">
              <w:t xml:space="preserve">Uptake is expected to increase during the evaluation. </w:t>
            </w:r>
          </w:p>
          <w:p w14:paraId="7C53389B" w14:textId="4FB05BEC" w:rsidR="006D4DE5" w:rsidRPr="00A771A9" w:rsidRDefault="006D4DE5" w:rsidP="00B25FA6">
            <w:pPr>
              <w:pStyle w:val="TableNText"/>
            </w:pPr>
            <w:r w:rsidRPr="00A771A9">
              <w:t>ELDAC is not the only palliative care education and training provider</w:t>
            </w:r>
            <w:r w:rsidR="00AA2D3E" w:rsidRPr="00A771A9">
              <w:t>,</w:t>
            </w:r>
            <w:r w:rsidR="00A224D3" w:rsidRPr="00A771A9">
              <w:t xml:space="preserve"> </w:t>
            </w:r>
            <w:r w:rsidR="00CB6EE5" w:rsidRPr="00A771A9">
              <w:t xml:space="preserve">nor the only </w:t>
            </w:r>
            <w:r w:rsidR="00A224D3" w:rsidRPr="00A771A9">
              <w:t>After Death Audit</w:t>
            </w:r>
            <w:r w:rsidR="00CB6EE5" w:rsidRPr="00A771A9">
              <w:t xml:space="preserve"> tool. </w:t>
            </w:r>
            <w:r w:rsidR="00A224D3" w:rsidRPr="00A771A9">
              <w:t>ELDAC provided data will be limited to</w:t>
            </w:r>
            <w:r w:rsidR="00DE4242" w:rsidRPr="00A771A9">
              <w:t xml:space="preserve"> RACFs that engage with</w:t>
            </w:r>
            <w:r w:rsidRPr="00A771A9">
              <w:t xml:space="preserve"> and </w:t>
            </w:r>
            <w:r w:rsidR="00DE4242" w:rsidRPr="00A771A9">
              <w:t>use</w:t>
            </w:r>
            <w:r w:rsidR="00A224D3" w:rsidRPr="00A771A9">
              <w:t xml:space="preserve"> ELDAC activities</w:t>
            </w:r>
            <w:r w:rsidR="00CB6EE5" w:rsidRPr="00A771A9">
              <w:t xml:space="preserve"> and tools</w:t>
            </w:r>
            <w:r w:rsidR="00A224D3" w:rsidRPr="00A771A9">
              <w:t>. To supplement the ELDAC provided data, the survey of a sample of RACFs also asks</w:t>
            </w:r>
            <w:r w:rsidRPr="00A771A9">
              <w:t xml:space="preserve"> </w:t>
            </w:r>
            <w:r w:rsidR="00A224D3" w:rsidRPr="00A771A9">
              <w:t xml:space="preserve">more generally about their uptake of digital tools to monitor palliative care and any form of </w:t>
            </w:r>
            <w:r w:rsidR="00AA2D3E" w:rsidRPr="00A771A9">
              <w:t>After Death Audit</w:t>
            </w:r>
            <w:r w:rsidR="00A224D3" w:rsidRPr="00A771A9">
              <w:t xml:space="preserve"> that may take place. </w:t>
            </w:r>
          </w:p>
        </w:tc>
      </w:tr>
      <w:tr w:rsidR="006D4DE5" w:rsidRPr="0035440F" w14:paraId="552D08FB" w14:textId="77777777" w:rsidTr="001A6789">
        <w:tc>
          <w:tcPr>
            <w:tcW w:w="1432" w:type="dxa"/>
            <w:shd w:val="clear" w:color="auto" w:fill="E6E6E1" w:themeFill="accent5"/>
          </w:tcPr>
          <w:p w14:paraId="2ADCDCA3" w14:textId="77777777" w:rsidR="006D4DE5" w:rsidRPr="00A771A9" w:rsidRDefault="006D4DE5" w:rsidP="00B54A5F">
            <w:pPr>
              <w:pStyle w:val="TableNheader"/>
              <w:rPr>
                <w:lang w:eastAsia="en-AU"/>
              </w:rPr>
            </w:pPr>
            <w:r w:rsidRPr="00A771A9">
              <w:rPr>
                <w:lang w:eastAsia="en-AU"/>
              </w:rPr>
              <w:t xml:space="preserve">Frequency of collection </w:t>
            </w:r>
          </w:p>
        </w:tc>
        <w:tc>
          <w:tcPr>
            <w:tcW w:w="7623" w:type="dxa"/>
            <w:gridSpan w:val="2"/>
          </w:tcPr>
          <w:p w14:paraId="7609130E" w14:textId="7AB8E16B" w:rsidR="006D4DE5" w:rsidRPr="00A771A9" w:rsidRDefault="00C53414" w:rsidP="00B54A5F">
            <w:pPr>
              <w:pStyle w:val="TableNText"/>
              <w:rPr>
                <w:lang w:eastAsia="en-AU"/>
              </w:rPr>
            </w:pPr>
            <w:r w:rsidRPr="00A771A9">
              <w:rPr>
                <w:lang w:eastAsia="en-AU"/>
              </w:rPr>
              <w:t>Twice during the evaluation: in May 2022 and June 2023.</w:t>
            </w:r>
          </w:p>
        </w:tc>
      </w:tr>
      <w:tr w:rsidR="006D4DE5" w:rsidRPr="0035440F" w14:paraId="4A20CE75" w14:textId="77777777" w:rsidTr="001A6789">
        <w:tc>
          <w:tcPr>
            <w:tcW w:w="1432" w:type="dxa"/>
            <w:tcBorders>
              <w:bottom w:val="single" w:sz="4" w:space="0" w:color="BFBFBF" w:themeColor="background1" w:themeShade="BF"/>
            </w:tcBorders>
            <w:shd w:val="clear" w:color="auto" w:fill="E6E6E1" w:themeFill="accent5"/>
          </w:tcPr>
          <w:p w14:paraId="3BBE59A1" w14:textId="77777777" w:rsidR="006D4DE5" w:rsidRPr="00A771A9" w:rsidRDefault="006D4DE5" w:rsidP="00B54A5F">
            <w:pPr>
              <w:pStyle w:val="TableNheader"/>
              <w:rPr>
                <w:lang w:eastAsia="en-AU"/>
              </w:rPr>
            </w:pPr>
            <w:r w:rsidRPr="00A771A9">
              <w:rPr>
                <w:lang w:eastAsia="en-AU"/>
              </w:rPr>
              <w:t>Scope</w:t>
            </w:r>
          </w:p>
        </w:tc>
        <w:tc>
          <w:tcPr>
            <w:tcW w:w="7623" w:type="dxa"/>
            <w:gridSpan w:val="2"/>
            <w:tcBorders>
              <w:bottom w:val="single" w:sz="4" w:space="0" w:color="BFBFBF" w:themeColor="background1" w:themeShade="BF"/>
            </w:tcBorders>
          </w:tcPr>
          <w:p w14:paraId="1081442B" w14:textId="57B836AE" w:rsidR="006D4DE5" w:rsidRPr="00A771A9" w:rsidRDefault="006D4DE5" w:rsidP="00B54A5F">
            <w:pPr>
              <w:pStyle w:val="TableNText"/>
              <w:rPr>
                <w:lang w:eastAsia="en-AU"/>
              </w:rPr>
            </w:pPr>
            <w:r w:rsidRPr="00A771A9">
              <w:rPr>
                <w:lang w:eastAsia="en-AU"/>
              </w:rPr>
              <w:t xml:space="preserve">All states and territories that </w:t>
            </w:r>
            <w:r w:rsidR="00E84705" w:rsidRPr="00A771A9">
              <w:rPr>
                <w:lang w:eastAsia="en-AU"/>
              </w:rPr>
              <w:t xml:space="preserve">currently </w:t>
            </w:r>
            <w:r w:rsidRPr="00A771A9">
              <w:rPr>
                <w:lang w:eastAsia="en-AU"/>
              </w:rPr>
              <w:t xml:space="preserve">use ELDAC. </w:t>
            </w:r>
          </w:p>
        </w:tc>
      </w:tr>
    </w:tbl>
    <w:p w14:paraId="47A74F1B" w14:textId="3BA0E878" w:rsidR="006D4DE5" w:rsidRDefault="006D4DE5" w:rsidP="006D4DE5"/>
    <w:p w14:paraId="27031CC3" w14:textId="3D731E29" w:rsidR="00F64C30" w:rsidRDefault="00F64C30" w:rsidP="006D4DE5"/>
    <w:p w14:paraId="0458E304" w14:textId="77777777" w:rsidR="00F64C30" w:rsidRDefault="00F64C30" w:rsidP="006D4DE5"/>
    <w:tbl>
      <w:tblPr>
        <w:tblStyle w:val="TableGridLight"/>
        <w:tblW w:w="8926" w:type="dxa"/>
        <w:tblBorders>
          <w:bottom w:val="none" w:sz="0" w:space="0" w:color="auto"/>
        </w:tblBorders>
        <w:tblCellMar>
          <w:top w:w="57" w:type="dxa"/>
        </w:tblCellMar>
        <w:tblLook w:val="04A0" w:firstRow="1" w:lastRow="0" w:firstColumn="1" w:lastColumn="0" w:noHBand="0" w:noVBand="1"/>
        <w:tblCaption w:val="This table looks at collection of AHHA progress reports to be reported in Progress Report 2 (baseline), the Midpoint and Final Report"/>
        <w:tblDescription w:val="Purpose and rationale:&#10;AHHA provides the Palliative Care Online Training Portal which provides free non-clinical interactive training for carers, community and aged care workers, students, volunteers, family members and clinicians. AHHA can provide reports on the number of people enrolling and outcome measures including change in level of confidence to provide palliative care support services before and after training. &#10;&#10;Collection methodology:&#10;Reports will be provided to Nous by AHHA for analysis. &#10;&#10;Considerations:&#10;There are a number of limitations including: &#10;• linking changes in course enrolments and outcomes measures with the impact of the Measure. The level of disaggregation within the data is unclear. &#10;• RACFs may be using other training programs for palliative care training – the AHHA training will only be seen as one of a number of potential training avenues&#10;• AHHA modules are not RACF specific but we will coordinate with AHHA to implement an additional question on the settings in which survey respondents deliver palliative care (e.g. residential aged care, hospital, primary care, community).&#10;&#10;Frequency of collection:&#10;Reports will be provided every six months with analysis for inclusion in the Midpoint and Final Reports. &#10;&#10;Scope:&#10;All jurisdictions participating in the Measure. &#10;"/>
      </w:tblPr>
      <w:tblGrid>
        <w:gridCol w:w="1432"/>
        <w:gridCol w:w="5422"/>
        <w:gridCol w:w="2066"/>
        <w:gridCol w:w="6"/>
      </w:tblGrid>
      <w:tr w:rsidR="006D4DE5" w:rsidRPr="0035440F" w14:paraId="4109EDDB" w14:textId="77777777" w:rsidTr="004F40D0">
        <w:trPr>
          <w:gridAfter w:val="1"/>
          <w:wAfter w:w="6" w:type="dxa"/>
          <w:trHeight w:val="340"/>
        </w:trPr>
        <w:tc>
          <w:tcPr>
            <w:tcW w:w="1432" w:type="dxa"/>
            <w:tcBorders>
              <w:top w:val="single" w:sz="12" w:space="0" w:color="00264D" w:themeColor="background2"/>
              <w:bottom w:val="single" w:sz="4" w:space="0" w:color="BFBFBF" w:themeColor="background1" w:themeShade="BF"/>
            </w:tcBorders>
            <w:shd w:val="clear" w:color="auto" w:fill="00264D" w:themeFill="background2"/>
            <w:vAlign w:val="center"/>
          </w:tcPr>
          <w:p w14:paraId="39B3844C" w14:textId="546B640D" w:rsidR="006D4DE5" w:rsidRPr="0035440F" w:rsidRDefault="004F40D0" w:rsidP="00B25FA6">
            <w:pPr>
              <w:jc w:val="center"/>
              <w:rPr>
                <w:color w:val="FFFFFF" w:themeColor="background1"/>
                <w:sz w:val="16"/>
                <w:szCs w:val="16"/>
                <w:lang w:eastAsia="en-AU"/>
              </w:rPr>
            </w:pPr>
            <w:r>
              <w:rPr>
                <w:color w:val="FFFFFF" w:themeColor="background1"/>
                <w:sz w:val="16"/>
                <w:szCs w:val="16"/>
                <w:lang w:eastAsia="en-AU"/>
              </w:rPr>
              <w:lastRenderedPageBreak/>
              <w:t>`</w:t>
            </w:r>
            <w:r w:rsidR="009860DB" w:rsidRPr="009860DB">
              <w:rPr>
                <w:noProof/>
                <w:color w:val="FFFFFF" w:themeColor="background1"/>
                <w:sz w:val="16"/>
                <w:szCs w:val="16"/>
                <w:lang w:eastAsia="en-AU"/>
              </w:rPr>
              <w:drawing>
                <wp:inline distT="0" distB="0" distL="0" distR="0" wp14:anchorId="42043046" wp14:editId="7F335F62">
                  <wp:extent cx="349885" cy="286385"/>
                  <wp:effectExtent l="0" t="0" r="0" b="0"/>
                  <wp:docPr id="27902" name="Picture 279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2" name="Picture 27902">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9885" cy="286385"/>
                          </a:xfrm>
                          <a:prstGeom prst="rect">
                            <a:avLst/>
                          </a:prstGeom>
                          <a:noFill/>
                          <a:ln>
                            <a:noFill/>
                          </a:ln>
                        </pic:spPr>
                      </pic:pic>
                    </a:graphicData>
                  </a:graphic>
                </wp:inline>
              </w:drawing>
            </w:r>
          </w:p>
        </w:tc>
        <w:tc>
          <w:tcPr>
            <w:tcW w:w="5422" w:type="dxa"/>
            <w:tcBorders>
              <w:top w:val="single" w:sz="12" w:space="0" w:color="00264D" w:themeColor="background2"/>
              <w:bottom w:val="single" w:sz="4" w:space="0" w:color="BFBFBF" w:themeColor="background1" w:themeShade="BF"/>
            </w:tcBorders>
            <w:shd w:val="clear" w:color="auto" w:fill="00264D" w:themeFill="background2"/>
            <w:vAlign w:val="center"/>
          </w:tcPr>
          <w:p w14:paraId="36E724B6" w14:textId="7948877D" w:rsidR="006D4DE5" w:rsidRPr="00B54A5F" w:rsidRDefault="00B456CA" w:rsidP="00B54A5F">
            <w:pPr>
              <w:pStyle w:val="TableNheader"/>
              <w:rPr>
                <w:color w:val="FFFFFF" w:themeColor="background1"/>
                <w:lang w:eastAsia="en-AU"/>
              </w:rPr>
            </w:pPr>
            <w:r w:rsidRPr="00B54A5F">
              <w:rPr>
                <w:color w:val="FFFFFF" w:themeColor="background1"/>
                <w:lang w:eastAsia="en-AU"/>
              </w:rPr>
              <w:t>AHHA</w:t>
            </w:r>
            <w:r w:rsidR="006D4DE5" w:rsidRPr="00B54A5F">
              <w:rPr>
                <w:color w:val="FFFFFF" w:themeColor="background1"/>
                <w:lang w:eastAsia="en-AU"/>
              </w:rPr>
              <w:t xml:space="preserve"> progress reports</w:t>
            </w:r>
          </w:p>
        </w:tc>
        <w:tc>
          <w:tcPr>
            <w:tcW w:w="2066" w:type="dxa"/>
            <w:tcBorders>
              <w:top w:val="single" w:sz="12" w:space="0" w:color="00264D" w:themeColor="background2"/>
              <w:bottom w:val="single" w:sz="4" w:space="0" w:color="BFBFBF" w:themeColor="background1" w:themeShade="BF"/>
            </w:tcBorders>
            <w:shd w:val="clear" w:color="auto" w:fill="00264D" w:themeFill="background2"/>
            <w:vAlign w:val="center"/>
          </w:tcPr>
          <w:p w14:paraId="5C78306F" w14:textId="22492896" w:rsidR="006D4DE5" w:rsidRPr="00B54A5F" w:rsidRDefault="006D4DE5" w:rsidP="001A6789">
            <w:pPr>
              <w:pStyle w:val="TableNheader"/>
              <w:jc w:val="center"/>
              <w:rPr>
                <w:rFonts w:asciiTheme="minorHAnsi" w:hAnsiTheme="minorHAnsi" w:cstheme="minorHAnsi"/>
                <w:color w:val="FFFFFF" w:themeColor="background1"/>
                <w:lang w:eastAsia="en-AU"/>
              </w:rPr>
            </w:pPr>
            <w:r w:rsidRPr="00B54A5F">
              <w:rPr>
                <w:rFonts w:asciiTheme="minorHAnsi" w:hAnsiTheme="minorHAnsi" w:cstheme="minorHAnsi"/>
                <w:color w:val="FFFFFF" w:themeColor="background1"/>
                <w:lang w:eastAsia="en-AU"/>
              </w:rPr>
              <w:t>Reported in:</w:t>
            </w:r>
          </w:p>
          <w:p w14:paraId="5D584B62" w14:textId="31B87307" w:rsidR="00CC4421" w:rsidRPr="00B54A5F" w:rsidRDefault="00CC4421" w:rsidP="001A6789">
            <w:pPr>
              <w:pStyle w:val="TableNheader"/>
              <w:jc w:val="center"/>
              <w:rPr>
                <w:rFonts w:asciiTheme="minorHAnsi" w:hAnsiTheme="minorHAnsi" w:cstheme="minorHAnsi"/>
                <w:color w:val="FFFFFF" w:themeColor="background1"/>
                <w:lang w:eastAsia="en-AU"/>
              </w:rPr>
            </w:pPr>
            <w:r w:rsidRPr="00B54A5F">
              <w:rPr>
                <w:rFonts w:asciiTheme="minorHAnsi" w:hAnsiTheme="minorHAnsi" w:cstheme="minorHAnsi"/>
                <w:color w:val="FFFFFF" w:themeColor="background1"/>
                <w:lang w:eastAsia="en-AU"/>
              </w:rPr>
              <w:t xml:space="preserve">Progress </w:t>
            </w:r>
            <w:r w:rsidR="003B7A1F" w:rsidRPr="00B54A5F">
              <w:rPr>
                <w:rFonts w:asciiTheme="minorHAnsi" w:hAnsiTheme="minorHAnsi" w:cstheme="minorHAnsi"/>
                <w:color w:val="FFFFFF" w:themeColor="background1"/>
                <w:lang w:eastAsia="en-AU"/>
              </w:rPr>
              <w:t>R</w:t>
            </w:r>
            <w:r w:rsidRPr="00B54A5F">
              <w:rPr>
                <w:rFonts w:asciiTheme="minorHAnsi" w:hAnsiTheme="minorHAnsi" w:cstheme="minorHAnsi"/>
                <w:color w:val="FFFFFF" w:themeColor="background1"/>
                <w:lang w:eastAsia="en-AU"/>
              </w:rPr>
              <w:t>eport 2 (baseline)</w:t>
            </w:r>
          </w:p>
          <w:p w14:paraId="7AEC9449" w14:textId="263E60AA" w:rsidR="00CC4421" w:rsidRPr="00B54A5F" w:rsidRDefault="007D1236" w:rsidP="001A6789">
            <w:pPr>
              <w:pStyle w:val="TableNheader"/>
              <w:jc w:val="center"/>
              <w:rPr>
                <w:rFonts w:asciiTheme="minorHAnsi" w:hAnsiTheme="minorHAnsi" w:cstheme="minorHAnsi"/>
                <w:color w:val="FFFFFF" w:themeColor="background1"/>
                <w:lang w:eastAsia="en-AU"/>
              </w:rPr>
            </w:pPr>
            <w:r w:rsidRPr="00B54A5F">
              <w:rPr>
                <w:rFonts w:asciiTheme="minorHAnsi" w:hAnsiTheme="minorHAnsi" w:cstheme="minorHAnsi"/>
                <w:color w:val="FFFFFF" w:themeColor="background1"/>
                <w:lang w:eastAsia="en-AU"/>
              </w:rPr>
              <w:t>Mid</w:t>
            </w:r>
            <w:r w:rsidR="003B7A1F" w:rsidRPr="00B54A5F">
              <w:rPr>
                <w:rFonts w:asciiTheme="minorHAnsi" w:hAnsiTheme="minorHAnsi" w:cstheme="minorHAnsi"/>
                <w:color w:val="FFFFFF" w:themeColor="background1"/>
                <w:lang w:eastAsia="en-AU"/>
              </w:rPr>
              <w:t>point</w:t>
            </w:r>
            <w:r w:rsidRPr="00B54A5F">
              <w:rPr>
                <w:rFonts w:asciiTheme="minorHAnsi" w:hAnsiTheme="minorHAnsi" w:cstheme="minorHAnsi"/>
                <w:color w:val="FFFFFF" w:themeColor="background1"/>
                <w:lang w:eastAsia="en-AU"/>
              </w:rPr>
              <w:t xml:space="preserve"> Report</w:t>
            </w:r>
          </w:p>
          <w:p w14:paraId="7C6EC85F" w14:textId="32CCCB9A" w:rsidR="006D4DE5" w:rsidRPr="00B54A5F" w:rsidRDefault="00CC4421" w:rsidP="001A6789">
            <w:pPr>
              <w:pStyle w:val="TableNheader"/>
              <w:jc w:val="center"/>
              <w:rPr>
                <w:rFonts w:asciiTheme="minorHAnsi" w:hAnsiTheme="minorHAnsi" w:cstheme="minorHAnsi"/>
                <w:color w:val="FFFFFF" w:themeColor="background1"/>
                <w:lang w:eastAsia="en-AU"/>
              </w:rPr>
            </w:pPr>
            <w:r w:rsidRPr="00B54A5F">
              <w:rPr>
                <w:rFonts w:asciiTheme="minorHAnsi" w:hAnsiTheme="minorHAnsi" w:cstheme="minorHAnsi"/>
                <w:color w:val="FFFFFF" w:themeColor="background1"/>
                <w:lang w:eastAsia="en-AU"/>
              </w:rPr>
              <w:t xml:space="preserve">Final </w:t>
            </w:r>
            <w:r w:rsidR="007D1236" w:rsidRPr="00B54A5F">
              <w:rPr>
                <w:rFonts w:asciiTheme="minorHAnsi" w:hAnsiTheme="minorHAnsi" w:cstheme="minorHAnsi"/>
                <w:color w:val="FFFFFF" w:themeColor="background1"/>
                <w:lang w:eastAsia="en-AU"/>
              </w:rPr>
              <w:t>Report</w:t>
            </w:r>
          </w:p>
        </w:tc>
      </w:tr>
      <w:tr w:rsidR="006D4DE5" w:rsidRPr="0035440F" w14:paraId="6D874DCD" w14:textId="77777777" w:rsidTr="00ED6468">
        <w:tc>
          <w:tcPr>
            <w:tcW w:w="1432" w:type="dxa"/>
            <w:shd w:val="clear" w:color="auto" w:fill="E6E6E1" w:themeFill="accent5"/>
          </w:tcPr>
          <w:p w14:paraId="34F6C273" w14:textId="77777777" w:rsidR="006D4DE5" w:rsidRPr="00A771A9" w:rsidRDefault="006D4DE5" w:rsidP="00B54A5F">
            <w:pPr>
              <w:pStyle w:val="TableNheader"/>
              <w:rPr>
                <w:lang w:eastAsia="en-AU"/>
              </w:rPr>
            </w:pPr>
            <w:r w:rsidRPr="00A771A9">
              <w:rPr>
                <w:lang w:eastAsia="en-AU"/>
              </w:rPr>
              <w:t>Purpose and rationale</w:t>
            </w:r>
          </w:p>
        </w:tc>
        <w:tc>
          <w:tcPr>
            <w:tcW w:w="7494" w:type="dxa"/>
            <w:gridSpan w:val="3"/>
          </w:tcPr>
          <w:p w14:paraId="798E9216" w14:textId="7201EDB3" w:rsidR="006D4DE5" w:rsidRPr="00A771A9" w:rsidRDefault="006D4DE5" w:rsidP="00B54A5F">
            <w:pPr>
              <w:pStyle w:val="TableNText"/>
            </w:pPr>
            <w:r w:rsidRPr="00A771A9">
              <w:t xml:space="preserve">AHHA provides the Palliative Care Online Training Portal which provides free non-clinical interactive training for carers, community and aged care workers, students, volunteers, family members and clinicians. AHHA can provide reports on the number of people enrolling and outcome measures including change in level of confidence to provide palliative care support services before and after training. </w:t>
            </w:r>
          </w:p>
        </w:tc>
      </w:tr>
      <w:tr w:rsidR="006D4DE5" w:rsidRPr="0035440F" w14:paraId="15452DB5" w14:textId="77777777" w:rsidTr="00ED6468">
        <w:tc>
          <w:tcPr>
            <w:tcW w:w="1432" w:type="dxa"/>
            <w:shd w:val="clear" w:color="auto" w:fill="E6E6E1" w:themeFill="accent5"/>
          </w:tcPr>
          <w:p w14:paraId="7AC09C64" w14:textId="77777777" w:rsidR="006D4DE5" w:rsidRPr="00A771A9" w:rsidRDefault="006D4DE5" w:rsidP="00B54A5F">
            <w:pPr>
              <w:pStyle w:val="TableNheader"/>
              <w:rPr>
                <w:lang w:eastAsia="en-AU"/>
              </w:rPr>
            </w:pPr>
            <w:r w:rsidRPr="00A771A9">
              <w:rPr>
                <w:lang w:eastAsia="en-AU"/>
              </w:rPr>
              <w:t xml:space="preserve">Collection methodology </w:t>
            </w:r>
          </w:p>
        </w:tc>
        <w:tc>
          <w:tcPr>
            <w:tcW w:w="7494" w:type="dxa"/>
            <w:gridSpan w:val="3"/>
          </w:tcPr>
          <w:p w14:paraId="4A3CB053" w14:textId="4F08D8D3" w:rsidR="006D4DE5" w:rsidRPr="00A771A9" w:rsidRDefault="006D4DE5" w:rsidP="00B54A5F">
            <w:pPr>
              <w:pStyle w:val="TableNText"/>
              <w:rPr>
                <w:color w:val="7F7F7F" w:themeColor="text1" w:themeTint="80"/>
              </w:rPr>
            </w:pPr>
            <w:r w:rsidRPr="00A771A9">
              <w:t xml:space="preserve">Reports will be provided to Nous by AHHA for analysis. </w:t>
            </w:r>
          </w:p>
        </w:tc>
      </w:tr>
      <w:tr w:rsidR="006D4DE5" w:rsidRPr="0035440F" w14:paraId="6D4C6C4E" w14:textId="77777777" w:rsidTr="00ED6468">
        <w:tc>
          <w:tcPr>
            <w:tcW w:w="1432" w:type="dxa"/>
            <w:shd w:val="clear" w:color="auto" w:fill="E6E6E1" w:themeFill="accent5"/>
          </w:tcPr>
          <w:p w14:paraId="19F72C28" w14:textId="77777777" w:rsidR="006D4DE5" w:rsidRPr="00A771A9" w:rsidRDefault="006D4DE5" w:rsidP="00B54A5F">
            <w:pPr>
              <w:pStyle w:val="TableNheader"/>
              <w:rPr>
                <w:lang w:eastAsia="en-AU"/>
              </w:rPr>
            </w:pPr>
            <w:r w:rsidRPr="00A771A9">
              <w:rPr>
                <w:lang w:eastAsia="en-AU"/>
              </w:rPr>
              <w:t xml:space="preserve">Considerations </w:t>
            </w:r>
          </w:p>
        </w:tc>
        <w:tc>
          <w:tcPr>
            <w:tcW w:w="7494" w:type="dxa"/>
            <w:gridSpan w:val="3"/>
          </w:tcPr>
          <w:p w14:paraId="343FFF7E" w14:textId="77777777" w:rsidR="00641F74" w:rsidRDefault="006D4DE5" w:rsidP="00B25FA6">
            <w:pPr>
              <w:pStyle w:val="TableNText"/>
              <w:rPr>
                <w:rFonts w:cs="Segoe UI"/>
              </w:rPr>
            </w:pPr>
            <w:r w:rsidRPr="00A771A9">
              <w:rPr>
                <w:rFonts w:cs="Segoe UI"/>
              </w:rPr>
              <w:t>There are</w:t>
            </w:r>
            <w:r w:rsidR="00641F74">
              <w:rPr>
                <w:rFonts w:cs="Segoe UI"/>
              </w:rPr>
              <w:t xml:space="preserve"> </w:t>
            </w:r>
            <w:proofErr w:type="gramStart"/>
            <w:r w:rsidR="00641F74">
              <w:rPr>
                <w:rFonts w:cs="Segoe UI"/>
              </w:rPr>
              <w:t>a number of</w:t>
            </w:r>
            <w:proofErr w:type="gramEnd"/>
            <w:r w:rsidRPr="00A771A9">
              <w:rPr>
                <w:rFonts w:cs="Segoe UI"/>
              </w:rPr>
              <w:t xml:space="preserve"> limitations in</w:t>
            </w:r>
            <w:r w:rsidR="00641F74">
              <w:rPr>
                <w:rFonts w:cs="Segoe UI"/>
              </w:rPr>
              <w:t xml:space="preserve">cluding: </w:t>
            </w:r>
          </w:p>
          <w:p w14:paraId="67DFCD5F" w14:textId="39C6E3C7" w:rsidR="00641F74" w:rsidRPr="00FD174E" w:rsidRDefault="006D4DE5" w:rsidP="00641F74">
            <w:pPr>
              <w:pStyle w:val="Bullet"/>
              <w:rPr>
                <w:color w:val="7F7F7F" w:themeColor="text1" w:themeTint="80"/>
                <w:sz w:val="17"/>
                <w:szCs w:val="17"/>
              </w:rPr>
            </w:pPr>
            <w:r w:rsidRPr="00FD174E">
              <w:rPr>
                <w:sz w:val="17"/>
                <w:szCs w:val="17"/>
              </w:rPr>
              <w:t xml:space="preserve">linking changes in course enrolments and outcomes measures with the impact of the Measure. The level of disaggregation within the data is unclear. </w:t>
            </w:r>
          </w:p>
          <w:p w14:paraId="34A4249E" w14:textId="77777777" w:rsidR="00022496" w:rsidRPr="00576C96" w:rsidRDefault="00022496" w:rsidP="00022496">
            <w:pPr>
              <w:pStyle w:val="Bullet"/>
              <w:rPr>
                <w:color w:val="7F7F7F" w:themeColor="text1" w:themeTint="80"/>
                <w:sz w:val="17"/>
                <w:szCs w:val="17"/>
              </w:rPr>
            </w:pPr>
            <w:r w:rsidRPr="00576C96">
              <w:rPr>
                <w:sz w:val="17"/>
                <w:szCs w:val="17"/>
              </w:rPr>
              <w:t>RACFs may be using other training programs for palliative care training</w:t>
            </w:r>
            <w:r>
              <w:rPr>
                <w:sz w:val="17"/>
                <w:szCs w:val="17"/>
              </w:rPr>
              <w:t xml:space="preserve"> – the AHHA training will only be seen as one of </w:t>
            </w:r>
            <w:proofErr w:type="gramStart"/>
            <w:r>
              <w:rPr>
                <w:sz w:val="17"/>
                <w:szCs w:val="17"/>
              </w:rPr>
              <w:t>a number of</w:t>
            </w:r>
            <w:proofErr w:type="gramEnd"/>
            <w:r>
              <w:rPr>
                <w:sz w:val="17"/>
                <w:szCs w:val="17"/>
              </w:rPr>
              <w:t xml:space="preserve"> potential training avenues</w:t>
            </w:r>
          </w:p>
          <w:p w14:paraId="3A65C53C" w14:textId="181D9EE9" w:rsidR="006D4DE5" w:rsidRPr="00A771A9" w:rsidRDefault="00022496" w:rsidP="00022496">
            <w:pPr>
              <w:pStyle w:val="Bullet"/>
              <w:rPr>
                <w:color w:val="7F7F7F" w:themeColor="text1" w:themeTint="80"/>
              </w:rPr>
            </w:pPr>
            <w:r w:rsidRPr="00576C96">
              <w:rPr>
                <w:sz w:val="17"/>
                <w:szCs w:val="17"/>
              </w:rPr>
              <w:t xml:space="preserve">AHHA modules are not RACF </w:t>
            </w:r>
            <w:proofErr w:type="gramStart"/>
            <w:r w:rsidRPr="00576C96">
              <w:rPr>
                <w:sz w:val="17"/>
                <w:szCs w:val="17"/>
              </w:rPr>
              <w:t>specific</w:t>
            </w:r>
            <w:proofErr w:type="gramEnd"/>
            <w:r w:rsidRPr="00576C96">
              <w:rPr>
                <w:sz w:val="17"/>
                <w:szCs w:val="17"/>
              </w:rPr>
              <w:t xml:space="preserve"> but we will </w:t>
            </w:r>
            <w:r>
              <w:rPr>
                <w:sz w:val="17"/>
                <w:szCs w:val="17"/>
              </w:rPr>
              <w:t>coordinate with AHHA to implement an additional question on the settings in which survey respondents deliver palliative care (e.g. residential aged care, hospital, primary care, community).</w:t>
            </w:r>
          </w:p>
        </w:tc>
      </w:tr>
      <w:tr w:rsidR="006D4DE5" w:rsidRPr="0035440F" w14:paraId="2E61D897" w14:textId="77777777" w:rsidTr="00ED6468">
        <w:tc>
          <w:tcPr>
            <w:tcW w:w="1432" w:type="dxa"/>
            <w:shd w:val="clear" w:color="auto" w:fill="E6E6E1" w:themeFill="accent5"/>
          </w:tcPr>
          <w:p w14:paraId="27E3E08D" w14:textId="77777777" w:rsidR="006D4DE5" w:rsidRPr="00A771A9" w:rsidRDefault="006D4DE5" w:rsidP="00B54A5F">
            <w:pPr>
              <w:pStyle w:val="TableNheader"/>
              <w:rPr>
                <w:lang w:eastAsia="en-AU"/>
              </w:rPr>
            </w:pPr>
            <w:r w:rsidRPr="00A771A9">
              <w:rPr>
                <w:lang w:eastAsia="en-AU"/>
              </w:rPr>
              <w:t xml:space="preserve">Frequency of collection </w:t>
            </w:r>
          </w:p>
        </w:tc>
        <w:tc>
          <w:tcPr>
            <w:tcW w:w="7494" w:type="dxa"/>
            <w:gridSpan w:val="3"/>
          </w:tcPr>
          <w:p w14:paraId="6C2A5092" w14:textId="6FC86316" w:rsidR="006D4DE5" w:rsidRPr="00A771A9" w:rsidRDefault="006D4DE5" w:rsidP="00B54A5F">
            <w:pPr>
              <w:pStyle w:val="TableNText"/>
              <w:rPr>
                <w:lang w:eastAsia="en-AU"/>
              </w:rPr>
            </w:pPr>
            <w:r w:rsidRPr="00A771A9">
              <w:rPr>
                <w:lang w:eastAsia="en-AU"/>
              </w:rPr>
              <w:t xml:space="preserve">Reports will be provided every </w:t>
            </w:r>
            <w:r w:rsidR="00B74D6E" w:rsidRPr="00A771A9">
              <w:rPr>
                <w:lang w:eastAsia="en-AU"/>
              </w:rPr>
              <w:t>six</w:t>
            </w:r>
            <w:r w:rsidRPr="00A771A9">
              <w:rPr>
                <w:lang w:eastAsia="en-AU"/>
              </w:rPr>
              <w:t xml:space="preserve"> months with analysis </w:t>
            </w:r>
            <w:r w:rsidR="005F488C" w:rsidRPr="00A771A9">
              <w:rPr>
                <w:lang w:eastAsia="en-AU"/>
              </w:rPr>
              <w:t>for inclusion in the Mid</w:t>
            </w:r>
            <w:r w:rsidR="00A50340" w:rsidRPr="00A771A9">
              <w:rPr>
                <w:lang w:eastAsia="en-AU"/>
              </w:rPr>
              <w:t>point</w:t>
            </w:r>
            <w:r w:rsidR="005F488C" w:rsidRPr="00A771A9">
              <w:rPr>
                <w:lang w:eastAsia="en-AU"/>
              </w:rPr>
              <w:t xml:space="preserve"> and Final Reports. </w:t>
            </w:r>
          </w:p>
        </w:tc>
      </w:tr>
      <w:tr w:rsidR="006D4DE5" w:rsidRPr="0035440F" w14:paraId="20232309" w14:textId="77777777" w:rsidTr="00ED6468">
        <w:tc>
          <w:tcPr>
            <w:tcW w:w="1432" w:type="dxa"/>
            <w:tcBorders>
              <w:bottom w:val="single" w:sz="4" w:space="0" w:color="BFBFBF" w:themeColor="background1" w:themeShade="BF"/>
            </w:tcBorders>
            <w:shd w:val="clear" w:color="auto" w:fill="E6E6E1" w:themeFill="accent5"/>
          </w:tcPr>
          <w:p w14:paraId="7ABEF3E4" w14:textId="77777777" w:rsidR="006D4DE5" w:rsidRPr="00A771A9" w:rsidRDefault="006D4DE5" w:rsidP="00B54A5F">
            <w:pPr>
              <w:pStyle w:val="TableNheader"/>
              <w:rPr>
                <w:lang w:eastAsia="en-AU"/>
              </w:rPr>
            </w:pPr>
            <w:r w:rsidRPr="00A771A9">
              <w:rPr>
                <w:lang w:eastAsia="en-AU"/>
              </w:rPr>
              <w:t>Scope</w:t>
            </w:r>
          </w:p>
        </w:tc>
        <w:tc>
          <w:tcPr>
            <w:tcW w:w="7494" w:type="dxa"/>
            <w:gridSpan w:val="3"/>
            <w:tcBorders>
              <w:bottom w:val="single" w:sz="4" w:space="0" w:color="BFBFBF" w:themeColor="background1" w:themeShade="BF"/>
            </w:tcBorders>
          </w:tcPr>
          <w:p w14:paraId="0A9F6645" w14:textId="7C53CC3C" w:rsidR="006D4DE5" w:rsidRPr="00A771A9" w:rsidRDefault="006D4DE5" w:rsidP="00B54A5F">
            <w:pPr>
              <w:pStyle w:val="TableNText"/>
              <w:rPr>
                <w:lang w:eastAsia="en-AU"/>
              </w:rPr>
            </w:pPr>
            <w:r w:rsidRPr="00A771A9">
              <w:rPr>
                <w:lang w:eastAsia="en-AU"/>
              </w:rPr>
              <w:t xml:space="preserve">All jurisdictions participating in the Measure. </w:t>
            </w:r>
          </w:p>
        </w:tc>
      </w:tr>
    </w:tbl>
    <w:p w14:paraId="226B8FAD" w14:textId="77777777" w:rsidR="00F55E11" w:rsidRDefault="00F55E11" w:rsidP="006D4DE5"/>
    <w:p w14:paraId="26B4A8CE" w14:textId="77777777" w:rsidR="00F55E11" w:rsidRDefault="00F55E11">
      <w:pPr>
        <w:spacing w:after="165" w:line="259" w:lineRule="auto"/>
      </w:pPr>
      <w:r>
        <w:br w:type="page"/>
      </w:r>
    </w:p>
    <w:tbl>
      <w:tblPr>
        <w:tblStyle w:val="TableGridLight"/>
        <w:tblW w:w="0" w:type="auto"/>
        <w:tblBorders>
          <w:bottom w:val="none" w:sz="0" w:space="0" w:color="auto"/>
        </w:tblBorders>
        <w:tblCellMar>
          <w:top w:w="57" w:type="dxa"/>
        </w:tblCellMar>
        <w:tblLook w:val="04A0" w:firstRow="1" w:lastRow="0" w:firstColumn="1" w:lastColumn="0" w:noHBand="0" w:noVBand="1"/>
        <w:tblCaption w:val="This table looks at collection of Ambulance data pilot project to be reported in "/>
        <w:tblDescription w:val="Purpose and rationale:&#10;One of the key intended outcomes of the Measure is reducing the number of ambulance call-outs to RACFs and transfers from RACFs to hospital for palliative care when that treatment could be provided in the RACF. Currently there is limited national ambulance data particularly pertaining to palliative care in RACFs.&#10;Nous has proposed a pilot project working with researchers at Turning Point Population Health and Monash University who have developed methods to collate and code ambulance data. This project would involve coding existing ambulance records linked to RACFs with respect to palliative care. Once coded, the data can be used to measure the impact of the Measure on ambulance call outs and hospital transfer. &#10;This pilot project is still being discussed with the Department of Health to determine its viability as part of the evaluation. &#10;&#10;Collection methodology:&#10;The Turning Point Population Health Research Program will collate and code ambulance data to identify the number of ambulance call-outs to RACFs and transfers from RACFs to hospital. This data will be provided to Nous for analysis. &#10;&#10;Considerations:&#10;Turning Point Population Health will need to submit a modification to their existing ethics application to conduct the analysis and provide it to Nous. Nous will not need to submit a separate ethics application for this data. &#10;Analysis will be conducted as a pilot in one jurisdiction, Tasmania, due to the novel nature of this data set and the limitations in accessing suitable records from other jurisdictions.&#10;&#10;Frequency of collection:&#10;Analysis will be conducted yearly: Jan 2021-July 2021; Jan 2022-July 2022; Jan 2023-July 2023.&#10;&#10;Scope:&#10;Pilot project in one jurisdiction, Tasmania. "/>
      </w:tblPr>
      <w:tblGrid>
        <w:gridCol w:w="1432"/>
        <w:gridCol w:w="5601"/>
        <w:gridCol w:w="1887"/>
      </w:tblGrid>
      <w:tr w:rsidR="006D4DE5" w:rsidRPr="0035440F" w14:paraId="39A1BB8A" w14:textId="77777777" w:rsidTr="004F40D0">
        <w:trPr>
          <w:trHeight w:val="876"/>
        </w:trPr>
        <w:tc>
          <w:tcPr>
            <w:tcW w:w="1432" w:type="dxa"/>
            <w:tcBorders>
              <w:top w:val="single" w:sz="12" w:space="0" w:color="00264D"/>
              <w:bottom w:val="single" w:sz="4" w:space="0" w:color="BFBFBF" w:themeColor="background1" w:themeShade="BF"/>
            </w:tcBorders>
            <w:shd w:val="clear" w:color="auto" w:fill="00264D" w:themeFill="background2"/>
            <w:vAlign w:val="center"/>
          </w:tcPr>
          <w:p w14:paraId="7AB3ECB5" w14:textId="7F1855FE" w:rsidR="006D4DE5" w:rsidRPr="0035440F" w:rsidRDefault="009860DB" w:rsidP="00B25FA6">
            <w:pPr>
              <w:jc w:val="center"/>
              <w:rPr>
                <w:color w:val="FFFFFF" w:themeColor="background1"/>
                <w:sz w:val="16"/>
                <w:szCs w:val="16"/>
                <w:lang w:eastAsia="en-AU"/>
              </w:rPr>
            </w:pPr>
            <w:r w:rsidRPr="009860DB">
              <w:rPr>
                <w:noProof/>
                <w:color w:val="FFFFFF" w:themeColor="background1"/>
                <w:sz w:val="16"/>
                <w:szCs w:val="16"/>
                <w:lang w:eastAsia="en-AU"/>
              </w:rPr>
              <w:lastRenderedPageBreak/>
              <w:drawing>
                <wp:inline distT="0" distB="0" distL="0" distR="0" wp14:anchorId="63A7F046" wp14:editId="70DF3C18">
                  <wp:extent cx="349885" cy="286385"/>
                  <wp:effectExtent l="0" t="0" r="0" b="0"/>
                  <wp:docPr id="27903" name="Picture 279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3" name="Picture 27903">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9885" cy="286385"/>
                          </a:xfrm>
                          <a:prstGeom prst="rect">
                            <a:avLst/>
                          </a:prstGeom>
                          <a:noFill/>
                          <a:ln>
                            <a:noFill/>
                          </a:ln>
                        </pic:spPr>
                      </pic:pic>
                    </a:graphicData>
                  </a:graphic>
                </wp:inline>
              </w:drawing>
            </w:r>
          </w:p>
        </w:tc>
        <w:tc>
          <w:tcPr>
            <w:tcW w:w="5601" w:type="dxa"/>
            <w:tcBorders>
              <w:top w:val="single" w:sz="12" w:space="0" w:color="00264D"/>
              <w:bottom w:val="single" w:sz="4" w:space="0" w:color="BFBFBF" w:themeColor="background1" w:themeShade="BF"/>
            </w:tcBorders>
            <w:shd w:val="clear" w:color="auto" w:fill="00264D" w:themeFill="background2"/>
            <w:vAlign w:val="center"/>
          </w:tcPr>
          <w:p w14:paraId="638CC27B" w14:textId="387F8295" w:rsidR="006D4DE5" w:rsidRPr="00B54A5F" w:rsidRDefault="006D4DE5" w:rsidP="00B54A5F">
            <w:pPr>
              <w:pStyle w:val="TableNheader"/>
              <w:rPr>
                <w:color w:val="FFFFFF" w:themeColor="background1"/>
              </w:rPr>
            </w:pPr>
            <w:r w:rsidRPr="00B54A5F">
              <w:rPr>
                <w:color w:val="FFFFFF" w:themeColor="background1"/>
              </w:rPr>
              <w:t>Ambulance data pilot project</w:t>
            </w:r>
            <w:r w:rsidR="00374374" w:rsidRPr="00B54A5F">
              <w:rPr>
                <w:color w:val="FFFFFF" w:themeColor="background1"/>
              </w:rPr>
              <w:t xml:space="preserve"> </w:t>
            </w:r>
            <w:r w:rsidR="003F3F5D" w:rsidRPr="0030232E">
              <w:rPr>
                <w:highlight w:val="yellow"/>
              </w:rPr>
              <w:t xml:space="preserve">use of this data has been explored but </w:t>
            </w:r>
            <w:r w:rsidR="00DB4BD7" w:rsidRPr="0030232E">
              <w:rPr>
                <w:highlight w:val="yellow"/>
              </w:rPr>
              <w:t>funding has not been confirmed</w:t>
            </w:r>
          </w:p>
        </w:tc>
        <w:tc>
          <w:tcPr>
            <w:tcW w:w="1887" w:type="dxa"/>
            <w:tcBorders>
              <w:top w:val="single" w:sz="12" w:space="0" w:color="00264D"/>
              <w:bottom w:val="single" w:sz="4" w:space="0" w:color="BFBFBF" w:themeColor="background1" w:themeShade="BF"/>
            </w:tcBorders>
            <w:shd w:val="clear" w:color="auto" w:fill="00264D" w:themeFill="background2"/>
            <w:vAlign w:val="center"/>
          </w:tcPr>
          <w:p w14:paraId="2A0DC3B9" w14:textId="168E05EE" w:rsidR="006D4DE5" w:rsidRPr="00B54A5F" w:rsidRDefault="006D4DE5" w:rsidP="00B54A5F">
            <w:pPr>
              <w:pStyle w:val="TableNheader"/>
              <w:jc w:val="center"/>
              <w:rPr>
                <w:color w:val="FFFFFF" w:themeColor="background1"/>
              </w:rPr>
            </w:pPr>
            <w:r w:rsidRPr="00B54A5F">
              <w:rPr>
                <w:color w:val="FFFFFF" w:themeColor="background1"/>
              </w:rPr>
              <w:t>Reported in:</w:t>
            </w:r>
          </w:p>
          <w:p w14:paraId="279FD456" w14:textId="1D6CBB21" w:rsidR="006D4DE5" w:rsidRPr="00B54A5F" w:rsidRDefault="006224B5" w:rsidP="00B54A5F">
            <w:pPr>
              <w:pStyle w:val="TableNheader"/>
              <w:jc w:val="center"/>
              <w:rPr>
                <w:color w:val="FFFFFF" w:themeColor="background1"/>
              </w:rPr>
            </w:pPr>
            <w:r w:rsidRPr="00B54A5F">
              <w:rPr>
                <w:color w:val="FFFFFF" w:themeColor="background1"/>
              </w:rPr>
              <w:t>TBC</w:t>
            </w:r>
          </w:p>
        </w:tc>
      </w:tr>
      <w:tr w:rsidR="006D4DE5" w:rsidRPr="0035440F" w14:paraId="259DCA5F" w14:textId="77777777" w:rsidTr="00402D1D">
        <w:tc>
          <w:tcPr>
            <w:tcW w:w="1432" w:type="dxa"/>
            <w:tcBorders>
              <w:top w:val="single" w:sz="4" w:space="0" w:color="BFBFBF" w:themeColor="background1" w:themeShade="BF"/>
            </w:tcBorders>
            <w:shd w:val="clear" w:color="auto" w:fill="E6E6E1" w:themeFill="accent5"/>
          </w:tcPr>
          <w:p w14:paraId="0CA45DE0" w14:textId="77777777" w:rsidR="006D4DE5" w:rsidRPr="00A771A9" w:rsidRDefault="006D4DE5" w:rsidP="00B54A5F">
            <w:pPr>
              <w:pStyle w:val="TableNheader"/>
              <w:rPr>
                <w:lang w:eastAsia="en-AU"/>
              </w:rPr>
            </w:pPr>
            <w:r w:rsidRPr="00A771A9">
              <w:rPr>
                <w:lang w:eastAsia="en-AU"/>
              </w:rPr>
              <w:t>Purpose and rationale</w:t>
            </w:r>
          </w:p>
        </w:tc>
        <w:tc>
          <w:tcPr>
            <w:tcW w:w="7488" w:type="dxa"/>
            <w:gridSpan w:val="2"/>
            <w:tcBorders>
              <w:top w:val="single" w:sz="4" w:space="0" w:color="BFBFBF" w:themeColor="background1" w:themeShade="BF"/>
            </w:tcBorders>
          </w:tcPr>
          <w:p w14:paraId="18B20B75" w14:textId="1B3F778F" w:rsidR="006D4DE5" w:rsidRPr="00A771A9" w:rsidRDefault="006D4DE5" w:rsidP="00B54A5F">
            <w:pPr>
              <w:pStyle w:val="TableNText"/>
            </w:pPr>
            <w:r w:rsidRPr="00A771A9">
              <w:t xml:space="preserve">One of the key intended outcomes of the Measure is reducing the number of </w:t>
            </w:r>
            <w:proofErr w:type="gramStart"/>
            <w:r w:rsidRPr="00A771A9">
              <w:t>ambulance</w:t>
            </w:r>
            <w:proofErr w:type="gramEnd"/>
            <w:r w:rsidRPr="00A771A9">
              <w:t xml:space="preserve"> call</w:t>
            </w:r>
            <w:r w:rsidR="00440F40" w:rsidRPr="00A771A9">
              <w:t>-</w:t>
            </w:r>
            <w:r w:rsidRPr="00A771A9">
              <w:t>outs to RACFs and transfers from RACFs to hospital for palliative care when that treatment could be provided in the RACF. Currently there is limited national ambulance data particularly pertaining to palliative care in RACFs.</w:t>
            </w:r>
          </w:p>
          <w:p w14:paraId="016E3A02" w14:textId="77777777" w:rsidR="006D4DE5" w:rsidRPr="00A771A9" w:rsidRDefault="006D4DE5" w:rsidP="00B54A5F">
            <w:pPr>
              <w:pStyle w:val="TableNText"/>
            </w:pPr>
            <w:r w:rsidRPr="00A771A9">
              <w:t xml:space="preserve">Nous has proposed a pilot project working with researchers at Turning Point Population Health and Monash University who have developed methods to collate and code ambulance data. This project would involve coding existing ambulance records linked to RACFs with respect to palliative care. Once coded, the data can be used to measure the impact of the Measure on ambulance call outs and hospital transfer. </w:t>
            </w:r>
          </w:p>
          <w:p w14:paraId="7CB42289" w14:textId="3D979E33" w:rsidR="006D4DE5" w:rsidRPr="00A771A9" w:rsidRDefault="006D4DE5" w:rsidP="00B54A5F">
            <w:pPr>
              <w:pStyle w:val="TableNText"/>
            </w:pPr>
            <w:r w:rsidRPr="00A771A9">
              <w:t>This pilot project is still being discussed with the Depar</w:t>
            </w:r>
            <w:r w:rsidR="00C822E1" w:rsidRPr="00A771A9">
              <w:t>tment</w:t>
            </w:r>
            <w:r w:rsidRPr="00A771A9">
              <w:t xml:space="preserve"> of Health to determine its viability as part of the evaluation.</w:t>
            </w:r>
            <w:r w:rsidRPr="00A771A9">
              <w:rPr>
                <w:color w:val="7F7F7F" w:themeColor="text1" w:themeTint="80"/>
              </w:rPr>
              <w:t xml:space="preserve"> </w:t>
            </w:r>
          </w:p>
        </w:tc>
      </w:tr>
      <w:tr w:rsidR="006D4DE5" w:rsidRPr="0035440F" w14:paraId="1E7D30C2" w14:textId="77777777" w:rsidTr="00F55E11">
        <w:tc>
          <w:tcPr>
            <w:tcW w:w="1432" w:type="dxa"/>
            <w:shd w:val="clear" w:color="auto" w:fill="E6E6E1" w:themeFill="accent5"/>
          </w:tcPr>
          <w:p w14:paraId="31697368" w14:textId="77777777" w:rsidR="006D4DE5" w:rsidRPr="00A771A9" w:rsidRDefault="006D4DE5" w:rsidP="00B54A5F">
            <w:pPr>
              <w:pStyle w:val="TableNheader"/>
              <w:rPr>
                <w:lang w:eastAsia="en-AU"/>
              </w:rPr>
            </w:pPr>
            <w:r w:rsidRPr="00A771A9">
              <w:rPr>
                <w:lang w:eastAsia="en-AU"/>
              </w:rPr>
              <w:t xml:space="preserve">Collection methodology </w:t>
            </w:r>
          </w:p>
        </w:tc>
        <w:tc>
          <w:tcPr>
            <w:tcW w:w="7488" w:type="dxa"/>
            <w:gridSpan w:val="2"/>
          </w:tcPr>
          <w:p w14:paraId="357D2EE7" w14:textId="2F652240" w:rsidR="006D4DE5" w:rsidRPr="00A771A9" w:rsidRDefault="006D4DE5" w:rsidP="00B54A5F">
            <w:pPr>
              <w:pStyle w:val="TableNText"/>
              <w:rPr>
                <w:color w:val="7F7F7F" w:themeColor="text1" w:themeTint="80"/>
              </w:rPr>
            </w:pPr>
            <w:r w:rsidRPr="00A771A9">
              <w:t xml:space="preserve">The Turning Point Population Health Research Program will collate and code ambulance data to identify the number of </w:t>
            </w:r>
            <w:proofErr w:type="gramStart"/>
            <w:r w:rsidRPr="00A771A9">
              <w:t>ambulance</w:t>
            </w:r>
            <w:proofErr w:type="gramEnd"/>
            <w:r w:rsidRPr="00A771A9">
              <w:t xml:space="preserve"> call</w:t>
            </w:r>
            <w:r w:rsidR="009B474A" w:rsidRPr="00A771A9">
              <w:t>-</w:t>
            </w:r>
            <w:r w:rsidRPr="00A771A9">
              <w:t xml:space="preserve">outs to RACFs and transfers from RACFs to hospital. This data will be provided to Nous for analysis. </w:t>
            </w:r>
          </w:p>
        </w:tc>
      </w:tr>
      <w:tr w:rsidR="006D4DE5" w:rsidRPr="0035440F" w14:paraId="34515ED7" w14:textId="77777777" w:rsidTr="00F55E11">
        <w:tc>
          <w:tcPr>
            <w:tcW w:w="1432" w:type="dxa"/>
            <w:shd w:val="clear" w:color="auto" w:fill="E6E6E1" w:themeFill="accent5"/>
          </w:tcPr>
          <w:p w14:paraId="43C437FA" w14:textId="77777777" w:rsidR="006D4DE5" w:rsidRPr="00A771A9" w:rsidRDefault="006D4DE5" w:rsidP="00B54A5F">
            <w:pPr>
              <w:pStyle w:val="TableNheader"/>
              <w:rPr>
                <w:lang w:eastAsia="en-AU"/>
              </w:rPr>
            </w:pPr>
            <w:r w:rsidRPr="00A771A9">
              <w:rPr>
                <w:lang w:eastAsia="en-AU"/>
              </w:rPr>
              <w:t xml:space="preserve">Considerations </w:t>
            </w:r>
          </w:p>
        </w:tc>
        <w:tc>
          <w:tcPr>
            <w:tcW w:w="7488" w:type="dxa"/>
            <w:gridSpan w:val="2"/>
          </w:tcPr>
          <w:p w14:paraId="59A43FD2" w14:textId="77777777" w:rsidR="006D4DE5" w:rsidRPr="00A771A9" w:rsidRDefault="006D4DE5" w:rsidP="00B25FA6">
            <w:pPr>
              <w:pStyle w:val="TableNText"/>
            </w:pPr>
            <w:r w:rsidRPr="00A771A9">
              <w:t xml:space="preserve">Turning Point Population Health will need to submit a modification to their existing ethics application to conduct the analysis and provide it to Nous. Nous will not need to submit a separate ethics application for this data. </w:t>
            </w:r>
          </w:p>
          <w:p w14:paraId="0D313881" w14:textId="731A6113" w:rsidR="006D4DE5" w:rsidRPr="00B75C37" w:rsidRDefault="006D4DE5" w:rsidP="00B25FA6">
            <w:pPr>
              <w:pStyle w:val="TableNText"/>
            </w:pPr>
            <w:r w:rsidRPr="00A771A9">
              <w:t>Analysis will be conduct</w:t>
            </w:r>
            <w:r w:rsidR="00F445AB" w:rsidRPr="00A771A9">
              <w:t>ed</w:t>
            </w:r>
            <w:r w:rsidRPr="00A771A9">
              <w:t xml:space="preserve"> as a pilot in one jurisdiction, Tasmania, due to the novel nature of this data set and the limitations in accessing suitable records from other jurisdictions.</w:t>
            </w:r>
          </w:p>
        </w:tc>
      </w:tr>
      <w:tr w:rsidR="006D4DE5" w:rsidRPr="0035440F" w14:paraId="28C6D13F" w14:textId="77777777" w:rsidTr="00F55E11">
        <w:tc>
          <w:tcPr>
            <w:tcW w:w="1432" w:type="dxa"/>
            <w:shd w:val="clear" w:color="auto" w:fill="E6E6E1" w:themeFill="accent5"/>
          </w:tcPr>
          <w:p w14:paraId="30B03DDD" w14:textId="77777777" w:rsidR="006D4DE5" w:rsidRPr="00A771A9" w:rsidRDefault="006D4DE5" w:rsidP="00B54A5F">
            <w:pPr>
              <w:pStyle w:val="TableNheader"/>
              <w:rPr>
                <w:lang w:eastAsia="en-AU"/>
              </w:rPr>
            </w:pPr>
            <w:r w:rsidRPr="00A771A9">
              <w:rPr>
                <w:lang w:eastAsia="en-AU"/>
              </w:rPr>
              <w:t xml:space="preserve">Frequency of collection </w:t>
            </w:r>
          </w:p>
        </w:tc>
        <w:tc>
          <w:tcPr>
            <w:tcW w:w="7488" w:type="dxa"/>
            <w:gridSpan w:val="2"/>
          </w:tcPr>
          <w:p w14:paraId="7442265E" w14:textId="3401B259" w:rsidR="006D4DE5" w:rsidRPr="00A771A9" w:rsidRDefault="006D4DE5" w:rsidP="00B54A5F">
            <w:pPr>
              <w:pStyle w:val="TableNText"/>
              <w:rPr>
                <w:lang w:eastAsia="en-AU"/>
              </w:rPr>
            </w:pPr>
            <w:r w:rsidRPr="00A771A9">
              <w:rPr>
                <w:lang w:eastAsia="en-AU"/>
              </w:rPr>
              <w:t>Analysis will be conducted yearly</w:t>
            </w:r>
            <w:r w:rsidR="0083628B" w:rsidRPr="00A771A9">
              <w:rPr>
                <w:lang w:eastAsia="en-AU"/>
              </w:rPr>
              <w:t>:</w:t>
            </w:r>
            <w:r w:rsidRPr="00A771A9">
              <w:rPr>
                <w:lang w:eastAsia="en-AU"/>
              </w:rPr>
              <w:t xml:space="preserve"> Jan 2021-July 2021; Jan 2022-July 2022; Jan 2023-July 2023.</w:t>
            </w:r>
          </w:p>
        </w:tc>
      </w:tr>
      <w:tr w:rsidR="006D4DE5" w:rsidRPr="0035440F" w14:paraId="29A01DCE" w14:textId="77777777" w:rsidTr="00F55E11">
        <w:tc>
          <w:tcPr>
            <w:tcW w:w="1432" w:type="dxa"/>
            <w:tcBorders>
              <w:bottom w:val="single" w:sz="4" w:space="0" w:color="BFBFBF" w:themeColor="background1" w:themeShade="BF"/>
            </w:tcBorders>
            <w:shd w:val="clear" w:color="auto" w:fill="E6E6E1" w:themeFill="accent5"/>
          </w:tcPr>
          <w:p w14:paraId="6E562358" w14:textId="77777777" w:rsidR="006D4DE5" w:rsidRPr="00A771A9" w:rsidRDefault="006D4DE5" w:rsidP="00B54A5F">
            <w:pPr>
              <w:pStyle w:val="TableNheader"/>
              <w:rPr>
                <w:lang w:eastAsia="en-AU"/>
              </w:rPr>
            </w:pPr>
            <w:r w:rsidRPr="00A771A9">
              <w:rPr>
                <w:lang w:eastAsia="en-AU"/>
              </w:rPr>
              <w:t>Scope</w:t>
            </w:r>
          </w:p>
        </w:tc>
        <w:tc>
          <w:tcPr>
            <w:tcW w:w="7488" w:type="dxa"/>
            <w:gridSpan w:val="2"/>
            <w:tcBorders>
              <w:bottom w:val="single" w:sz="4" w:space="0" w:color="BFBFBF" w:themeColor="background1" w:themeShade="BF"/>
            </w:tcBorders>
          </w:tcPr>
          <w:p w14:paraId="7996CF6A" w14:textId="3635D02A" w:rsidR="006D4DE5" w:rsidRPr="00A771A9" w:rsidRDefault="006D4DE5" w:rsidP="00B54A5F">
            <w:pPr>
              <w:pStyle w:val="TableNText"/>
              <w:rPr>
                <w:lang w:eastAsia="en-AU"/>
              </w:rPr>
            </w:pPr>
            <w:r w:rsidRPr="00A771A9">
              <w:rPr>
                <w:lang w:eastAsia="en-AU"/>
              </w:rPr>
              <w:t xml:space="preserve">Pilot project in one jurisdiction, Tasmania. </w:t>
            </w:r>
          </w:p>
        </w:tc>
      </w:tr>
    </w:tbl>
    <w:p w14:paraId="2756D9D3" w14:textId="77777777" w:rsidR="000B4FDD" w:rsidRDefault="000B4FDD" w:rsidP="000B4FDD">
      <w:bookmarkStart w:id="48" w:name="_Ref62134577"/>
    </w:p>
    <w:p w14:paraId="7BFE3222" w14:textId="77777777" w:rsidR="000B4FDD" w:rsidRDefault="000B4FDD">
      <w:pPr>
        <w:spacing w:after="165" w:line="259" w:lineRule="auto"/>
        <w:rPr>
          <w:rFonts w:ascii="Segoe UI Semibold" w:eastAsia="Times New Roman" w:hAnsi="Segoe UI Semibold" w:cs="Times New Roman"/>
          <w:color w:val="00264D"/>
          <w:sz w:val="30"/>
          <w:szCs w:val="19"/>
          <w:lang w:eastAsia="en-AU"/>
        </w:rPr>
      </w:pPr>
      <w:r>
        <w:br w:type="page"/>
      </w:r>
    </w:p>
    <w:p w14:paraId="2AA07A7B" w14:textId="49EF4A32" w:rsidR="006D4DE5" w:rsidRDefault="006D4DE5" w:rsidP="006D4DE5">
      <w:pPr>
        <w:pStyle w:val="Heading2"/>
      </w:pPr>
      <w:bookmarkStart w:id="49" w:name="_Toc82767215"/>
      <w:r>
        <w:lastRenderedPageBreak/>
        <w:t>Data sources considered</w:t>
      </w:r>
      <w:r w:rsidR="0099403C">
        <w:t>; however,</w:t>
      </w:r>
      <w:r>
        <w:t xml:space="preserve"> not included in evaluation</w:t>
      </w:r>
      <w:bookmarkEnd w:id="48"/>
      <w:bookmarkEnd w:id="49"/>
    </w:p>
    <w:p w14:paraId="4798DF7C" w14:textId="25925F6E" w:rsidR="006D4DE5" w:rsidRDefault="006D4DE5" w:rsidP="006D4DE5">
      <w:pPr>
        <w:rPr>
          <w:lang w:eastAsia="en-AU"/>
        </w:rPr>
      </w:pPr>
      <w:r>
        <w:rPr>
          <w:lang w:eastAsia="en-AU"/>
        </w:rPr>
        <w:t>Other data sources were considered</w:t>
      </w:r>
      <w:r w:rsidR="003F38E7">
        <w:rPr>
          <w:lang w:eastAsia="en-AU"/>
        </w:rPr>
        <w:t>,</w:t>
      </w:r>
      <w:r>
        <w:rPr>
          <w:lang w:eastAsia="en-AU"/>
        </w:rPr>
        <w:t xml:space="preserve"> </w:t>
      </w:r>
      <w:r w:rsidR="00F55E11">
        <w:rPr>
          <w:lang w:eastAsia="en-AU"/>
        </w:rPr>
        <w:t>but</w:t>
      </w:r>
      <w:r>
        <w:rPr>
          <w:lang w:eastAsia="en-AU"/>
        </w:rPr>
        <w:t xml:space="preserve"> excluded given limited value for the purpose of this evaluation: </w:t>
      </w:r>
    </w:p>
    <w:p w14:paraId="085CA2FA" w14:textId="5A81393F" w:rsidR="006D4DE5" w:rsidRPr="00F70ADA" w:rsidRDefault="006D4DE5" w:rsidP="006D4DE5">
      <w:pPr>
        <w:pStyle w:val="Bullet"/>
      </w:pPr>
      <w:r w:rsidRPr="001A6DEF">
        <w:rPr>
          <w:rFonts w:ascii="Segoe UI Semibold" w:hAnsi="Segoe UI Semibold" w:cs="Segoe UI Semibold"/>
        </w:rPr>
        <w:t>Medicare Benefits Schedule (MBS)</w:t>
      </w:r>
      <w:r>
        <w:t>: MBS data will be included as part of the NIHSI-AA data set</w:t>
      </w:r>
      <w:r w:rsidR="003F38E7">
        <w:t>, although</w:t>
      </w:r>
      <w:r>
        <w:t xml:space="preserve"> will not be incorporated as a standalone data set. MBS data does not have a flag to indicate that individuals are residents of RACFs. This severely limits the utility of MBS data to identify the impact of the Measure which is limited to RACFs. </w:t>
      </w:r>
      <w:r w:rsidR="001E22D0">
        <w:t xml:space="preserve">If NIHSI-AA data is not available </w:t>
      </w:r>
      <w:r w:rsidR="00905DF7">
        <w:t>for</w:t>
      </w:r>
      <w:r w:rsidR="001E22D0">
        <w:t xml:space="preserve"> the evaluation, Nous will explore the possibility of </w:t>
      </w:r>
      <w:r w:rsidR="00783922">
        <w:t xml:space="preserve">performing </w:t>
      </w:r>
      <w:r w:rsidR="000913AB">
        <w:t xml:space="preserve">limited </w:t>
      </w:r>
      <w:r w:rsidR="00783922">
        <w:t xml:space="preserve">linkage of </w:t>
      </w:r>
      <w:r w:rsidR="000913AB">
        <w:t xml:space="preserve">MBS </w:t>
      </w:r>
      <w:r w:rsidR="00783922">
        <w:t xml:space="preserve">data </w:t>
      </w:r>
      <w:r w:rsidR="000913AB">
        <w:t xml:space="preserve">with </w:t>
      </w:r>
      <w:r w:rsidR="00C1626A">
        <w:t xml:space="preserve">aged care data sets to identify individuals who are residents of RACFs. </w:t>
      </w:r>
    </w:p>
    <w:p w14:paraId="7F5362C3" w14:textId="4DEC4AC3" w:rsidR="006D4DE5" w:rsidRDefault="006D4DE5" w:rsidP="006D4DE5">
      <w:pPr>
        <w:pStyle w:val="Bullet"/>
      </w:pPr>
      <w:r w:rsidRPr="001A6DEF">
        <w:rPr>
          <w:rFonts w:ascii="Segoe UI Semibold" w:hAnsi="Segoe UI Semibold" w:cs="Segoe UI Semibold"/>
        </w:rPr>
        <w:t>Pharmaceutical Benefits Scheme (PBS)</w:t>
      </w:r>
      <w:r>
        <w:t>: As with MBS data, P</w:t>
      </w:r>
      <w:r w:rsidRPr="007676DB">
        <w:t>BS data will be included as part of the NIHSI-AA data set</w:t>
      </w:r>
      <w:r w:rsidR="00D07B29">
        <w:t>, although</w:t>
      </w:r>
      <w:r w:rsidRPr="007676DB">
        <w:t xml:space="preserve"> will not be incorporated as a standalone data set. </w:t>
      </w:r>
      <w:r>
        <w:t>PBS</w:t>
      </w:r>
      <w:r w:rsidRPr="007676DB">
        <w:t xml:space="preserve"> data does not have a flag to indicate that individuals are residents of RACFs. This severely limits the utility of </w:t>
      </w:r>
      <w:r>
        <w:t>PBS</w:t>
      </w:r>
      <w:r w:rsidRPr="007676DB">
        <w:t xml:space="preserve"> data to identify the impact of the Measure which is limited to RACFs.</w:t>
      </w:r>
      <w:r w:rsidR="00270B43">
        <w:t xml:space="preserve"> If NIHSI-AA data is not available for the evaluation, Nous will explore the possibility of performing limited linkage of PBS data with aged care data sets to identify individuals who are residents of RACFs.</w:t>
      </w:r>
    </w:p>
    <w:p w14:paraId="7374C0B3" w14:textId="59616EDA" w:rsidR="006D4DE5" w:rsidRDefault="006D4DE5" w:rsidP="006D4DE5">
      <w:pPr>
        <w:pStyle w:val="Bullet"/>
      </w:pPr>
      <w:r w:rsidRPr="001A6DEF">
        <w:rPr>
          <w:rFonts w:ascii="Segoe UI Semibold" w:hAnsi="Segoe UI Semibold" w:cs="Segoe UI Semibold"/>
        </w:rPr>
        <w:t>National admitted and non-admitted hospital data sets</w:t>
      </w:r>
      <w:r>
        <w:t xml:space="preserve">: National hospital data sets </w:t>
      </w:r>
      <w:r w:rsidRPr="00A25B2F">
        <w:t>will be included as part of the NIHSI-AA data set</w:t>
      </w:r>
      <w:r w:rsidR="008313CC">
        <w:t>, although</w:t>
      </w:r>
      <w:r w:rsidRPr="00A25B2F">
        <w:t xml:space="preserve"> will not be incorporated as a standalone data set. </w:t>
      </w:r>
      <w:r w:rsidRPr="00281B4D">
        <w:t>National admitted and non-admitted hospital</w:t>
      </w:r>
      <w:r w:rsidRPr="00A25B2F">
        <w:t xml:space="preserve"> data </w:t>
      </w:r>
      <w:r w:rsidRPr="00281B4D">
        <w:t>sets</w:t>
      </w:r>
      <w:r>
        <w:t xml:space="preserve"> do</w:t>
      </w:r>
      <w:r w:rsidRPr="00A25B2F">
        <w:t xml:space="preserve"> not </w:t>
      </w:r>
      <w:r>
        <w:t>contain</w:t>
      </w:r>
      <w:r w:rsidRPr="00A25B2F">
        <w:t xml:space="preserve"> a flag to indicate that individuals are residents of RACFs</w:t>
      </w:r>
      <w:r>
        <w:t xml:space="preserve"> or address information</w:t>
      </w:r>
      <w:r w:rsidRPr="00A25B2F">
        <w:t xml:space="preserve">. This </w:t>
      </w:r>
      <w:r>
        <w:t xml:space="preserve">removes the possibility of using these data sets to examine only residents of RACFs, the focus of the Measure. </w:t>
      </w:r>
    </w:p>
    <w:p w14:paraId="03B4DE86" w14:textId="406D6C97" w:rsidR="006D4DE5" w:rsidRPr="00C370F9" w:rsidRDefault="006D4DE5" w:rsidP="006D4DE5">
      <w:pPr>
        <w:pStyle w:val="Bullet"/>
      </w:pPr>
      <w:r w:rsidRPr="00FD797E">
        <w:rPr>
          <w:rFonts w:ascii="Segoe UI Semibold" w:hAnsi="Segoe UI Semibold" w:cs="Segoe UI Semibold"/>
        </w:rPr>
        <w:t>Aged Care Funding Instrument (ACFI):</w:t>
      </w:r>
      <w:r w:rsidRPr="00FD797E">
        <w:rPr>
          <w:rFonts w:cs="Segoe UI"/>
        </w:rPr>
        <w:t xml:space="preserve"> </w:t>
      </w:r>
      <w:r>
        <w:t xml:space="preserve">ACFI provides limited information related to the intended outcomes of the Measure including improved quality of palliative care in RACFs. The ACFI is used by aged care providers to claim subsidies for residents that permanently enter their care and contains little or no information about the type of care that is provided and resident outcomes. This limits the usefulness of ACFI data to the evaluation. Also, ACFI does not capture all individuals who are receiving palliative care and is likely undercounting the number of individuals who receive palliative care in RACFs. For example, </w:t>
      </w:r>
      <w:r w:rsidR="006A2FF0">
        <w:t>if a</w:t>
      </w:r>
      <w:r>
        <w:t xml:space="preserve"> </w:t>
      </w:r>
      <w:r w:rsidRPr="00A546E8">
        <w:t>resident is already on the maximum ACFI Complex Health Care claim, services may not claim for palliative care as it is not possible to increase the subsidy payable in this situation.</w:t>
      </w:r>
      <w:r>
        <w:t xml:space="preserve"> The assessment of palliative care within the ACFI is also limited to the resident’s last week or days</w:t>
      </w:r>
      <w:r w:rsidR="006A2FF0">
        <w:t>.</w:t>
      </w:r>
      <w:r w:rsidR="00095C95">
        <w:t xml:space="preserve"> Nous will consider the usefulness of the Australian National Aged Care Classification (AN-ACC) if it is introduced during the evaluation. Nous understands that the timeframe for moving </w:t>
      </w:r>
      <w:r w:rsidR="00DF4DBC">
        <w:t xml:space="preserve">the AN- ACC </w:t>
      </w:r>
      <w:r w:rsidR="00095C95">
        <w:t xml:space="preserve">from pilot </w:t>
      </w:r>
      <w:r w:rsidR="00345BCE">
        <w:t xml:space="preserve">use </w:t>
      </w:r>
      <w:r w:rsidR="00095C95">
        <w:t xml:space="preserve">to full implementation </w:t>
      </w:r>
      <w:r w:rsidR="00546ED0">
        <w:t>is</w:t>
      </w:r>
      <w:r w:rsidR="00095C95">
        <w:t xml:space="preserve"> not currently known.</w:t>
      </w:r>
    </w:p>
    <w:p w14:paraId="7065F109" w14:textId="35BB7407" w:rsidR="00711845" w:rsidRPr="00C370F9" w:rsidRDefault="00711845" w:rsidP="00A56DCA">
      <w:pPr>
        <w:pStyle w:val="Bullet"/>
      </w:pPr>
      <w:r w:rsidRPr="008A4E6E">
        <w:rPr>
          <w:rFonts w:asciiTheme="majorHAnsi" w:hAnsiTheme="majorHAnsi" w:cstheme="majorHAnsi"/>
        </w:rPr>
        <w:t xml:space="preserve">Consultations with </w:t>
      </w:r>
      <w:r w:rsidR="00DC4AF3">
        <w:rPr>
          <w:rFonts w:asciiTheme="majorHAnsi" w:hAnsiTheme="majorHAnsi" w:cstheme="majorHAnsi"/>
        </w:rPr>
        <w:t>residents and/or families and carers</w:t>
      </w:r>
      <w:r w:rsidRPr="008A4E6E">
        <w:rPr>
          <w:rFonts w:asciiTheme="majorHAnsi" w:hAnsiTheme="majorHAnsi" w:cstheme="majorHAnsi"/>
        </w:rPr>
        <w:t>:</w:t>
      </w:r>
      <w:r>
        <w:t xml:space="preserve"> </w:t>
      </w:r>
      <w:r w:rsidR="008773DA">
        <w:t xml:space="preserve">The national evaluation is seeking to observe </w:t>
      </w:r>
      <w:r w:rsidR="00DC4AF3">
        <w:t>system-wide and facility-level outcomes of</w:t>
      </w:r>
      <w:r w:rsidR="008773DA">
        <w:t xml:space="preserve"> </w:t>
      </w:r>
      <w:r w:rsidR="00BB2480">
        <w:t xml:space="preserve">the </w:t>
      </w:r>
      <w:r w:rsidR="008773DA">
        <w:t>Measure over time</w:t>
      </w:r>
      <w:r w:rsidR="00445173">
        <w:t>.</w:t>
      </w:r>
      <w:r w:rsidR="008773DA">
        <w:t xml:space="preserve"> </w:t>
      </w:r>
      <w:r w:rsidR="00DC4AF3">
        <w:t>This includes understanding at the broad</w:t>
      </w:r>
      <w:r w:rsidR="006A2FF0">
        <w:t xml:space="preserve"> </w:t>
      </w:r>
      <w:r w:rsidR="00DC4AF3">
        <w:t>level whether the experience of residents, families and carers improves due to the Measure. However, there are complications for direct engagement with families and carers – for example, timing of engagement, their ability to comment on whether palliative care has changed over the life of the Measure (given most have a point in time experience) and the success of different models of care. Therefore, Nous will not direct</w:t>
      </w:r>
      <w:r w:rsidR="006D0FE0">
        <w:t>ly</w:t>
      </w:r>
      <w:r w:rsidR="00DC4AF3">
        <w:t xml:space="preserve"> </w:t>
      </w:r>
      <w:r w:rsidR="006D0FE0">
        <w:t>consult</w:t>
      </w:r>
      <w:r w:rsidR="00DC4AF3">
        <w:t xml:space="preserve"> with carers or families. </w:t>
      </w:r>
      <w:r w:rsidR="00445173">
        <w:t xml:space="preserve">Nous will </w:t>
      </w:r>
      <w:r w:rsidR="008E1527">
        <w:t>use</w:t>
      </w:r>
      <w:r w:rsidR="00445173">
        <w:t xml:space="preserve"> </w:t>
      </w:r>
      <w:r w:rsidR="00DC4AF3">
        <w:t xml:space="preserve">existing </w:t>
      </w:r>
      <w:r w:rsidR="00445173">
        <w:t xml:space="preserve">data sources </w:t>
      </w:r>
      <w:r w:rsidR="008773DA">
        <w:t xml:space="preserve">to </w:t>
      </w:r>
      <w:r w:rsidR="00F3070E">
        <w:t xml:space="preserve">include </w:t>
      </w:r>
      <w:r w:rsidR="00DC4AF3">
        <w:t>the perspective of</w:t>
      </w:r>
      <w:r w:rsidR="008773DA">
        <w:t xml:space="preserve"> the </w:t>
      </w:r>
      <w:r w:rsidR="00DC4AF3">
        <w:t>families and carers</w:t>
      </w:r>
      <w:r w:rsidR="00F3070E">
        <w:t xml:space="preserve">, such as through PCA consumer representative groups, </w:t>
      </w:r>
      <w:r w:rsidR="00F3070E" w:rsidRPr="006D0FE0">
        <w:t>the ELDAC After Death Audit</w:t>
      </w:r>
      <w:r w:rsidR="00F3070E">
        <w:t xml:space="preserve"> </w:t>
      </w:r>
      <w:r w:rsidR="00B671B1">
        <w:t xml:space="preserve">(a proxy) </w:t>
      </w:r>
      <w:r w:rsidR="00F3070E" w:rsidRPr="006D0FE0">
        <w:t>and</w:t>
      </w:r>
      <w:r w:rsidR="00F3070E">
        <w:t xml:space="preserve"> information jurisdictions may be able to provide </w:t>
      </w:r>
      <w:r w:rsidR="00DC4AF3">
        <w:t xml:space="preserve">(see section </w:t>
      </w:r>
      <w:r w:rsidR="00857558">
        <w:fldChar w:fldCharType="begin"/>
      </w:r>
      <w:r w:rsidR="00857558">
        <w:instrText xml:space="preserve"> REF _Ref61422006 \n \h </w:instrText>
      </w:r>
      <w:r w:rsidR="00857558">
        <w:fldChar w:fldCharType="separate"/>
      </w:r>
      <w:r w:rsidR="00DF258C">
        <w:t>6.1</w:t>
      </w:r>
      <w:r w:rsidR="00857558">
        <w:fldChar w:fldCharType="end"/>
      </w:r>
      <w:r w:rsidR="00DC4AF3">
        <w:t>)</w:t>
      </w:r>
      <w:r w:rsidR="008773DA">
        <w:t>.</w:t>
      </w:r>
    </w:p>
    <w:p w14:paraId="0C661411" w14:textId="68D221B5" w:rsidR="0012669D" w:rsidRPr="008B3080" w:rsidRDefault="00C60BB1" w:rsidP="00736123">
      <w:pPr>
        <w:pStyle w:val="Bullet"/>
        <w:spacing w:after="165" w:line="259" w:lineRule="auto"/>
        <w:rPr>
          <w:rFonts w:ascii="Segoe UI Semibold" w:hAnsi="Segoe UI Semibold"/>
          <w:color w:val="00264D"/>
          <w:sz w:val="30"/>
        </w:rPr>
      </w:pPr>
      <w:r w:rsidRPr="006D0FE0">
        <w:rPr>
          <w:rFonts w:ascii="Segoe UI Semibold" w:hAnsi="Segoe UI Semibold" w:cs="Segoe UI Semibold"/>
        </w:rPr>
        <w:t>PCOC:</w:t>
      </w:r>
      <w:r w:rsidR="00360684" w:rsidRPr="006D0FE0">
        <w:rPr>
          <w:rFonts w:asciiTheme="minorHAnsi" w:hAnsiTheme="minorHAnsi" w:cstheme="minorHAnsi"/>
        </w:rPr>
        <w:t xml:space="preserve"> </w:t>
      </w:r>
      <w:r w:rsidR="00101A8D" w:rsidRPr="006D0FE0">
        <w:rPr>
          <w:rFonts w:asciiTheme="minorHAnsi" w:hAnsiTheme="minorHAnsi" w:cstheme="minorHAnsi"/>
        </w:rPr>
        <w:t xml:space="preserve">PCOC aims to improve palliative care patient and carer </w:t>
      </w:r>
      <w:r w:rsidR="00E42331" w:rsidRPr="006D0FE0">
        <w:rPr>
          <w:rFonts w:asciiTheme="minorHAnsi" w:hAnsiTheme="minorHAnsi" w:cstheme="minorHAnsi"/>
        </w:rPr>
        <w:t xml:space="preserve">outcomes </w:t>
      </w:r>
      <w:r w:rsidR="00303659" w:rsidRPr="006D0FE0">
        <w:rPr>
          <w:rFonts w:asciiTheme="minorHAnsi" w:hAnsiTheme="minorHAnsi" w:cstheme="minorHAnsi"/>
        </w:rPr>
        <w:t xml:space="preserve">through a framework and protocol for routine clinical assessment and response. </w:t>
      </w:r>
      <w:r w:rsidR="0067305A" w:rsidRPr="006D0FE0">
        <w:rPr>
          <w:rFonts w:asciiTheme="minorHAnsi" w:hAnsiTheme="minorHAnsi" w:cstheme="minorHAnsi"/>
        </w:rPr>
        <w:t xml:space="preserve">Services that participate in PCOC collect </w:t>
      </w:r>
      <w:r w:rsidR="00A85923" w:rsidRPr="006D0FE0">
        <w:rPr>
          <w:rFonts w:asciiTheme="minorHAnsi" w:hAnsiTheme="minorHAnsi" w:cstheme="minorHAnsi"/>
        </w:rPr>
        <w:t>palliative care</w:t>
      </w:r>
      <w:r w:rsidR="00A85923">
        <w:rPr>
          <w:rFonts w:asciiTheme="minorHAnsi" w:hAnsiTheme="minorHAnsi" w:cstheme="minorHAnsi"/>
        </w:rPr>
        <w:t xml:space="preserve"> outcomes data </w:t>
      </w:r>
      <w:r w:rsidR="00971836">
        <w:rPr>
          <w:rFonts w:asciiTheme="minorHAnsi" w:hAnsiTheme="minorHAnsi" w:cstheme="minorHAnsi"/>
        </w:rPr>
        <w:t>that</w:t>
      </w:r>
      <w:r w:rsidR="00A85923">
        <w:rPr>
          <w:rFonts w:asciiTheme="minorHAnsi" w:hAnsiTheme="minorHAnsi" w:cstheme="minorHAnsi"/>
        </w:rPr>
        <w:t xml:space="preserve"> </w:t>
      </w:r>
      <w:r w:rsidR="00924DC4">
        <w:rPr>
          <w:rFonts w:asciiTheme="minorHAnsi" w:hAnsiTheme="minorHAnsi" w:cstheme="minorHAnsi"/>
        </w:rPr>
        <w:t>could be</w:t>
      </w:r>
      <w:r w:rsidR="00A85923">
        <w:rPr>
          <w:rFonts w:asciiTheme="minorHAnsi" w:hAnsiTheme="minorHAnsi" w:cstheme="minorHAnsi"/>
        </w:rPr>
        <w:t xml:space="preserve"> valuable for evaluation purposes</w:t>
      </w:r>
      <w:r w:rsidR="00B01DD3">
        <w:rPr>
          <w:rFonts w:asciiTheme="minorHAnsi" w:hAnsiTheme="minorHAnsi" w:cstheme="minorHAnsi"/>
        </w:rPr>
        <w:t>; h</w:t>
      </w:r>
      <w:r w:rsidR="00E409BC">
        <w:rPr>
          <w:rFonts w:asciiTheme="minorHAnsi" w:hAnsiTheme="minorHAnsi" w:cstheme="minorHAnsi"/>
        </w:rPr>
        <w:t xml:space="preserve">owever, </w:t>
      </w:r>
      <w:r w:rsidR="00A21DE9" w:rsidRPr="008B3080">
        <w:rPr>
          <w:rFonts w:asciiTheme="minorHAnsi" w:hAnsiTheme="minorHAnsi" w:cstheme="minorHAnsi"/>
        </w:rPr>
        <w:t>Nous has been advised</w:t>
      </w:r>
      <w:r w:rsidR="00A224F5" w:rsidRPr="008B3080">
        <w:rPr>
          <w:rFonts w:asciiTheme="minorHAnsi" w:hAnsiTheme="minorHAnsi" w:cstheme="minorHAnsi"/>
        </w:rPr>
        <w:t xml:space="preserve"> that </w:t>
      </w:r>
      <w:r w:rsidR="005F63E2" w:rsidRPr="008B3080">
        <w:rPr>
          <w:rFonts w:asciiTheme="minorHAnsi" w:hAnsiTheme="minorHAnsi" w:cstheme="minorHAnsi"/>
        </w:rPr>
        <w:t xml:space="preserve">PCOC data covering residents in RACFs is severely </w:t>
      </w:r>
      <w:r w:rsidR="00E409BC">
        <w:rPr>
          <w:rFonts w:asciiTheme="minorHAnsi" w:hAnsiTheme="minorHAnsi" w:cstheme="minorHAnsi"/>
        </w:rPr>
        <w:t>limited</w:t>
      </w:r>
      <w:r w:rsidR="0042678B">
        <w:rPr>
          <w:rFonts w:asciiTheme="minorHAnsi" w:hAnsiTheme="minorHAnsi" w:cstheme="minorHAnsi"/>
        </w:rPr>
        <w:t xml:space="preserve"> (</w:t>
      </w:r>
      <w:r w:rsidR="00DC4E8E">
        <w:rPr>
          <w:rFonts w:asciiTheme="minorHAnsi" w:hAnsiTheme="minorHAnsi" w:cstheme="minorHAnsi"/>
        </w:rPr>
        <w:t xml:space="preserve">less than 10 </w:t>
      </w:r>
      <w:r w:rsidR="004A57CC">
        <w:rPr>
          <w:rFonts w:asciiTheme="minorHAnsi" w:hAnsiTheme="minorHAnsi" w:cstheme="minorHAnsi"/>
        </w:rPr>
        <w:t>RACFs</w:t>
      </w:r>
      <w:r w:rsidR="00DC4E8E">
        <w:rPr>
          <w:rFonts w:asciiTheme="minorHAnsi" w:hAnsiTheme="minorHAnsi" w:cstheme="minorHAnsi"/>
        </w:rPr>
        <w:t>)</w:t>
      </w:r>
      <w:r w:rsidR="008B3080">
        <w:rPr>
          <w:rFonts w:asciiTheme="minorHAnsi" w:hAnsiTheme="minorHAnsi" w:cstheme="minorHAnsi"/>
        </w:rPr>
        <w:t>.</w:t>
      </w:r>
      <w:r w:rsidR="00B83DED">
        <w:rPr>
          <w:rFonts w:asciiTheme="minorHAnsi" w:hAnsiTheme="minorHAnsi" w:cstheme="minorHAnsi"/>
        </w:rPr>
        <w:t xml:space="preserve"> </w:t>
      </w:r>
      <w:r w:rsidR="00302F22">
        <w:rPr>
          <w:rFonts w:asciiTheme="minorHAnsi" w:hAnsiTheme="minorHAnsi" w:cstheme="minorHAnsi"/>
        </w:rPr>
        <w:t>PCOC is rolling out a new model that focussed on RACFs</w:t>
      </w:r>
      <w:r w:rsidR="00706698">
        <w:rPr>
          <w:rFonts w:asciiTheme="minorHAnsi" w:hAnsiTheme="minorHAnsi" w:cstheme="minorHAnsi"/>
        </w:rPr>
        <w:t xml:space="preserve"> (</w:t>
      </w:r>
      <w:r w:rsidR="00841B23">
        <w:rPr>
          <w:rFonts w:asciiTheme="minorHAnsi" w:hAnsiTheme="minorHAnsi" w:cstheme="minorHAnsi"/>
        </w:rPr>
        <w:t>“</w:t>
      </w:r>
      <w:r w:rsidR="00706698">
        <w:rPr>
          <w:rFonts w:asciiTheme="minorHAnsi" w:hAnsiTheme="minorHAnsi" w:cstheme="minorHAnsi"/>
        </w:rPr>
        <w:t>PCOC Wicking</w:t>
      </w:r>
      <w:r w:rsidR="00841B23">
        <w:rPr>
          <w:rFonts w:asciiTheme="minorHAnsi" w:hAnsiTheme="minorHAnsi" w:cstheme="minorHAnsi"/>
        </w:rPr>
        <w:t xml:space="preserve"> Model”)</w:t>
      </w:r>
      <w:r w:rsidR="00E76F5A">
        <w:rPr>
          <w:rFonts w:asciiTheme="minorHAnsi" w:hAnsiTheme="minorHAnsi" w:cstheme="minorHAnsi"/>
        </w:rPr>
        <w:t>, although</w:t>
      </w:r>
      <w:r w:rsidR="00841B23">
        <w:rPr>
          <w:rFonts w:asciiTheme="minorHAnsi" w:hAnsiTheme="minorHAnsi" w:cstheme="minorHAnsi"/>
        </w:rPr>
        <w:t xml:space="preserve"> it is not likely that this will </w:t>
      </w:r>
      <w:r w:rsidR="00302F22">
        <w:rPr>
          <w:rFonts w:asciiTheme="minorHAnsi" w:hAnsiTheme="minorHAnsi" w:cstheme="minorHAnsi"/>
        </w:rPr>
        <w:t xml:space="preserve">reach maturity </w:t>
      </w:r>
      <w:r w:rsidR="003E2A29">
        <w:rPr>
          <w:rFonts w:asciiTheme="minorHAnsi" w:hAnsiTheme="minorHAnsi" w:cstheme="minorHAnsi"/>
        </w:rPr>
        <w:t xml:space="preserve">in time </w:t>
      </w:r>
      <w:r w:rsidR="00302F22">
        <w:rPr>
          <w:rFonts w:asciiTheme="minorHAnsi" w:hAnsiTheme="minorHAnsi" w:cstheme="minorHAnsi"/>
        </w:rPr>
        <w:t xml:space="preserve">for this evaluation. </w:t>
      </w:r>
      <w:r w:rsidR="00C63E0E">
        <w:rPr>
          <w:rFonts w:asciiTheme="minorHAnsi" w:hAnsiTheme="minorHAnsi" w:cstheme="minorHAnsi"/>
        </w:rPr>
        <w:t xml:space="preserve">Nous will continue to engage with PCOC </w:t>
      </w:r>
      <w:r w:rsidR="0065486F">
        <w:rPr>
          <w:rFonts w:asciiTheme="minorHAnsi" w:hAnsiTheme="minorHAnsi" w:cstheme="minorHAnsi"/>
        </w:rPr>
        <w:t>and incorporate high</w:t>
      </w:r>
      <w:r w:rsidR="004C09F9">
        <w:rPr>
          <w:rFonts w:asciiTheme="minorHAnsi" w:hAnsiTheme="minorHAnsi" w:cstheme="minorHAnsi"/>
        </w:rPr>
        <w:t>-</w:t>
      </w:r>
      <w:r w:rsidR="0065486F">
        <w:rPr>
          <w:rFonts w:asciiTheme="minorHAnsi" w:hAnsiTheme="minorHAnsi" w:cstheme="minorHAnsi"/>
        </w:rPr>
        <w:t xml:space="preserve">level information about the number of people </w:t>
      </w:r>
      <w:r w:rsidR="005D47E7">
        <w:rPr>
          <w:rFonts w:asciiTheme="minorHAnsi" w:hAnsiTheme="minorHAnsi" w:cstheme="minorHAnsi"/>
        </w:rPr>
        <w:t xml:space="preserve">in RACFs who are accessing </w:t>
      </w:r>
      <w:r w:rsidR="00913CB6">
        <w:rPr>
          <w:rFonts w:asciiTheme="minorHAnsi" w:hAnsiTheme="minorHAnsi" w:cstheme="minorHAnsi"/>
        </w:rPr>
        <w:t xml:space="preserve">specialist palliative care </w:t>
      </w:r>
      <w:r w:rsidR="006F100C">
        <w:rPr>
          <w:rFonts w:asciiTheme="minorHAnsi" w:hAnsiTheme="minorHAnsi" w:cstheme="minorHAnsi"/>
        </w:rPr>
        <w:t>that is captured in PCOC.</w:t>
      </w:r>
      <w:r w:rsidR="00535192">
        <w:rPr>
          <w:rFonts w:asciiTheme="minorHAnsi" w:hAnsiTheme="minorHAnsi" w:cstheme="minorHAnsi"/>
        </w:rPr>
        <w:t xml:space="preserve"> </w:t>
      </w:r>
    </w:p>
    <w:p w14:paraId="6C5EB19A" w14:textId="278F7B3D" w:rsidR="006D4DE5" w:rsidRDefault="006D4DE5" w:rsidP="006D4DE5">
      <w:pPr>
        <w:pStyle w:val="Heading2"/>
      </w:pPr>
      <w:bookmarkStart w:id="50" w:name="_Toc82767216"/>
      <w:r>
        <w:lastRenderedPageBreak/>
        <w:t>Analysis methods</w:t>
      </w:r>
      <w:bookmarkEnd w:id="50"/>
      <w:r>
        <w:t xml:space="preserve"> </w:t>
      </w:r>
    </w:p>
    <w:p w14:paraId="145C3B82" w14:textId="1FBF478B" w:rsidR="006D4DE5" w:rsidRDefault="006D4DE5" w:rsidP="006D4DE5">
      <w:r>
        <w:t xml:space="preserve">The evaluation will use qualitative and quantitative </w:t>
      </w:r>
      <w:r w:rsidR="00A205DE">
        <w:t>analysis methods</w:t>
      </w:r>
      <w:r>
        <w:t xml:space="preserve">. Throughout the evaluation, Nous will take care to ensure that data is collated, stored, </w:t>
      </w:r>
      <w:proofErr w:type="gramStart"/>
      <w:r>
        <w:t>cleaned</w:t>
      </w:r>
      <w:proofErr w:type="gramEnd"/>
      <w:r>
        <w:t xml:space="preserve"> and analysed appropriately. This includes ensuring that the inferences drawn from data are robust and statistically valid where appropriate. </w:t>
      </w:r>
      <w:r w:rsidR="009654E8">
        <w:t xml:space="preserve">See </w:t>
      </w:r>
      <w:r w:rsidR="00A50F73">
        <w:t>s</w:t>
      </w:r>
      <w:r w:rsidR="009654E8">
        <w:t xml:space="preserve">ection </w:t>
      </w:r>
      <w:r w:rsidR="009654E8">
        <w:fldChar w:fldCharType="begin"/>
      </w:r>
      <w:r w:rsidR="009654E8">
        <w:instrText xml:space="preserve"> REF _Ref57809330 \r \h </w:instrText>
      </w:r>
      <w:r w:rsidR="009654E8">
        <w:fldChar w:fldCharType="separate"/>
      </w:r>
      <w:r w:rsidR="00DF258C">
        <w:t>9</w:t>
      </w:r>
      <w:r w:rsidR="009654E8">
        <w:fldChar w:fldCharType="end"/>
      </w:r>
      <w:r w:rsidR="009654E8">
        <w:t xml:space="preserve"> for Nous’ </w:t>
      </w:r>
      <w:r w:rsidR="0071719A">
        <w:t>approach to privacy and data management.</w:t>
      </w:r>
      <w:r w:rsidR="00294D26">
        <w:t xml:space="preserve"> As a general principle, where possible, we will examine data by socio-demographic or other cohorts to understand the different experiences and impacts of the Measure.</w:t>
      </w:r>
    </w:p>
    <w:p w14:paraId="3163B3E2" w14:textId="1C100CA7" w:rsidR="006D4DE5" w:rsidRDefault="006D4DE5" w:rsidP="006D4DE5">
      <w:pPr>
        <w:pStyle w:val="Heading3"/>
      </w:pPr>
      <w:bookmarkStart w:id="51" w:name="_Toc82767217"/>
      <w:r>
        <w:t>Qualitative analysis</w:t>
      </w:r>
      <w:bookmarkEnd w:id="51"/>
    </w:p>
    <w:p w14:paraId="58F8ADC8" w14:textId="111788B2" w:rsidR="006D4DE5" w:rsidRDefault="006D4DE5" w:rsidP="006D4DE5">
      <w:r>
        <w:t>Qualitative data sources will include consultations with the Department, state and territory representatives, peak bodies</w:t>
      </w:r>
      <w:r w:rsidR="00F325DE">
        <w:t xml:space="preserve">, </w:t>
      </w:r>
      <w:proofErr w:type="gramStart"/>
      <w:r w:rsidR="00F325DE">
        <w:t>providers</w:t>
      </w:r>
      <w:proofErr w:type="gramEnd"/>
      <w:r>
        <w:t xml:space="preserve"> and consumer representative groups. </w:t>
      </w:r>
      <w:r w:rsidR="00AC4747">
        <w:t>The KEQs will structure a</w:t>
      </w:r>
      <w:r w:rsidR="00F83F0E">
        <w:t xml:space="preserve">ll </w:t>
      </w:r>
      <w:r w:rsidR="00A50F73">
        <w:t>q</w:t>
      </w:r>
      <w:r w:rsidR="00BF0577">
        <w:t>ualitative analysis</w:t>
      </w:r>
      <w:r w:rsidR="00AC4747">
        <w:t xml:space="preserve"> (see</w:t>
      </w:r>
      <w:r w:rsidR="00F83F0E">
        <w:t xml:space="preserve"> </w:t>
      </w:r>
      <w:r w:rsidR="00BF0577">
        <w:t xml:space="preserve">section </w:t>
      </w:r>
      <w:r w:rsidR="00F83F0E">
        <w:fldChar w:fldCharType="begin"/>
      </w:r>
      <w:r w:rsidR="00F83F0E">
        <w:instrText xml:space="preserve"> REF _Ref61966832 \r \h </w:instrText>
      </w:r>
      <w:r w:rsidR="00F83F0E">
        <w:fldChar w:fldCharType="separate"/>
      </w:r>
      <w:r w:rsidR="00DF258C">
        <w:t>4</w:t>
      </w:r>
      <w:r w:rsidR="00F83F0E">
        <w:fldChar w:fldCharType="end"/>
      </w:r>
      <w:r w:rsidR="00AC4747">
        <w:t>)</w:t>
      </w:r>
      <w:r w:rsidR="00BF0577">
        <w:t>.</w:t>
      </w:r>
    </w:p>
    <w:p w14:paraId="246F1475" w14:textId="123D2F3D" w:rsidR="006D4DE5" w:rsidRPr="00B96A5F" w:rsidRDefault="006D4DE5" w:rsidP="006D4DE5">
      <w:pPr>
        <w:rPr>
          <w:szCs w:val="19"/>
        </w:rPr>
      </w:pPr>
      <w:r>
        <w:t xml:space="preserve">The qualitative analysis will provide </w:t>
      </w:r>
      <w:r w:rsidR="00E02214">
        <w:t>more</w:t>
      </w:r>
      <w:r>
        <w:t xml:space="preserve"> detail </w:t>
      </w:r>
      <w:r w:rsidR="00A205DE">
        <w:t xml:space="preserve">and nuance </w:t>
      </w:r>
      <w:r>
        <w:t xml:space="preserve">that cannot be understood from </w:t>
      </w:r>
      <w:r w:rsidR="00AD3E8C">
        <w:t>quantitative</w:t>
      </w:r>
      <w:r>
        <w:t xml:space="preserve"> data</w:t>
      </w:r>
      <w:r w:rsidR="00AD3E8C">
        <w:t xml:space="preserve"> alone</w:t>
      </w:r>
      <w:r>
        <w:t xml:space="preserve">. Qualitative data will </w:t>
      </w:r>
      <w:r w:rsidR="00E772DF">
        <w:t>help</w:t>
      </w:r>
      <w:r>
        <w:t xml:space="preserve"> to elicit insights </w:t>
      </w:r>
      <w:r w:rsidR="009F2EF0">
        <w:t>on</w:t>
      </w:r>
      <w:r>
        <w:t xml:space="preserve"> which </w:t>
      </w:r>
      <w:r w:rsidRPr="00B96A5F">
        <w:rPr>
          <w:szCs w:val="19"/>
        </w:rPr>
        <w:t xml:space="preserve">models of care </w:t>
      </w:r>
      <w:r w:rsidR="009F2EF0">
        <w:rPr>
          <w:szCs w:val="19"/>
        </w:rPr>
        <w:t>were</w:t>
      </w:r>
      <w:r w:rsidRPr="00B96A5F">
        <w:rPr>
          <w:szCs w:val="19"/>
        </w:rPr>
        <w:t xml:space="preserve"> successful and why.</w:t>
      </w:r>
    </w:p>
    <w:p w14:paraId="547086B9" w14:textId="2204999B" w:rsidR="006D4DE5" w:rsidRPr="00B96A5F" w:rsidRDefault="006D4DE5" w:rsidP="006D4DE5">
      <w:pPr>
        <w:rPr>
          <w:szCs w:val="19"/>
        </w:rPr>
      </w:pPr>
      <w:r w:rsidRPr="00B96A5F">
        <w:rPr>
          <w:szCs w:val="19"/>
        </w:rPr>
        <w:t xml:space="preserve">Nous will conduct thematic analysis of </w:t>
      </w:r>
      <w:r w:rsidR="00AD3E8C">
        <w:rPr>
          <w:szCs w:val="19"/>
        </w:rPr>
        <w:t>documentation, evaluation reports/findings from jurisdictions and from consultations</w:t>
      </w:r>
      <w:r w:rsidRPr="00B96A5F">
        <w:rPr>
          <w:szCs w:val="19"/>
        </w:rPr>
        <w:t xml:space="preserve">. Thematic analysis </w:t>
      </w:r>
      <w:r>
        <w:rPr>
          <w:szCs w:val="19"/>
        </w:rPr>
        <w:t xml:space="preserve">involves: </w:t>
      </w:r>
    </w:p>
    <w:p w14:paraId="7BED4636" w14:textId="4EB7E3D1" w:rsidR="006D4DE5" w:rsidRPr="001A6789" w:rsidRDefault="006D4DE5" w:rsidP="00DE70DD">
      <w:pPr>
        <w:pStyle w:val="Bullet"/>
      </w:pPr>
      <w:r w:rsidRPr="00F55E11">
        <w:rPr>
          <w:rStyle w:val="Heading5Char"/>
          <w:rFonts w:asciiTheme="majorHAnsi" w:eastAsiaTheme="minorHAnsi" w:hAnsiTheme="majorHAnsi" w:cstheme="majorHAnsi"/>
          <w:b w:val="0"/>
          <w:color w:val="auto"/>
          <w:sz w:val="19"/>
          <w:szCs w:val="22"/>
          <w:lang w:eastAsia="en-US"/>
        </w:rPr>
        <w:t>Initial review</w:t>
      </w:r>
      <w:r w:rsidRPr="00F55E11">
        <w:rPr>
          <w:rStyle w:val="Heading5Char"/>
          <w:rFonts w:eastAsiaTheme="minorHAnsi" w:cstheme="minorBidi"/>
          <w:b w:val="0"/>
          <w:color w:val="auto"/>
          <w:sz w:val="19"/>
          <w:szCs w:val="22"/>
          <w:lang w:eastAsia="en-US"/>
        </w:rPr>
        <w:t>.</w:t>
      </w:r>
      <w:r w:rsidRPr="001A6789">
        <w:t xml:space="preserve"> </w:t>
      </w:r>
      <w:r w:rsidR="009D5A3B" w:rsidRPr="001A6789">
        <w:t>The evaluation will review</w:t>
      </w:r>
      <w:r w:rsidRPr="001A6789">
        <w:t xml:space="preserve"> the </w:t>
      </w:r>
      <w:r w:rsidR="009D5A3B" w:rsidRPr="001A6789">
        <w:t>information from desktop research and consultations</w:t>
      </w:r>
      <w:r w:rsidRPr="001A6789">
        <w:t xml:space="preserve"> to develop a holistic understanding of the results.</w:t>
      </w:r>
    </w:p>
    <w:p w14:paraId="58AB921B" w14:textId="2DC6B905" w:rsidR="006D4DE5" w:rsidRPr="001A6789" w:rsidRDefault="006D4DE5" w:rsidP="00DE70DD">
      <w:pPr>
        <w:pStyle w:val="Bullet"/>
      </w:pPr>
      <w:r w:rsidRPr="001A6789">
        <w:rPr>
          <w:rStyle w:val="Heading5Char"/>
          <w:rFonts w:asciiTheme="majorHAnsi" w:eastAsiaTheme="minorHAnsi" w:hAnsiTheme="majorHAnsi" w:cstheme="majorHAnsi"/>
          <w:b w:val="0"/>
          <w:color w:val="auto"/>
          <w:sz w:val="19"/>
          <w:szCs w:val="22"/>
          <w:lang w:eastAsia="en-US"/>
        </w:rPr>
        <w:t>Identify and code themes</w:t>
      </w:r>
      <w:r w:rsidRPr="001A6789">
        <w:rPr>
          <w:rStyle w:val="Heading5Char"/>
          <w:rFonts w:eastAsiaTheme="minorHAnsi" w:cstheme="minorBidi"/>
          <w:b w:val="0"/>
          <w:color w:val="auto"/>
          <w:sz w:val="19"/>
          <w:szCs w:val="22"/>
          <w:lang w:eastAsia="en-US"/>
        </w:rPr>
        <w:t>.</w:t>
      </w:r>
      <w:r w:rsidRPr="001A6789">
        <w:t xml:space="preserve"> This involves recording or identifying similar, repeated content or patterns in the data that provide insights to the </w:t>
      </w:r>
      <w:r w:rsidR="00BD4645" w:rsidRPr="001A6789">
        <w:t>KEQs</w:t>
      </w:r>
      <w:r w:rsidRPr="001A6789">
        <w:t>. Patterns are summarised and interpreted, then coded to develop an organi</w:t>
      </w:r>
      <w:r w:rsidR="004B1310" w:rsidRPr="001A6789">
        <w:t>s</w:t>
      </w:r>
      <w:r w:rsidRPr="001A6789">
        <w:t>ed framework of thematic insights. Semantic (</w:t>
      </w:r>
      <w:proofErr w:type="gramStart"/>
      <w:r w:rsidRPr="001A6789">
        <w:t>e.g.</w:t>
      </w:r>
      <w:proofErr w:type="gramEnd"/>
      <w:r w:rsidRPr="001A6789">
        <w:t xml:space="preserve"> facts, statements) and latent (underlying ideas, concepts beyond the literal records) themes will be sought.</w:t>
      </w:r>
    </w:p>
    <w:p w14:paraId="491105D3" w14:textId="3BB4C5E4" w:rsidR="006D4DE5" w:rsidRPr="001A6789" w:rsidRDefault="006D4DE5" w:rsidP="00DE70DD">
      <w:pPr>
        <w:pStyle w:val="Bullet"/>
      </w:pPr>
      <w:r w:rsidRPr="001A6789">
        <w:rPr>
          <w:rStyle w:val="Heading5Char"/>
          <w:rFonts w:asciiTheme="majorHAnsi" w:eastAsiaTheme="minorHAnsi" w:hAnsiTheme="majorHAnsi" w:cstheme="majorHAnsi"/>
          <w:b w:val="0"/>
          <w:color w:val="auto"/>
          <w:sz w:val="19"/>
          <w:szCs w:val="22"/>
          <w:lang w:eastAsia="en-US"/>
        </w:rPr>
        <w:t>Review, modify and test themes</w:t>
      </w:r>
      <w:r w:rsidRPr="001A6789">
        <w:rPr>
          <w:rStyle w:val="Heading5Char"/>
          <w:rFonts w:eastAsiaTheme="minorHAnsi" w:cstheme="minorBidi"/>
          <w:b w:val="0"/>
          <w:color w:val="auto"/>
          <w:sz w:val="19"/>
          <w:szCs w:val="22"/>
          <w:lang w:eastAsia="en-US"/>
        </w:rPr>
        <w:t xml:space="preserve">. </w:t>
      </w:r>
      <w:r w:rsidRPr="001A6789">
        <w:t>This involves checking/testing the identified themes to ensure that, as far as possible, they are mutually exclusive and collectively exhaustive</w:t>
      </w:r>
      <w:r w:rsidR="004B1310" w:rsidRPr="001A6789">
        <w:t>,</w:t>
      </w:r>
      <w:r w:rsidRPr="001A6789">
        <w:t xml:space="preserve"> and testing relevant emerging insights with key stakeholders in subsequent consultations. This allows the analysis team to test and modify codes in an iterative fashion. Themes may be refined, combined, split, </w:t>
      </w:r>
      <w:proofErr w:type="gramStart"/>
      <w:r w:rsidRPr="001A6789">
        <w:t>weighted</w:t>
      </w:r>
      <w:proofErr w:type="gramEnd"/>
      <w:r w:rsidRPr="001A6789">
        <w:t xml:space="preserve"> or discarded at this stage.</w:t>
      </w:r>
    </w:p>
    <w:p w14:paraId="2D195EB3" w14:textId="77777777" w:rsidR="006D4DE5" w:rsidRPr="001A6789" w:rsidRDefault="006D4DE5" w:rsidP="00DE70DD">
      <w:pPr>
        <w:pStyle w:val="Bullet"/>
      </w:pPr>
      <w:r w:rsidRPr="001A6789">
        <w:rPr>
          <w:rStyle w:val="Heading5Char"/>
          <w:rFonts w:asciiTheme="majorHAnsi" w:eastAsiaTheme="minorHAnsi" w:hAnsiTheme="majorHAnsi" w:cstheme="majorHAnsi"/>
          <w:b w:val="0"/>
          <w:color w:val="auto"/>
          <w:sz w:val="19"/>
          <w:szCs w:val="22"/>
          <w:lang w:eastAsia="en-US"/>
        </w:rPr>
        <w:t>Define themes</w:t>
      </w:r>
      <w:r w:rsidRPr="001A6789">
        <w:rPr>
          <w:rStyle w:val="Heading5Char"/>
          <w:rFonts w:eastAsiaTheme="minorHAnsi" w:cstheme="minorBidi"/>
          <w:b w:val="0"/>
          <w:color w:val="auto"/>
          <w:sz w:val="19"/>
          <w:szCs w:val="22"/>
          <w:lang w:eastAsia="en-US"/>
        </w:rPr>
        <w:t>.</w:t>
      </w:r>
      <w:r w:rsidRPr="001A6789">
        <w:t xml:space="preserve"> This involves developing a detailed analysis of each theme, determining the scope, focus and relationships between each theme and identifying key insights and findings from the consultations.</w:t>
      </w:r>
    </w:p>
    <w:p w14:paraId="4152B3D9" w14:textId="14D1C8A2" w:rsidR="006D4DE5" w:rsidRPr="001A6789" w:rsidRDefault="006D4DE5" w:rsidP="00DE70DD">
      <w:pPr>
        <w:pStyle w:val="Bullet"/>
      </w:pPr>
      <w:r w:rsidRPr="001A6789">
        <w:rPr>
          <w:rStyle w:val="Heading5Char"/>
          <w:rFonts w:asciiTheme="majorHAnsi" w:eastAsiaTheme="minorHAnsi" w:hAnsiTheme="majorHAnsi" w:cstheme="majorHAnsi"/>
          <w:b w:val="0"/>
          <w:color w:val="auto"/>
          <w:sz w:val="19"/>
          <w:szCs w:val="22"/>
          <w:lang w:eastAsia="en-US"/>
        </w:rPr>
        <w:t>Triangulate with broader evaluation methods</w:t>
      </w:r>
      <w:r w:rsidRPr="001A6789">
        <w:rPr>
          <w:rStyle w:val="Heading5Char"/>
          <w:rFonts w:eastAsiaTheme="minorHAnsi" w:cstheme="minorBidi"/>
          <w:b w:val="0"/>
          <w:color w:val="auto"/>
          <w:sz w:val="19"/>
          <w:szCs w:val="22"/>
          <w:lang w:eastAsia="en-US"/>
        </w:rPr>
        <w:t>.</w:t>
      </w:r>
      <w:r w:rsidRPr="001A6789">
        <w:t xml:space="preserve"> </w:t>
      </w:r>
      <w:r w:rsidR="00210337" w:rsidRPr="001A6789">
        <w:t>Nous will triangulate</w:t>
      </w:r>
      <w:r w:rsidRPr="001A6789">
        <w:t xml:space="preserve"> key findings from consultations with quantitative analysis to support, strengthen, balance, dilute or deviate overall evaluation findings.</w:t>
      </w:r>
    </w:p>
    <w:p w14:paraId="1CCA55DD" w14:textId="5FA51129" w:rsidR="006D4DE5" w:rsidRDefault="006D4DE5" w:rsidP="006D4DE5">
      <w:pPr>
        <w:pStyle w:val="Heading3"/>
      </w:pPr>
      <w:bookmarkStart w:id="52" w:name="_Ref61955286"/>
      <w:bookmarkStart w:id="53" w:name="_Toc82767218"/>
      <w:r>
        <w:t>Quantitative analysis</w:t>
      </w:r>
      <w:bookmarkEnd w:id="52"/>
      <w:bookmarkEnd w:id="53"/>
    </w:p>
    <w:p w14:paraId="09B21A51" w14:textId="01910123" w:rsidR="009A2A16" w:rsidRDefault="009A2A16" w:rsidP="006D4DE5">
      <w:pPr>
        <w:rPr>
          <w:lang w:eastAsia="en-AU"/>
        </w:rPr>
      </w:pPr>
      <w:r>
        <w:rPr>
          <w:lang w:eastAsia="en-AU"/>
        </w:rPr>
        <w:t xml:space="preserve">Nous will use quantitative analysis </w:t>
      </w:r>
      <w:r w:rsidR="00DC541F">
        <w:rPr>
          <w:lang w:eastAsia="en-AU"/>
        </w:rPr>
        <w:t>to provide a robust evidence base throughout the evaluation</w:t>
      </w:r>
      <w:r w:rsidR="001215FE">
        <w:rPr>
          <w:lang w:eastAsia="en-AU"/>
        </w:rPr>
        <w:t>.</w:t>
      </w:r>
      <w:r w:rsidR="001215FE">
        <w:t xml:space="preserve"> </w:t>
      </w:r>
      <w:r w:rsidR="00137AA4">
        <w:t xml:space="preserve">KEQs will structure all </w:t>
      </w:r>
      <w:r w:rsidR="00555698">
        <w:t xml:space="preserve">analysis </w:t>
      </w:r>
      <w:r w:rsidR="001215FE">
        <w:t>conducted as part of the evaluation</w:t>
      </w:r>
      <w:r w:rsidR="00555698">
        <w:t>, including quantitative analysis.</w:t>
      </w:r>
      <w:r w:rsidR="00DA4B14">
        <w:t xml:space="preserve"> </w:t>
      </w:r>
      <w:r w:rsidR="00FD4B52">
        <w:t>Quantitative analysis will include descriptive and inferential statistics. Descri</w:t>
      </w:r>
      <w:r w:rsidR="00DE619F">
        <w:t xml:space="preserve">ptive statistics describe what has happened. </w:t>
      </w:r>
      <w:r w:rsidR="00D036F1">
        <w:t>Inferential statistics</w:t>
      </w:r>
      <w:r w:rsidR="00D036F1" w:rsidRPr="00694A3B">
        <w:rPr>
          <w:lang w:eastAsia="en-AU"/>
        </w:rPr>
        <w:t xml:space="preserve">, including regression modelling, </w:t>
      </w:r>
      <w:r w:rsidR="00590581">
        <w:rPr>
          <w:lang w:eastAsia="en-AU"/>
        </w:rPr>
        <w:t>helps</w:t>
      </w:r>
      <w:r w:rsidR="00D036F1" w:rsidRPr="00694A3B">
        <w:rPr>
          <w:lang w:eastAsia="en-AU"/>
        </w:rPr>
        <w:t xml:space="preserve"> to further understand circumstances where the Measure has been most effective (</w:t>
      </w:r>
      <w:proofErr w:type="gramStart"/>
      <w:r w:rsidR="004572A5">
        <w:rPr>
          <w:lang w:eastAsia="en-AU"/>
        </w:rPr>
        <w:t>e.g.</w:t>
      </w:r>
      <w:proofErr w:type="gramEnd"/>
      <w:r w:rsidR="00D036F1" w:rsidRPr="00694A3B">
        <w:rPr>
          <w:lang w:eastAsia="en-AU"/>
        </w:rPr>
        <w:t xml:space="preserve"> regions or types of interventions).</w:t>
      </w:r>
    </w:p>
    <w:p w14:paraId="4F29DCDE" w14:textId="37F3EBC9" w:rsidR="006D4DE5" w:rsidRPr="00060003" w:rsidRDefault="006D4DE5" w:rsidP="006D4DE5">
      <w:pPr>
        <w:rPr>
          <w:lang w:eastAsia="en-AU"/>
        </w:rPr>
      </w:pPr>
      <w:r>
        <w:rPr>
          <w:lang w:eastAsia="en-AU"/>
        </w:rPr>
        <w:t xml:space="preserve">Nous will use best practices to </w:t>
      </w:r>
      <w:proofErr w:type="gramStart"/>
      <w:r>
        <w:rPr>
          <w:lang w:eastAsia="en-AU"/>
        </w:rPr>
        <w:t>manage</w:t>
      </w:r>
      <w:proofErr w:type="gramEnd"/>
      <w:r>
        <w:rPr>
          <w:lang w:eastAsia="en-AU"/>
        </w:rPr>
        <w:t xml:space="preserve"> and quality assure quantitative analysis. These include securely storing data, version controlling analysis code using git software and using the git workflow to ensure at least two analysts review any analysis that is produced. Quantitative analysis will be conducted using the R statistical programming language. </w:t>
      </w:r>
    </w:p>
    <w:p w14:paraId="25B8626E" w14:textId="3DA36744" w:rsidR="00496886" w:rsidRPr="00060003" w:rsidRDefault="00D13CAE" w:rsidP="006D4DE5">
      <w:r>
        <w:lastRenderedPageBreak/>
        <w:t>Nous will use t</w:t>
      </w:r>
      <w:r w:rsidR="00496886">
        <w:t xml:space="preserve">wo key quantitative analysis </w:t>
      </w:r>
      <w:r w:rsidR="00690396">
        <w:t>methods</w:t>
      </w:r>
      <w:r w:rsidR="00496886">
        <w:t xml:space="preserve"> </w:t>
      </w:r>
      <w:r>
        <w:t>to assess</w:t>
      </w:r>
      <w:r w:rsidR="00496886">
        <w:t xml:space="preserve"> the extent to which the Measure has </w:t>
      </w:r>
      <w:r w:rsidR="008E4A2F">
        <w:t>achieved</w:t>
      </w:r>
      <w:r w:rsidR="00496886">
        <w:t xml:space="preserve"> its intended outcomes and the cost-effectiveness of the Measure. These elements are described below. </w:t>
      </w:r>
    </w:p>
    <w:p w14:paraId="5E4A464F" w14:textId="15F1BE84" w:rsidR="006D4DE5" w:rsidRDefault="006D4DE5" w:rsidP="006D4DE5">
      <w:pPr>
        <w:pStyle w:val="Heading4"/>
      </w:pPr>
      <w:r>
        <w:t>Outcome measurement</w:t>
      </w:r>
    </w:p>
    <w:p w14:paraId="1EB91D6B" w14:textId="1049C56F" w:rsidR="006D4DE5" w:rsidRDefault="001207EE" w:rsidP="006D4DE5">
      <w:pPr>
        <w:rPr>
          <w:rFonts w:asciiTheme="minorHAnsi" w:hAnsiTheme="minorHAnsi" w:cstheme="minorHAnsi"/>
          <w:color w:val="000000" w:themeColor="text1"/>
          <w:lang w:eastAsia="en-AU"/>
        </w:rPr>
      </w:pPr>
      <w:r>
        <w:rPr>
          <w:rFonts w:asciiTheme="minorHAnsi" w:hAnsiTheme="minorHAnsi" w:cstheme="minorHAnsi"/>
          <w:color w:val="000000" w:themeColor="text1"/>
          <w:lang w:eastAsia="en-AU"/>
        </w:rPr>
        <w:t>Nous will use indicators to measure</w:t>
      </w:r>
      <w:r w:rsidR="006D4DE5">
        <w:rPr>
          <w:rFonts w:asciiTheme="minorHAnsi" w:hAnsiTheme="minorHAnsi" w:cstheme="minorHAnsi"/>
          <w:color w:val="000000" w:themeColor="text1"/>
          <w:lang w:eastAsia="en-AU"/>
        </w:rPr>
        <w:t xml:space="preserve"> progress against the national outcomes</w:t>
      </w:r>
      <w:r w:rsidR="009349F3">
        <w:rPr>
          <w:rFonts w:asciiTheme="minorHAnsi" w:hAnsiTheme="minorHAnsi" w:cstheme="minorHAnsi"/>
          <w:color w:val="000000" w:themeColor="text1"/>
          <w:lang w:eastAsia="en-AU"/>
        </w:rPr>
        <w:t xml:space="preserve"> (see </w:t>
      </w:r>
      <w:r w:rsidR="009349F3">
        <w:rPr>
          <w:rFonts w:asciiTheme="minorHAnsi" w:hAnsiTheme="minorHAnsi" w:cstheme="minorHAnsi"/>
          <w:color w:val="000000" w:themeColor="text1"/>
          <w:lang w:eastAsia="en-AU"/>
        </w:rPr>
        <w:fldChar w:fldCharType="begin"/>
      </w:r>
      <w:r w:rsidR="009349F3">
        <w:rPr>
          <w:rFonts w:asciiTheme="minorHAnsi" w:hAnsiTheme="minorHAnsi" w:cstheme="minorHAnsi"/>
          <w:color w:val="000000" w:themeColor="text1"/>
          <w:lang w:eastAsia="en-AU"/>
        </w:rPr>
        <w:instrText xml:space="preserve"> REF _Ref62113976 \h </w:instrText>
      </w:r>
      <w:r w:rsidR="009349F3">
        <w:rPr>
          <w:rFonts w:asciiTheme="minorHAnsi" w:hAnsiTheme="minorHAnsi" w:cstheme="minorHAnsi"/>
          <w:color w:val="000000" w:themeColor="text1"/>
          <w:lang w:eastAsia="en-AU"/>
        </w:rPr>
      </w:r>
      <w:r w:rsidR="009349F3">
        <w:rPr>
          <w:rFonts w:asciiTheme="minorHAnsi" w:hAnsiTheme="minorHAnsi" w:cstheme="minorHAnsi"/>
          <w:color w:val="000000" w:themeColor="text1"/>
          <w:lang w:eastAsia="en-AU"/>
        </w:rPr>
        <w:fldChar w:fldCharType="separate"/>
      </w:r>
      <w:r w:rsidR="00DF258C">
        <w:t xml:space="preserve">Table </w:t>
      </w:r>
      <w:r w:rsidR="00DF258C">
        <w:rPr>
          <w:noProof/>
        </w:rPr>
        <w:t>6</w:t>
      </w:r>
      <w:r w:rsidR="009349F3">
        <w:rPr>
          <w:rFonts w:asciiTheme="minorHAnsi" w:hAnsiTheme="minorHAnsi" w:cstheme="minorHAnsi"/>
          <w:color w:val="000000" w:themeColor="text1"/>
          <w:lang w:eastAsia="en-AU"/>
        </w:rPr>
        <w:fldChar w:fldCharType="end"/>
      </w:r>
      <w:r w:rsidR="009349F3">
        <w:rPr>
          <w:rFonts w:asciiTheme="minorHAnsi" w:hAnsiTheme="minorHAnsi" w:cstheme="minorHAnsi"/>
          <w:color w:val="000000" w:themeColor="text1"/>
          <w:lang w:eastAsia="en-AU"/>
        </w:rPr>
        <w:t>)</w:t>
      </w:r>
      <w:r w:rsidR="006D4DE5">
        <w:rPr>
          <w:rFonts w:asciiTheme="minorHAnsi" w:hAnsiTheme="minorHAnsi" w:cstheme="minorHAnsi"/>
          <w:color w:val="000000" w:themeColor="text1"/>
          <w:lang w:eastAsia="en-AU"/>
        </w:rPr>
        <w:t>. Almost all indicators provide a quantitative basis to assess progress. Each indicator may provide information against multiple outcomes</w:t>
      </w:r>
      <w:r w:rsidR="007D4B01">
        <w:rPr>
          <w:rFonts w:asciiTheme="minorHAnsi" w:hAnsiTheme="minorHAnsi" w:cstheme="minorHAnsi"/>
          <w:color w:val="000000" w:themeColor="text1"/>
          <w:lang w:eastAsia="en-AU"/>
        </w:rPr>
        <w:t>.</w:t>
      </w:r>
      <w:r w:rsidR="006D4DE5">
        <w:rPr>
          <w:rFonts w:asciiTheme="minorHAnsi" w:hAnsiTheme="minorHAnsi" w:cstheme="minorHAnsi"/>
          <w:color w:val="000000" w:themeColor="text1"/>
          <w:lang w:eastAsia="en-AU"/>
        </w:rPr>
        <w:t xml:space="preserve"> </w:t>
      </w:r>
      <w:r w:rsidR="007D4B01">
        <w:rPr>
          <w:rFonts w:asciiTheme="minorHAnsi" w:hAnsiTheme="minorHAnsi" w:cstheme="minorHAnsi"/>
          <w:color w:val="000000" w:themeColor="text1"/>
          <w:lang w:eastAsia="en-AU"/>
        </w:rPr>
        <w:t>M</w:t>
      </w:r>
      <w:r w:rsidR="006D4DE5">
        <w:rPr>
          <w:rFonts w:asciiTheme="minorHAnsi" w:hAnsiTheme="minorHAnsi" w:cstheme="minorHAnsi"/>
          <w:color w:val="000000" w:themeColor="text1"/>
          <w:lang w:eastAsia="en-AU"/>
        </w:rPr>
        <w:t>any outcomes are informed by more than one indicator.</w:t>
      </w:r>
      <w:r w:rsidR="000E61DB">
        <w:rPr>
          <w:rFonts w:asciiTheme="minorHAnsi" w:hAnsiTheme="minorHAnsi" w:cstheme="minorHAnsi"/>
          <w:color w:val="000000" w:themeColor="text1"/>
          <w:lang w:eastAsia="en-AU"/>
        </w:rPr>
        <w:t xml:space="preserve"> </w:t>
      </w:r>
      <w:r w:rsidR="007D4B01">
        <w:rPr>
          <w:rFonts w:asciiTheme="minorHAnsi" w:hAnsiTheme="minorHAnsi" w:cstheme="minorHAnsi"/>
          <w:color w:val="000000" w:themeColor="text1"/>
          <w:lang w:eastAsia="en-AU"/>
        </w:rPr>
        <w:t>This list is</w:t>
      </w:r>
      <w:r w:rsidR="00E852B6" w:rsidRPr="00E852B6">
        <w:rPr>
          <w:rFonts w:asciiTheme="minorHAnsi" w:hAnsiTheme="minorHAnsi" w:cstheme="minorHAnsi"/>
          <w:color w:val="000000" w:themeColor="text1"/>
          <w:lang w:eastAsia="en-AU"/>
        </w:rPr>
        <w:t xml:space="preserve"> being refined, as conversations about data availability continue.</w:t>
      </w:r>
      <w:r w:rsidR="0001154D">
        <w:rPr>
          <w:rFonts w:asciiTheme="minorHAnsi" w:hAnsiTheme="minorHAnsi" w:cstheme="minorHAnsi"/>
          <w:color w:val="000000" w:themeColor="text1"/>
          <w:lang w:eastAsia="en-AU"/>
        </w:rPr>
        <w:t xml:space="preserve"> Appendix B provides </w:t>
      </w:r>
      <w:r w:rsidR="00F24163">
        <w:rPr>
          <w:rFonts w:asciiTheme="minorHAnsi" w:hAnsiTheme="minorHAnsi" w:cstheme="minorHAnsi"/>
          <w:color w:val="000000" w:themeColor="text1"/>
          <w:lang w:eastAsia="en-AU"/>
        </w:rPr>
        <w:t>detail on</w:t>
      </w:r>
      <w:r w:rsidR="0001154D">
        <w:rPr>
          <w:rFonts w:asciiTheme="minorHAnsi" w:hAnsiTheme="minorHAnsi" w:cstheme="minorHAnsi"/>
          <w:color w:val="000000" w:themeColor="text1"/>
          <w:lang w:eastAsia="en-AU"/>
        </w:rPr>
        <w:t xml:space="preserve"> data sources and feasibility. </w:t>
      </w:r>
    </w:p>
    <w:p w14:paraId="40B49F4C" w14:textId="23513DE4" w:rsidR="00F35064" w:rsidRDefault="00F35064" w:rsidP="00F35064">
      <w:pPr>
        <w:pStyle w:val="Caption"/>
      </w:pPr>
      <w:bookmarkStart w:id="54" w:name="_Ref62113976"/>
      <w:bookmarkStart w:id="55" w:name="_Ref62113972"/>
      <w:r>
        <w:t xml:space="preserve">Table </w:t>
      </w:r>
      <w:r>
        <w:fldChar w:fldCharType="begin"/>
      </w:r>
      <w:r>
        <w:instrText xml:space="preserve"> SEQ Table \* ARABIC </w:instrText>
      </w:r>
      <w:r>
        <w:fldChar w:fldCharType="separate"/>
      </w:r>
      <w:r w:rsidR="00DF258C">
        <w:rPr>
          <w:noProof/>
        </w:rPr>
        <w:t>6</w:t>
      </w:r>
      <w:r>
        <w:fldChar w:fldCharType="end"/>
      </w:r>
      <w:bookmarkEnd w:id="54"/>
      <w:r>
        <w:t xml:space="preserve"> | Outcomes and indicators</w:t>
      </w:r>
      <w:bookmarkEnd w:id="55"/>
    </w:p>
    <w:tbl>
      <w:tblPr>
        <w:tblStyle w:val="TableGrid"/>
        <w:tblW w:w="0" w:type="auto"/>
        <w:tblLook w:val="04A0" w:firstRow="1" w:lastRow="0" w:firstColumn="1" w:lastColumn="0" w:noHBand="0" w:noVBand="1"/>
        <w:tblCaption w:val="Table 6 outlines the indicators used to measure progress against the Measure's 10 national outcomes"/>
        <w:tblDescription w:val="The outcome of increased understanding are indicated by an increased proportion of RACF residents with advance care planning documents, Increased effectiveness and use of advance care planning documents, number of Multidisciplinary Case Conferences by Medical Practitioners (Other Than Specialist or Consultant Physician) in RACFs, and resident, family and carer access to information on end-of-life care.&#10;&#10;The achievement of building capability in RACF staff is indicated by an increased number of residents who receive subcutaneous medicines associated with palliative care in RACFs and completions of accredited courses related to palliative care, and a decreased number of transfers from RACFs to acute care facilities, of RACF residents admitted to an acute care facility for palliative care and of inpatient bed days related to palliative care for residents of RACF.&#10;&#10;Some of the indicators for the achievement of Improved access and improved quality of palliative care include an increased number of RACFs that access palliative care provided by states/territory specialist services and of Multidisciplinary Case Conferences by Medical Practitioners (Other Than Specialist or Consultant Physician) in RACFs.&#10;&#10;Collaboration outcomes are indicated by indicators such as an increased number of Multidisciplinary Case Conferences by Medical Practitioners (Other Than Specialist or Consultant Physician) in RACFs and a decreased number of transfers from RACFs to acute care facilities.&#10;&#10;Data and evidence outcomes are indicated by and increased number of RACFs that implement quality improvement activities to improve palliative care, a decreased number of complaints received by the Aged Care Quality and Safety Commission from residents and families related to palliative care, and an increased number of RACFs that have a policy in place and monitored to ensure that all staff (including casuals) uptake available training/education opportunities to improve their understanding about palliative care.&#10;"/>
      </w:tblPr>
      <w:tblGrid>
        <w:gridCol w:w="361"/>
        <w:gridCol w:w="3350"/>
        <w:gridCol w:w="5219"/>
      </w:tblGrid>
      <w:tr w:rsidR="00F35064" w:rsidRPr="009150F4" w14:paraId="1ECF4130" w14:textId="77777777" w:rsidTr="00631353">
        <w:trPr>
          <w:cnfStyle w:val="100000000000" w:firstRow="1" w:lastRow="0" w:firstColumn="0" w:lastColumn="0" w:oddVBand="0" w:evenVBand="0" w:oddHBand="0" w:evenHBand="0" w:firstRowFirstColumn="0" w:firstRowLastColumn="0" w:lastRowFirstColumn="0" w:lastRowLastColumn="0"/>
        </w:trPr>
        <w:tc>
          <w:tcPr>
            <w:tcW w:w="361" w:type="dxa"/>
            <w:tcBorders>
              <w:top w:val="nil"/>
            </w:tcBorders>
            <w:shd w:val="clear" w:color="auto" w:fill="00264D" w:themeFill="background2"/>
            <w:vAlign w:val="top"/>
          </w:tcPr>
          <w:p w14:paraId="4ED2E0B6" w14:textId="77777777" w:rsidR="00F35064" w:rsidRPr="000F01CB" w:rsidRDefault="00F35064" w:rsidP="00631353">
            <w:pPr>
              <w:pStyle w:val="TableNheader"/>
              <w:spacing w:before="10" w:after="0"/>
              <w:rPr>
                <w:color w:val="FFFFFF" w:themeColor="background1"/>
                <w:sz w:val="16"/>
                <w:szCs w:val="16"/>
              </w:rPr>
            </w:pPr>
            <w:r w:rsidRPr="000F01CB">
              <w:rPr>
                <w:color w:val="FFFFFF" w:themeColor="background1"/>
                <w:sz w:val="16"/>
                <w:szCs w:val="16"/>
              </w:rPr>
              <w:t>#</w:t>
            </w:r>
          </w:p>
        </w:tc>
        <w:tc>
          <w:tcPr>
            <w:tcW w:w="3410" w:type="dxa"/>
            <w:tcBorders>
              <w:top w:val="nil"/>
            </w:tcBorders>
            <w:shd w:val="clear" w:color="auto" w:fill="00264D" w:themeFill="background2"/>
            <w:vAlign w:val="top"/>
          </w:tcPr>
          <w:p w14:paraId="0B037924" w14:textId="77777777" w:rsidR="00F35064" w:rsidRPr="000F01CB" w:rsidRDefault="00F35064" w:rsidP="00631353">
            <w:pPr>
              <w:pStyle w:val="TableNheader"/>
              <w:spacing w:before="10" w:after="0"/>
              <w:rPr>
                <w:color w:val="FFFFFF" w:themeColor="background1"/>
                <w:sz w:val="16"/>
                <w:szCs w:val="16"/>
              </w:rPr>
            </w:pPr>
            <w:r w:rsidRPr="000F01CB">
              <w:rPr>
                <w:color w:val="FFFFFF" w:themeColor="background1"/>
                <w:sz w:val="16"/>
                <w:szCs w:val="16"/>
              </w:rPr>
              <w:t>Outcome</w:t>
            </w:r>
          </w:p>
        </w:tc>
        <w:tc>
          <w:tcPr>
            <w:tcW w:w="5329" w:type="dxa"/>
            <w:tcBorders>
              <w:top w:val="nil"/>
            </w:tcBorders>
            <w:shd w:val="clear" w:color="auto" w:fill="00264D" w:themeFill="background2"/>
          </w:tcPr>
          <w:p w14:paraId="1F4B1772" w14:textId="77777777" w:rsidR="00F35064" w:rsidRPr="000F01CB" w:rsidRDefault="00F35064" w:rsidP="00631353">
            <w:pPr>
              <w:pStyle w:val="TableNheader"/>
              <w:spacing w:before="10" w:after="0"/>
              <w:rPr>
                <w:color w:val="FFFFFF" w:themeColor="background1"/>
                <w:sz w:val="16"/>
                <w:szCs w:val="16"/>
              </w:rPr>
            </w:pPr>
            <w:r w:rsidRPr="000F01CB">
              <w:rPr>
                <w:color w:val="FFFFFF" w:themeColor="background1"/>
                <w:sz w:val="16"/>
                <w:szCs w:val="16"/>
              </w:rPr>
              <w:t>Indicator(s)</w:t>
            </w:r>
          </w:p>
        </w:tc>
      </w:tr>
      <w:tr w:rsidR="00F35064" w:rsidRPr="009150F4" w14:paraId="1C9ECA24" w14:textId="77777777" w:rsidTr="001A6789">
        <w:trPr>
          <w:cnfStyle w:val="000000100000" w:firstRow="0" w:lastRow="0" w:firstColumn="0" w:lastColumn="0" w:oddVBand="0" w:evenVBand="0" w:oddHBand="1" w:evenHBand="0" w:firstRowFirstColumn="0" w:firstRowLastColumn="0" w:lastRowFirstColumn="0" w:lastRowLastColumn="0"/>
          <w:trHeight w:val="290"/>
        </w:trPr>
        <w:tc>
          <w:tcPr>
            <w:tcW w:w="9100" w:type="dxa"/>
            <w:gridSpan w:val="3"/>
            <w:shd w:val="clear" w:color="auto" w:fill="E6E6E1" w:themeFill="accent5"/>
            <w:vAlign w:val="top"/>
          </w:tcPr>
          <w:p w14:paraId="1004A0F0" w14:textId="497F9FE4" w:rsidR="00F35064" w:rsidRPr="00A771A9" w:rsidRDefault="00F35064" w:rsidP="001A6789">
            <w:pPr>
              <w:pStyle w:val="TableNheader"/>
            </w:pPr>
            <w:r w:rsidRPr="00A771A9">
              <w:t>Understanding</w:t>
            </w:r>
          </w:p>
        </w:tc>
      </w:tr>
      <w:tr w:rsidR="00F35064" w:rsidRPr="009150F4" w14:paraId="60BFB1C4" w14:textId="77777777" w:rsidTr="00585FD6">
        <w:trPr>
          <w:cnfStyle w:val="000000010000" w:firstRow="0" w:lastRow="0" w:firstColumn="0" w:lastColumn="0" w:oddVBand="0" w:evenVBand="0" w:oddHBand="0" w:evenHBand="1" w:firstRowFirstColumn="0" w:firstRowLastColumn="0" w:lastRowFirstColumn="0" w:lastRowLastColumn="0"/>
        </w:trPr>
        <w:tc>
          <w:tcPr>
            <w:tcW w:w="361" w:type="dxa"/>
            <w:vAlign w:val="top"/>
          </w:tcPr>
          <w:p w14:paraId="12BD8E57" w14:textId="4025D65A" w:rsidR="00F35064" w:rsidRPr="008360D1" w:rsidRDefault="00F35064" w:rsidP="008360D1">
            <w:pPr>
              <w:pStyle w:val="TableNText"/>
            </w:pPr>
            <w:r w:rsidRPr="008360D1">
              <w:t>1</w:t>
            </w:r>
          </w:p>
        </w:tc>
        <w:tc>
          <w:tcPr>
            <w:tcW w:w="3410" w:type="dxa"/>
            <w:vAlign w:val="top"/>
          </w:tcPr>
          <w:p w14:paraId="0D0A491F" w14:textId="37A1EC63" w:rsidR="00F35064" w:rsidRPr="008360D1" w:rsidRDefault="00F35064" w:rsidP="008360D1">
            <w:pPr>
              <w:pStyle w:val="TableNText"/>
            </w:pPr>
            <w:r w:rsidRPr="008360D1">
              <w:t xml:space="preserve">More discussions focused on end-of-life care decision making between residents, families, carers, </w:t>
            </w:r>
            <w:proofErr w:type="gramStart"/>
            <w:r w:rsidRPr="008360D1">
              <w:t>GPs</w:t>
            </w:r>
            <w:proofErr w:type="gramEnd"/>
            <w:r w:rsidRPr="008360D1">
              <w:t xml:space="preserve"> and specialist palliative care services including use of </w:t>
            </w:r>
            <w:r w:rsidR="001E7E57" w:rsidRPr="008360D1">
              <w:t>Advance Care Plans</w:t>
            </w:r>
            <w:r w:rsidRPr="008360D1">
              <w:t>.</w:t>
            </w:r>
          </w:p>
        </w:tc>
        <w:tc>
          <w:tcPr>
            <w:tcW w:w="5329" w:type="dxa"/>
            <w:vAlign w:val="top"/>
          </w:tcPr>
          <w:p w14:paraId="5EA3CF80" w14:textId="5D5527BF" w:rsidR="00F35064" w:rsidRPr="008360D1" w:rsidRDefault="00F35064" w:rsidP="00631353">
            <w:pPr>
              <w:pStyle w:val="TableNBullet"/>
            </w:pPr>
            <w:r w:rsidRPr="008360D1">
              <w:t>Increased proportion of RACF residents with advance care planning documents (</w:t>
            </w:r>
            <w:proofErr w:type="gramStart"/>
            <w:r w:rsidRPr="008360D1">
              <w:t>e.g.</w:t>
            </w:r>
            <w:proofErr w:type="gramEnd"/>
            <w:r w:rsidRPr="008360D1">
              <w:t xml:space="preserve"> Advance Care Plans or Advance Care Directives)</w:t>
            </w:r>
            <w:r w:rsidR="003E186E" w:rsidRPr="008360D1">
              <w:t>.</w:t>
            </w:r>
          </w:p>
          <w:p w14:paraId="4D5C45E7" w14:textId="48074D17" w:rsidR="00F35064" w:rsidRPr="008360D1" w:rsidRDefault="00F35064" w:rsidP="00631353">
            <w:pPr>
              <w:pStyle w:val="TableNBullet"/>
            </w:pPr>
            <w:r w:rsidRPr="008360D1">
              <w:t>Increased effectiveness and use of advance care planning documents (</w:t>
            </w:r>
            <w:proofErr w:type="gramStart"/>
            <w:r w:rsidRPr="008360D1">
              <w:t>e.g.</w:t>
            </w:r>
            <w:proofErr w:type="gramEnd"/>
            <w:r w:rsidRPr="008360D1">
              <w:t xml:space="preserve"> Advance Care Plans or Advance Care Directives) within RACFs</w:t>
            </w:r>
            <w:r w:rsidR="003E186E" w:rsidRPr="008360D1">
              <w:t>.</w:t>
            </w:r>
          </w:p>
          <w:p w14:paraId="67F2980A" w14:textId="34E1E2DB" w:rsidR="00F35064" w:rsidRPr="008360D1" w:rsidRDefault="00F35064" w:rsidP="00631353">
            <w:pPr>
              <w:pStyle w:val="TableNBullet"/>
            </w:pPr>
            <w:r w:rsidRPr="008360D1">
              <w:t xml:space="preserve">Increased number of Multidisciplinary Case Conferences by Medical Practitioners (Other Than Specialist or Consultant Physician) </w:t>
            </w:r>
            <w:r w:rsidR="003E186E" w:rsidRPr="008360D1">
              <w:t>–</w:t>
            </w:r>
            <w:r w:rsidRPr="008360D1">
              <w:t xml:space="preserve"> (MBS items 735 to 758) in RACFs</w:t>
            </w:r>
            <w:r w:rsidR="003E186E" w:rsidRPr="008360D1">
              <w:t xml:space="preserve">. </w:t>
            </w:r>
          </w:p>
        </w:tc>
      </w:tr>
      <w:tr w:rsidR="00F35064" w:rsidRPr="009150F4" w14:paraId="1CAC5986" w14:textId="77777777" w:rsidTr="00585FD6">
        <w:trPr>
          <w:cnfStyle w:val="000000100000" w:firstRow="0" w:lastRow="0" w:firstColumn="0" w:lastColumn="0" w:oddVBand="0" w:evenVBand="0" w:oddHBand="1" w:evenHBand="0" w:firstRowFirstColumn="0" w:firstRowLastColumn="0" w:lastRowFirstColumn="0" w:lastRowLastColumn="0"/>
        </w:trPr>
        <w:tc>
          <w:tcPr>
            <w:tcW w:w="361" w:type="dxa"/>
            <w:vAlign w:val="top"/>
          </w:tcPr>
          <w:p w14:paraId="351388E4" w14:textId="374621AF" w:rsidR="00F35064" w:rsidRPr="008360D1" w:rsidRDefault="00F35064" w:rsidP="008360D1">
            <w:pPr>
              <w:pStyle w:val="TableNText"/>
            </w:pPr>
            <w:r w:rsidRPr="008360D1">
              <w:t>2</w:t>
            </w:r>
          </w:p>
        </w:tc>
        <w:tc>
          <w:tcPr>
            <w:tcW w:w="3410" w:type="dxa"/>
            <w:vAlign w:val="top"/>
          </w:tcPr>
          <w:p w14:paraId="497760C1" w14:textId="188702A1" w:rsidR="00F35064" w:rsidRPr="008360D1" w:rsidRDefault="00F35064" w:rsidP="008360D1">
            <w:pPr>
              <w:pStyle w:val="TableNText"/>
            </w:pPr>
            <w:r w:rsidRPr="008360D1">
              <w:t>Improved access to information that informs end-of-life care decisions for residents and families.</w:t>
            </w:r>
          </w:p>
        </w:tc>
        <w:tc>
          <w:tcPr>
            <w:tcW w:w="5329" w:type="dxa"/>
            <w:vAlign w:val="top"/>
          </w:tcPr>
          <w:p w14:paraId="03C7A25C" w14:textId="518C6205" w:rsidR="00F35064" w:rsidRPr="008360D1" w:rsidRDefault="00F35064" w:rsidP="00631353">
            <w:pPr>
              <w:pStyle w:val="TableNBullet"/>
            </w:pPr>
            <w:r w:rsidRPr="008360D1">
              <w:t xml:space="preserve">Increased resident, </w:t>
            </w:r>
            <w:proofErr w:type="gramStart"/>
            <w:r w:rsidRPr="008360D1">
              <w:t>family</w:t>
            </w:r>
            <w:proofErr w:type="gramEnd"/>
            <w:r w:rsidRPr="008360D1">
              <w:t xml:space="preserve"> and carer access to information on end-of-life care</w:t>
            </w:r>
            <w:r w:rsidR="003076F8" w:rsidRPr="008360D1">
              <w:t>.</w:t>
            </w:r>
          </w:p>
        </w:tc>
      </w:tr>
      <w:tr w:rsidR="00F35064" w:rsidRPr="009150F4" w14:paraId="7C870FA1" w14:textId="77777777" w:rsidTr="00631353">
        <w:trPr>
          <w:cnfStyle w:val="000000010000" w:firstRow="0" w:lastRow="0" w:firstColumn="0" w:lastColumn="0" w:oddVBand="0" w:evenVBand="0" w:oddHBand="0" w:evenHBand="1" w:firstRowFirstColumn="0" w:firstRowLastColumn="0" w:lastRowFirstColumn="0" w:lastRowLastColumn="0"/>
        </w:trPr>
        <w:tc>
          <w:tcPr>
            <w:tcW w:w="9100" w:type="dxa"/>
            <w:gridSpan w:val="3"/>
            <w:shd w:val="clear" w:color="auto" w:fill="E6E6E1" w:themeFill="accent5"/>
            <w:vAlign w:val="top"/>
          </w:tcPr>
          <w:p w14:paraId="1AF322B4" w14:textId="5D789638" w:rsidR="00F35064" w:rsidRPr="00A771A9" w:rsidRDefault="00F35064" w:rsidP="006B7E4B">
            <w:pPr>
              <w:pStyle w:val="TableNheader"/>
            </w:pPr>
            <w:r w:rsidRPr="00A771A9">
              <w:t>Capability</w:t>
            </w:r>
          </w:p>
        </w:tc>
      </w:tr>
      <w:tr w:rsidR="00F35064" w:rsidRPr="009150F4" w14:paraId="0F7C0C6A" w14:textId="77777777" w:rsidTr="003076F8">
        <w:trPr>
          <w:cnfStyle w:val="000000100000" w:firstRow="0" w:lastRow="0" w:firstColumn="0" w:lastColumn="0" w:oddVBand="0" w:evenVBand="0" w:oddHBand="1" w:evenHBand="0" w:firstRowFirstColumn="0" w:firstRowLastColumn="0" w:lastRowFirstColumn="0" w:lastRowLastColumn="0"/>
        </w:trPr>
        <w:tc>
          <w:tcPr>
            <w:tcW w:w="361" w:type="dxa"/>
            <w:vAlign w:val="top"/>
          </w:tcPr>
          <w:p w14:paraId="646F9530" w14:textId="7627B85C" w:rsidR="00F35064" w:rsidRPr="008360D1" w:rsidRDefault="00F35064" w:rsidP="008360D1">
            <w:pPr>
              <w:pStyle w:val="TableNText"/>
            </w:pPr>
            <w:r w:rsidRPr="008360D1">
              <w:t>3</w:t>
            </w:r>
          </w:p>
        </w:tc>
        <w:tc>
          <w:tcPr>
            <w:tcW w:w="3410" w:type="dxa"/>
            <w:vAlign w:val="top"/>
          </w:tcPr>
          <w:p w14:paraId="27BB3C76" w14:textId="6CD88F57" w:rsidR="00F35064" w:rsidRPr="008360D1" w:rsidRDefault="00F35064" w:rsidP="008360D1">
            <w:pPr>
              <w:pStyle w:val="TableNText"/>
            </w:pPr>
            <w:r w:rsidRPr="008360D1">
              <w:t>A higher proportion of clinical and non-clinical staff in RACFs have skills and confidence appropriate to their roles to recognise and respond to the holistic palliative care needs of residents, in a culturally safe way.</w:t>
            </w:r>
          </w:p>
        </w:tc>
        <w:tc>
          <w:tcPr>
            <w:tcW w:w="5329" w:type="dxa"/>
            <w:vAlign w:val="top"/>
          </w:tcPr>
          <w:p w14:paraId="550B5588" w14:textId="11993A8D" w:rsidR="00F35064" w:rsidRPr="008360D1" w:rsidRDefault="00F35064" w:rsidP="00631353">
            <w:pPr>
              <w:pStyle w:val="TableNBullet"/>
            </w:pPr>
            <w:r w:rsidRPr="008360D1">
              <w:t>Increased number of residents who receive subcutaneous medicines associated with palliative care in RACFs</w:t>
            </w:r>
            <w:r w:rsidR="003076F8" w:rsidRPr="008360D1">
              <w:t>.</w:t>
            </w:r>
          </w:p>
          <w:p w14:paraId="2EDD1401" w14:textId="3E67F9CE" w:rsidR="00F35064" w:rsidRPr="008360D1" w:rsidRDefault="00F35064" w:rsidP="00631353">
            <w:pPr>
              <w:pStyle w:val="TableNBullet"/>
            </w:pPr>
            <w:r w:rsidRPr="008360D1">
              <w:t>Decreased number of transfers from RACFs to acute care facilities</w:t>
            </w:r>
            <w:r w:rsidR="003076F8" w:rsidRPr="008360D1">
              <w:t>.</w:t>
            </w:r>
          </w:p>
          <w:p w14:paraId="72553CC8" w14:textId="35E731B9" w:rsidR="00F35064" w:rsidRPr="008360D1" w:rsidRDefault="00F35064" w:rsidP="00631353">
            <w:pPr>
              <w:pStyle w:val="TableNBullet"/>
            </w:pPr>
            <w:r w:rsidRPr="008360D1">
              <w:t>Decreased number of RACF residents admitted to an acute care facility for palliative care</w:t>
            </w:r>
            <w:r w:rsidR="003076F8" w:rsidRPr="008360D1">
              <w:t>.</w:t>
            </w:r>
          </w:p>
          <w:p w14:paraId="4B09BD5E" w14:textId="4F7EAD5D" w:rsidR="00F35064" w:rsidRPr="008360D1" w:rsidRDefault="00F35064" w:rsidP="00631353">
            <w:pPr>
              <w:pStyle w:val="TableNBullet"/>
            </w:pPr>
            <w:r w:rsidRPr="008360D1">
              <w:t>Decreased number of inpatient bed days related to palliative care for residents of RACF</w:t>
            </w:r>
            <w:r w:rsidR="003076F8" w:rsidRPr="008360D1">
              <w:t>.</w:t>
            </w:r>
          </w:p>
          <w:p w14:paraId="4FB28A9A" w14:textId="49CDA360" w:rsidR="00F35064" w:rsidRPr="00A771A9" w:rsidRDefault="00F35064" w:rsidP="00631353">
            <w:pPr>
              <w:pStyle w:val="TableNBullet"/>
            </w:pPr>
            <w:r w:rsidRPr="008360D1">
              <w:t>Increased completions of accredited courses</w:t>
            </w:r>
            <w:r w:rsidRPr="00A771A9">
              <w:t xml:space="preserve"> related to palliative care</w:t>
            </w:r>
            <w:r w:rsidR="003076F8" w:rsidRPr="00A771A9">
              <w:t>.</w:t>
            </w:r>
          </w:p>
        </w:tc>
      </w:tr>
      <w:tr w:rsidR="00F35064" w:rsidRPr="009150F4" w14:paraId="677AB99C" w14:textId="77777777" w:rsidTr="00631353">
        <w:trPr>
          <w:cnfStyle w:val="000000010000" w:firstRow="0" w:lastRow="0" w:firstColumn="0" w:lastColumn="0" w:oddVBand="0" w:evenVBand="0" w:oddHBand="0" w:evenHBand="1" w:firstRowFirstColumn="0" w:firstRowLastColumn="0" w:lastRowFirstColumn="0" w:lastRowLastColumn="0"/>
        </w:trPr>
        <w:tc>
          <w:tcPr>
            <w:tcW w:w="9100" w:type="dxa"/>
            <w:gridSpan w:val="3"/>
            <w:shd w:val="clear" w:color="auto" w:fill="E6E6E1" w:themeFill="accent5"/>
            <w:vAlign w:val="top"/>
          </w:tcPr>
          <w:p w14:paraId="24F50983" w14:textId="5684861F" w:rsidR="00F35064" w:rsidRPr="00A771A9" w:rsidRDefault="00F35064" w:rsidP="006B7E4B">
            <w:pPr>
              <w:pStyle w:val="TableNheader"/>
            </w:pPr>
            <w:r w:rsidRPr="00A771A9">
              <w:t>Access and choice</w:t>
            </w:r>
          </w:p>
        </w:tc>
      </w:tr>
      <w:tr w:rsidR="00F35064" w:rsidRPr="009150F4" w14:paraId="272C675D" w14:textId="77777777" w:rsidTr="008C62ED">
        <w:trPr>
          <w:cnfStyle w:val="000000100000" w:firstRow="0" w:lastRow="0" w:firstColumn="0" w:lastColumn="0" w:oddVBand="0" w:evenVBand="0" w:oddHBand="1" w:evenHBand="0" w:firstRowFirstColumn="0" w:firstRowLastColumn="0" w:lastRowFirstColumn="0" w:lastRowLastColumn="0"/>
          <w:trHeight w:val="298"/>
        </w:trPr>
        <w:tc>
          <w:tcPr>
            <w:tcW w:w="361" w:type="dxa"/>
            <w:vAlign w:val="top"/>
          </w:tcPr>
          <w:p w14:paraId="6A2F7966" w14:textId="351A3C03" w:rsidR="00F35064" w:rsidRPr="008360D1" w:rsidRDefault="00F35064" w:rsidP="008360D1">
            <w:pPr>
              <w:pStyle w:val="TableNText"/>
            </w:pPr>
            <w:r w:rsidRPr="008360D1">
              <w:t>4</w:t>
            </w:r>
          </w:p>
        </w:tc>
        <w:tc>
          <w:tcPr>
            <w:tcW w:w="3410" w:type="dxa"/>
            <w:vAlign w:val="top"/>
          </w:tcPr>
          <w:p w14:paraId="3A513531" w14:textId="77777777" w:rsidR="00F35064" w:rsidRPr="000F01CB" w:rsidRDefault="00F35064" w:rsidP="00631353">
            <w:pPr>
              <w:pStyle w:val="TableNText"/>
              <w:spacing w:before="10" w:after="0" w:line="240" w:lineRule="auto"/>
              <w:rPr>
                <w:sz w:val="16"/>
                <w:szCs w:val="16"/>
              </w:rPr>
            </w:pPr>
            <w:r w:rsidRPr="000F01CB">
              <w:rPr>
                <w:sz w:val="16"/>
                <w:szCs w:val="16"/>
              </w:rPr>
              <w:t>Improved access to quality palliative care in RACFs including:</w:t>
            </w:r>
          </w:p>
          <w:p w14:paraId="58726B4C" w14:textId="167C1974" w:rsidR="00F35064" w:rsidRPr="008360D1" w:rsidRDefault="008C62ED" w:rsidP="008360D1">
            <w:pPr>
              <w:pStyle w:val="TableNBullet"/>
              <w:numPr>
                <w:ilvl w:val="0"/>
                <w:numId w:val="4"/>
              </w:numPr>
            </w:pPr>
            <w:r w:rsidRPr="008360D1">
              <w:t>i</w:t>
            </w:r>
            <w:r w:rsidR="00F35064" w:rsidRPr="008360D1">
              <w:t>ncreased use of assessments to establish residents’ palliative care needs</w:t>
            </w:r>
          </w:p>
          <w:p w14:paraId="388B1BED" w14:textId="5B92E45C" w:rsidR="00F35064" w:rsidRPr="008360D1" w:rsidRDefault="008C62ED" w:rsidP="008360D1">
            <w:pPr>
              <w:pStyle w:val="TableNBullet"/>
            </w:pPr>
            <w:r w:rsidRPr="008360D1">
              <w:t>d</w:t>
            </w:r>
            <w:r w:rsidR="00F35064" w:rsidRPr="008360D1">
              <w:t>ecreased health service use including less futile or non-beneficial treatments and inpatient bed days</w:t>
            </w:r>
          </w:p>
          <w:p w14:paraId="4BBB1A5B" w14:textId="464D33F7" w:rsidR="00F35064" w:rsidRPr="00A771A9" w:rsidRDefault="008C62ED" w:rsidP="008360D1">
            <w:pPr>
              <w:pStyle w:val="TableNBullet"/>
            </w:pPr>
            <w:r w:rsidRPr="008360D1">
              <w:t>d</w:t>
            </w:r>
            <w:r w:rsidR="00F35064" w:rsidRPr="008360D1">
              <w:t>ecreased healthcare expenditure arising from decreased service use</w:t>
            </w:r>
            <w:r w:rsidRPr="008360D1">
              <w:t>.</w:t>
            </w:r>
          </w:p>
        </w:tc>
        <w:tc>
          <w:tcPr>
            <w:tcW w:w="5329" w:type="dxa"/>
            <w:vAlign w:val="top"/>
          </w:tcPr>
          <w:p w14:paraId="5ED1706D" w14:textId="1ACF634C" w:rsidR="00F35064" w:rsidRPr="008360D1" w:rsidRDefault="00F35064" w:rsidP="00631353">
            <w:pPr>
              <w:pStyle w:val="TableNBullet"/>
            </w:pPr>
            <w:r w:rsidRPr="008360D1">
              <w:t>Increased number of RACFs that access palliative care provided by states/territory specialist services</w:t>
            </w:r>
            <w:r w:rsidR="008C62ED" w:rsidRPr="008360D1">
              <w:t>.</w:t>
            </w:r>
          </w:p>
          <w:p w14:paraId="23D2EA01" w14:textId="05D7D43E" w:rsidR="00F35064" w:rsidRPr="008360D1" w:rsidRDefault="00F35064" w:rsidP="00631353">
            <w:pPr>
              <w:pStyle w:val="TableNBullet"/>
            </w:pPr>
            <w:r w:rsidRPr="008360D1">
              <w:t xml:space="preserve">Increased number of Multidisciplinary Case Conferences by Medical Practitioners (Other Than Specialist or Consultant Physician) </w:t>
            </w:r>
            <w:r w:rsidR="008C62ED" w:rsidRPr="008360D1">
              <w:t>–</w:t>
            </w:r>
            <w:r w:rsidRPr="008360D1">
              <w:t xml:space="preserve"> (MBS items 735 to 758) in RACFs</w:t>
            </w:r>
            <w:r w:rsidR="008C62ED" w:rsidRPr="008360D1">
              <w:t>.</w:t>
            </w:r>
          </w:p>
          <w:p w14:paraId="6D67EB1F" w14:textId="5D049589" w:rsidR="00F35064" w:rsidRPr="008360D1" w:rsidRDefault="00F35064" w:rsidP="00631353">
            <w:pPr>
              <w:pStyle w:val="TableNBullet"/>
            </w:pPr>
            <w:r w:rsidRPr="008360D1">
              <w:t>Increased number of residents who receive subcutaneous medicines associated with palliative care in RACFs</w:t>
            </w:r>
            <w:r w:rsidR="008C62ED" w:rsidRPr="008360D1">
              <w:t>.</w:t>
            </w:r>
          </w:p>
          <w:p w14:paraId="46B3FE65" w14:textId="13E97E57" w:rsidR="00F35064" w:rsidRPr="008360D1" w:rsidRDefault="00F35064" w:rsidP="00631353">
            <w:pPr>
              <w:pStyle w:val="TableNBullet"/>
            </w:pPr>
            <w:r w:rsidRPr="008360D1">
              <w:t>Increased number of individuals accessing palliative care in RACFs</w:t>
            </w:r>
            <w:r w:rsidR="008C62ED" w:rsidRPr="008360D1">
              <w:t>.</w:t>
            </w:r>
          </w:p>
          <w:p w14:paraId="02334588" w14:textId="7FA093B6" w:rsidR="00F35064" w:rsidRPr="008360D1" w:rsidRDefault="00F35064" w:rsidP="00631353">
            <w:pPr>
              <w:pStyle w:val="TableNBullet"/>
            </w:pPr>
            <w:r w:rsidRPr="008360D1">
              <w:lastRenderedPageBreak/>
              <w:t>Decreased number of transfers from RACFs to acute care facilities</w:t>
            </w:r>
            <w:r w:rsidR="008C62ED" w:rsidRPr="008360D1">
              <w:t>.</w:t>
            </w:r>
          </w:p>
          <w:p w14:paraId="03FF27E9" w14:textId="4E4FB197" w:rsidR="00F35064" w:rsidRPr="008360D1" w:rsidRDefault="00F35064" w:rsidP="00631353">
            <w:pPr>
              <w:pStyle w:val="TableNBullet"/>
            </w:pPr>
            <w:r w:rsidRPr="008360D1">
              <w:t>Decreased number of RACF residents admitted to an acute care facility for palliative care</w:t>
            </w:r>
            <w:r w:rsidR="008C62ED" w:rsidRPr="008360D1">
              <w:t>.</w:t>
            </w:r>
          </w:p>
          <w:p w14:paraId="4B3DDFD0" w14:textId="625CCD16" w:rsidR="00F35064" w:rsidRPr="008360D1" w:rsidRDefault="00F35064" w:rsidP="00631353">
            <w:pPr>
              <w:pStyle w:val="TableNBullet"/>
            </w:pPr>
            <w:r w:rsidRPr="008360D1">
              <w:t>Decreased number of inpatient bed days related to palliative care for residents of RACF</w:t>
            </w:r>
            <w:r w:rsidR="008C62ED" w:rsidRPr="008360D1">
              <w:t>.</w:t>
            </w:r>
            <w:r w:rsidRPr="008360D1">
              <w:t xml:space="preserve"> </w:t>
            </w:r>
          </w:p>
          <w:p w14:paraId="6EAABD48" w14:textId="126810F5" w:rsidR="00F35064" w:rsidRPr="00A771A9" w:rsidRDefault="00085763" w:rsidP="00631353">
            <w:pPr>
              <w:pStyle w:val="TableNBullet"/>
            </w:pPr>
            <w:r w:rsidRPr="008360D1">
              <w:t>Increase</w:t>
            </w:r>
            <w:r w:rsidR="001B7203">
              <w:t>d</w:t>
            </w:r>
            <w:r w:rsidRPr="008360D1">
              <w:t xml:space="preserve"> number of RACF residents who receive palliative care through a service participating in PCOC</w:t>
            </w:r>
            <w:r w:rsidR="00EF0EE6" w:rsidRPr="008360D1">
              <w:t>.</w:t>
            </w:r>
          </w:p>
        </w:tc>
      </w:tr>
      <w:tr w:rsidR="00F35064" w:rsidRPr="009150F4" w14:paraId="63EC06DF" w14:textId="77777777" w:rsidTr="00585FD6">
        <w:trPr>
          <w:cnfStyle w:val="000000010000" w:firstRow="0" w:lastRow="0" w:firstColumn="0" w:lastColumn="0" w:oddVBand="0" w:evenVBand="0" w:oddHBand="0" w:evenHBand="1" w:firstRowFirstColumn="0" w:firstRowLastColumn="0" w:lastRowFirstColumn="0" w:lastRowLastColumn="0"/>
          <w:trHeight w:val="312"/>
        </w:trPr>
        <w:tc>
          <w:tcPr>
            <w:tcW w:w="361" w:type="dxa"/>
            <w:vAlign w:val="top"/>
          </w:tcPr>
          <w:p w14:paraId="6D861AD9" w14:textId="4A20015B" w:rsidR="00F35064" w:rsidRPr="008360D1" w:rsidRDefault="00F35064" w:rsidP="008360D1">
            <w:pPr>
              <w:pStyle w:val="TableNText"/>
            </w:pPr>
            <w:r w:rsidRPr="008360D1">
              <w:lastRenderedPageBreak/>
              <w:t>5</w:t>
            </w:r>
          </w:p>
        </w:tc>
        <w:tc>
          <w:tcPr>
            <w:tcW w:w="3410" w:type="dxa"/>
            <w:vAlign w:val="top"/>
          </w:tcPr>
          <w:p w14:paraId="4CC0DC49" w14:textId="77777777" w:rsidR="00F35064" w:rsidRPr="008360D1" w:rsidRDefault="00F35064" w:rsidP="008360D1">
            <w:pPr>
              <w:pStyle w:val="TableNText"/>
            </w:pPr>
            <w:r w:rsidRPr="008360D1">
              <w:t>Improved quality of palliative care provided in RACFs including:</w:t>
            </w:r>
          </w:p>
          <w:p w14:paraId="1DCFB443" w14:textId="6B50EFE1" w:rsidR="00F35064" w:rsidRPr="008360D1" w:rsidRDefault="008360D1" w:rsidP="008360D1">
            <w:pPr>
              <w:pStyle w:val="TableNBullet"/>
              <w:numPr>
                <w:ilvl w:val="0"/>
                <w:numId w:val="4"/>
              </w:numPr>
            </w:pPr>
            <w:r>
              <w:t>r</w:t>
            </w:r>
            <w:r w:rsidR="00F35064" w:rsidRPr="008360D1">
              <w:t>educed symptom burden</w:t>
            </w:r>
          </w:p>
          <w:p w14:paraId="44433CB7" w14:textId="39334C45" w:rsidR="00F35064" w:rsidRPr="008360D1" w:rsidRDefault="008360D1" w:rsidP="008360D1">
            <w:pPr>
              <w:pStyle w:val="TableNBullet"/>
            </w:pPr>
            <w:r>
              <w:t>i</w:t>
            </w:r>
            <w:r w:rsidR="00F35064" w:rsidRPr="008360D1">
              <w:t>mproved quality of life for residents during the period they access palliative care</w:t>
            </w:r>
          </w:p>
          <w:p w14:paraId="627D122B" w14:textId="6101C7BC" w:rsidR="00F35064" w:rsidRPr="00A771A9" w:rsidRDefault="008360D1" w:rsidP="008360D1">
            <w:pPr>
              <w:pStyle w:val="TableNBullet"/>
            </w:pPr>
            <w:r>
              <w:t>b</w:t>
            </w:r>
            <w:r w:rsidR="00F35064" w:rsidRPr="008360D1">
              <w:t>etter experience of death and dying for residents, families/</w:t>
            </w:r>
            <w:proofErr w:type="gramStart"/>
            <w:r w:rsidR="00F35064" w:rsidRPr="008360D1">
              <w:t>carers</w:t>
            </w:r>
            <w:proofErr w:type="gramEnd"/>
            <w:r w:rsidR="00F35064" w:rsidRPr="008360D1">
              <w:t xml:space="preserve"> and staff, including meeting physical, psychosocial, cultural and spiritual needs</w:t>
            </w:r>
            <w:r>
              <w:t>.</w:t>
            </w:r>
          </w:p>
        </w:tc>
        <w:tc>
          <w:tcPr>
            <w:tcW w:w="5329" w:type="dxa"/>
            <w:vAlign w:val="top"/>
          </w:tcPr>
          <w:p w14:paraId="732EE5B7" w14:textId="47503DBF" w:rsidR="00F35064" w:rsidRPr="006B7E4B" w:rsidRDefault="00F35064" w:rsidP="00631353">
            <w:pPr>
              <w:pStyle w:val="TableNBullet"/>
            </w:pPr>
            <w:r w:rsidRPr="006B7E4B">
              <w:t xml:space="preserve">Increased number of providers/RACFs </w:t>
            </w:r>
            <w:r w:rsidR="008810BC">
              <w:t>participating</w:t>
            </w:r>
            <w:r w:rsidRPr="006B7E4B">
              <w:t xml:space="preserve"> in PCOC</w:t>
            </w:r>
            <w:r w:rsidR="00867704" w:rsidRPr="006B7E4B">
              <w:t>.</w:t>
            </w:r>
          </w:p>
          <w:p w14:paraId="797824F6" w14:textId="6C5DA752" w:rsidR="00085763" w:rsidRPr="006B7E4B" w:rsidRDefault="00085763" w:rsidP="00631353">
            <w:pPr>
              <w:pStyle w:val="TableNBullet"/>
            </w:pPr>
            <w:r w:rsidRPr="006B7E4B">
              <w:t>Increase</w:t>
            </w:r>
            <w:r w:rsidR="008810BC">
              <w:t xml:space="preserve">d </w:t>
            </w:r>
            <w:r w:rsidRPr="006B7E4B">
              <w:t>number of RACF residents who receive palliative care through a service participating in PCOC</w:t>
            </w:r>
            <w:r w:rsidR="00867704" w:rsidRPr="006B7E4B">
              <w:t>.</w:t>
            </w:r>
          </w:p>
          <w:p w14:paraId="692FA579" w14:textId="73A9EE85" w:rsidR="00F35064" w:rsidRPr="00A771A9" w:rsidRDefault="00F35064" w:rsidP="00631353">
            <w:pPr>
              <w:pStyle w:val="TableNBullet"/>
            </w:pPr>
            <w:r w:rsidRPr="006B7E4B">
              <w:t>Improved resident experience of dying reported by family/carers</w:t>
            </w:r>
            <w:r w:rsidRPr="00A771A9">
              <w:t>.</w:t>
            </w:r>
          </w:p>
        </w:tc>
      </w:tr>
      <w:tr w:rsidR="00F35064" w:rsidRPr="009150F4" w14:paraId="4C29B992" w14:textId="77777777" w:rsidTr="00867704">
        <w:trPr>
          <w:cnfStyle w:val="000000100000" w:firstRow="0" w:lastRow="0" w:firstColumn="0" w:lastColumn="0" w:oddVBand="0" w:evenVBand="0" w:oddHBand="1" w:evenHBand="0" w:firstRowFirstColumn="0" w:firstRowLastColumn="0" w:lastRowFirstColumn="0" w:lastRowLastColumn="0"/>
          <w:trHeight w:val="18"/>
        </w:trPr>
        <w:tc>
          <w:tcPr>
            <w:tcW w:w="361" w:type="dxa"/>
            <w:vAlign w:val="top"/>
          </w:tcPr>
          <w:p w14:paraId="70D072C6" w14:textId="5930523C" w:rsidR="00F35064" w:rsidRPr="008360D1" w:rsidRDefault="00F35064" w:rsidP="008360D1">
            <w:pPr>
              <w:pStyle w:val="TableNText"/>
            </w:pPr>
            <w:r w:rsidRPr="008360D1">
              <w:t>6</w:t>
            </w:r>
          </w:p>
        </w:tc>
        <w:tc>
          <w:tcPr>
            <w:tcW w:w="3410" w:type="dxa"/>
            <w:vAlign w:val="top"/>
          </w:tcPr>
          <w:p w14:paraId="07D00700" w14:textId="77777777" w:rsidR="00F35064" w:rsidRPr="008360D1" w:rsidRDefault="00F35064" w:rsidP="008360D1">
            <w:pPr>
              <w:pStyle w:val="TableNText"/>
            </w:pPr>
            <w:r w:rsidRPr="008360D1">
              <w:t>Greater patient choice in palliative care including:</w:t>
            </w:r>
          </w:p>
          <w:p w14:paraId="52A94239" w14:textId="41ACE6E0" w:rsidR="00F35064" w:rsidRPr="008360D1" w:rsidRDefault="00867704" w:rsidP="008360D1">
            <w:pPr>
              <w:pStyle w:val="TableNBullet"/>
              <w:numPr>
                <w:ilvl w:val="0"/>
                <w:numId w:val="4"/>
              </w:numPr>
            </w:pPr>
            <w:r w:rsidRPr="008360D1">
              <w:t>m</w:t>
            </w:r>
            <w:r w:rsidR="00F35064" w:rsidRPr="008360D1">
              <w:t>ore people dying where they want</w:t>
            </w:r>
          </w:p>
          <w:p w14:paraId="425E5987" w14:textId="0B1B34A4" w:rsidR="00F35064" w:rsidRPr="00A771A9" w:rsidRDefault="00867704" w:rsidP="008360D1">
            <w:pPr>
              <w:pStyle w:val="TableNBullet"/>
            </w:pPr>
            <w:r w:rsidRPr="008360D1">
              <w:t>i</w:t>
            </w:r>
            <w:r w:rsidR="00F35064" w:rsidRPr="008360D1">
              <w:t>ncreased person-centred care informed by an individual’s choice</w:t>
            </w:r>
            <w:r w:rsidRPr="008360D1">
              <w:t>.</w:t>
            </w:r>
          </w:p>
        </w:tc>
        <w:tc>
          <w:tcPr>
            <w:tcW w:w="5329" w:type="dxa"/>
            <w:vAlign w:val="top"/>
          </w:tcPr>
          <w:p w14:paraId="389D5B32" w14:textId="26E2A86C" w:rsidR="00F35064" w:rsidRPr="006B7E4B" w:rsidRDefault="00F35064" w:rsidP="00631353">
            <w:pPr>
              <w:pStyle w:val="TableNBullet"/>
            </w:pPr>
            <w:r w:rsidRPr="006B7E4B">
              <w:t>Increased proportion of RACF residents with advance care planning documents (</w:t>
            </w:r>
            <w:proofErr w:type="gramStart"/>
            <w:r w:rsidRPr="006B7E4B">
              <w:t>e.g.</w:t>
            </w:r>
            <w:proofErr w:type="gramEnd"/>
            <w:r w:rsidRPr="006B7E4B">
              <w:t xml:space="preserve"> Advance Care Plans or Advance Care Directives)</w:t>
            </w:r>
            <w:r w:rsidR="00867704" w:rsidRPr="006B7E4B">
              <w:t>.</w:t>
            </w:r>
          </w:p>
          <w:p w14:paraId="07C06E20" w14:textId="18E0D566" w:rsidR="00F35064" w:rsidRPr="006B7E4B" w:rsidRDefault="00F35064" w:rsidP="00631353">
            <w:pPr>
              <w:pStyle w:val="TableNBullet"/>
            </w:pPr>
            <w:r w:rsidRPr="006B7E4B">
              <w:t>Increased effectiveness and use of advance care planning documents (</w:t>
            </w:r>
            <w:proofErr w:type="gramStart"/>
            <w:r w:rsidRPr="006B7E4B">
              <w:t>e.g.</w:t>
            </w:r>
            <w:proofErr w:type="gramEnd"/>
            <w:r w:rsidRPr="006B7E4B">
              <w:t xml:space="preserve"> Advance Care Plans or Advance Care Directives) within RACFs</w:t>
            </w:r>
            <w:r w:rsidR="00867704" w:rsidRPr="006B7E4B">
              <w:t>.</w:t>
            </w:r>
          </w:p>
          <w:p w14:paraId="7C4D76BF" w14:textId="046776B6" w:rsidR="00F35064" w:rsidRPr="006B7E4B" w:rsidRDefault="00F35064" w:rsidP="00631353">
            <w:pPr>
              <w:pStyle w:val="TableNBullet"/>
            </w:pPr>
            <w:r w:rsidRPr="006B7E4B">
              <w:t>Increased number of RACFs that access palliative care provided by states/territory specialist services</w:t>
            </w:r>
            <w:r w:rsidR="00867704" w:rsidRPr="006B7E4B">
              <w:t>.</w:t>
            </w:r>
          </w:p>
          <w:p w14:paraId="42D17546" w14:textId="1041D0A1" w:rsidR="00F35064" w:rsidRPr="006B7E4B" w:rsidRDefault="00F35064" w:rsidP="00631353">
            <w:pPr>
              <w:pStyle w:val="TableNBullet"/>
            </w:pPr>
            <w:r w:rsidRPr="006B7E4B">
              <w:t>Decreased number of RACF residents dying in an acute care setting (</w:t>
            </w:r>
            <w:proofErr w:type="gramStart"/>
            <w:r w:rsidRPr="006B7E4B">
              <w:t>e.g.</w:t>
            </w:r>
            <w:proofErr w:type="gramEnd"/>
            <w:r w:rsidRPr="006B7E4B">
              <w:t xml:space="preserve"> hospital)</w:t>
            </w:r>
            <w:r w:rsidR="00867704" w:rsidRPr="006B7E4B">
              <w:t>.</w:t>
            </w:r>
          </w:p>
          <w:p w14:paraId="788CC9E1" w14:textId="47ED5FEB" w:rsidR="00F35064" w:rsidRPr="000A5475" w:rsidRDefault="00F35064" w:rsidP="00631353">
            <w:pPr>
              <w:pStyle w:val="TableNBullet"/>
              <w:rPr>
                <w:sz w:val="16"/>
                <w:szCs w:val="16"/>
              </w:rPr>
            </w:pPr>
            <w:r w:rsidRPr="006B7E4B">
              <w:t>Decreased number of RACF residents admitted to an acute care facility for palliative care</w:t>
            </w:r>
            <w:r w:rsidR="00867704" w:rsidRPr="006B7E4B">
              <w:t>.</w:t>
            </w:r>
          </w:p>
        </w:tc>
      </w:tr>
      <w:tr w:rsidR="00F35064" w:rsidRPr="009150F4" w14:paraId="3D8BF5C2" w14:textId="77777777" w:rsidTr="00631353">
        <w:trPr>
          <w:cnfStyle w:val="000000010000" w:firstRow="0" w:lastRow="0" w:firstColumn="0" w:lastColumn="0" w:oddVBand="0" w:evenVBand="0" w:oddHBand="0" w:evenHBand="1" w:firstRowFirstColumn="0" w:firstRowLastColumn="0" w:lastRowFirstColumn="0" w:lastRowLastColumn="0"/>
        </w:trPr>
        <w:tc>
          <w:tcPr>
            <w:tcW w:w="9100" w:type="dxa"/>
            <w:gridSpan w:val="3"/>
            <w:shd w:val="clear" w:color="auto" w:fill="E6E6E1" w:themeFill="accent5"/>
            <w:vAlign w:val="top"/>
          </w:tcPr>
          <w:p w14:paraId="77C0E130" w14:textId="41D0129D" w:rsidR="00F35064" w:rsidRPr="00A771A9" w:rsidRDefault="00F35064" w:rsidP="006B7E4B">
            <w:pPr>
              <w:pStyle w:val="TableNheader"/>
            </w:pPr>
            <w:r w:rsidRPr="00A771A9">
              <w:t>Collaboration</w:t>
            </w:r>
          </w:p>
        </w:tc>
      </w:tr>
      <w:tr w:rsidR="00F35064" w:rsidRPr="009150F4" w14:paraId="2F5EAB0D" w14:textId="77777777" w:rsidTr="00585FD6">
        <w:trPr>
          <w:cnfStyle w:val="000000100000" w:firstRow="0" w:lastRow="0" w:firstColumn="0" w:lastColumn="0" w:oddVBand="0" w:evenVBand="0" w:oddHBand="1" w:evenHBand="0" w:firstRowFirstColumn="0" w:firstRowLastColumn="0" w:lastRowFirstColumn="0" w:lastRowLastColumn="0"/>
        </w:trPr>
        <w:tc>
          <w:tcPr>
            <w:tcW w:w="361" w:type="dxa"/>
            <w:vAlign w:val="top"/>
          </w:tcPr>
          <w:p w14:paraId="3D5FEF1D" w14:textId="6666EC72" w:rsidR="00F35064" w:rsidRPr="006B7E4B" w:rsidRDefault="00F35064" w:rsidP="006B7E4B">
            <w:pPr>
              <w:pStyle w:val="TableNText"/>
            </w:pPr>
            <w:r w:rsidRPr="006B7E4B">
              <w:t>7</w:t>
            </w:r>
          </w:p>
        </w:tc>
        <w:tc>
          <w:tcPr>
            <w:tcW w:w="3410" w:type="dxa"/>
            <w:vAlign w:val="top"/>
          </w:tcPr>
          <w:p w14:paraId="24650AFF" w14:textId="78859362" w:rsidR="00F35064" w:rsidRPr="006B7E4B" w:rsidRDefault="00F35064" w:rsidP="006B7E4B">
            <w:pPr>
              <w:pStyle w:val="TableNText"/>
            </w:pPr>
            <w:r w:rsidRPr="006B7E4B">
              <w:t>Improved care coordination with GPs/primary care, acute care services and specialist palliative care services</w:t>
            </w:r>
            <w:r w:rsidR="00867704" w:rsidRPr="006B7E4B">
              <w:t>.</w:t>
            </w:r>
          </w:p>
        </w:tc>
        <w:tc>
          <w:tcPr>
            <w:tcW w:w="5329" w:type="dxa"/>
            <w:vAlign w:val="top"/>
          </w:tcPr>
          <w:p w14:paraId="53639BD9" w14:textId="001E538D" w:rsidR="00F35064" w:rsidRPr="006B7E4B" w:rsidRDefault="00F35064" w:rsidP="00631353">
            <w:pPr>
              <w:pStyle w:val="TableNBullet"/>
            </w:pPr>
            <w:r w:rsidRPr="006B7E4B">
              <w:t xml:space="preserve">Increased number of Multidisciplinary Case Conferences by Medical Practitioners (Other Than Specialist or Consultant Physician) </w:t>
            </w:r>
            <w:r w:rsidR="00867704" w:rsidRPr="006B7E4B">
              <w:t>–</w:t>
            </w:r>
            <w:r w:rsidRPr="006B7E4B">
              <w:t xml:space="preserve"> (MBS items 735 to 758) in RACFs</w:t>
            </w:r>
            <w:r w:rsidR="00867704" w:rsidRPr="006B7E4B">
              <w:t xml:space="preserve">. </w:t>
            </w:r>
          </w:p>
        </w:tc>
      </w:tr>
      <w:tr w:rsidR="00F35064" w:rsidRPr="009150F4" w14:paraId="1079E784" w14:textId="77777777" w:rsidTr="00A01C2C">
        <w:trPr>
          <w:cnfStyle w:val="000000010000" w:firstRow="0" w:lastRow="0" w:firstColumn="0" w:lastColumn="0" w:oddVBand="0" w:evenVBand="0" w:oddHBand="0" w:evenHBand="1" w:firstRowFirstColumn="0" w:firstRowLastColumn="0" w:lastRowFirstColumn="0" w:lastRowLastColumn="0"/>
        </w:trPr>
        <w:tc>
          <w:tcPr>
            <w:tcW w:w="361" w:type="dxa"/>
            <w:vAlign w:val="top"/>
          </w:tcPr>
          <w:p w14:paraId="5DD4D5AE" w14:textId="1991663C" w:rsidR="00F35064" w:rsidRPr="006B7E4B" w:rsidRDefault="00F35064" w:rsidP="006B7E4B">
            <w:pPr>
              <w:pStyle w:val="TableNText"/>
            </w:pPr>
            <w:r w:rsidRPr="006B7E4B">
              <w:t>8</w:t>
            </w:r>
          </w:p>
        </w:tc>
        <w:tc>
          <w:tcPr>
            <w:tcW w:w="3410" w:type="dxa"/>
            <w:vAlign w:val="top"/>
          </w:tcPr>
          <w:p w14:paraId="49166ABF" w14:textId="725C49EF" w:rsidR="00F35064" w:rsidRPr="006B7E4B" w:rsidRDefault="00F35064" w:rsidP="006B7E4B">
            <w:pPr>
              <w:pStyle w:val="TableNText"/>
            </w:pPr>
            <w:r w:rsidRPr="006B7E4B">
              <w:t>Improved integration between the health and aged care systems</w:t>
            </w:r>
            <w:r w:rsidR="00A01C2C" w:rsidRPr="006B7E4B">
              <w:t>.</w:t>
            </w:r>
          </w:p>
        </w:tc>
        <w:tc>
          <w:tcPr>
            <w:tcW w:w="5329" w:type="dxa"/>
            <w:vAlign w:val="top"/>
          </w:tcPr>
          <w:p w14:paraId="7C0A08DC" w14:textId="5732AC68" w:rsidR="00F35064" w:rsidRPr="006B7E4B" w:rsidRDefault="00F35064" w:rsidP="00631353">
            <w:pPr>
              <w:pStyle w:val="TableNBullet"/>
            </w:pPr>
            <w:r w:rsidRPr="006B7E4B">
              <w:t>Decreased number of transfers from RACFs to acute care facilities</w:t>
            </w:r>
            <w:r w:rsidR="00A01C2C" w:rsidRPr="006B7E4B">
              <w:t>.</w:t>
            </w:r>
          </w:p>
          <w:p w14:paraId="2802DA35" w14:textId="4E0CEE18" w:rsidR="00F35064" w:rsidRPr="006B7E4B" w:rsidRDefault="00F35064" w:rsidP="00631353">
            <w:pPr>
              <w:pStyle w:val="TableNBullet"/>
            </w:pPr>
            <w:r w:rsidRPr="006B7E4B">
              <w:t>Decreased number of RACF residents admitted to an acute care facility for palliative care</w:t>
            </w:r>
            <w:r w:rsidR="00A01C2C" w:rsidRPr="006B7E4B">
              <w:t>.</w:t>
            </w:r>
          </w:p>
        </w:tc>
      </w:tr>
      <w:tr w:rsidR="00F35064" w:rsidRPr="009150F4" w14:paraId="22CE4D06" w14:textId="77777777" w:rsidTr="00A01C2C">
        <w:trPr>
          <w:cnfStyle w:val="000000100000" w:firstRow="0" w:lastRow="0" w:firstColumn="0" w:lastColumn="0" w:oddVBand="0" w:evenVBand="0" w:oddHBand="1" w:evenHBand="0" w:firstRowFirstColumn="0" w:firstRowLastColumn="0" w:lastRowFirstColumn="0" w:lastRowLastColumn="0"/>
        </w:trPr>
        <w:tc>
          <w:tcPr>
            <w:tcW w:w="361" w:type="dxa"/>
            <w:vAlign w:val="top"/>
          </w:tcPr>
          <w:p w14:paraId="2FB378A3" w14:textId="69C9BB70" w:rsidR="00F35064" w:rsidRPr="006B7E4B" w:rsidRDefault="00F35064" w:rsidP="006B7E4B">
            <w:pPr>
              <w:pStyle w:val="TableNText"/>
            </w:pPr>
            <w:r w:rsidRPr="006B7E4B">
              <w:t>9</w:t>
            </w:r>
          </w:p>
        </w:tc>
        <w:tc>
          <w:tcPr>
            <w:tcW w:w="3410" w:type="dxa"/>
            <w:vAlign w:val="top"/>
          </w:tcPr>
          <w:p w14:paraId="1327DC36" w14:textId="6116E02A" w:rsidR="00F35064" w:rsidRPr="006B7E4B" w:rsidRDefault="00F35064" w:rsidP="006B7E4B">
            <w:pPr>
              <w:pStyle w:val="TableNText"/>
            </w:pPr>
            <w:r w:rsidRPr="006B7E4B">
              <w:t xml:space="preserve">More palliative care services and health planners are informed by performance information on appropriateness, effectiveness, </w:t>
            </w:r>
            <w:proofErr w:type="gramStart"/>
            <w:r w:rsidRPr="006B7E4B">
              <w:t>efficiency</w:t>
            </w:r>
            <w:proofErr w:type="gramEnd"/>
            <w:r w:rsidRPr="006B7E4B">
              <w:t xml:space="preserve"> and outcomes</w:t>
            </w:r>
            <w:r w:rsidR="00A01C2C" w:rsidRPr="006B7E4B">
              <w:t>.</w:t>
            </w:r>
          </w:p>
        </w:tc>
        <w:tc>
          <w:tcPr>
            <w:tcW w:w="5329" w:type="dxa"/>
            <w:vAlign w:val="top"/>
          </w:tcPr>
          <w:p w14:paraId="7B37B2AB" w14:textId="3736E300" w:rsidR="00F35064" w:rsidRPr="006B7E4B" w:rsidRDefault="00410BAF" w:rsidP="00631353">
            <w:pPr>
              <w:pStyle w:val="TableNBullet"/>
            </w:pPr>
            <w:r w:rsidRPr="006B7E4B">
              <w:t xml:space="preserve">Increased number of providers/RACFs </w:t>
            </w:r>
            <w:r>
              <w:t>participating</w:t>
            </w:r>
            <w:r w:rsidRPr="006B7E4B">
              <w:t xml:space="preserve"> in PCOC.</w:t>
            </w:r>
          </w:p>
        </w:tc>
      </w:tr>
      <w:tr w:rsidR="00F35064" w:rsidRPr="009150F4" w14:paraId="0B82F2FB" w14:textId="77777777" w:rsidTr="00631353">
        <w:trPr>
          <w:cnfStyle w:val="000000010000" w:firstRow="0" w:lastRow="0" w:firstColumn="0" w:lastColumn="0" w:oddVBand="0" w:evenVBand="0" w:oddHBand="0" w:evenHBand="1" w:firstRowFirstColumn="0" w:firstRowLastColumn="0" w:lastRowFirstColumn="0" w:lastRowLastColumn="0"/>
        </w:trPr>
        <w:tc>
          <w:tcPr>
            <w:tcW w:w="9100" w:type="dxa"/>
            <w:gridSpan w:val="3"/>
            <w:shd w:val="clear" w:color="auto" w:fill="E6E6E1" w:themeFill="accent5"/>
            <w:vAlign w:val="top"/>
          </w:tcPr>
          <w:p w14:paraId="5F6D9F3E" w14:textId="5DC81A50" w:rsidR="00F35064" w:rsidRPr="006B7E4B" w:rsidRDefault="00F35064" w:rsidP="006B7E4B">
            <w:pPr>
              <w:pStyle w:val="TableNheader"/>
            </w:pPr>
            <w:r w:rsidRPr="006B7E4B">
              <w:t>Data and evidence</w:t>
            </w:r>
          </w:p>
        </w:tc>
      </w:tr>
      <w:tr w:rsidR="00F35064" w:rsidRPr="009150F4" w14:paraId="7C788844" w14:textId="77777777" w:rsidTr="00585FD6">
        <w:trPr>
          <w:cnfStyle w:val="000000100000" w:firstRow="0" w:lastRow="0" w:firstColumn="0" w:lastColumn="0" w:oddVBand="0" w:evenVBand="0" w:oddHBand="1" w:evenHBand="0" w:firstRowFirstColumn="0" w:firstRowLastColumn="0" w:lastRowFirstColumn="0" w:lastRowLastColumn="0"/>
        </w:trPr>
        <w:tc>
          <w:tcPr>
            <w:tcW w:w="361" w:type="dxa"/>
            <w:vAlign w:val="top"/>
          </w:tcPr>
          <w:p w14:paraId="39B0386A" w14:textId="60A64514" w:rsidR="00F35064" w:rsidRPr="006B7E4B" w:rsidRDefault="00F35064" w:rsidP="006B7E4B">
            <w:pPr>
              <w:pStyle w:val="TableNText"/>
            </w:pPr>
            <w:r w:rsidRPr="006B7E4B">
              <w:lastRenderedPageBreak/>
              <w:t>10</w:t>
            </w:r>
          </w:p>
        </w:tc>
        <w:tc>
          <w:tcPr>
            <w:tcW w:w="3410" w:type="dxa"/>
            <w:vAlign w:val="top"/>
          </w:tcPr>
          <w:p w14:paraId="3870FAF2" w14:textId="769B7B1D" w:rsidR="00F35064" w:rsidRPr="006B7E4B" w:rsidRDefault="00F35064" w:rsidP="006B7E4B">
            <w:pPr>
              <w:pStyle w:val="TableNText"/>
            </w:pPr>
            <w:r w:rsidRPr="006B7E4B">
              <w:t>Improved clinical governance to identify and implement quality improvement initiatives and evaluation of outcomes within RACFs</w:t>
            </w:r>
            <w:r w:rsidR="00A01C2C" w:rsidRPr="006B7E4B">
              <w:t>.</w:t>
            </w:r>
          </w:p>
        </w:tc>
        <w:tc>
          <w:tcPr>
            <w:tcW w:w="5329" w:type="dxa"/>
            <w:vAlign w:val="top"/>
          </w:tcPr>
          <w:p w14:paraId="6157F7D8" w14:textId="45CEFFDF" w:rsidR="00F35064" w:rsidRPr="006B7E4B" w:rsidRDefault="00F35064" w:rsidP="00631353">
            <w:pPr>
              <w:pStyle w:val="TableNBullet"/>
            </w:pPr>
            <w:r w:rsidRPr="006B7E4B">
              <w:t>Increased number of RACFs that implement quality improvement activities to improve palliative care</w:t>
            </w:r>
            <w:r w:rsidR="00A01C2C" w:rsidRPr="006B7E4B">
              <w:t>.</w:t>
            </w:r>
          </w:p>
          <w:p w14:paraId="06CC02D2" w14:textId="313ADD10" w:rsidR="00F35064" w:rsidRPr="006B7E4B" w:rsidRDefault="00F35064" w:rsidP="00631353">
            <w:pPr>
              <w:pStyle w:val="TableNBullet"/>
            </w:pPr>
            <w:r w:rsidRPr="006B7E4B">
              <w:t>Decreased number of complaints received by the Aged Care Quality and Safety Commission from residents and families related to palliative care</w:t>
            </w:r>
            <w:r w:rsidR="00A01C2C" w:rsidRPr="006B7E4B">
              <w:t>.</w:t>
            </w:r>
          </w:p>
          <w:p w14:paraId="5B94F499" w14:textId="3A3F7A7E" w:rsidR="00F35064" w:rsidRPr="006B7E4B" w:rsidRDefault="00F35064" w:rsidP="00631353">
            <w:pPr>
              <w:pStyle w:val="TableNBullet"/>
            </w:pPr>
            <w:r w:rsidRPr="006B7E4B">
              <w:t>Increased number of RACFs that have a policy in place and monitored to ensure that all staff (including casuals) uptake available training/education opportunities to improve their understanding about palliative care</w:t>
            </w:r>
            <w:r w:rsidR="00A01C2C" w:rsidRPr="006B7E4B">
              <w:t>.</w:t>
            </w:r>
          </w:p>
        </w:tc>
      </w:tr>
    </w:tbl>
    <w:p w14:paraId="5E9A62A2" w14:textId="18A6FC8E" w:rsidR="006D4DE5" w:rsidRDefault="006D4DE5" w:rsidP="006D4DE5">
      <w:pPr>
        <w:pStyle w:val="Heading4"/>
      </w:pPr>
      <w:r>
        <w:t>Cost effectiveness analysis</w:t>
      </w:r>
    </w:p>
    <w:p w14:paraId="792AC3E8" w14:textId="53BA92D0" w:rsidR="006D4DE5" w:rsidRDefault="006D4DE5" w:rsidP="006D4DE5">
      <w:pPr>
        <w:rPr>
          <w:lang w:eastAsia="en-AU"/>
        </w:rPr>
      </w:pPr>
      <w:r>
        <w:rPr>
          <w:lang w:eastAsia="en-AU"/>
        </w:rPr>
        <w:t>Nous</w:t>
      </w:r>
      <w:r w:rsidR="003E2E40">
        <w:rPr>
          <w:lang w:eastAsia="en-AU"/>
        </w:rPr>
        <w:t xml:space="preserve"> will use cost-effectiveness analysis to assess </w:t>
      </w:r>
      <w:r w:rsidR="00E176D9">
        <w:rPr>
          <w:lang w:eastAsia="en-AU"/>
        </w:rPr>
        <w:t xml:space="preserve">the </w:t>
      </w:r>
      <w:r w:rsidR="00E13297">
        <w:rPr>
          <w:lang w:eastAsia="en-AU"/>
        </w:rPr>
        <w:t xml:space="preserve">broader cost implication of the Measure, including whether it has led to decreased expenditure in other parts of the health system. </w:t>
      </w:r>
      <w:r>
        <w:rPr>
          <w:lang w:eastAsia="en-AU"/>
        </w:rPr>
        <w:t xml:space="preserve">Nous has considered the following </w:t>
      </w:r>
      <w:r w:rsidR="003B0D8A">
        <w:rPr>
          <w:lang w:eastAsia="en-AU"/>
        </w:rPr>
        <w:t>in designing</w:t>
      </w:r>
      <w:r>
        <w:rPr>
          <w:lang w:eastAsia="en-AU"/>
        </w:rPr>
        <w:t xml:space="preserve"> the cost-effectiveness analysis described below:</w:t>
      </w:r>
    </w:p>
    <w:p w14:paraId="68CD48EC" w14:textId="3D6A5F71" w:rsidR="006D4DE5" w:rsidRDefault="006D4DE5" w:rsidP="006D4DE5">
      <w:pPr>
        <w:pStyle w:val="Bullet"/>
      </w:pPr>
      <w:r>
        <w:t xml:space="preserve">Each jurisdiction is taking substantially different approaches to implement the Measure. For example, South Australia is using funding in a limited set of RACFs while NSW is providing equal funding to all LHDs which are then developing their own initiatives. Aggregating and comparing the cost-effectiveness of the different implementations is challenging. </w:t>
      </w:r>
    </w:p>
    <w:p w14:paraId="7D39EC18" w14:textId="5128F8D0" w:rsidR="006D4DE5" w:rsidRDefault="006D4DE5" w:rsidP="006D4DE5">
      <w:pPr>
        <w:pStyle w:val="Bullet"/>
      </w:pPr>
      <w:r>
        <w:t>Costs and cost savings associated with the Measure are spread over several health services including RACFs, hospitals, ambulances, medication and other medical services (</w:t>
      </w:r>
      <w:proofErr w:type="gramStart"/>
      <w:r>
        <w:t>e.g.</w:t>
      </w:r>
      <w:proofErr w:type="gramEnd"/>
      <w:r>
        <w:t xml:space="preserve"> GP visits). </w:t>
      </w:r>
      <w:r w:rsidR="000F5CEA">
        <w:t>Given the available data, it is no</w:t>
      </w:r>
      <w:r w:rsidR="00535E1E">
        <w:t>t</w:t>
      </w:r>
      <w:r w:rsidR="000F5CEA">
        <w:t xml:space="preserve"> possible</w:t>
      </w:r>
      <w:r>
        <w:t xml:space="preserve"> to comprehensively collate costs across these services and attribute them to the Measure</w:t>
      </w:r>
      <w:r w:rsidR="00535E1E">
        <w:t>. This would</w:t>
      </w:r>
      <w:r>
        <w:t xml:space="preserve"> require linking data from a variety of sources. </w:t>
      </w:r>
    </w:p>
    <w:p w14:paraId="426F5BF2" w14:textId="60DC193A" w:rsidR="006D4DE5" w:rsidRDefault="006D4DE5" w:rsidP="006D4DE5">
      <w:pPr>
        <w:pStyle w:val="Bullet"/>
      </w:pPr>
      <w:r>
        <w:t xml:space="preserve">Ultimately, the Measure seeks to improve the quality of death experienced by RACF residents. Nous does not believe it is possible to economically quantify the quality of death experienced by </w:t>
      </w:r>
      <w:r w:rsidR="00911FBC">
        <w:t>residents</w:t>
      </w:r>
      <w:r>
        <w:t>. This limits the ability to conduct analyses that account for the differential patient outcomes that are achieved under the Measure</w:t>
      </w:r>
      <w:r w:rsidR="00CD5187">
        <w:t xml:space="preserve"> (</w:t>
      </w:r>
      <w:proofErr w:type="gramStart"/>
      <w:r w:rsidR="004572A5">
        <w:t>e.g.</w:t>
      </w:r>
      <w:proofErr w:type="gramEnd"/>
      <w:r w:rsidR="00CD5187">
        <w:t xml:space="preserve"> using standard health economics methods such as </w:t>
      </w:r>
      <w:r w:rsidR="000B4FDD">
        <w:t>Quality-Adjusted Life Years</w:t>
      </w:r>
      <w:r w:rsidR="007E5B21">
        <w:t>, which are not appropriate in this context</w:t>
      </w:r>
      <w:r w:rsidR="00CD5187">
        <w:t>)</w:t>
      </w:r>
      <w:r>
        <w:t xml:space="preserve">. </w:t>
      </w:r>
    </w:p>
    <w:p w14:paraId="501E9BF1" w14:textId="055C9019" w:rsidR="006D4DE5" w:rsidRDefault="006D4DE5" w:rsidP="006D4DE5">
      <w:pPr>
        <w:pStyle w:val="Bullet"/>
      </w:pPr>
      <w:r w:rsidRPr="008E4B12">
        <w:t xml:space="preserve">While “saving money” is not the primary aim of the Measure, a reduction in expensive, unnecessary interventions, or interventions that provide minimal improvement in outcomes, </w:t>
      </w:r>
      <w:r w:rsidR="006B0915">
        <w:t>is</w:t>
      </w:r>
      <w:r w:rsidRPr="008E4B12">
        <w:t xml:space="preserve"> an indicator that resources are being used more appropriately without significant impact on outcomes</w:t>
      </w:r>
      <w:r w:rsidR="00121EA2" w:rsidRPr="00A771A9">
        <w:t>.</w:t>
      </w:r>
    </w:p>
    <w:p w14:paraId="53215294" w14:textId="63A8337C" w:rsidR="006D4DE5" w:rsidRDefault="006D4DE5" w:rsidP="006D4DE5">
      <w:pPr>
        <w:rPr>
          <w:lang w:eastAsia="en-AU"/>
        </w:rPr>
      </w:pPr>
      <w:r>
        <w:rPr>
          <w:lang w:eastAsia="en-AU"/>
        </w:rPr>
        <w:t xml:space="preserve">These considerations make clear that the results of the cost-effectiveness analysis need to be interpreted and communicated with care. </w:t>
      </w:r>
    </w:p>
    <w:p w14:paraId="285B8FCC" w14:textId="77777777" w:rsidR="00292D94" w:rsidRDefault="006D4DE5" w:rsidP="006D4DE5">
      <w:pPr>
        <w:rPr>
          <w:lang w:eastAsia="en-AU"/>
        </w:rPr>
      </w:pPr>
      <w:r>
        <w:rPr>
          <w:lang w:eastAsia="en-AU"/>
        </w:rPr>
        <w:t xml:space="preserve">Nous is seeking to take two approaches to assess the cost-effectiveness of the Measure: </w:t>
      </w:r>
    </w:p>
    <w:p w14:paraId="39C3BF90" w14:textId="32AE19E9" w:rsidR="00292D94" w:rsidRDefault="006C0A6C" w:rsidP="00E60659">
      <w:pPr>
        <w:pStyle w:val="Bullet"/>
      </w:pPr>
      <w:r w:rsidRPr="00A771A9">
        <w:t>c</w:t>
      </w:r>
      <w:r w:rsidR="006D4DE5" w:rsidRPr="00A771A9">
        <w:t>omprehensive</w:t>
      </w:r>
      <w:r w:rsidR="006D4DE5">
        <w:t xml:space="preserve"> comparison of costs under the Measure compared with the “do nothing scenario” </w:t>
      </w:r>
    </w:p>
    <w:p w14:paraId="1A798D92" w14:textId="178946ED" w:rsidR="006D4DE5" w:rsidRDefault="006C0A6C" w:rsidP="00E60659">
      <w:pPr>
        <w:pStyle w:val="Bullet"/>
      </w:pPr>
      <w:r w:rsidRPr="00A771A9">
        <w:t>c</w:t>
      </w:r>
      <w:r w:rsidR="006D4DE5" w:rsidRPr="00A771A9">
        <w:t>ase</w:t>
      </w:r>
      <w:r w:rsidR="006D4DE5">
        <w:t xml:space="preserve"> study quantification of the cost implication of outcomes achieved. </w:t>
      </w:r>
    </w:p>
    <w:p w14:paraId="744EA34F" w14:textId="3CCFFF30" w:rsidR="00292D94" w:rsidRDefault="00292D94" w:rsidP="006D4DE5">
      <w:pPr>
        <w:rPr>
          <w:lang w:eastAsia="en-AU"/>
        </w:rPr>
      </w:pPr>
      <w:r>
        <w:rPr>
          <w:lang w:eastAsia="en-AU"/>
        </w:rPr>
        <w:t xml:space="preserve">Each are described below. </w:t>
      </w:r>
    </w:p>
    <w:p w14:paraId="0514B777" w14:textId="41BC6E0B" w:rsidR="006D4DE5" w:rsidRDefault="00292D94" w:rsidP="006D4DE5">
      <w:pPr>
        <w:pStyle w:val="Heading5"/>
      </w:pPr>
      <w:r>
        <w:t xml:space="preserve">Approach 1: </w:t>
      </w:r>
      <w:r w:rsidR="006D4DE5">
        <w:t>Comprehensive comparison of costs under the Measure compared with the “do nothing scenario”</w:t>
      </w:r>
    </w:p>
    <w:p w14:paraId="671BD6AE" w14:textId="285E5272" w:rsidR="006D4DE5" w:rsidRDefault="006D4DE5" w:rsidP="006D4DE5">
      <w:pPr>
        <w:rPr>
          <w:lang w:eastAsia="en-AU"/>
        </w:rPr>
      </w:pPr>
      <w:r>
        <w:rPr>
          <w:lang w:eastAsia="en-AU"/>
        </w:rPr>
        <w:t xml:space="preserve">Cost-effectiveness analysis will be used to assess whether the Measure leads to </w:t>
      </w:r>
      <w:proofErr w:type="gramStart"/>
      <w:r>
        <w:rPr>
          <w:lang w:eastAsia="en-AU"/>
        </w:rPr>
        <w:t>more or less expenditure</w:t>
      </w:r>
      <w:proofErr w:type="gramEnd"/>
      <w:r>
        <w:rPr>
          <w:lang w:eastAsia="en-AU"/>
        </w:rPr>
        <w:t xml:space="preserve"> overall. Nous will conduct this analysis by comparing the costs of the “do nothing” scenario in which the Measure is not implemented with the costs under the Measure. Nous intends to conduct this analysis in partnership with AIHW using the NIHSI-AA linked dataset. This will allow for a wide variety of costs to be included under both scenarios including transfers and time spent in hospital, items under the </w:t>
      </w:r>
      <w:r w:rsidRPr="00A771A9">
        <w:rPr>
          <w:lang w:eastAsia="en-AU"/>
        </w:rPr>
        <w:t>MB</w:t>
      </w:r>
      <w:r w:rsidR="00761AB0" w:rsidRPr="00A771A9">
        <w:rPr>
          <w:lang w:eastAsia="en-AU"/>
        </w:rPr>
        <w:t>S</w:t>
      </w:r>
      <w:r w:rsidRPr="00A771A9">
        <w:rPr>
          <w:lang w:eastAsia="en-AU"/>
        </w:rPr>
        <w:t xml:space="preserve"> and PBS and services in RACFs. </w:t>
      </w:r>
      <w:r>
        <w:rPr>
          <w:lang w:eastAsia="en-AU"/>
        </w:rPr>
        <w:t xml:space="preserve">Comparisons will also be undertaken to determine if </w:t>
      </w:r>
      <w:proofErr w:type="gramStart"/>
      <w:r>
        <w:rPr>
          <w:lang w:eastAsia="en-AU"/>
        </w:rPr>
        <w:t>particular activities</w:t>
      </w:r>
      <w:proofErr w:type="gramEnd"/>
      <w:r>
        <w:rPr>
          <w:lang w:eastAsia="en-AU"/>
        </w:rPr>
        <w:t xml:space="preserve"> or processes for implementing the Measure were more cost-efficient. </w:t>
      </w:r>
    </w:p>
    <w:p w14:paraId="77B1D8F3" w14:textId="15513245" w:rsidR="006D4DE5" w:rsidRPr="003436D3" w:rsidRDefault="006D4DE5" w:rsidP="006D4DE5">
      <w:r>
        <w:rPr>
          <w:lang w:eastAsia="en-AU"/>
        </w:rPr>
        <w:lastRenderedPageBreak/>
        <w:t xml:space="preserve">The cost-effectiveness analysis will </w:t>
      </w:r>
      <w:r w:rsidRPr="00DC2E0E">
        <w:rPr>
          <w:i/>
          <w:iCs/>
          <w:lang w:eastAsia="en-AU"/>
        </w:rPr>
        <w:t>not</w:t>
      </w:r>
      <w:r>
        <w:rPr>
          <w:lang w:eastAsia="en-AU"/>
        </w:rPr>
        <w:t xml:space="preserve"> quantify the value of the patient outcomes that may be achieved through the Measure. For example, the analysis will not estimate the monetary value of reduced symptom burden for residents receiving palliative care nor the lack of benefit or minimal benefit from expensive interventions near the </w:t>
      </w:r>
      <w:r w:rsidR="00AE070D">
        <w:rPr>
          <w:lang w:eastAsia="en-AU"/>
        </w:rPr>
        <w:t>end-of-life</w:t>
      </w:r>
      <w:r>
        <w:rPr>
          <w:lang w:eastAsia="en-AU"/>
        </w:rPr>
        <w:t>. These costs will be captured indirectly through the changes in hospital attendances and PBS scripts.</w:t>
      </w:r>
    </w:p>
    <w:p w14:paraId="326424BE" w14:textId="0D16A885" w:rsidR="006D4DE5" w:rsidRDefault="00292D94" w:rsidP="006D4DE5">
      <w:pPr>
        <w:pStyle w:val="Heading5"/>
      </w:pPr>
      <w:r>
        <w:t xml:space="preserve">Approach 2: </w:t>
      </w:r>
      <w:r w:rsidR="006D4DE5">
        <w:t>Case study quantification of the cost savings associated with outcomes achieved</w:t>
      </w:r>
    </w:p>
    <w:p w14:paraId="77240E3A" w14:textId="6D926E95" w:rsidR="006D4DE5" w:rsidRPr="00F71BA4" w:rsidRDefault="006D4DE5" w:rsidP="006D4DE5">
      <w:pPr>
        <w:rPr>
          <w:lang w:eastAsia="en-AU"/>
        </w:rPr>
      </w:pPr>
      <w:r>
        <w:rPr>
          <w:lang w:eastAsia="en-AU"/>
        </w:rPr>
        <w:t>Nous will also estimate cost savings associated with outcomes achieved under the Measure. For example, if the evaluation identifies fewer</w:t>
      </w:r>
      <w:r w:rsidRPr="009D526E">
        <w:rPr>
          <w:lang w:eastAsia="en-AU"/>
        </w:rPr>
        <w:t xml:space="preserve"> transfers from RACFs to acute care facilities</w:t>
      </w:r>
      <w:r>
        <w:rPr>
          <w:lang w:eastAsia="en-AU"/>
        </w:rPr>
        <w:t xml:space="preserve"> under the Measure (potentially in one or more jurisdictions), the evaluation will estimate approximate cost savings associated with fewer transfers using standard assumptions and </w:t>
      </w:r>
      <w:r w:rsidRPr="00A771A9">
        <w:rPr>
          <w:lang w:eastAsia="en-AU"/>
        </w:rPr>
        <w:t>cost</w:t>
      </w:r>
      <w:r>
        <w:rPr>
          <w:lang w:eastAsia="en-AU"/>
        </w:rPr>
        <w:t xml:space="preserve"> estimates from AIHW and the National Hospital Cost Data Collection (NHCDC) released by the Independent Hospital Pricing Authority. This approach will provide quantification of the cost savings associated with the Measure while also capturing the diversity of implementations and outcomes across the country. </w:t>
      </w:r>
      <w:r w:rsidR="00713F26">
        <w:rPr>
          <w:lang w:eastAsia="en-AU"/>
        </w:rPr>
        <w:t xml:space="preserve">It will also enable </w:t>
      </w:r>
      <w:r w:rsidR="00F7622C">
        <w:rPr>
          <w:lang w:eastAsia="en-AU"/>
        </w:rPr>
        <w:t xml:space="preserve">quantification of cost-savings </w:t>
      </w:r>
      <w:r w:rsidR="003B6935">
        <w:rPr>
          <w:lang w:eastAsia="en-AU"/>
        </w:rPr>
        <w:t>during</w:t>
      </w:r>
      <w:r w:rsidR="00F7622C">
        <w:rPr>
          <w:lang w:eastAsia="en-AU"/>
        </w:rPr>
        <w:t xml:space="preserve"> the </w:t>
      </w:r>
      <w:r w:rsidR="003B6935">
        <w:rPr>
          <w:lang w:eastAsia="en-AU"/>
        </w:rPr>
        <w:t xml:space="preserve">period where NIHSI-AA data is not yet available </w:t>
      </w:r>
      <w:r w:rsidR="00F7622C" w:rsidRPr="00F7622C">
        <w:rPr>
          <w:lang w:eastAsia="en-AU"/>
        </w:rPr>
        <w:t>(</w:t>
      </w:r>
      <w:r w:rsidR="003B6935">
        <w:rPr>
          <w:lang w:eastAsia="en-AU"/>
        </w:rPr>
        <w:t xml:space="preserve">approximately </w:t>
      </w:r>
      <w:r w:rsidR="00BC272B">
        <w:rPr>
          <w:lang w:eastAsia="en-AU"/>
        </w:rPr>
        <w:t>one-</w:t>
      </w:r>
      <w:r w:rsidR="00F7622C" w:rsidRPr="00F7622C">
        <w:rPr>
          <w:lang w:eastAsia="en-AU"/>
        </w:rPr>
        <w:t>year</w:t>
      </w:r>
      <w:r w:rsidR="003B6935">
        <w:rPr>
          <w:lang w:eastAsia="en-AU"/>
        </w:rPr>
        <w:t xml:space="preserve"> lag</w:t>
      </w:r>
      <w:r w:rsidR="00F7622C" w:rsidRPr="00F7622C">
        <w:rPr>
          <w:lang w:eastAsia="en-AU"/>
        </w:rPr>
        <w:t>)</w:t>
      </w:r>
      <w:r w:rsidR="003B6935">
        <w:rPr>
          <w:lang w:eastAsia="en-AU"/>
        </w:rPr>
        <w:t>.</w:t>
      </w:r>
    </w:p>
    <w:p w14:paraId="4E68143D" w14:textId="42A4BE37" w:rsidR="006D4DE5" w:rsidRPr="00DD2D24" w:rsidRDefault="006D4DE5" w:rsidP="006D4DE5">
      <w:pPr>
        <w:pStyle w:val="Heading2"/>
      </w:pPr>
      <w:bookmarkStart w:id="56" w:name="_Toc82767219"/>
      <w:r>
        <w:t>Data synthesis and triangulation</w:t>
      </w:r>
      <w:bookmarkEnd w:id="56"/>
    </w:p>
    <w:p w14:paraId="3F780DB4" w14:textId="60640F80" w:rsidR="006D4DE5" w:rsidRDefault="006D4DE5" w:rsidP="006D4DE5">
      <w:pPr>
        <w:rPr>
          <w:lang w:eastAsia="en-AU"/>
        </w:rPr>
      </w:pPr>
      <w:r>
        <w:rPr>
          <w:lang w:eastAsia="en-AU"/>
        </w:rPr>
        <w:t>Nous will collect a large volume of data from multiple sources during the evaluation. In each progress reporting period, Nous will present and</w:t>
      </w:r>
      <w:r w:rsidR="00306CCC" w:rsidRPr="00A771A9">
        <w:rPr>
          <w:lang w:eastAsia="en-AU"/>
        </w:rPr>
        <w:t>,</w:t>
      </w:r>
      <w:r>
        <w:rPr>
          <w:lang w:eastAsia="en-AU"/>
        </w:rPr>
        <w:t xml:space="preserve"> where possible</w:t>
      </w:r>
      <w:r w:rsidR="00306CCC" w:rsidRPr="00A771A9">
        <w:rPr>
          <w:lang w:eastAsia="en-AU"/>
        </w:rPr>
        <w:t>,</w:t>
      </w:r>
      <w:r>
        <w:rPr>
          <w:lang w:eastAsia="en-AU"/>
        </w:rPr>
        <w:t xml:space="preserve"> triangulate the latest data, with preliminary insights against KEQs. In the </w:t>
      </w:r>
      <w:r w:rsidR="00A50340">
        <w:rPr>
          <w:lang w:eastAsia="en-AU"/>
        </w:rPr>
        <w:t>Midpoint</w:t>
      </w:r>
      <w:r>
        <w:rPr>
          <w:lang w:eastAsia="en-AU"/>
        </w:rPr>
        <w:t xml:space="preserve">, </w:t>
      </w:r>
      <w:r w:rsidR="00A50340">
        <w:rPr>
          <w:lang w:eastAsia="en-AU"/>
        </w:rPr>
        <w:t>Interim</w:t>
      </w:r>
      <w:r>
        <w:rPr>
          <w:lang w:eastAsia="en-AU"/>
        </w:rPr>
        <w:t xml:space="preserve"> and </w:t>
      </w:r>
      <w:r w:rsidR="007D1236">
        <w:rPr>
          <w:lang w:eastAsia="en-AU"/>
        </w:rPr>
        <w:t>Final Report</w:t>
      </w:r>
      <w:r w:rsidR="00A50340">
        <w:rPr>
          <w:lang w:eastAsia="en-AU"/>
        </w:rPr>
        <w:t>,</w:t>
      </w:r>
      <w:r>
        <w:rPr>
          <w:lang w:eastAsia="en-AU"/>
        </w:rPr>
        <w:t xml:space="preserve"> Nous will use all data available to present a full consideration against the KEQs.</w:t>
      </w:r>
    </w:p>
    <w:p w14:paraId="7BB298E4" w14:textId="1C156A21" w:rsidR="006D4DE5" w:rsidRDefault="006D4DE5" w:rsidP="006D4DE5">
      <w:pPr>
        <w:rPr>
          <w:lang w:eastAsia="en-AU"/>
        </w:rPr>
      </w:pPr>
      <w:r>
        <w:rPr>
          <w:lang w:eastAsia="en-AU"/>
        </w:rPr>
        <w:t xml:space="preserve">A key consideration in the synthesis of data sources is how to determine contribution of activities in each jurisdiction to national outcomes and/or identify whether changes can be attributed to the Measure. </w:t>
      </w:r>
    </w:p>
    <w:p w14:paraId="3FA15296" w14:textId="1E17B2BC" w:rsidR="006D4DE5" w:rsidRDefault="006D4DE5" w:rsidP="006D4DE5">
      <w:pPr>
        <w:rPr>
          <w:lang w:eastAsia="en-AU"/>
        </w:rPr>
      </w:pPr>
      <w:r>
        <w:rPr>
          <w:lang w:eastAsia="en-AU"/>
        </w:rPr>
        <w:t>This is not experimental or quasi-experimental research, nor jurisdictional-level outcome evaluations. Nous will not determine what would have occurred without the Measure</w:t>
      </w:r>
      <w:r w:rsidR="00831A18">
        <w:rPr>
          <w:lang w:eastAsia="en-AU"/>
        </w:rPr>
        <w:t xml:space="preserve"> (except in relation to the cost effectiveness analysis)</w:t>
      </w:r>
      <w:r>
        <w:rPr>
          <w:lang w:eastAsia="en-AU"/>
        </w:rPr>
        <w:t>. Attribution or contribution is complicated by variable service delivery contexts and activities in each jurisdiction</w:t>
      </w:r>
      <w:r w:rsidR="00CE102A" w:rsidRPr="00A771A9">
        <w:rPr>
          <w:lang w:eastAsia="en-AU"/>
        </w:rPr>
        <w:t>,</w:t>
      </w:r>
      <w:r>
        <w:rPr>
          <w:lang w:eastAsia="en-AU"/>
        </w:rPr>
        <w:t xml:space="preserve"> and the complex drivers of improved palliative care in RACFs and carer/families experiences of death and dying. </w:t>
      </w:r>
    </w:p>
    <w:p w14:paraId="1253D673" w14:textId="75E76DF3" w:rsidR="006D4DE5" w:rsidRDefault="006D4DE5" w:rsidP="006D4DE5">
      <w:pPr>
        <w:rPr>
          <w:lang w:eastAsia="en-AU"/>
        </w:rPr>
      </w:pPr>
      <w:r>
        <w:rPr>
          <w:lang w:eastAsia="en-AU"/>
        </w:rPr>
        <w:t xml:space="preserve">Therefore, the focus will be on understanding the extent to which the aims of the Measure have been achieved – in terms of implementation success and challenges, progress on national outcomes over the period, </w:t>
      </w:r>
      <w:proofErr w:type="gramStart"/>
      <w:r>
        <w:rPr>
          <w:lang w:eastAsia="en-AU"/>
        </w:rPr>
        <w:t>cost-effectiveness</w:t>
      </w:r>
      <w:proofErr w:type="gramEnd"/>
      <w:r>
        <w:rPr>
          <w:lang w:eastAsia="en-AU"/>
        </w:rPr>
        <w:t xml:space="preserve"> and alignment to the National Palliative Care Strategy. Nous will remain across major national and jurisdictional policy reforms and local service contexts </w:t>
      </w:r>
      <w:proofErr w:type="gramStart"/>
      <w:r>
        <w:rPr>
          <w:lang w:eastAsia="en-AU"/>
        </w:rPr>
        <w:t>in order to</w:t>
      </w:r>
      <w:proofErr w:type="gramEnd"/>
      <w:r>
        <w:rPr>
          <w:lang w:eastAsia="en-AU"/>
        </w:rPr>
        <w:t xml:space="preserve"> accurately caveat or interpret findings as needed.</w:t>
      </w:r>
    </w:p>
    <w:p w14:paraId="6F158A30" w14:textId="28633BF7" w:rsidR="006D4DE5" w:rsidRDefault="006D4DE5" w:rsidP="006D4DE5"/>
    <w:p w14:paraId="344D80AF" w14:textId="6A33874B" w:rsidR="006D4DE5" w:rsidRDefault="006D4DE5" w:rsidP="006D4DE5">
      <w:pPr>
        <w:pStyle w:val="Heading1"/>
      </w:pPr>
      <w:bookmarkStart w:id="57" w:name="_Ref57898766"/>
      <w:bookmarkStart w:id="58" w:name="_Toc82767220"/>
      <w:r>
        <w:lastRenderedPageBreak/>
        <w:t>Stakeholder</w:t>
      </w:r>
      <w:bookmarkEnd w:id="57"/>
      <w:r>
        <w:t xml:space="preserve"> communication plan</w:t>
      </w:r>
      <w:bookmarkEnd w:id="58"/>
      <w:r>
        <w:t xml:space="preserve"> </w:t>
      </w:r>
    </w:p>
    <w:tbl>
      <w:tblPr>
        <w:tblStyle w:val="TableGrid"/>
        <w:tblW w:w="0" w:type="auto"/>
        <w:tblInd w:w="85" w:type="dxa"/>
        <w:tblBorders>
          <w:top w:val="none" w:sz="0" w:space="0" w:color="auto"/>
          <w:bottom w:val="none" w:sz="0" w:space="0" w:color="auto"/>
          <w:insideH w:val="none" w:sz="0" w:space="0" w:color="auto"/>
        </w:tblBorders>
        <w:shd w:val="clear" w:color="auto" w:fill="00264D" w:themeFill="background2"/>
        <w:tblLook w:val="0600" w:firstRow="0" w:lastRow="0" w:firstColumn="0" w:lastColumn="0" w:noHBand="1" w:noVBand="1"/>
        <w:tblCaption w:val="Overview of the stakeholder communication plan section"/>
        <w:tblDescription w:val="This section outlines the purpose and provides a plan for stakeholder engagement over the course of the evaluation including principles for stakeholde engagement, and a description of who will be consulted, when and how."/>
      </w:tblPr>
      <w:tblGrid>
        <w:gridCol w:w="1640"/>
        <w:gridCol w:w="7205"/>
      </w:tblGrid>
      <w:tr w:rsidR="00D1195D" w:rsidRPr="001D6B0A" w14:paraId="78FF2BDB" w14:textId="77777777" w:rsidTr="00D1195D">
        <w:tc>
          <w:tcPr>
            <w:tcW w:w="1640" w:type="dxa"/>
            <w:shd w:val="clear" w:color="auto" w:fill="FFFFFF" w:themeFill="background1"/>
          </w:tcPr>
          <w:p w14:paraId="6BE6A45E" w14:textId="77777777" w:rsidR="00D1195D" w:rsidRPr="00EC36A5" w:rsidRDefault="00D1195D" w:rsidP="00DB065F">
            <w:pPr>
              <w:pStyle w:val="TableNText"/>
            </w:pPr>
            <w:r w:rsidRPr="00877AD2">
              <w:rPr>
                <w:noProof/>
                <w:lang w:eastAsia="en-AU"/>
              </w:rPr>
              <w:drawing>
                <wp:inline distT="0" distB="0" distL="0" distR="0" wp14:anchorId="70426572" wp14:editId="3F114A8C">
                  <wp:extent cx="930302" cy="741040"/>
                  <wp:effectExtent l="0" t="0" r="3175" b="2540"/>
                  <wp:docPr id="27853" name="Picture 278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3" name="Picture 27853">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6137" cy="745688"/>
                          </a:xfrm>
                          <a:prstGeom prst="rect">
                            <a:avLst/>
                          </a:prstGeom>
                          <a:noFill/>
                          <a:ln>
                            <a:noFill/>
                          </a:ln>
                        </pic:spPr>
                      </pic:pic>
                    </a:graphicData>
                  </a:graphic>
                </wp:inline>
              </w:drawing>
            </w:r>
          </w:p>
        </w:tc>
        <w:tc>
          <w:tcPr>
            <w:tcW w:w="7743" w:type="dxa"/>
            <w:shd w:val="clear" w:color="auto" w:fill="00264D" w:themeFill="background2"/>
          </w:tcPr>
          <w:p w14:paraId="40F189FF" w14:textId="77777777" w:rsidR="00D1195D" w:rsidRDefault="00D1195D" w:rsidP="00D1195D">
            <w:pPr>
              <w:pStyle w:val="TableNText"/>
            </w:pPr>
            <w:r w:rsidRPr="00CF115B">
              <w:t xml:space="preserve">This section </w:t>
            </w:r>
            <w:r>
              <w:t xml:space="preserve">outlines the purpose and </w:t>
            </w:r>
            <w:r w:rsidRPr="00CF115B">
              <w:t xml:space="preserve">provides </w:t>
            </w:r>
            <w:r>
              <w:t>a plan for stakeholder engagement over the course of the evaluation. It includes:</w:t>
            </w:r>
          </w:p>
          <w:p w14:paraId="0D47D807" w14:textId="77777777" w:rsidR="00D1195D" w:rsidRDefault="00D1195D" w:rsidP="00D1195D">
            <w:pPr>
              <w:pStyle w:val="TableNBullet"/>
            </w:pPr>
            <w:r>
              <w:t>principles for stakeholder engagement</w:t>
            </w:r>
          </w:p>
          <w:p w14:paraId="0A3A4895" w14:textId="18373699" w:rsidR="00D1195D" w:rsidRPr="00EC36A5" w:rsidRDefault="00D1195D" w:rsidP="00D1195D">
            <w:pPr>
              <w:pStyle w:val="TableNBullet"/>
            </w:pPr>
            <w:r>
              <w:t>a description of who will be consulted, when and how.</w:t>
            </w:r>
          </w:p>
        </w:tc>
      </w:tr>
    </w:tbl>
    <w:p w14:paraId="75033C57" w14:textId="0BC7A75C" w:rsidR="006D4DE5" w:rsidRDefault="006D4DE5" w:rsidP="006D4DE5">
      <w:pPr>
        <w:pStyle w:val="Heading2"/>
      </w:pPr>
      <w:bookmarkStart w:id="59" w:name="_Ref61452729"/>
      <w:bookmarkStart w:id="60" w:name="_Toc82767221"/>
      <w:r>
        <w:t>Principles for engagement</w:t>
      </w:r>
      <w:bookmarkEnd w:id="59"/>
      <w:bookmarkEnd w:id="60"/>
    </w:p>
    <w:p w14:paraId="229D423A" w14:textId="0E308F05" w:rsidR="006D4DE5" w:rsidRDefault="006D4DE5" w:rsidP="006D4DE5">
      <w:r>
        <w:t xml:space="preserve">Engagement is a critical component of the evaluation. It will provide insights from the Australian Government, </w:t>
      </w:r>
      <w:proofErr w:type="gramStart"/>
      <w:r>
        <w:t>state</w:t>
      </w:r>
      <w:proofErr w:type="gramEnd"/>
      <w:r>
        <w:t xml:space="preserve"> and territory governments, RACFs, </w:t>
      </w:r>
      <w:r w:rsidR="006E7285">
        <w:t>palliative care</w:t>
      </w:r>
      <w:r w:rsidR="0009291A">
        <w:t xml:space="preserve"> </w:t>
      </w:r>
      <w:r w:rsidR="006E7285">
        <w:t>clinicians</w:t>
      </w:r>
      <w:r w:rsidR="0009291A">
        <w:t>,</w:t>
      </w:r>
      <w:r>
        <w:t xml:space="preserve"> </w:t>
      </w:r>
      <w:r w:rsidR="0009291A">
        <w:t xml:space="preserve">GPs, </w:t>
      </w:r>
      <w:r w:rsidR="005C177D">
        <w:t>PHNs</w:t>
      </w:r>
      <w:r w:rsidR="00016751">
        <w:t xml:space="preserve">, </w:t>
      </w:r>
      <w:r w:rsidR="0009291A">
        <w:t>f</w:t>
      </w:r>
      <w:r w:rsidR="006E7285">
        <w:t xml:space="preserve">amilies and carers, </w:t>
      </w:r>
      <w:r>
        <w:t>peak bodies and others on the success of the Measure in achieving its stated aims. The objectives of engagement are to:</w:t>
      </w:r>
    </w:p>
    <w:p w14:paraId="060267B1" w14:textId="7FF1218F" w:rsidR="006D4DE5" w:rsidRDefault="006D4DE5" w:rsidP="006D4DE5">
      <w:pPr>
        <w:pStyle w:val="Bullet"/>
      </w:pPr>
      <w:r>
        <w:t>understand how the Measure is implemented in practice, from a range of perspectives</w:t>
      </w:r>
    </w:p>
    <w:p w14:paraId="2550A2C1" w14:textId="77777777" w:rsidR="006D4DE5" w:rsidRDefault="006D4DE5" w:rsidP="006D4DE5">
      <w:pPr>
        <w:pStyle w:val="Bullet"/>
      </w:pPr>
      <w:r>
        <w:t>contextualise and validate insights from other qualitative and quantitative data sources</w:t>
      </w:r>
    </w:p>
    <w:p w14:paraId="21809B75" w14:textId="74C271CC" w:rsidR="006D4DE5" w:rsidRDefault="006D4DE5" w:rsidP="006D4DE5">
      <w:pPr>
        <w:pStyle w:val="Bullet"/>
      </w:pPr>
      <w:r>
        <w:t>inform the KEQs and identify areas for improvement.</w:t>
      </w:r>
    </w:p>
    <w:p w14:paraId="00F44C04" w14:textId="1C17DE91" w:rsidR="006D4DE5" w:rsidRDefault="006D4DE5" w:rsidP="006D4DE5">
      <w:pPr>
        <w:rPr>
          <w:lang w:eastAsia="en-AU"/>
        </w:rPr>
      </w:pPr>
      <w:r>
        <w:rPr>
          <w:lang w:eastAsia="en-AU"/>
        </w:rPr>
        <w:t xml:space="preserve">Six principles will underpin the design and conduct of engagements: </w:t>
      </w:r>
    </w:p>
    <w:p w14:paraId="3714F212" w14:textId="05A9CE4A" w:rsidR="006D4DE5" w:rsidRDefault="006D4DE5" w:rsidP="006D4DE5">
      <w:pPr>
        <w:pStyle w:val="Bullet"/>
      </w:pPr>
      <w:r w:rsidRPr="001D59E4">
        <w:rPr>
          <w:rFonts w:asciiTheme="majorHAnsi" w:hAnsiTheme="majorHAnsi" w:cstheme="majorHAnsi"/>
          <w:color w:val="00264D" w:themeColor="background2"/>
        </w:rPr>
        <w:t>Confidential</w:t>
      </w:r>
      <w:r>
        <w:t xml:space="preserve"> – Stakeholders may have a vested interest in the outcome of the review. Communication will maintain confidentiality and not disclose sensitive information.</w:t>
      </w:r>
    </w:p>
    <w:p w14:paraId="3997745B" w14:textId="1D41BFCF" w:rsidR="006D4DE5" w:rsidRDefault="006D4DE5" w:rsidP="006D4DE5">
      <w:pPr>
        <w:pStyle w:val="Bullet"/>
      </w:pPr>
      <w:r w:rsidRPr="001D59E4">
        <w:rPr>
          <w:rFonts w:asciiTheme="majorHAnsi" w:hAnsiTheme="majorHAnsi" w:cstheme="majorHAnsi"/>
          <w:color w:val="00264D" w:themeColor="background2"/>
        </w:rPr>
        <w:t xml:space="preserve">Consistent </w:t>
      </w:r>
      <w:r>
        <w:t>– Nous will engage with many</w:t>
      </w:r>
      <w:r w:rsidDel="004866C4">
        <w:t xml:space="preserve"> </w:t>
      </w:r>
      <w:r>
        <w:t>RACFs over the course of the review. Communications and engagement will have a consistent format and brand so that there is a single source of truth.</w:t>
      </w:r>
    </w:p>
    <w:p w14:paraId="77CFBD32" w14:textId="2287FD06" w:rsidR="006D4DE5" w:rsidRDefault="006D4DE5" w:rsidP="006D4DE5">
      <w:pPr>
        <w:pStyle w:val="Bullet"/>
      </w:pPr>
      <w:r w:rsidRPr="001D59E4">
        <w:rPr>
          <w:rFonts w:asciiTheme="majorHAnsi" w:hAnsiTheme="majorHAnsi" w:cstheme="majorHAnsi"/>
          <w:color w:val="00264D" w:themeColor="background2"/>
        </w:rPr>
        <w:t xml:space="preserve">Purposeful </w:t>
      </w:r>
      <w:r>
        <w:t>– It is important to begin every engagement with a clear sense of what Nous wants to achieve. Outlining a purpose in advance allows stakeholders to contribute meaningfully.</w:t>
      </w:r>
    </w:p>
    <w:p w14:paraId="779A274A" w14:textId="345D93B8" w:rsidR="006D4DE5" w:rsidRDefault="006D4DE5" w:rsidP="006D4DE5">
      <w:pPr>
        <w:pStyle w:val="Bullet"/>
      </w:pPr>
      <w:r w:rsidRPr="001D59E4">
        <w:rPr>
          <w:rFonts w:asciiTheme="majorHAnsi" w:hAnsiTheme="majorHAnsi" w:cstheme="majorHAnsi"/>
          <w:color w:val="00264D" w:themeColor="background2"/>
        </w:rPr>
        <w:t xml:space="preserve">Respectful </w:t>
      </w:r>
      <w:r>
        <w:t>– Stakeholders’ expertise and experiences are critical. Nous will always listen first and be respectful where opinions may differ.</w:t>
      </w:r>
    </w:p>
    <w:p w14:paraId="0D30E920" w14:textId="6E2A7BF5" w:rsidR="006D4DE5" w:rsidRDefault="006D4DE5" w:rsidP="006D4DE5">
      <w:pPr>
        <w:pStyle w:val="Bullet"/>
      </w:pPr>
      <w:r w:rsidRPr="001D59E4">
        <w:rPr>
          <w:rFonts w:asciiTheme="majorHAnsi" w:hAnsiTheme="majorHAnsi" w:cstheme="majorHAnsi"/>
          <w:color w:val="00264D" w:themeColor="background2"/>
        </w:rPr>
        <w:t>Culturally appropriate</w:t>
      </w:r>
      <w:r>
        <w:t xml:space="preserve"> – Nous will ensure all engagements are culturally appropriate and that diverse perspectives are included in the evaluation. This includes understanding and respecting differing viewpoints and ideas.</w:t>
      </w:r>
    </w:p>
    <w:p w14:paraId="79EAEB41" w14:textId="77777777" w:rsidR="006D4DE5" w:rsidRDefault="006D4DE5" w:rsidP="006D4DE5">
      <w:pPr>
        <w:pStyle w:val="Bullet"/>
      </w:pPr>
      <w:r w:rsidRPr="001D59E4">
        <w:rPr>
          <w:rFonts w:asciiTheme="majorHAnsi" w:hAnsiTheme="majorHAnsi" w:cstheme="majorHAnsi"/>
          <w:color w:val="00264D" w:themeColor="background2"/>
        </w:rPr>
        <w:t>Sensitive</w:t>
      </w:r>
      <w:r>
        <w:t xml:space="preserve"> – Nous will undertake engagement that is sensitive and compassionate, particularly for engagement with families and carers who may have recently lost a loved one. </w:t>
      </w:r>
    </w:p>
    <w:p w14:paraId="2C6D0196" w14:textId="273B7A0F" w:rsidR="006D4DE5" w:rsidRDefault="006D4DE5" w:rsidP="006D4DE5">
      <w:r>
        <w:t xml:space="preserve">Many of the principles above – including sensitive and cultural appropriate engagement – are key tenets of ethical consultations. Refer to </w:t>
      </w:r>
      <w:r w:rsidR="0079394A" w:rsidRPr="00A771A9">
        <w:t>s</w:t>
      </w:r>
      <w:r w:rsidRPr="00A771A9">
        <w:t>ection</w:t>
      </w:r>
      <w:r>
        <w:t xml:space="preserve"> </w:t>
      </w:r>
      <w:r>
        <w:fldChar w:fldCharType="begin"/>
      </w:r>
      <w:r>
        <w:instrText xml:space="preserve"> REF _Ref58570238 \r \h </w:instrText>
      </w:r>
      <w:r>
        <w:fldChar w:fldCharType="separate"/>
      </w:r>
      <w:r w:rsidR="00DF258C">
        <w:t>9</w:t>
      </w:r>
      <w:r>
        <w:fldChar w:fldCharType="end"/>
      </w:r>
      <w:r>
        <w:t xml:space="preserve"> for information on ethics.</w:t>
      </w:r>
    </w:p>
    <w:p w14:paraId="1A0941D2" w14:textId="50AB948D" w:rsidR="006D4DE5" w:rsidRDefault="006D4DE5" w:rsidP="006D4DE5">
      <w:pPr>
        <w:pStyle w:val="Heading2"/>
      </w:pPr>
      <w:bookmarkStart w:id="61" w:name="_Toc82767222"/>
      <w:r>
        <w:t>Stakeholder communication plan</w:t>
      </w:r>
      <w:bookmarkEnd w:id="61"/>
    </w:p>
    <w:p w14:paraId="6FDA0604" w14:textId="3D91C4DD" w:rsidR="006D4DE5" w:rsidRPr="001843B1" w:rsidRDefault="006D4DE5" w:rsidP="006D4DE5">
      <w:pPr>
        <w:rPr>
          <w:lang w:eastAsia="en-AU"/>
        </w:rPr>
      </w:pPr>
      <w:r>
        <w:rPr>
          <w:lang w:eastAsia="en-AU"/>
        </w:rPr>
        <w:t xml:space="preserve">Nous will engage with a range of stakeholders over the course of the evaluation. Engagements will inform comprehensive findings and </w:t>
      </w:r>
      <w:r w:rsidRPr="001843B1">
        <w:rPr>
          <w:lang w:eastAsia="en-AU"/>
        </w:rPr>
        <w:t xml:space="preserve">help to ensure that Nous interprets information accurately. </w:t>
      </w:r>
    </w:p>
    <w:p w14:paraId="15BEEF0A" w14:textId="455772B9" w:rsidR="006D4DE5" w:rsidRPr="00416273" w:rsidRDefault="006D4DE5" w:rsidP="006D4DE5">
      <w:pPr>
        <w:rPr>
          <w:lang w:eastAsia="en-AU"/>
        </w:rPr>
      </w:pPr>
      <w:r w:rsidRPr="001843B1">
        <w:rPr>
          <w:lang w:eastAsia="en-AU"/>
        </w:rPr>
        <w:fldChar w:fldCharType="begin"/>
      </w:r>
      <w:r w:rsidRPr="001843B1">
        <w:rPr>
          <w:lang w:eastAsia="en-AU"/>
        </w:rPr>
        <w:instrText xml:space="preserve"> REF _Ref58844472 \h </w:instrText>
      </w:r>
      <w:r>
        <w:rPr>
          <w:lang w:eastAsia="en-AU"/>
        </w:rPr>
        <w:instrText xml:space="preserve"> \* MERGEFORMAT </w:instrText>
      </w:r>
      <w:r w:rsidRPr="001843B1">
        <w:rPr>
          <w:lang w:eastAsia="en-AU"/>
        </w:rPr>
      </w:r>
      <w:r w:rsidRPr="001843B1">
        <w:rPr>
          <w:lang w:eastAsia="en-AU"/>
        </w:rPr>
        <w:fldChar w:fldCharType="separate"/>
      </w:r>
      <w:r w:rsidR="00DF258C">
        <w:t xml:space="preserve">Table </w:t>
      </w:r>
      <w:r w:rsidR="00DF258C">
        <w:rPr>
          <w:noProof/>
        </w:rPr>
        <w:t>7</w:t>
      </w:r>
      <w:r w:rsidRPr="001843B1">
        <w:rPr>
          <w:lang w:eastAsia="en-AU"/>
        </w:rPr>
        <w:fldChar w:fldCharType="end"/>
      </w:r>
      <w:r w:rsidRPr="001843B1">
        <w:rPr>
          <w:lang w:eastAsia="en-AU"/>
        </w:rPr>
        <w:t xml:space="preserve"> lists stakeholders Nous will engage, including the purpose, </w:t>
      </w:r>
      <w:proofErr w:type="gramStart"/>
      <w:r w:rsidRPr="001843B1">
        <w:rPr>
          <w:lang w:eastAsia="en-AU"/>
        </w:rPr>
        <w:t>frequency</w:t>
      </w:r>
      <w:proofErr w:type="gramEnd"/>
      <w:r w:rsidRPr="001843B1">
        <w:rPr>
          <w:lang w:eastAsia="en-AU"/>
        </w:rPr>
        <w:t xml:space="preserve"> and method. </w:t>
      </w:r>
      <w:r>
        <w:rPr>
          <w:lang w:eastAsia="en-AU"/>
        </w:rPr>
        <w:t>See section</w:t>
      </w:r>
      <w:r w:rsidRPr="001843B1">
        <w:rPr>
          <w:lang w:eastAsia="en-AU"/>
        </w:rPr>
        <w:t xml:space="preserve"> </w:t>
      </w:r>
      <w:r w:rsidRPr="001843B1">
        <w:rPr>
          <w:lang w:eastAsia="en-AU"/>
        </w:rPr>
        <w:fldChar w:fldCharType="begin"/>
      </w:r>
      <w:r w:rsidRPr="001843B1">
        <w:rPr>
          <w:lang w:eastAsia="en-AU"/>
        </w:rPr>
        <w:instrText xml:space="preserve"> REF _Ref57809330 \r \h </w:instrText>
      </w:r>
      <w:r>
        <w:rPr>
          <w:lang w:eastAsia="en-AU"/>
        </w:rPr>
        <w:instrText xml:space="preserve"> \* MERGEFORMAT </w:instrText>
      </w:r>
      <w:r w:rsidRPr="001843B1">
        <w:rPr>
          <w:lang w:eastAsia="en-AU"/>
        </w:rPr>
      </w:r>
      <w:r w:rsidRPr="001843B1">
        <w:rPr>
          <w:lang w:eastAsia="en-AU"/>
        </w:rPr>
        <w:fldChar w:fldCharType="separate"/>
      </w:r>
      <w:r w:rsidR="00DF258C">
        <w:rPr>
          <w:lang w:eastAsia="en-AU"/>
        </w:rPr>
        <w:t>9</w:t>
      </w:r>
      <w:r w:rsidRPr="001843B1">
        <w:rPr>
          <w:lang w:eastAsia="en-AU"/>
        </w:rPr>
        <w:fldChar w:fldCharType="end"/>
      </w:r>
      <w:r w:rsidRPr="001843B1">
        <w:rPr>
          <w:lang w:eastAsia="en-AU"/>
        </w:rPr>
        <w:t xml:space="preserve"> for ethical considerations and </w:t>
      </w:r>
      <w:r w:rsidRPr="001843B1">
        <w:rPr>
          <w:lang w:eastAsia="en-AU"/>
        </w:rPr>
        <w:fldChar w:fldCharType="begin"/>
      </w:r>
      <w:r w:rsidRPr="001843B1">
        <w:rPr>
          <w:lang w:eastAsia="en-AU"/>
        </w:rPr>
        <w:instrText xml:space="preserve"> REF _Ref61855098 \r \h </w:instrText>
      </w:r>
      <w:r>
        <w:rPr>
          <w:lang w:eastAsia="en-AU"/>
        </w:rPr>
        <w:instrText xml:space="preserve"> \* MERGEFORMAT </w:instrText>
      </w:r>
      <w:r w:rsidRPr="001843B1">
        <w:rPr>
          <w:lang w:eastAsia="en-AU"/>
        </w:rPr>
      </w:r>
      <w:r w:rsidRPr="001843B1">
        <w:rPr>
          <w:lang w:eastAsia="en-AU"/>
        </w:rPr>
        <w:fldChar w:fldCharType="separate"/>
      </w:r>
      <w:r w:rsidR="00DF258C">
        <w:rPr>
          <w:lang w:eastAsia="en-AU"/>
        </w:rPr>
        <w:t>Appendix B</w:t>
      </w:r>
      <w:r w:rsidRPr="001843B1">
        <w:rPr>
          <w:lang w:eastAsia="en-AU"/>
        </w:rPr>
        <w:fldChar w:fldCharType="end"/>
      </w:r>
      <w:r w:rsidRPr="001843B1">
        <w:rPr>
          <w:lang w:eastAsia="en-AU"/>
        </w:rPr>
        <w:t xml:space="preserve"> fo</w:t>
      </w:r>
      <w:r>
        <w:rPr>
          <w:lang w:eastAsia="en-AU"/>
        </w:rPr>
        <w:t>r data collection tools.</w:t>
      </w:r>
    </w:p>
    <w:p w14:paraId="25ED6EB6" w14:textId="77777777" w:rsidR="006D4DE5" w:rsidRDefault="006D4DE5" w:rsidP="006D4DE5">
      <w:pPr>
        <w:pStyle w:val="Caption"/>
        <w:sectPr w:rsidR="006D4DE5" w:rsidSect="00FD6D3C">
          <w:pgSz w:w="11907" w:h="16839" w:code="9"/>
          <w:pgMar w:top="1276" w:right="1418" w:bottom="1134" w:left="1559" w:header="720" w:footer="720" w:gutter="0"/>
          <w:cols w:space="720"/>
          <w:titlePg/>
          <w:docGrid w:linePitch="360"/>
        </w:sectPr>
      </w:pPr>
      <w:bookmarkStart w:id="62" w:name="_Ref57897329"/>
    </w:p>
    <w:p w14:paraId="4C5AEA29" w14:textId="45275AED" w:rsidR="006D4DE5" w:rsidRPr="00B036B1" w:rsidRDefault="006D4DE5" w:rsidP="006D4DE5">
      <w:pPr>
        <w:pStyle w:val="Caption"/>
      </w:pPr>
      <w:bookmarkStart w:id="63" w:name="_Ref58844472"/>
      <w:r>
        <w:lastRenderedPageBreak/>
        <w:t xml:space="preserve">Table </w:t>
      </w:r>
      <w:r>
        <w:fldChar w:fldCharType="begin"/>
      </w:r>
      <w:r>
        <w:instrText xml:space="preserve"> SEQ Table \* ARABIC </w:instrText>
      </w:r>
      <w:r>
        <w:fldChar w:fldCharType="separate"/>
      </w:r>
      <w:r w:rsidR="00DF258C">
        <w:rPr>
          <w:noProof/>
        </w:rPr>
        <w:t>7</w:t>
      </w:r>
      <w:r>
        <w:fldChar w:fldCharType="end"/>
      </w:r>
      <w:bookmarkEnd w:id="62"/>
      <w:bookmarkEnd w:id="63"/>
      <w:r>
        <w:t xml:space="preserve"> | Stakeholder communication plan</w:t>
      </w:r>
    </w:p>
    <w:tbl>
      <w:tblPr>
        <w:tblStyle w:val="TableGrid"/>
        <w:tblW w:w="0" w:type="auto"/>
        <w:tblLayout w:type="fixed"/>
        <w:tblLook w:val="04A0" w:firstRow="1" w:lastRow="0" w:firstColumn="1" w:lastColumn="0" w:noHBand="0" w:noVBand="1"/>
        <w:tblCaption w:val="Table 7 outlines the stakeholder communication plan"/>
        <w:tblDescription w:val="Engagement with the aged care and palliative care representatives from state and territory health departments, a representative sample of RACFs, staff within representative sample of RACFs, service providers such as GPs, specialist palliative care providers and other clinicians, PHNs – representative sample and existing PCA consumer representative forums will inform evaluation findings.&#10;&#10;Peak bodies, national data organisations and other national programs of initatives will be engaged with to inform interpretation of results as well as aged care and palliative care representatives from state and territory health departments, and a representative sample of RACFs.&#10;&#10;National data organisations and aged care and palliative care representatives will also provide data advice. &#10;"/>
      </w:tblPr>
      <w:tblGrid>
        <w:gridCol w:w="4054"/>
        <w:gridCol w:w="1701"/>
        <w:gridCol w:w="567"/>
        <w:gridCol w:w="567"/>
        <w:gridCol w:w="567"/>
        <w:gridCol w:w="2127"/>
        <w:gridCol w:w="1417"/>
        <w:gridCol w:w="2890"/>
      </w:tblGrid>
      <w:tr w:rsidR="007E6EEF" w14:paraId="728DFC9A" w14:textId="77777777" w:rsidTr="00DB3BEF">
        <w:trPr>
          <w:cnfStyle w:val="100000000000" w:firstRow="1" w:lastRow="0" w:firstColumn="0" w:lastColumn="0" w:oddVBand="0" w:evenVBand="0" w:oddHBand="0" w:evenHBand="0" w:firstRowFirstColumn="0" w:firstRowLastColumn="0" w:lastRowFirstColumn="0" w:lastRowLastColumn="0"/>
        </w:trPr>
        <w:tc>
          <w:tcPr>
            <w:tcW w:w="4054" w:type="dxa"/>
            <w:vMerge w:val="restart"/>
          </w:tcPr>
          <w:p w14:paraId="1EFE8797" w14:textId="77777777" w:rsidR="005E79EA" w:rsidRDefault="005E79EA" w:rsidP="00691FDA">
            <w:pPr>
              <w:pStyle w:val="TableNheader"/>
              <w:spacing w:before="0" w:after="0"/>
            </w:pPr>
            <w:r>
              <w:t>Stakeholder</w:t>
            </w:r>
          </w:p>
        </w:tc>
        <w:tc>
          <w:tcPr>
            <w:tcW w:w="1701" w:type="dxa"/>
            <w:vMerge w:val="restart"/>
          </w:tcPr>
          <w:p w14:paraId="25A45D9C" w14:textId="77777777" w:rsidR="005E79EA" w:rsidRDefault="005E79EA" w:rsidP="00691FDA">
            <w:pPr>
              <w:pStyle w:val="TableNheader"/>
              <w:spacing w:before="0" w:after="0"/>
            </w:pPr>
            <w:r>
              <w:t>Purpose of engagement</w:t>
            </w:r>
          </w:p>
        </w:tc>
        <w:tc>
          <w:tcPr>
            <w:tcW w:w="1701" w:type="dxa"/>
            <w:gridSpan w:val="3"/>
          </w:tcPr>
          <w:p w14:paraId="2DA7F487" w14:textId="77777777" w:rsidR="005E79EA" w:rsidRDefault="005E79EA" w:rsidP="00691FDA">
            <w:pPr>
              <w:pStyle w:val="TableNheader"/>
              <w:spacing w:before="0" w:after="0"/>
            </w:pPr>
            <w:r>
              <w:t>Frequency</w:t>
            </w:r>
          </w:p>
        </w:tc>
        <w:tc>
          <w:tcPr>
            <w:tcW w:w="2127" w:type="dxa"/>
            <w:vMerge w:val="restart"/>
          </w:tcPr>
          <w:p w14:paraId="6886A843" w14:textId="1CACA220" w:rsidR="005E79EA" w:rsidRDefault="00E953ED" w:rsidP="00691FDA">
            <w:pPr>
              <w:pStyle w:val="TableNheader"/>
              <w:spacing w:before="0" w:after="0"/>
            </w:pPr>
            <w:r>
              <w:t>Quantum</w:t>
            </w:r>
            <w:r w:rsidR="00535192">
              <w:t xml:space="preserve"> </w:t>
            </w:r>
          </w:p>
        </w:tc>
        <w:tc>
          <w:tcPr>
            <w:tcW w:w="1417" w:type="dxa"/>
            <w:vMerge w:val="restart"/>
          </w:tcPr>
          <w:p w14:paraId="1F5CA421" w14:textId="56D29ABA" w:rsidR="005E79EA" w:rsidRDefault="005E79EA" w:rsidP="00691FDA">
            <w:pPr>
              <w:pStyle w:val="TableNheader"/>
              <w:spacing w:before="0" w:after="0"/>
            </w:pPr>
            <w:r>
              <w:t>Method</w:t>
            </w:r>
          </w:p>
        </w:tc>
        <w:tc>
          <w:tcPr>
            <w:tcW w:w="2890" w:type="dxa"/>
            <w:vMerge w:val="restart"/>
          </w:tcPr>
          <w:p w14:paraId="40114B99" w14:textId="77777777" w:rsidR="005E79EA" w:rsidRDefault="005E79EA" w:rsidP="00691FDA">
            <w:pPr>
              <w:pStyle w:val="TableNheader"/>
              <w:spacing w:before="0" w:after="0"/>
            </w:pPr>
            <w:r>
              <w:t>Considerations</w:t>
            </w:r>
          </w:p>
        </w:tc>
      </w:tr>
      <w:tr w:rsidR="005E79EA" w14:paraId="21E1F6DC" w14:textId="77777777" w:rsidTr="00B67994">
        <w:trPr>
          <w:cnfStyle w:val="000000100000" w:firstRow="0" w:lastRow="0" w:firstColumn="0" w:lastColumn="0" w:oddVBand="0" w:evenVBand="0" w:oddHBand="1" w:evenHBand="0" w:firstRowFirstColumn="0" w:firstRowLastColumn="0" w:lastRowFirstColumn="0" w:lastRowLastColumn="0"/>
          <w:trHeight w:val="20"/>
        </w:trPr>
        <w:tc>
          <w:tcPr>
            <w:tcW w:w="4054" w:type="dxa"/>
            <w:vMerge/>
          </w:tcPr>
          <w:p w14:paraId="4C209FD9" w14:textId="77777777" w:rsidR="005E79EA" w:rsidRDefault="005E79EA" w:rsidP="00691FDA">
            <w:pPr>
              <w:spacing w:after="0" w:line="240" w:lineRule="auto"/>
            </w:pPr>
          </w:p>
        </w:tc>
        <w:tc>
          <w:tcPr>
            <w:tcW w:w="1701" w:type="dxa"/>
            <w:vMerge/>
          </w:tcPr>
          <w:p w14:paraId="1AA12412" w14:textId="77777777" w:rsidR="005E79EA" w:rsidRPr="003727A1" w:rsidRDefault="005E79EA" w:rsidP="00691FDA">
            <w:pPr>
              <w:pStyle w:val="TableNheader"/>
              <w:spacing w:before="0" w:after="0"/>
              <w:rPr>
                <w:sz w:val="16"/>
                <w:szCs w:val="20"/>
              </w:rPr>
            </w:pPr>
          </w:p>
        </w:tc>
        <w:tc>
          <w:tcPr>
            <w:tcW w:w="567" w:type="dxa"/>
            <w:shd w:val="clear" w:color="auto" w:fill="E6E6E1" w:themeFill="accent5"/>
          </w:tcPr>
          <w:p w14:paraId="32F19105" w14:textId="77777777" w:rsidR="005E79EA" w:rsidRPr="00F85247" w:rsidRDefault="005E79EA" w:rsidP="00691FDA">
            <w:pPr>
              <w:pStyle w:val="TableNheader"/>
              <w:spacing w:before="0" w:after="0"/>
              <w:rPr>
                <w:sz w:val="16"/>
                <w:szCs w:val="20"/>
              </w:rPr>
            </w:pPr>
            <w:r w:rsidRPr="00F85247">
              <w:rPr>
                <w:sz w:val="16"/>
                <w:szCs w:val="20"/>
              </w:rPr>
              <w:t>2021</w:t>
            </w:r>
          </w:p>
        </w:tc>
        <w:tc>
          <w:tcPr>
            <w:tcW w:w="567" w:type="dxa"/>
            <w:shd w:val="clear" w:color="auto" w:fill="E6E6E1" w:themeFill="accent5"/>
          </w:tcPr>
          <w:p w14:paraId="7855356B" w14:textId="77777777" w:rsidR="005E79EA" w:rsidRPr="00F85247" w:rsidRDefault="005E79EA" w:rsidP="00691FDA">
            <w:pPr>
              <w:pStyle w:val="TableNheader"/>
              <w:spacing w:before="0" w:after="0"/>
              <w:rPr>
                <w:sz w:val="16"/>
                <w:szCs w:val="20"/>
              </w:rPr>
            </w:pPr>
            <w:r w:rsidRPr="00F85247">
              <w:rPr>
                <w:sz w:val="16"/>
                <w:szCs w:val="20"/>
              </w:rPr>
              <w:t>2022</w:t>
            </w:r>
          </w:p>
        </w:tc>
        <w:tc>
          <w:tcPr>
            <w:tcW w:w="567" w:type="dxa"/>
            <w:shd w:val="clear" w:color="auto" w:fill="E6E6E1" w:themeFill="accent5"/>
          </w:tcPr>
          <w:p w14:paraId="77EF4A72" w14:textId="77777777" w:rsidR="005E79EA" w:rsidRPr="00F85247" w:rsidRDefault="005E79EA" w:rsidP="00691FDA">
            <w:pPr>
              <w:pStyle w:val="TableNheader"/>
              <w:spacing w:before="0" w:after="0"/>
              <w:rPr>
                <w:sz w:val="16"/>
                <w:szCs w:val="20"/>
              </w:rPr>
            </w:pPr>
            <w:r w:rsidRPr="00F85247">
              <w:rPr>
                <w:sz w:val="16"/>
                <w:szCs w:val="20"/>
              </w:rPr>
              <w:t>2023</w:t>
            </w:r>
          </w:p>
        </w:tc>
        <w:tc>
          <w:tcPr>
            <w:tcW w:w="2127" w:type="dxa"/>
            <w:vMerge/>
          </w:tcPr>
          <w:p w14:paraId="087A28ED" w14:textId="77777777" w:rsidR="005E79EA" w:rsidRDefault="005E79EA" w:rsidP="00691FDA">
            <w:pPr>
              <w:spacing w:after="0" w:line="240" w:lineRule="auto"/>
            </w:pPr>
          </w:p>
        </w:tc>
        <w:tc>
          <w:tcPr>
            <w:tcW w:w="1417" w:type="dxa"/>
            <w:vMerge/>
          </w:tcPr>
          <w:p w14:paraId="3207EBEE" w14:textId="3FBE7423" w:rsidR="005E79EA" w:rsidRDefault="005E79EA" w:rsidP="00691FDA">
            <w:pPr>
              <w:spacing w:after="0" w:line="240" w:lineRule="auto"/>
            </w:pPr>
          </w:p>
        </w:tc>
        <w:tc>
          <w:tcPr>
            <w:tcW w:w="2890" w:type="dxa"/>
            <w:vMerge/>
          </w:tcPr>
          <w:p w14:paraId="74F2CE51" w14:textId="77777777" w:rsidR="005E79EA" w:rsidRDefault="005E79EA" w:rsidP="00691FDA">
            <w:pPr>
              <w:pStyle w:val="TableNText"/>
              <w:spacing w:before="0" w:after="0" w:line="240" w:lineRule="auto"/>
            </w:pPr>
          </w:p>
        </w:tc>
      </w:tr>
      <w:tr w:rsidR="003B721F" w14:paraId="514043D1" w14:textId="77777777" w:rsidTr="00DB3BEF">
        <w:trPr>
          <w:cnfStyle w:val="000000010000" w:firstRow="0" w:lastRow="0" w:firstColumn="0" w:lastColumn="0" w:oddVBand="0" w:evenVBand="0" w:oddHBand="0" w:evenHBand="1" w:firstRowFirstColumn="0" w:firstRowLastColumn="0" w:lastRowFirstColumn="0" w:lastRowLastColumn="0"/>
        </w:trPr>
        <w:tc>
          <w:tcPr>
            <w:tcW w:w="4054" w:type="dxa"/>
          </w:tcPr>
          <w:p w14:paraId="74C80C18" w14:textId="77777777" w:rsidR="003B721F" w:rsidRPr="004D2A9A" w:rsidRDefault="003B721F" w:rsidP="00691FDA">
            <w:pPr>
              <w:pStyle w:val="TableNText"/>
              <w:spacing w:before="0" w:after="0" w:line="240" w:lineRule="auto"/>
              <w:rPr>
                <w:rFonts w:asciiTheme="majorHAnsi" w:hAnsiTheme="majorHAnsi" w:cstheme="majorHAnsi"/>
              </w:rPr>
            </w:pPr>
            <w:r w:rsidRPr="004D2A9A">
              <w:rPr>
                <w:rFonts w:asciiTheme="majorHAnsi" w:hAnsiTheme="majorHAnsi" w:cstheme="majorHAnsi"/>
              </w:rPr>
              <w:t>Aged care and palliative care representatives from state and territory health departments</w:t>
            </w:r>
          </w:p>
        </w:tc>
        <w:tc>
          <w:tcPr>
            <w:tcW w:w="1701" w:type="dxa"/>
          </w:tcPr>
          <w:p w14:paraId="3984DB12" w14:textId="0C2097CE" w:rsidR="003B721F" w:rsidRDefault="003B721F" w:rsidP="00691FDA">
            <w:pPr>
              <w:pStyle w:val="TableNText"/>
              <w:spacing w:before="0" w:after="0" w:line="240" w:lineRule="auto"/>
            </w:pPr>
            <w:r w:rsidRPr="004E53BA">
              <w:rPr>
                <w:noProof/>
                <w:lang w:eastAsia="en-AU"/>
              </w:rPr>
              <w:drawing>
                <wp:inline distT="0" distB="0" distL="0" distR="0" wp14:anchorId="182D84D9" wp14:editId="1565B102">
                  <wp:extent cx="215661" cy="219043"/>
                  <wp:effectExtent l="0" t="0" r="0" b="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1676" cy="225153"/>
                          </a:xfrm>
                          <a:prstGeom prst="rect">
                            <a:avLst/>
                          </a:prstGeom>
                          <a:noFill/>
                          <a:ln>
                            <a:noFill/>
                          </a:ln>
                        </pic:spPr>
                      </pic:pic>
                    </a:graphicData>
                  </a:graphic>
                </wp:inline>
              </w:drawing>
            </w:r>
            <w:r w:rsidR="007B5694">
              <w:t xml:space="preserve"> </w:t>
            </w:r>
            <w:r w:rsidRPr="00160C95">
              <w:rPr>
                <w:noProof/>
                <w:lang w:eastAsia="en-AU"/>
              </w:rPr>
              <w:drawing>
                <wp:inline distT="0" distB="0" distL="0" distR="0" wp14:anchorId="46BB39B2" wp14:editId="79444C86">
                  <wp:extent cx="219600" cy="219600"/>
                  <wp:effectExtent l="0" t="0" r="9525" b="9525"/>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600" cy="219600"/>
                          </a:xfrm>
                          <a:prstGeom prst="rect">
                            <a:avLst/>
                          </a:prstGeom>
                          <a:noFill/>
                          <a:ln>
                            <a:noFill/>
                          </a:ln>
                        </pic:spPr>
                      </pic:pic>
                    </a:graphicData>
                  </a:graphic>
                </wp:inline>
              </w:drawing>
            </w:r>
            <w:r w:rsidR="007B5694">
              <w:t xml:space="preserve"> </w:t>
            </w:r>
            <w:r w:rsidRPr="00160C95">
              <w:rPr>
                <w:noProof/>
                <w:lang w:eastAsia="en-AU"/>
              </w:rPr>
              <w:drawing>
                <wp:inline distT="0" distB="0" distL="0" distR="0" wp14:anchorId="1CCE340F" wp14:editId="4C38B6BA">
                  <wp:extent cx="226059" cy="219600"/>
                  <wp:effectExtent l="0" t="0" r="3175" b="0"/>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6059" cy="219600"/>
                          </a:xfrm>
                          <a:prstGeom prst="rect">
                            <a:avLst/>
                          </a:prstGeom>
                          <a:noFill/>
                          <a:ln>
                            <a:noFill/>
                          </a:ln>
                        </pic:spPr>
                      </pic:pic>
                    </a:graphicData>
                  </a:graphic>
                </wp:inline>
              </w:drawing>
            </w:r>
          </w:p>
        </w:tc>
        <w:tc>
          <w:tcPr>
            <w:tcW w:w="567" w:type="dxa"/>
          </w:tcPr>
          <w:p w14:paraId="38D5202D" w14:textId="77777777" w:rsidR="003B721F" w:rsidRDefault="003B721F" w:rsidP="00D62C2B">
            <w:pPr>
              <w:pStyle w:val="TableNText"/>
              <w:spacing w:before="0" w:after="0" w:line="240" w:lineRule="auto"/>
              <w:jc w:val="center"/>
            </w:pPr>
            <w:r w:rsidRPr="00F85247">
              <w:rPr>
                <w:rFonts w:cs="Segoe UI"/>
                <w:sz w:val="36"/>
                <w:szCs w:val="48"/>
                <w:rtl/>
              </w:rPr>
              <w:t>٠</w:t>
            </w:r>
          </w:p>
        </w:tc>
        <w:tc>
          <w:tcPr>
            <w:tcW w:w="567" w:type="dxa"/>
          </w:tcPr>
          <w:p w14:paraId="634021A2" w14:textId="77777777" w:rsidR="003B721F" w:rsidRDefault="003B721F" w:rsidP="00D62C2B">
            <w:pPr>
              <w:pStyle w:val="TableNText"/>
              <w:spacing w:before="0" w:after="0" w:line="240" w:lineRule="auto"/>
              <w:jc w:val="center"/>
            </w:pPr>
            <w:r w:rsidRPr="00700970">
              <w:rPr>
                <w:rFonts w:cs="Segoe UI"/>
                <w:sz w:val="36"/>
                <w:szCs w:val="48"/>
                <w:rtl/>
              </w:rPr>
              <w:t>٠</w:t>
            </w:r>
          </w:p>
        </w:tc>
        <w:tc>
          <w:tcPr>
            <w:tcW w:w="567" w:type="dxa"/>
          </w:tcPr>
          <w:p w14:paraId="2E57220A" w14:textId="77777777" w:rsidR="003B721F" w:rsidRDefault="003B721F" w:rsidP="00D62C2B">
            <w:pPr>
              <w:pStyle w:val="TableNText"/>
              <w:spacing w:before="0" w:after="0" w:line="240" w:lineRule="auto"/>
              <w:jc w:val="center"/>
            </w:pPr>
            <w:r w:rsidRPr="00700970">
              <w:rPr>
                <w:rFonts w:cs="Segoe UI"/>
                <w:sz w:val="36"/>
                <w:szCs w:val="48"/>
                <w:rtl/>
              </w:rPr>
              <w:t>٠</w:t>
            </w:r>
          </w:p>
        </w:tc>
        <w:tc>
          <w:tcPr>
            <w:tcW w:w="2127" w:type="dxa"/>
          </w:tcPr>
          <w:p w14:paraId="1AA075F4" w14:textId="2087F81E" w:rsidR="003B721F" w:rsidRDefault="007A0568" w:rsidP="00691FDA">
            <w:pPr>
              <w:pStyle w:val="TableNText"/>
              <w:spacing w:before="0" w:after="0" w:line="240" w:lineRule="auto"/>
            </w:pPr>
            <w:r>
              <w:t xml:space="preserve">8 consultations (1 per jurisdiction) </w:t>
            </w:r>
            <w:r w:rsidRPr="00A771A9">
              <w:t>x5</w:t>
            </w:r>
            <w:r>
              <w:t xml:space="preserve"> rounds (six monthly</w:t>
            </w:r>
            <w:r w:rsidRPr="00A771A9">
              <w:t>)</w:t>
            </w:r>
            <w:r w:rsidR="0079394A" w:rsidRPr="00A771A9">
              <w:t>.</w:t>
            </w:r>
          </w:p>
        </w:tc>
        <w:tc>
          <w:tcPr>
            <w:tcW w:w="1417" w:type="dxa"/>
          </w:tcPr>
          <w:p w14:paraId="5FC19978" w14:textId="5739ACCD" w:rsidR="003B721F" w:rsidRDefault="003B721F" w:rsidP="00691FDA">
            <w:pPr>
              <w:pStyle w:val="TableNText"/>
              <w:spacing w:before="0" w:after="0" w:line="240" w:lineRule="auto"/>
            </w:pPr>
            <w:r>
              <w:t>60</w:t>
            </w:r>
            <w:r w:rsidR="0079394A" w:rsidRPr="00A771A9">
              <w:t>-</w:t>
            </w:r>
            <w:r>
              <w:t>minute interview/ teleconference</w:t>
            </w:r>
          </w:p>
        </w:tc>
        <w:tc>
          <w:tcPr>
            <w:tcW w:w="2890" w:type="dxa"/>
          </w:tcPr>
          <w:p w14:paraId="21304B6F" w14:textId="77777777" w:rsidR="003B721F" w:rsidRDefault="003B721F" w:rsidP="00691FDA">
            <w:pPr>
              <w:pStyle w:val="TableNText"/>
              <w:spacing w:before="0" w:after="0" w:line="240" w:lineRule="auto"/>
            </w:pPr>
            <w:r>
              <w:t xml:space="preserve">Ongoing and close collaboration is critical to the success of the evaluation. </w:t>
            </w:r>
          </w:p>
          <w:p w14:paraId="21298782" w14:textId="42F89B15" w:rsidR="003B721F" w:rsidRDefault="00687CB5" w:rsidP="00691FDA">
            <w:pPr>
              <w:pStyle w:val="TableNText"/>
              <w:spacing w:before="0" w:after="0" w:line="240" w:lineRule="auto"/>
            </w:pPr>
            <w:r>
              <w:t>Also ad hoc as needed</w:t>
            </w:r>
            <w:r w:rsidR="0079394A" w:rsidRPr="00A771A9">
              <w:t>.</w:t>
            </w:r>
          </w:p>
        </w:tc>
      </w:tr>
      <w:tr w:rsidR="003B721F" w14:paraId="6CB01D55" w14:textId="77777777" w:rsidTr="00DB3BEF">
        <w:trPr>
          <w:cnfStyle w:val="000000100000" w:firstRow="0" w:lastRow="0" w:firstColumn="0" w:lastColumn="0" w:oddVBand="0" w:evenVBand="0" w:oddHBand="1" w:evenHBand="0" w:firstRowFirstColumn="0" w:firstRowLastColumn="0" w:lastRowFirstColumn="0" w:lastRowLastColumn="0"/>
        </w:trPr>
        <w:tc>
          <w:tcPr>
            <w:tcW w:w="4054" w:type="dxa"/>
          </w:tcPr>
          <w:p w14:paraId="29768E9B" w14:textId="77777777" w:rsidR="003B721F" w:rsidRPr="004D2A9A" w:rsidRDefault="003B721F" w:rsidP="00691FDA">
            <w:pPr>
              <w:pStyle w:val="TableNText"/>
              <w:spacing w:before="0" w:after="0" w:line="240" w:lineRule="auto"/>
              <w:rPr>
                <w:rFonts w:asciiTheme="majorHAnsi" w:hAnsiTheme="majorHAnsi" w:cstheme="majorHAnsi"/>
              </w:rPr>
            </w:pPr>
            <w:r w:rsidRPr="004D2A9A">
              <w:rPr>
                <w:rFonts w:asciiTheme="majorHAnsi" w:hAnsiTheme="majorHAnsi" w:cstheme="majorHAnsi"/>
              </w:rPr>
              <w:t>Representative sample of RACFs</w:t>
            </w:r>
          </w:p>
        </w:tc>
        <w:tc>
          <w:tcPr>
            <w:tcW w:w="1701" w:type="dxa"/>
          </w:tcPr>
          <w:p w14:paraId="44499671" w14:textId="2D969FA9" w:rsidR="003B721F" w:rsidRDefault="003B721F" w:rsidP="00691FDA">
            <w:pPr>
              <w:pStyle w:val="TableNText"/>
              <w:spacing w:before="0" w:after="0" w:line="240" w:lineRule="auto"/>
            </w:pPr>
            <w:r w:rsidRPr="004E53BA">
              <w:rPr>
                <w:noProof/>
                <w:lang w:eastAsia="en-AU"/>
              </w:rPr>
              <w:drawing>
                <wp:inline distT="0" distB="0" distL="0" distR="0" wp14:anchorId="4FC93D44" wp14:editId="36C6D5C3">
                  <wp:extent cx="215661" cy="219043"/>
                  <wp:effectExtent l="0" t="0" r="0" b="0"/>
                  <wp:docPr id="27866" name="Picture 278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6" name="Picture 27866">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1676" cy="225153"/>
                          </a:xfrm>
                          <a:prstGeom prst="rect">
                            <a:avLst/>
                          </a:prstGeom>
                          <a:noFill/>
                          <a:ln>
                            <a:noFill/>
                          </a:ln>
                        </pic:spPr>
                      </pic:pic>
                    </a:graphicData>
                  </a:graphic>
                </wp:inline>
              </w:drawing>
            </w:r>
            <w:r w:rsidR="007B5694">
              <w:t xml:space="preserve"> </w:t>
            </w:r>
            <w:r w:rsidRPr="00160C95">
              <w:rPr>
                <w:noProof/>
                <w:lang w:eastAsia="en-AU"/>
              </w:rPr>
              <w:drawing>
                <wp:inline distT="0" distB="0" distL="0" distR="0" wp14:anchorId="19BB1983" wp14:editId="05036BAA">
                  <wp:extent cx="219600" cy="219600"/>
                  <wp:effectExtent l="0" t="0" r="9525" b="9525"/>
                  <wp:docPr id="27867" name="Picture 278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7" name="Picture 27867">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600" cy="219600"/>
                          </a:xfrm>
                          <a:prstGeom prst="rect">
                            <a:avLst/>
                          </a:prstGeom>
                          <a:noFill/>
                          <a:ln>
                            <a:noFill/>
                          </a:ln>
                        </pic:spPr>
                      </pic:pic>
                    </a:graphicData>
                  </a:graphic>
                </wp:inline>
              </w:drawing>
            </w:r>
          </w:p>
        </w:tc>
        <w:tc>
          <w:tcPr>
            <w:tcW w:w="567" w:type="dxa"/>
          </w:tcPr>
          <w:p w14:paraId="561D477D" w14:textId="77777777" w:rsidR="003B721F" w:rsidRDefault="003B721F" w:rsidP="00D62C2B">
            <w:pPr>
              <w:pStyle w:val="TableNText"/>
              <w:spacing w:before="0" w:after="0" w:line="240" w:lineRule="auto"/>
              <w:jc w:val="center"/>
            </w:pPr>
            <w:r w:rsidRPr="008814AB">
              <w:rPr>
                <w:rFonts w:cs="Segoe UI"/>
                <w:sz w:val="36"/>
                <w:szCs w:val="48"/>
                <w:rtl/>
              </w:rPr>
              <w:t>٠</w:t>
            </w:r>
          </w:p>
        </w:tc>
        <w:tc>
          <w:tcPr>
            <w:tcW w:w="567" w:type="dxa"/>
          </w:tcPr>
          <w:p w14:paraId="3C4C6977" w14:textId="24D2B5D3" w:rsidR="003B721F" w:rsidRDefault="003B721F" w:rsidP="00D62C2B">
            <w:pPr>
              <w:pStyle w:val="TableNText"/>
              <w:spacing w:before="0" w:after="0" w:line="240" w:lineRule="auto"/>
              <w:jc w:val="center"/>
            </w:pPr>
          </w:p>
        </w:tc>
        <w:tc>
          <w:tcPr>
            <w:tcW w:w="567" w:type="dxa"/>
          </w:tcPr>
          <w:p w14:paraId="5A76D903" w14:textId="77777777" w:rsidR="003B721F" w:rsidRDefault="003B721F" w:rsidP="00D62C2B">
            <w:pPr>
              <w:pStyle w:val="TableNText"/>
              <w:spacing w:before="0" w:after="0" w:line="240" w:lineRule="auto"/>
              <w:jc w:val="center"/>
            </w:pPr>
            <w:r w:rsidRPr="008814AB">
              <w:rPr>
                <w:rFonts w:cs="Segoe UI"/>
                <w:sz w:val="36"/>
                <w:szCs w:val="48"/>
                <w:rtl/>
              </w:rPr>
              <w:t>٠</w:t>
            </w:r>
          </w:p>
        </w:tc>
        <w:tc>
          <w:tcPr>
            <w:tcW w:w="2127" w:type="dxa"/>
          </w:tcPr>
          <w:p w14:paraId="364D7AD9" w14:textId="7C9E1AFE" w:rsidR="003B721F" w:rsidRDefault="00E953ED" w:rsidP="00691FDA">
            <w:pPr>
              <w:pStyle w:val="TableNText"/>
              <w:spacing w:before="0" w:after="0" w:line="240" w:lineRule="auto"/>
            </w:pPr>
            <w:r>
              <w:t>N/A</w:t>
            </w:r>
          </w:p>
        </w:tc>
        <w:tc>
          <w:tcPr>
            <w:tcW w:w="1417" w:type="dxa"/>
          </w:tcPr>
          <w:p w14:paraId="1C703FAE" w14:textId="654DEC64" w:rsidR="003B721F" w:rsidRDefault="00687CB5" w:rsidP="00691FDA">
            <w:pPr>
              <w:pStyle w:val="TableNText"/>
              <w:spacing w:before="0" w:after="0" w:line="240" w:lineRule="auto"/>
            </w:pPr>
            <w:r>
              <w:t>Online survey</w:t>
            </w:r>
            <w:r w:rsidR="00535192">
              <w:t xml:space="preserve"> </w:t>
            </w:r>
          </w:p>
        </w:tc>
        <w:tc>
          <w:tcPr>
            <w:tcW w:w="2890" w:type="dxa"/>
          </w:tcPr>
          <w:p w14:paraId="1947A5CB" w14:textId="55BFDC8B" w:rsidR="003B721F" w:rsidRDefault="003B721F" w:rsidP="00691FDA">
            <w:pPr>
              <w:pStyle w:val="TableNText"/>
              <w:spacing w:before="0" w:after="0" w:line="240" w:lineRule="auto"/>
            </w:pPr>
            <w:r>
              <w:t>Nous will coordinate with jurisdictions to determine a representative sample of RACFs.</w:t>
            </w:r>
          </w:p>
        </w:tc>
      </w:tr>
      <w:tr w:rsidR="003B721F" w14:paraId="03DBE70D" w14:textId="77777777" w:rsidTr="00DB3BEF">
        <w:trPr>
          <w:cnfStyle w:val="000000010000" w:firstRow="0" w:lastRow="0" w:firstColumn="0" w:lastColumn="0" w:oddVBand="0" w:evenVBand="0" w:oddHBand="0" w:evenHBand="1" w:firstRowFirstColumn="0" w:firstRowLastColumn="0" w:lastRowFirstColumn="0" w:lastRowLastColumn="0"/>
        </w:trPr>
        <w:tc>
          <w:tcPr>
            <w:tcW w:w="4054" w:type="dxa"/>
          </w:tcPr>
          <w:p w14:paraId="3B6235BF" w14:textId="77777777" w:rsidR="003B721F" w:rsidRPr="004D2A9A" w:rsidRDefault="003B721F" w:rsidP="00691FDA">
            <w:pPr>
              <w:pStyle w:val="TableNText"/>
              <w:spacing w:before="0" w:after="0" w:line="240" w:lineRule="auto"/>
              <w:rPr>
                <w:rFonts w:asciiTheme="majorHAnsi" w:hAnsiTheme="majorHAnsi" w:cstheme="majorHAnsi"/>
              </w:rPr>
            </w:pPr>
            <w:r w:rsidRPr="004D2A9A">
              <w:rPr>
                <w:rFonts w:asciiTheme="majorHAnsi" w:hAnsiTheme="majorHAnsi" w:cstheme="majorHAnsi"/>
              </w:rPr>
              <w:t>Staff within representative sample of RACFs</w:t>
            </w:r>
          </w:p>
        </w:tc>
        <w:tc>
          <w:tcPr>
            <w:tcW w:w="1701" w:type="dxa"/>
          </w:tcPr>
          <w:p w14:paraId="41B4C192" w14:textId="77777777" w:rsidR="003B721F" w:rsidRDefault="003B721F" w:rsidP="00691FDA">
            <w:pPr>
              <w:pStyle w:val="TableNText"/>
              <w:spacing w:before="0" w:after="0" w:line="240" w:lineRule="auto"/>
            </w:pPr>
            <w:r w:rsidRPr="004E53BA">
              <w:rPr>
                <w:noProof/>
                <w:lang w:eastAsia="en-AU"/>
              </w:rPr>
              <w:drawing>
                <wp:inline distT="0" distB="0" distL="0" distR="0" wp14:anchorId="429933E1" wp14:editId="6F4619B8">
                  <wp:extent cx="215661" cy="219043"/>
                  <wp:effectExtent l="0" t="0" r="0" b="0"/>
                  <wp:docPr id="27869" name="Picture 27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9" name="Picture 27869">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1676" cy="225153"/>
                          </a:xfrm>
                          <a:prstGeom prst="rect">
                            <a:avLst/>
                          </a:prstGeom>
                          <a:noFill/>
                          <a:ln>
                            <a:noFill/>
                          </a:ln>
                        </pic:spPr>
                      </pic:pic>
                    </a:graphicData>
                  </a:graphic>
                </wp:inline>
              </w:drawing>
            </w:r>
          </w:p>
        </w:tc>
        <w:tc>
          <w:tcPr>
            <w:tcW w:w="567" w:type="dxa"/>
          </w:tcPr>
          <w:p w14:paraId="4E72C811" w14:textId="77777777" w:rsidR="003B721F" w:rsidRDefault="003B721F" w:rsidP="00D62C2B">
            <w:pPr>
              <w:pStyle w:val="TableNText"/>
              <w:spacing w:before="0" w:after="0" w:line="240" w:lineRule="auto"/>
              <w:jc w:val="center"/>
            </w:pPr>
          </w:p>
        </w:tc>
        <w:tc>
          <w:tcPr>
            <w:tcW w:w="567" w:type="dxa"/>
          </w:tcPr>
          <w:p w14:paraId="24721FB3" w14:textId="77777777" w:rsidR="003B721F" w:rsidRDefault="003B721F" w:rsidP="00D62C2B">
            <w:pPr>
              <w:pStyle w:val="TableNText"/>
              <w:spacing w:before="0" w:after="0" w:line="240" w:lineRule="auto"/>
              <w:jc w:val="center"/>
            </w:pPr>
            <w:r w:rsidRPr="00761AA2">
              <w:rPr>
                <w:rFonts w:cs="Segoe UI"/>
                <w:sz w:val="36"/>
                <w:szCs w:val="48"/>
                <w:rtl/>
              </w:rPr>
              <w:t>٠</w:t>
            </w:r>
          </w:p>
        </w:tc>
        <w:tc>
          <w:tcPr>
            <w:tcW w:w="567" w:type="dxa"/>
          </w:tcPr>
          <w:p w14:paraId="4936E29B" w14:textId="77777777" w:rsidR="003B721F" w:rsidRDefault="003B721F" w:rsidP="00D62C2B">
            <w:pPr>
              <w:pStyle w:val="TableNText"/>
              <w:spacing w:before="0" w:after="0" w:line="240" w:lineRule="auto"/>
              <w:jc w:val="center"/>
            </w:pPr>
            <w:r w:rsidRPr="00761AA2">
              <w:rPr>
                <w:rFonts w:cs="Segoe UI"/>
                <w:sz w:val="36"/>
                <w:szCs w:val="48"/>
                <w:rtl/>
              </w:rPr>
              <w:t>٠</w:t>
            </w:r>
          </w:p>
        </w:tc>
        <w:tc>
          <w:tcPr>
            <w:tcW w:w="2127" w:type="dxa"/>
          </w:tcPr>
          <w:p w14:paraId="617100B2" w14:textId="77777777" w:rsidR="00292806" w:rsidRDefault="00292806" w:rsidP="00691FDA">
            <w:pPr>
              <w:pStyle w:val="TableNText"/>
              <w:spacing w:before="0" w:after="0" w:line="240" w:lineRule="auto"/>
            </w:pPr>
            <w:r>
              <w:t xml:space="preserve">Per jurisdiction: </w:t>
            </w:r>
          </w:p>
          <w:p w14:paraId="77A1FED9" w14:textId="1B88499B" w:rsidR="00292806" w:rsidRDefault="00292806" w:rsidP="00691FDA">
            <w:pPr>
              <w:pStyle w:val="TableNText"/>
              <w:spacing w:before="0" w:after="0" w:line="240" w:lineRule="auto"/>
            </w:pPr>
            <w:r>
              <w:t>1 focus group</w:t>
            </w:r>
            <w:r w:rsidR="006C5511">
              <w:t xml:space="preserve"> </w:t>
            </w:r>
            <w:r w:rsidR="00B94999" w:rsidRPr="00A771A9">
              <w:t>x2</w:t>
            </w:r>
            <w:r w:rsidR="00B94999">
              <w:t xml:space="preserve"> rounds</w:t>
            </w:r>
          </w:p>
          <w:p w14:paraId="43839095" w14:textId="567C819E" w:rsidR="003B721F" w:rsidRDefault="00292806" w:rsidP="00691FDA">
            <w:pPr>
              <w:pStyle w:val="TableNText"/>
              <w:spacing w:before="0" w:after="0" w:line="240" w:lineRule="auto"/>
            </w:pPr>
            <w:r>
              <w:t>For larger jurisdictions, up to 2-3 each round</w:t>
            </w:r>
          </w:p>
        </w:tc>
        <w:tc>
          <w:tcPr>
            <w:tcW w:w="1417" w:type="dxa"/>
          </w:tcPr>
          <w:p w14:paraId="59A02036" w14:textId="560DC289" w:rsidR="003B721F" w:rsidRDefault="004738B6" w:rsidP="00691FDA">
            <w:pPr>
              <w:pStyle w:val="TableNText"/>
              <w:spacing w:before="0" w:after="0" w:line="240" w:lineRule="auto"/>
            </w:pPr>
            <w:r>
              <w:t>60</w:t>
            </w:r>
            <w:r w:rsidR="0079394A" w:rsidRPr="00A771A9">
              <w:t>-</w:t>
            </w:r>
            <w:r>
              <w:t>minute focus group</w:t>
            </w:r>
          </w:p>
        </w:tc>
        <w:tc>
          <w:tcPr>
            <w:tcW w:w="2890" w:type="dxa"/>
          </w:tcPr>
          <w:p w14:paraId="6F009187" w14:textId="7A6C5C05" w:rsidR="003B721F" w:rsidRDefault="003B721F" w:rsidP="00691FDA">
            <w:pPr>
              <w:pStyle w:val="TableNText"/>
              <w:spacing w:before="0" w:after="0" w:line="240" w:lineRule="auto"/>
            </w:pPr>
            <w:r>
              <w:t xml:space="preserve">Staff to be consulted will be determined using </w:t>
            </w:r>
            <w:r w:rsidRPr="0036085A">
              <w:t>the</w:t>
            </w:r>
            <w:r>
              <w:t xml:space="preserve"> </w:t>
            </w:r>
            <w:r w:rsidR="00CD0AC5">
              <w:t>approach</w:t>
            </w:r>
            <w:r>
              <w:t xml:space="preserve"> defined in section </w:t>
            </w:r>
            <w:r>
              <w:fldChar w:fldCharType="begin"/>
            </w:r>
            <w:r>
              <w:instrText xml:space="preserve"> REF _Ref57650139 \r \h  \* MERGEFORMAT </w:instrText>
            </w:r>
            <w:r>
              <w:fldChar w:fldCharType="separate"/>
            </w:r>
            <w:r w:rsidR="00DF258C">
              <w:t>6</w:t>
            </w:r>
            <w:r>
              <w:fldChar w:fldCharType="end"/>
            </w:r>
            <w:r>
              <w:t>.</w:t>
            </w:r>
            <w:r w:rsidR="007C4DAE">
              <w:t xml:space="preserve"> Numbers consulted will be dependent on response rates</w:t>
            </w:r>
            <w:r w:rsidR="00CD0AC5">
              <w:t xml:space="preserve"> and nominations.</w:t>
            </w:r>
          </w:p>
        </w:tc>
      </w:tr>
      <w:tr w:rsidR="00091A2E" w14:paraId="2F3B5F24" w14:textId="77777777" w:rsidTr="00DB3BEF">
        <w:trPr>
          <w:cnfStyle w:val="000000100000" w:firstRow="0" w:lastRow="0" w:firstColumn="0" w:lastColumn="0" w:oddVBand="0" w:evenVBand="0" w:oddHBand="1" w:evenHBand="0" w:firstRowFirstColumn="0" w:firstRowLastColumn="0" w:lastRowFirstColumn="0" w:lastRowLastColumn="0"/>
        </w:trPr>
        <w:tc>
          <w:tcPr>
            <w:tcW w:w="4054" w:type="dxa"/>
          </w:tcPr>
          <w:p w14:paraId="3EC6608A" w14:textId="06ECE058" w:rsidR="00091A2E" w:rsidRPr="004D2A9A" w:rsidRDefault="00091A2E" w:rsidP="00091A2E">
            <w:pPr>
              <w:pStyle w:val="TableNText"/>
              <w:spacing w:before="0" w:after="0" w:line="240" w:lineRule="auto"/>
              <w:rPr>
                <w:rFonts w:asciiTheme="majorHAnsi" w:hAnsiTheme="majorHAnsi" w:cstheme="majorHAnsi"/>
              </w:rPr>
            </w:pPr>
            <w:r w:rsidRPr="004D2A9A">
              <w:rPr>
                <w:rFonts w:asciiTheme="majorHAnsi" w:hAnsiTheme="majorHAnsi" w:cstheme="majorHAnsi"/>
              </w:rPr>
              <w:t xml:space="preserve">Service providers such as </w:t>
            </w:r>
            <w:r>
              <w:rPr>
                <w:rFonts w:asciiTheme="majorHAnsi" w:hAnsiTheme="majorHAnsi" w:cstheme="majorHAnsi"/>
              </w:rPr>
              <w:t>GP</w:t>
            </w:r>
            <w:r w:rsidRPr="004D2A9A">
              <w:rPr>
                <w:rFonts w:asciiTheme="majorHAnsi" w:hAnsiTheme="majorHAnsi" w:cstheme="majorHAnsi"/>
              </w:rPr>
              <w:t>s, specialist palliative care providers</w:t>
            </w:r>
            <w:r>
              <w:rPr>
                <w:rFonts w:asciiTheme="majorHAnsi" w:hAnsiTheme="majorHAnsi" w:cstheme="majorHAnsi"/>
              </w:rPr>
              <w:t xml:space="preserve"> and other</w:t>
            </w:r>
            <w:r w:rsidRPr="004D2A9A">
              <w:rPr>
                <w:rFonts w:asciiTheme="majorHAnsi" w:hAnsiTheme="majorHAnsi" w:cstheme="majorHAnsi"/>
              </w:rPr>
              <w:t xml:space="preserve"> clinicians</w:t>
            </w:r>
          </w:p>
        </w:tc>
        <w:tc>
          <w:tcPr>
            <w:tcW w:w="1701" w:type="dxa"/>
          </w:tcPr>
          <w:p w14:paraId="5B72541D" w14:textId="398DD2B1" w:rsidR="00091A2E" w:rsidRPr="004E53BA" w:rsidRDefault="00091A2E" w:rsidP="00091A2E">
            <w:pPr>
              <w:pStyle w:val="TableNText"/>
              <w:spacing w:before="0" w:after="0" w:line="240" w:lineRule="auto"/>
              <w:rPr>
                <w:noProof/>
              </w:rPr>
            </w:pPr>
            <w:r w:rsidRPr="004E53BA">
              <w:rPr>
                <w:noProof/>
                <w:lang w:eastAsia="en-AU"/>
              </w:rPr>
              <w:drawing>
                <wp:inline distT="0" distB="0" distL="0" distR="0" wp14:anchorId="10D8B42F" wp14:editId="6F559430">
                  <wp:extent cx="215661" cy="219043"/>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1676" cy="225153"/>
                          </a:xfrm>
                          <a:prstGeom prst="rect">
                            <a:avLst/>
                          </a:prstGeom>
                          <a:noFill/>
                          <a:ln>
                            <a:noFill/>
                          </a:ln>
                        </pic:spPr>
                      </pic:pic>
                    </a:graphicData>
                  </a:graphic>
                </wp:inline>
              </w:drawing>
            </w:r>
          </w:p>
        </w:tc>
        <w:tc>
          <w:tcPr>
            <w:tcW w:w="567" w:type="dxa"/>
          </w:tcPr>
          <w:p w14:paraId="4C11CF66" w14:textId="77777777" w:rsidR="00091A2E" w:rsidRDefault="00091A2E" w:rsidP="00091A2E">
            <w:pPr>
              <w:pStyle w:val="TableNText"/>
              <w:spacing w:before="0" w:after="0" w:line="240" w:lineRule="auto"/>
              <w:jc w:val="center"/>
            </w:pPr>
          </w:p>
        </w:tc>
        <w:tc>
          <w:tcPr>
            <w:tcW w:w="567" w:type="dxa"/>
          </w:tcPr>
          <w:p w14:paraId="624E675A" w14:textId="6346247D" w:rsidR="00091A2E" w:rsidRPr="00761AA2" w:rsidRDefault="00091A2E" w:rsidP="00091A2E">
            <w:pPr>
              <w:pStyle w:val="TableNText"/>
              <w:spacing w:before="0" w:after="0" w:line="240" w:lineRule="auto"/>
              <w:jc w:val="center"/>
              <w:rPr>
                <w:rFonts w:cs="Segoe UI"/>
                <w:sz w:val="36"/>
                <w:szCs w:val="48"/>
                <w:rtl/>
              </w:rPr>
            </w:pPr>
            <w:r w:rsidRPr="00761AA2">
              <w:rPr>
                <w:rFonts w:cs="Segoe UI"/>
                <w:sz w:val="36"/>
                <w:szCs w:val="48"/>
                <w:rtl/>
              </w:rPr>
              <w:t>٠</w:t>
            </w:r>
          </w:p>
        </w:tc>
        <w:tc>
          <w:tcPr>
            <w:tcW w:w="567" w:type="dxa"/>
          </w:tcPr>
          <w:p w14:paraId="74DFC5BA" w14:textId="14F2A97A" w:rsidR="00091A2E" w:rsidRPr="00761AA2" w:rsidRDefault="00091A2E" w:rsidP="00091A2E">
            <w:pPr>
              <w:pStyle w:val="TableNText"/>
              <w:spacing w:before="0" w:after="0" w:line="240" w:lineRule="auto"/>
              <w:jc w:val="center"/>
              <w:rPr>
                <w:rFonts w:cs="Segoe UI"/>
                <w:sz w:val="36"/>
                <w:szCs w:val="48"/>
                <w:rtl/>
              </w:rPr>
            </w:pPr>
            <w:r w:rsidRPr="00761AA2">
              <w:rPr>
                <w:rFonts w:cs="Segoe UI"/>
                <w:sz w:val="36"/>
                <w:szCs w:val="48"/>
                <w:rtl/>
              </w:rPr>
              <w:t>٠</w:t>
            </w:r>
          </w:p>
        </w:tc>
        <w:tc>
          <w:tcPr>
            <w:tcW w:w="2127" w:type="dxa"/>
          </w:tcPr>
          <w:p w14:paraId="1E27C179" w14:textId="73B95F74" w:rsidR="00091A2E" w:rsidRDefault="00BD2A17" w:rsidP="00091A2E">
            <w:pPr>
              <w:pStyle w:val="TableNText"/>
              <w:spacing w:before="0" w:after="0" w:line="240" w:lineRule="auto"/>
            </w:pPr>
            <w:r>
              <w:t>P</w:t>
            </w:r>
            <w:r w:rsidR="00273530">
              <w:t xml:space="preserve">er jurisdiction: </w:t>
            </w:r>
          </w:p>
          <w:p w14:paraId="35C6C012" w14:textId="77777777" w:rsidR="00273530" w:rsidRDefault="00273530" w:rsidP="00091A2E">
            <w:pPr>
              <w:pStyle w:val="TableNText"/>
              <w:spacing w:before="0" w:after="0" w:line="240" w:lineRule="auto"/>
            </w:pPr>
            <w:r>
              <w:t>1 focus group with specialist providers</w:t>
            </w:r>
          </w:p>
          <w:p w14:paraId="47B16F33" w14:textId="79199CE4" w:rsidR="00091A2E" w:rsidRDefault="00273530" w:rsidP="00091A2E">
            <w:pPr>
              <w:pStyle w:val="TableNText"/>
              <w:spacing w:before="0" w:after="0" w:line="240" w:lineRule="auto"/>
            </w:pPr>
            <w:r>
              <w:t>1 focus group with generalist providers</w:t>
            </w:r>
            <w:r w:rsidR="0019244B" w:rsidRPr="00A771A9">
              <w:t xml:space="preserve"> x</w:t>
            </w:r>
            <w:r w:rsidR="00091A2E" w:rsidRPr="00A771A9">
              <w:t>2</w:t>
            </w:r>
            <w:r w:rsidR="00091A2E">
              <w:t xml:space="preserve"> round</w:t>
            </w:r>
            <w:r w:rsidR="00B96C0F">
              <w:t>s</w:t>
            </w:r>
            <w:r>
              <w:t xml:space="preserve"> </w:t>
            </w:r>
          </w:p>
        </w:tc>
        <w:tc>
          <w:tcPr>
            <w:tcW w:w="1417" w:type="dxa"/>
          </w:tcPr>
          <w:p w14:paraId="7D03D077" w14:textId="51B1667A" w:rsidR="00091A2E" w:rsidRDefault="00091A2E" w:rsidP="00091A2E">
            <w:pPr>
              <w:pStyle w:val="TableNText"/>
              <w:spacing w:before="0" w:after="0" w:line="240" w:lineRule="auto"/>
            </w:pPr>
            <w:r>
              <w:t>60</w:t>
            </w:r>
            <w:r w:rsidR="0079394A" w:rsidRPr="00A771A9">
              <w:t>-</w:t>
            </w:r>
            <w:r>
              <w:t>minute focus group</w:t>
            </w:r>
            <w:r>
              <w:rPr>
                <w:rStyle w:val="CommentReference"/>
              </w:rPr>
              <w:t>, grouped by type of provider</w:t>
            </w:r>
          </w:p>
        </w:tc>
        <w:tc>
          <w:tcPr>
            <w:tcW w:w="2890" w:type="dxa"/>
          </w:tcPr>
          <w:p w14:paraId="40762D12" w14:textId="77777777" w:rsidR="00091A2E" w:rsidRDefault="00091A2E" w:rsidP="00091A2E">
            <w:pPr>
              <w:pStyle w:val="TableNText"/>
              <w:spacing w:before="0" w:after="0" w:line="240" w:lineRule="auto"/>
            </w:pPr>
            <w:r>
              <w:t xml:space="preserve">Focus groups will be grouped </w:t>
            </w:r>
            <w:proofErr w:type="gramStart"/>
            <w:r>
              <w:t>by:</w:t>
            </w:r>
            <w:proofErr w:type="gramEnd"/>
            <w:r>
              <w:t xml:space="preserve"> specialist providers, generalist providers (including GPs) and </w:t>
            </w:r>
            <w:r w:rsidR="009C66A9">
              <w:t>one PHN group if required.</w:t>
            </w:r>
          </w:p>
          <w:p w14:paraId="16615660" w14:textId="4E627864" w:rsidR="00091A2E" w:rsidRDefault="00BD2A17" w:rsidP="00091A2E">
            <w:pPr>
              <w:pStyle w:val="TableNText"/>
              <w:spacing w:before="0" w:after="0" w:line="240" w:lineRule="auto"/>
            </w:pPr>
            <w:r>
              <w:t xml:space="preserve">We may do slightly more in larger jurisdictions and combine focus groups in small jurisdictions. </w:t>
            </w:r>
          </w:p>
        </w:tc>
      </w:tr>
      <w:tr w:rsidR="00E62AEB" w14:paraId="5709C197" w14:textId="77777777" w:rsidTr="00DB3BEF">
        <w:trPr>
          <w:cnfStyle w:val="000000010000" w:firstRow="0" w:lastRow="0" w:firstColumn="0" w:lastColumn="0" w:oddVBand="0" w:evenVBand="0" w:oddHBand="0" w:evenHBand="1" w:firstRowFirstColumn="0" w:firstRowLastColumn="0" w:lastRowFirstColumn="0" w:lastRowLastColumn="0"/>
        </w:trPr>
        <w:tc>
          <w:tcPr>
            <w:tcW w:w="4054" w:type="dxa"/>
          </w:tcPr>
          <w:p w14:paraId="21FFA676" w14:textId="297CF96F" w:rsidR="00E62AEB" w:rsidRPr="00E62AEB" w:rsidRDefault="00E62AEB" w:rsidP="00E62AEB">
            <w:pPr>
              <w:pStyle w:val="TableNText"/>
              <w:spacing w:before="0" w:after="0" w:line="240" w:lineRule="auto"/>
              <w:rPr>
                <w:rFonts w:asciiTheme="majorHAnsi" w:hAnsiTheme="majorHAnsi" w:cstheme="majorHAnsi"/>
                <w:b/>
                <w:bCs/>
              </w:rPr>
            </w:pPr>
            <w:r>
              <w:rPr>
                <w:rFonts w:asciiTheme="majorHAnsi" w:hAnsiTheme="majorHAnsi" w:cstheme="majorHAnsi"/>
              </w:rPr>
              <w:t xml:space="preserve">PHNs – </w:t>
            </w:r>
            <w:r w:rsidRPr="00E62AEB">
              <w:rPr>
                <w:rFonts w:asciiTheme="majorHAnsi" w:hAnsiTheme="majorHAnsi" w:cstheme="majorHAnsi"/>
              </w:rPr>
              <w:t>representative sample</w:t>
            </w:r>
          </w:p>
        </w:tc>
        <w:tc>
          <w:tcPr>
            <w:tcW w:w="1701" w:type="dxa"/>
          </w:tcPr>
          <w:p w14:paraId="67A1AF4B" w14:textId="13DD8021" w:rsidR="00E62AEB" w:rsidRPr="004E53BA" w:rsidRDefault="00E62AEB" w:rsidP="00E62AEB">
            <w:pPr>
              <w:pStyle w:val="TableNText"/>
              <w:spacing w:before="0" w:after="0" w:line="240" w:lineRule="auto"/>
              <w:rPr>
                <w:noProof/>
              </w:rPr>
            </w:pPr>
            <w:r w:rsidRPr="004E53BA">
              <w:rPr>
                <w:noProof/>
                <w:lang w:eastAsia="en-AU"/>
              </w:rPr>
              <w:drawing>
                <wp:inline distT="0" distB="0" distL="0" distR="0" wp14:anchorId="33892C0F" wp14:editId="4122E874">
                  <wp:extent cx="215661" cy="219043"/>
                  <wp:effectExtent l="0" t="0" r="0" b="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1676" cy="225153"/>
                          </a:xfrm>
                          <a:prstGeom prst="rect">
                            <a:avLst/>
                          </a:prstGeom>
                          <a:noFill/>
                          <a:ln>
                            <a:noFill/>
                          </a:ln>
                        </pic:spPr>
                      </pic:pic>
                    </a:graphicData>
                  </a:graphic>
                </wp:inline>
              </w:drawing>
            </w:r>
          </w:p>
        </w:tc>
        <w:tc>
          <w:tcPr>
            <w:tcW w:w="567" w:type="dxa"/>
          </w:tcPr>
          <w:p w14:paraId="40CEB374" w14:textId="77777777" w:rsidR="00E62AEB" w:rsidRDefault="00E62AEB" w:rsidP="00E62AEB">
            <w:pPr>
              <w:pStyle w:val="TableNText"/>
              <w:spacing w:before="0" w:after="0" w:line="240" w:lineRule="auto"/>
              <w:jc w:val="center"/>
            </w:pPr>
          </w:p>
        </w:tc>
        <w:tc>
          <w:tcPr>
            <w:tcW w:w="567" w:type="dxa"/>
          </w:tcPr>
          <w:p w14:paraId="54C72F7F" w14:textId="413B58F0" w:rsidR="00E62AEB" w:rsidRPr="00761AA2" w:rsidRDefault="00E62AEB" w:rsidP="00E62AEB">
            <w:pPr>
              <w:pStyle w:val="TableNText"/>
              <w:spacing w:before="0" w:after="0" w:line="240" w:lineRule="auto"/>
              <w:jc w:val="center"/>
              <w:rPr>
                <w:rFonts w:cs="Segoe UI"/>
                <w:sz w:val="36"/>
                <w:szCs w:val="48"/>
                <w:rtl/>
              </w:rPr>
            </w:pPr>
            <w:r w:rsidRPr="00761AA2">
              <w:rPr>
                <w:rFonts w:cs="Segoe UI"/>
                <w:sz w:val="36"/>
                <w:szCs w:val="48"/>
                <w:rtl/>
              </w:rPr>
              <w:t>٠</w:t>
            </w:r>
          </w:p>
        </w:tc>
        <w:tc>
          <w:tcPr>
            <w:tcW w:w="567" w:type="dxa"/>
          </w:tcPr>
          <w:p w14:paraId="78760A7A" w14:textId="1CCFCD73" w:rsidR="00E62AEB" w:rsidRPr="00761AA2" w:rsidRDefault="00E62AEB" w:rsidP="00E62AEB">
            <w:pPr>
              <w:pStyle w:val="TableNText"/>
              <w:spacing w:before="0" w:after="0" w:line="240" w:lineRule="auto"/>
              <w:jc w:val="center"/>
              <w:rPr>
                <w:rFonts w:cs="Segoe UI"/>
                <w:sz w:val="36"/>
                <w:szCs w:val="48"/>
                <w:rtl/>
              </w:rPr>
            </w:pPr>
            <w:r w:rsidRPr="00761AA2">
              <w:rPr>
                <w:rFonts w:cs="Segoe UI"/>
                <w:sz w:val="36"/>
                <w:szCs w:val="48"/>
                <w:rtl/>
              </w:rPr>
              <w:t>٠</w:t>
            </w:r>
          </w:p>
        </w:tc>
        <w:tc>
          <w:tcPr>
            <w:tcW w:w="2127" w:type="dxa"/>
          </w:tcPr>
          <w:p w14:paraId="637CE760" w14:textId="66A4D7A1" w:rsidR="00E62AEB" w:rsidRDefault="00E62AEB" w:rsidP="00E62AEB">
            <w:pPr>
              <w:pStyle w:val="TableNText"/>
              <w:spacing w:before="0" w:after="0" w:line="240" w:lineRule="auto"/>
            </w:pPr>
            <w:r>
              <w:t xml:space="preserve">1 focus group (national) </w:t>
            </w:r>
            <w:r w:rsidRPr="00A771A9">
              <w:t>x2</w:t>
            </w:r>
            <w:r>
              <w:t xml:space="preserve"> rounds</w:t>
            </w:r>
          </w:p>
        </w:tc>
        <w:tc>
          <w:tcPr>
            <w:tcW w:w="1417" w:type="dxa"/>
          </w:tcPr>
          <w:p w14:paraId="49C52DDC" w14:textId="4B1985A9" w:rsidR="00E62AEB" w:rsidRDefault="00687CB5" w:rsidP="00E62AEB">
            <w:pPr>
              <w:pStyle w:val="TableNText"/>
              <w:spacing w:before="0" w:after="0" w:line="240" w:lineRule="auto"/>
            </w:pPr>
            <w:r>
              <w:t>60</w:t>
            </w:r>
            <w:r w:rsidR="0079394A" w:rsidRPr="00A771A9">
              <w:t>-</w:t>
            </w:r>
            <w:r>
              <w:t xml:space="preserve">minute focus group </w:t>
            </w:r>
          </w:p>
        </w:tc>
        <w:tc>
          <w:tcPr>
            <w:tcW w:w="2890" w:type="dxa"/>
          </w:tcPr>
          <w:p w14:paraId="2C7D1E8D" w14:textId="77777777" w:rsidR="00E62AEB" w:rsidRDefault="00E62AEB" w:rsidP="00E62AEB">
            <w:pPr>
              <w:pStyle w:val="TableNText"/>
              <w:spacing w:before="0" w:after="0" w:line="240" w:lineRule="auto"/>
            </w:pPr>
          </w:p>
        </w:tc>
      </w:tr>
      <w:tr w:rsidR="00091A2E" w14:paraId="0B754C35" w14:textId="77777777" w:rsidTr="00DB3BEF">
        <w:trPr>
          <w:cnfStyle w:val="000000100000" w:firstRow="0" w:lastRow="0" w:firstColumn="0" w:lastColumn="0" w:oddVBand="0" w:evenVBand="0" w:oddHBand="1" w:evenHBand="0" w:firstRowFirstColumn="0" w:firstRowLastColumn="0" w:lastRowFirstColumn="0" w:lastRowLastColumn="0"/>
        </w:trPr>
        <w:tc>
          <w:tcPr>
            <w:tcW w:w="4054" w:type="dxa"/>
          </w:tcPr>
          <w:p w14:paraId="263B8CB4" w14:textId="32887656" w:rsidR="00091A2E" w:rsidRPr="004D2A9A" w:rsidRDefault="005C65F9" w:rsidP="00091A2E">
            <w:pPr>
              <w:pStyle w:val="TableNText"/>
              <w:spacing w:before="0" w:after="0" w:line="240" w:lineRule="auto"/>
              <w:rPr>
                <w:rFonts w:asciiTheme="majorHAnsi" w:hAnsiTheme="majorHAnsi" w:cstheme="majorHAnsi"/>
              </w:rPr>
            </w:pPr>
            <w:r>
              <w:rPr>
                <w:rFonts w:asciiTheme="majorHAnsi" w:hAnsiTheme="majorHAnsi" w:cstheme="majorHAnsi"/>
              </w:rPr>
              <w:t xml:space="preserve">Existing </w:t>
            </w:r>
            <w:r w:rsidR="00091A2E" w:rsidRPr="004D2A9A">
              <w:rPr>
                <w:rFonts w:asciiTheme="majorHAnsi" w:hAnsiTheme="majorHAnsi" w:cstheme="majorHAnsi"/>
              </w:rPr>
              <w:t>PCA consumer representative forums</w:t>
            </w:r>
          </w:p>
        </w:tc>
        <w:tc>
          <w:tcPr>
            <w:tcW w:w="1701" w:type="dxa"/>
          </w:tcPr>
          <w:p w14:paraId="5591AAF5" w14:textId="77777777" w:rsidR="00091A2E" w:rsidRDefault="00091A2E" w:rsidP="00091A2E">
            <w:pPr>
              <w:pStyle w:val="TableNText"/>
              <w:spacing w:before="0" w:after="0" w:line="240" w:lineRule="auto"/>
            </w:pPr>
            <w:r w:rsidRPr="004E53BA">
              <w:rPr>
                <w:noProof/>
                <w:lang w:eastAsia="en-AU"/>
              </w:rPr>
              <w:drawing>
                <wp:inline distT="0" distB="0" distL="0" distR="0" wp14:anchorId="53701ADF" wp14:editId="733C7D15">
                  <wp:extent cx="215661" cy="219043"/>
                  <wp:effectExtent l="0" t="0" r="0" b="0"/>
                  <wp:docPr id="27882" name="Picture 278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2" name="Picture 27882">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1676" cy="225153"/>
                          </a:xfrm>
                          <a:prstGeom prst="rect">
                            <a:avLst/>
                          </a:prstGeom>
                          <a:noFill/>
                          <a:ln>
                            <a:noFill/>
                          </a:ln>
                        </pic:spPr>
                      </pic:pic>
                    </a:graphicData>
                  </a:graphic>
                </wp:inline>
              </w:drawing>
            </w:r>
          </w:p>
        </w:tc>
        <w:tc>
          <w:tcPr>
            <w:tcW w:w="567" w:type="dxa"/>
          </w:tcPr>
          <w:p w14:paraId="5058637A" w14:textId="2D10E234" w:rsidR="00091A2E" w:rsidRDefault="00091A2E" w:rsidP="00091A2E">
            <w:pPr>
              <w:pStyle w:val="TableNText"/>
              <w:spacing w:before="0" w:after="0" w:line="240" w:lineRule="auto"/>
              <w:jc w:val="center"/>
            </w:pPr>
          </w:p>
        </w:tc>
        <w:tc>
          <w:tcPr>
            <w:tcW w:w="567" w:type="dxa"/>
          </w:tcPr>
          <w:p w14:paraId="69ED1D6E" w14:textId="291DDB3E" w:rsidR="00091A2E" w:rsidRDefault="00091A2E" w:rsidP="00091A2E">
            <w:pPr>
              <w:pStyle w:val="TableNText"/>
              <w:spacing w:before="0" w:after="0" w:line="240" w:lineRule="auto"/>
              <w:jc w:val="center"/>
            </w:pPr>
            <w:r w:rsidRPr="0001649F">
              <w:rPr>
                <w:rFonts w:cs="Segoe UI"/>
                <w:sz w:val="36"/>
                <w:szCs w:val="48"/>
                <w:rtl/>
              </w:rPr>
              <w:t>٠</w:t>
            </w:r>
          </w:p>
        </w:tc>
        <w:tc>
          <w:tcPr>
            <w:tcW w:w="567" w:type="dxa"/>
          </w:tcPr>
          <w:p w14:paraId="488EE432" w14:textId="77777777" w:rsidR="00091A2E" w:rsidRDefault="00091A2E" w:rsidP="00091A2E">
            <w:pPr>
              <w:pStyle w:val="TableNText"/>
              <w:spacing w:before="0" w:after="0" w:line="240" w:lineRule="auto"/>
              <w:jc w:val="center"/>
            </w:pPr>
            <w:r w:rsidRPr="0001649F">
              <w:rPr>
                <w:rFonts w:cs="Segoe UI"/>
                <w:sz w:val="36"/>
                <w:szCs w:val="48"/>
                <w:rtl/>
              </w:rPr>
              <w:t>٠</w:t>
            </w:r>
          </w:p>
        </w:tc>
        <w:tc>
          <w:tcPr>
            <w:tcW w:w="2127" w:type="dxa"/>
          </w:tcPr>
          <w:p w14:paraId="57F51167" w14:textId="5CF11E9E" w:rsidR="00E62AEB" w:rsidRDefault="00E62AEB" w:rsidP="00E62AEB">
            <w:pPr>
              <w:pStyle w:val="TableNText"/>
              <w:spacing w:before="0" w:after="0" w:line="240" w:lineRule="auto"/>
            </w:pPr>
            <w:r>
              <w:t xml:space="preserve">1 with national PCA consumer group </w:t>
            </w:r>
            <w:r w:rsidRPr="00A771A9">
              <w:t>x2</w:t>
            </w:r>
            <w:r>
              <w:t xml:space="preserve"> </w:t>
            </w:r>
          </w:p>
          <w:p w14:paraId="3F0726E7" w14:textId="29307927" w:rsidR="00091A2E" w:rsidRDefault="00E62AEB" w:rsidP="00091A2E">
            <w:pPr>
              <w:pStyle w:val="TableNText"/>
              <w:spacing w:before="0" w:after="0" w:line="240" w:lineRule="auto"/>
            </w:pPr>
            <w:r>
              <w:t xml:space="preserve">Up to </w:t>
            </w:r>
            <w:r w:rsidR="005C65F9">
              <w:t>3</w:t>
            </w:r>
            <w:r>
              <w:t xml:space="preserve"> more with state chapter consumer groups </w:t>
            </w:r>
            <w:r w:rsidRPr="00A771A9">
              <w:t>x2</w:t>
            </w:r>
          </w:p>
        </w:tc>
        <w:tc>
          <w:tcPr>
            <w:tcW w:w="1417" w:type="dxa"/>
          </w:tcPr>
          <w:p w14:paraId="2CD526D6" w14:textId="27F3AE08" w:rsidR="00091A2E" w:rsidRDefault="00091A2E" w:rsidP="00091A2E">
            <w:pPr>
              <w:pStyle w:val="TableNText"/>
              <w:spacing w:before="0" w:after="0" w:line="240" w:lineRule="auto"/>
            </w:pPr>
            <w:proofErr w:type="gramStart"/>
            <w:r>
              <w:t>60</w:t>
            </w:r>
            <w:r w:rsidR="00D64519">
              <w:t>-90</w:t>
            </w:r>
            <w:r w:rsidR="00BB1E22">
              <w:t xml:space="preserve"> </w:t>
            </w:r>
            <w:r>
              <w:t>minute</w:t>
            </w:r>
            <w:proofErr w:type="gramEnd"/>
            <w:r>
              <w:t xml:space="preserve"> focus group</w:t>
            </w:r>
          </w:p>
        </w:tc>
        <w:tc>
          <w:tcPr>
            <w:tcW w:w="2890" w:type="dxa"/>
          </w:tcPr>
          <w:p w14:paraId="083F9CF6" w14:textId="1CF095A5" w:rsidR="00091A2E" w:rsidRDefault="00091A2E" w:rsidP="00091A2E">
            <w:pPr>
              <w:pStyle w:val="TableNText"/>
              <w:spacing w:before="0" w:after="0" w:line="240" w:lineRule="auto"/>
            </w:pPr>
            <w:r>
              <w:t>Consumer groups from PCA national and chapter bodies will be engaged where available</w:t>
            </w:r>
            <w:r w:rsidR="009C66A9">
              <w:t>.</w:t>
            </w:r>
          </w:p>
        </w:tc>
      </w:tr>
      <w:tr w:rsidR="00091A2E" w14:paraId="2A0379F5" w14:textId="77777777" w:rsidTr="00DB3BEF">
        <w:trPr>
          <w:cnfStyle w:val="000000010000" w:firstRow="0" w:lastRow="0" w:firstColumn="0" w:lastColumn="0" w:oddVBand="0" w:evenVBand="0" w:oddHBand="0" w:evenHBand="1" w:firstRowFirstColumn="0" w:firstRowLastColumn="0" w:lastRowFirstColumn="0" w:lastRowLastColumn="0"/>
        </w:trPr>
        <w:tc>
          <w:tcPr>
            <w:tcW w:w="4054" w:type="dxa"/>
          </w:tcPr>
          <w:p w14:paraId="70C8079A" w14:textId="77777777" w:rsidR="00091A2E" w:rsidRPr="004D2A9A" w:rsidRDefault="00091A2E" w:rsidP="00091A2E">
            <w:pPr>
              <w:pStyle w:val="TableNText"/>
              <w:spacing w:before="0" w:after="0" w:line="240" w:lineRule="auto"/>
              <w:rPr>
                <w:rFonts w:asciiTheme="majorHAnsi" w:hAnsiTheme="majorHAnsi" w:cstheme="majorHAnsi"/>
              </w:rPr>
            </w:pPr>
            <w:r w:rsidRPr="004D2A9A">
              <w:rPr>
                <w:rFonts w:asciiTheme="majorHAnsi" w:hAnsiTheme="majorHAnsi" w:cstheme="majorHAnsi"/>
              </w:rPr>
              <w:lastRenderedPageBreak/>
              <w:t xml:space="preserve">Peak bodies </w:t>
            </w:r>
          </w:p>
          <w:p w14:paraId="44D88DB0" w14:textId="009E79B8" w:rsidR="00091A2E" w:rsidRPr="004D2A9A" w:rsidRDefault="00091A2E" w:rsidP="00091A2E">
            <w:pPr>
              <w:pStyle w:val="TableNText"/>
              <w:spacing w:before="0" w:after="0" w:line="240" w:lineRule="auto"/>
              <w:rPr>
                <w:i/>
                <w:iCs/>
              </w:rPr>
            </w:pPr>
            <w:r w:rsidRPr="004D2A9A">
              <w:rPr>
                <w:i/>
                <w:iCs/>
              </w:rPr>
              <w:t xml:space="preserve">Examples include PCA, </w:t>
            </w:r>
            <w:r>
              <w:rPr>
                <w:i/>
                <w:iCs/>
              </w:rPr>
              <w:t>L</w:t>
            </w:r>
            <w:r w:rsidRPr="004D2A9A">
              <w:rPr>
                <w:i/>
                <w:iCs/>
              </w:rPr>
              <w:t>ASA</w:t>
            </w:r>
            <w:r w:rsidR="009747AD">
              <w:rPr>
                <w:i/>
                <w:iCs/>
              </w:rPr>
              <w:t xml:space="preserve">, </w:t>
            </w:r>
            <w:r w:rsidR="00D33520">
              <w:rPr>
                <w:i/>
                <w:iCs/>
              </w:rPr>
              <w:t>Aged</w:t>
            </w:r>
            <w:r w:rsidR="00F6104D">
              <w:rPr>
                <w:i/>
                <w:iCs/>
              </w:rPr>
              <w:t xml:space="preserve"> </w:t>
            </w:r>
            <w:r w:rsidR="0019244B" w:rsidRPr="00A771A9">
              <w:rPr>
                <w:i/>
                <w:iCs/>
              </w:rPr>
              <w:t>and</w:t>
            </w:r>
            <w:r w:rsidR="00F6104D">
              <w:rPr>
                <w:i/>
                <w:iCs/>
              </w:rPr>
              <w:t xml:space="preserve"> Community Services Australia </w:t>
            </w:r>
            <w:r w:rsidR="00D33520">
              <w:rPr>
                <w:i/>
                <w:iCs/>
              </w:rPr>
              <w:t>(</w:t>
            </w:r>
            <w:r w:rsidR="009747AD">
              <w:rPr>
                <w:i/>
                <w:iCs/>
              </w:rPr>
              <w:t>ACSA</w:t>
            </w:r>
            <w:r w:rsidR="00D33520">
              <w:rPr>
                <w:i/>
                <w:iCs/>
              </w:rPr>
              <w:t>)</w:t>
            </w:r>
            <w:r w:rsidRPr="004D2A9A">
              <w:rPr>
                <w:i/>
                <w:iCs/>
              </w:rPr>
              <w:t xml:space="preserve"> and COTA</w:t>
            </w:r>
            <w:r w:rsidRPr="00A771A9">
              <w:rPr>
                <w:i/>
                <w:iCs/>
              </w:rPr>
              <w:t>.</w:t>
            </w:r>
          </w:p>
        </w:tc>
        <w:tc>
          <w:tcPr>
            <w:tcW w:w="1701" w:type="dxa"/>
          </w:tcPr>
          <w:p w14:paraId="42C084C2" w14:textId="77777777" w:rsidR="00091A2E" w:rsidRDefault="00091A2E" w:rsidP="00091A2E">
            <w:pPr>
              <w:pStyle w:val="TableNText"/>
              <w:spacing w:before="0" w:after="0" w:line="240" w:lineRule="auto"/>
            </w:pPr>
            <w:r w:rsidRPr="00160C95">
              <w:rPr>
                <w:noProof/>
                <w:lang w:eastAsia="en-AU"/>
              </w:rPr>
              <w:drawing>
                <wp:inline distT="0" distB="0" distL="0" distR="0" wp14:anchorId="3CEBC9A8" wp14:editId="729791C0">
                  <wp:extent cx="219600" cy="219600"/>
                  <wp:effectExtent l="0" t="0" r="9525" b="9525"/>
                  <wp:docPr id="27874" name="Picture 278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4" name="Picture 27874">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600" cy="219600"/>
                          </a:xfrm>
                          <a:prstGeom prst="rect">
                            <a:avLst/>
                          </a:prstGeom>
                          <a:noFill/>
                          <a:ln>
                            <a:noFill/>
                          </a:ln>
                        </pic:spPr>
                      </pic:pic>
                    </a:graphicData>
                  </a:graphic>
                </wp:inline>
              </w:drawing>
            </w:r>
          </w:p>
        </w:tc>
        <w:tc>
          <w:tcPr>
            <w:tcW w:w="567" w:type="dxa"/>
          </w:tcPr>
          <w:p w14:paraId="6EB1EEED" w14:textId="77777777" w:rsidR="00091A2E" w:rsidRDefault="00091A2E" w:rsidP="00091A2E">
            <w:pPr>
              <w:pStyle w:val="TableNText"/>
              <w:spacing w:before="0" w:after="0" w:line="240" w:lineRule="auto"/>
              <w:jc w:val="center"/>
            </w:pPr>
          </w:p>
        </w:tc>
        <w:tc>
          <w:tcPr>
            <w:tcW w:w="567" w:type="dxa"/>
          </w:tcPr>
          <w:p w14:paraId="3B27DBE1" w14:textId="77777777" w:rsidR="00091A2E" w:rsidRPr="00272671" w:rsidRDefault="00091A2E" w:rsidP="00091A2E">
            <w:pPr>
              <w:pStyle w:val="TableNText"/>
              <w:spacing w:before="0" w:after="0" w:line="240" w:lineRule="auto"/>
              <w:jc w:val="center"/>
            </w:pPr>
            <w:r w:rsidRPr="00E23935">
              <w:rPr>
                <w:rFonts w:cs="Segoe UI"/>
                <w:sz w:val="36"/>
                <w:szCs w:val="48"/>
                <w:rtl/>
              </w:rPr>
              <w:t>٠</w:t>
            </w:r>
          </w:p>
        </w:tc>
        <w:tc>
          <w:tcPr>
            <w:tcW w:w="567" w:type="dxa"/>
          </w:tcPr>
          <w:p w14:paraId="032B223B" w14:textId="77777777" w:rsidR="00091A2E" w:rsidRPr="00272671" w:rsidRDefault="00091A2E" w:rsidP="00091A2E">
            <w:pPr>
              <w:pStyle w:val="TableNText"/>
              <w:spacing w:before="0" w:after="0" w:line="240" w:lineRule="auto"/>
              <w:jc w:val="center"/>
            </w:pPr>
            <w:r w:rsidRPr="00E23935">
              <w:rPr>
                <w:rFonts w:cs="Segoe UI"/>
                <w:sz w:val="36"/>
                <w:szCs w:val="48"/>
                <w:rtl/>
              </w:rPr>
              <w:t>٠</w:t>
            </w:r>
          </w:p>
        </w:tc>
        <w:tc>
          <w:tcPr>
            <w:tcW w:w="2127" w:type="dxa"/>
          </w:tcPr>
          <w:p w14:paraId="5B01EC97" w14:textId="43A49A45" w:rsidR="00091A2E" w:rsidRDefault="00E62AEB" w:rsidP="00091A2E">
            <w:pPr>
              <w:pStyle w:val="TableNText"/>
              <w:spacing w:before="0" w:after="0" w:line="240" w:lineRule="auto"/>
            </w:pPr>
            <w:r>
              <w:t xml:space="preserve">Up to </w:t>
            </w:r>
            <w:r w:rsidR="00091A2E">
              <w:t xml:space="preserve">5 </w:t>
            </w:r>
            <w:r>
              <w:t>consultations</w:t>
            </w:r>
            <w:r w:rsidR="00091A2E">
              <w:t xml:space="preserve"> </w:t>
            </w:r>
            <w:r w:rsidR="00091A2E" w:rsidRPr="00A771A9">
              <w:t>x2</w:t>
            </w:r>
            <w:r w:rsidR="00091A2E">
              <w:t xml:space="preserve"> rounds</w:t>
            </w:r>
          </w:p>
        </w:tc>
        <w:tc>
          <w:tcPr>
            <w:tcW w:w="1417" w:type="dxa"/>
          </w:tcPr>
          <w:p w14:paraId="28CCDC98" w14:textId="7D8C45EF" w:rsidR="00091A2E" w:rsidRDefault="00BB1E22" w:rsidP="00091A2E">
            <w:pPr>
              <w:pStyle w:val="TableNText"/>
              <w:spacing w:before="0" w:after="0" w:line="240" w:lineRule="auto"/>
            </w:pPr>
            <w:proofErr w:type="gramStart"/>
            <w:r>
              <w:t xml:space="preserve">30-60 </w:t>
            </w:r>
            <w:r w:rsidR="00091A2E">
              <w:t>minute</w:t>
            </w:r>
            <w:proofErr w:type="gramEnd"/>
            <w:r w:rsidR="00091A2E">
              <w:t xml:space="preserve"> i</w:t>
            </w:r>
            <w:r w:rsidR="00091A2E" w:rsidRPr="00272671">
              <w:t>nterview/ teleconference</w:t>
            </w:r>
          </w:p>
        </w:tc>
        <w:tc>
          <w:tcPr>
            <w:tcW w:w="2890" w:type="dxa"/>
          </w:tcPr>
          <w:p w14:paraId="56377EAC" w14:textId="3C7CA281" w:rsidR="00091A2E" w:rsidRDefault="00091A2E" w:rsidP="00091A2E">
            <w:pPr>
              <w:pStyle w:val="TableNText"/>
              <w:spacing w:before="0" w:after="0" w:line="240" w:lineRule="auto"/>
            </w:pPr>
            <w:r>
              <w:t>N/A</w:t>
            </w:r>
          </w:p>
        </w:tc>
      </w:tr>
      <w:tr w:rsidR="00091A2E" w14:paraId="769341A6" w14:textId="77777777" w:rsidTr="00DB3BEF">
        <w:trPr>
          <w:cnfStyle w:val="000000100000" w:firstRow="0" w:lastRow="0" w:firstColumn="0" w:lastColumn="0" w:oddVBand="0" w:evenVBand="0" w:oddHBand="1" w:evenHBand="0" w:firstRowFirstColumn="0" w:firstRowLastColumn="0" w:lastRowFirstColumn="0" w:lastRowLastColumn="0"/>
        </w:trPr>
        <w:tc>
          <w:tcPr>
            <w:tcW w:w="4054" w:type="dxa"/>
          </w:tcPr>
          <w:p w14:paraId="626A6DF0" w14:textId="77777777" w:rsidR="00091A2E" w:rsidRPr="004D2A9A" w:rsidRDefault="00091A2E" w:rsidP="00091A2E">
            <w:pPr>
              <w:pStyle w:val="TableNText"/>
              <w:spacing w:before="0" w:after="0" w:line="240" w:lineRule="auto"/>
              <w:rPr>
                <w:rFonts w:asciiTheme="majorHAnsi" w:hAnsiTheme="majorHAnsi" w:cstheme="majorHAnsi"/>
              </w:rPr>
            </w:pPr>
            <w:r w:rsidRPr="004D2A9A">
              <w:rPr>
                <w:rFonts w:asciiTheme="majorHAnsi" w:hAnsiTheme="majorHAnsi" w:cstheme="majorHAnsi"/>
              </w:rPr>
              <w:t>National data organisations</w:t>
            </w:r>
          </w:p>
          <w:p w14:paraId="28088A66" w14:textId="4512F960" w:rsidR="00091A2E" w:rsidRPr="004D2A9A" w:rsidRDefault="00091A2E" w:rsidP="00091A2E">
            <w:pPr>
              <w:pStyle w:val="TableNText"/>
              <w:spacing w:before="0" w:after="0" w:line="240" w:lineRule="auto"/>
              <w:rPr>
                <w:i/>
                <w:iCs/>
              </w:rPr>
            </w:pPr>
            <w:r w:rsidRPr="004D2A9A">
              <w:rPr>
                <w:i/>
                <w:iCs/>
              </w:rPr>
              <w:t>Examples include the AIHW and the Australian Commission on Safety and Quality in Health Care (ACSQHC).</w:t>
            </w:r>
          </w:p>
        </w:tc>
        <w:tc>
          <w:tcPr>
            <w:tcW w:w="1701" w:type="dxa"/>
          </w:tcPr>
          <w:p w14:paraId="6AB22858" w14:textId="417BE8A7" w:rsidR="00091A2E" w:rsidRDefault="00091A2E" w:rsidP="00091A2E">
            <w:pPr>
              <w:pStyle w:val="TableNText"/>
              <w:spacing w:before="0" w:after="0" w:line="240" w:lineRule="auto"/>
            </w:pPr>
            <w:r w:rsidRPr="00160C95">
              <w:rPr>
                <w:noProof/>
                <w:lang w:eastAsia="en-AU"/>
              </w:rPr>
              <w:drawing>
                <wp:inline distT="0" distB="0" distL="0" distR="0" wp14:anchorId="7B48C89D" wp14:editId="3BBF6E28">
                  <wp:extent cx="219600" cy="219600"/>
                  <wp:effectExtent l="0" t="0" r="9525" b="9525"/>
                  <wp:docPr id="27877" name="Picture 278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7" name="Picture 27877">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600" cy="219600"/>
                          </a:xfrm>
                          <a:prstGeom prst="rect">
                            <a:avLst/>
                          </a:prstGeom>
                          <a:noFill/>
                          <a:ln>
                            <a:noFill/>
                          </a:ln>
                        </pic:spPr>
                      </pic:pic>
                    </a:graphicData>
                  </a:graphic>
                </wp:inline>
              </w:drawing>
            </w:r>
            <w:r w:rsidR="007B5694">
              <w:t xml:space="preserve"> </w:t>
            </w:r>
            <w:r w:rsidRPr="00160C95">
              <w:rPr>
                <w:noProof/>
                <w:lang w:eastAsia="en-AU"/>
              </w:rPr>
              <w:drawing>
                <wp:inline distT="0" distB="0" distL="0" distR="0" wp14:anchorId="21A55AC2" wp14:editId="39F1D4AA">
                  <wp:extent cx="226059" cy="219600"/>
                  <wp:effectExtent l="0" t="0" r="3175" b="0"/>
                  <wp:docPr id="27878" name="Picture 278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8" name="Picture 27878">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6059" cy="219600"/>
                          </a:xfrm>
                          <a:prstGeom prst="rect">
                            <a:avLst/>
                          </a:prstGeom>
                          <a:noFill/>
                          <a:ln>
                            <a:noFill/>
                          </a:ln>
                        </pic:spPr>
                      </pic:pic>
                    </a:graphicData>
                  </a:graphic>
                </wp:inline>
              </w:drawing>
            </w:r>
          </w:p>
        </w:tc>
        <w:tc>
          <w:tcPr>
            <w:tcW w:w="567" w:type="dxa"/>
          </w:tcPr>
          <w:p w14:paraId="4FC2A823" w14:textId="77777777" w:rsidR="00091A2E" w:rsidRDefault="00091A2E" w:rsidP="00091A2E">
            <w:pPr>
              <w:pStyle w:val="TableNText"/>
              <w:spacing w:before="0" w:after="0" w:line="240" w:lineRule="auto"/>
              <w:jc w:val="center"/>
            </w:pPr>
          </w:p>
        </w:tc>
        <w:tc>
          <w:tcPr>
            <w:tcW w:w="567" w:type="dxa"/>
          </w:tcPr>
          <w:p w14:paraId="79B91D54" w14:textId="77777777" w:rsidR="00091A2E" w:rsidRPr="00272671" w:rsidRDefault="00091A2E" w:rsidP="00091A2E">
            <w:pPr>
              <w:pStyle w:val="TableNText"/>
              <w:spacing w:before="0" w:after="0" w:line="240" w:lineRule="auto"/>
              <w:jc w:val="center"/>
            </w:pPr>
            <w:r w:rsidRPr="00F85247">
              <w:rPr>
                <w:rFonts w:cs="Segoe UI"/>
                <w:sz w:val="36"/>
                <w:szCs w:val="48"/>
                <w:rtl/>
              </w:rPr>
              <w:t>٠</w:t>
            </w:r>
          </w:p>
        </w:tc>
        <w:tc>
          <w:tcPr>
            <w:tcW w:w="567" w:type="dxa"/>
          </w:tcPr>
          <w:p w14:paraId="4DA71ED1" w14:textId="77777777" w:rsidR="00091A2E" w:rsidRPr="00272671" w:rsidRDefault="00091A2E" w:rsidP="00091A2E">
            <w:pPr>
              <w:pStyle w:val="TableNText"/>
              <w:spacing w:before="0" w:after="0" w:line="240" w:lineRule="auto"/>
              <w:jc w:val="center"/>
            </w:pPr>
            <w:r w:rsidRPr="00F85247">
              <w:rPr>
                <w:rFonts w:cs="Segoe UI"/>
                <w:sz w:val="36"/>
                <w:szCs w:val="48"/>
                <w:rtl/>
              </w:rPr>
              <w:t>٠</w:t>
            </w:r>
          </w:p>
        </w:tc>
        <w:tc>
          <w:tcPr>
            <w:tcW w:w="2127" w:type="dxa"/>
          </w:tcPr>
          <w:p w14:paraId="17B6641F" w14:textId="04DA7DB5" w:rsidR="00091A2E" w:rsidRDefault="00E62AEB" w:rsidP="00091A2E">
            <w:pPr>
              <w:pStyle w:val="TableNText"/>
              <w:spacing w:before="0" w:after="0" w:line="240" w:lineRule="auto"/>
            </w:pPr>
            <w:r>
              <w:t xml:space="preserve">Ad hoc as needed – likely 3 consultations </w:t>
            </w:r>
            <w:r w:rsidRPr="00A771A9">
              <w:t>x2</w:t>
            </w:r>
            <w:r>
              <w:t xml:space="preserve"> rounds </w:t>
            </w:r>
          </w:p>
        </w:tc>
        <w:tc>
          <w:tcPr>
            <w:tcW w:w="1417" w:type="dxa"/>
          </w:tcPr>
          <w:p w14:paraId="45C732BE" w14:textId="003B4027" w:rsidR="00091A2E" w:rsidRDefault="00321C91" w:rsidP="00091A2E">
            <w:pPr>
              <w:pStyle w:val="TableNText"/>
              <w:spacing w:before="0" w:after="0" w:line="240" w:lineRule="auto"/>
            </w:pPr>
            <w:proofErr w:type="gramStart"/>
            <w:r>
              <w:t xml:space="preserve">30-60 </w:t>
            </w:r>
            <w:r w:rsidR="00091A2E">
              <w:t>minute</w:t>
            </w:r>
            <w:proofErr w:type="gramEnd"/>
            <w:r w:rsidR="00091A2E">
              <w:t xml:space="preserve"> i</w:t>
            </w:r>
            <w:r w:rsidR="00091A2E" w:rsidRPr="00272671">
              <w:t>nterview/ teleconferenc</w:t>
            </w:r>
            <w:r w:rsidR="00091A2E">
              <w:t>e</w:t>
            </w:r>
          </w:p>
          <w:p w14:paraId="1F562925" w14:textId="6EDF5C24" w:rsidR="00091A2E" w:rsidRDefault="00091A2E" w:rsidP="00091A2E">
            <w:pPr>
              <w:pStyle w:val="TableNText"/>
              <w:spacing w:before="0" w:after="0" w:line="240" w:lineRule="auto"/>
            </w:pPr>
          </w:p>
        </w:tc>
        <w:tc>
          <w:tcPr>
            <w:tcW w:w="2890" w:type="dxa"/>
          </w:tcPr>
          <w:p w14:paraId="47753586" w14:textId="41A64143" w:rsidR="00091A2E" w:rsidRDefault="00687CB5" w:rsidP="00091A2E">
            <w:pPr>
              <w:pStyle w:val="TableNText"/>
              <w:spacing w:before="0" w:after="0" w:line="240" w:lineRule="auto"/>
            </w:pPr>
            <w:r>
              <w:t>Also ad hoc as needed</w:t>
            </w:r>
            <w:r w:rsidR="00A978B2" w:rsidRPr="00A771A9">
              <w:t>.</w:t>
            </w:r>
          </w:p>
        </w:tc>
      </w:tr>
      <w:tr w:rsidR="00091A2E" w14:paraId="2971CBAB" w14:textId="77777777" w:rsidTr="00DB3BEF">
        <w:trPr>
          <w:cnfStyle w:val="000000010000" w:firstRow="0" w:lastRow="0" w:firstColumn="0" w:lastColumn="0" w:oddVBand="0" w:evenVBand="0" w:oddHBand="0" w:evenHBand="1" w:firstRowFirstColumn="0" w:firstRowLastColumn="0" w:lastRowFirstColumn="0" w:lastRowLastColumn="0"/>
        </w:trPr>
        <w:tc>
          <w:tcPr>
            <w:tcW w:w="4054" w:type="dxa"/>
          </w:tcPr>
          <w:p w14:paraId="0A4A73B2" w14:textId="77777777" w:rsidR="00091A2E" w:rsidRPr="00F85247" w:rsidRDefault="00091A2E" w:rsidP="00091A2E">
            <w:pPr>
              <w:pStyle w:val="TableNText"/>
              <w:spacing w:before="0" w:after="0" w:line="240" w:lineRule="auto"/>
              <w:rPr>
                <w:rFonts w:asciiTheme="majorHAnsi" w:hAnsiTheme="majorHAnsi" w:cstheme="majorHAnsi"/>
              </w:rPr>
            </w:pPr>
            <w:r w:rsidRPr="00F85247">
              <w:rPr>
                <w:rFonts w:asciiTheme="majorHAnsi" w:hAnsiTheme="majorHAnsi" w:cstheme="majorHAnsi"/>
              </w:rPr>
              <w:t>Other national programs or initiatives</w:t>
            </w:r>
          </w:p>
          <w:p w14:paraId="654526D7" w14:textId="03F5B983" w:rsidR="00091A2E" w:rsidRPr="00F85247" w:rsidRDefault="00091A2E" w:rsidP="00091A2E">
            <w:pPr>
              <w:pStyle w:val="TableNText"/>
              <w:spacing w:before="0" w:after="0" w:line="240" w:lineRule="auto"/>
              <w:rPr>
                <w:i/>
                <w:iCs/>
              </w:rPr>
            </w:pPr>
            <w:r w:rsidRPr="00F85247">
              <w:rPr>
                <w:i/>
                <w:iCs/>
              </w:rPr>
              <w:t>Examples include PCOC and ELDAC</w:t>
            </w:r>
            <w:r w:rsidR="00A978B2" w:rsidRPr="00A771A9">
              <w:rPr>
                <w:i/>
                <w:iCs/>
              </w:rPr>
              <w:t>.</w:t>
            </w:r>
          </w:p>
        </w:tc>
        <w:tc>
          <w:tcPr>
            <w:tcW w:w="1701" w:type="dxa"/>
          </w:tcPr>
          <w:p w14:paraId="28EFE245" w14:textId="77777777" w:rsidR="00091A2E" w:rsidRDefault="00091A2E" w:rsidP="00091A2E">
            <w:pPr>
              <w:pStyle w:val="TableNText"/>
              <w:spacing w:before="0" w:after="0" w:line="240" w:lineRule="auto"/>
            </w:pPr>
            <w:r w:rsidRPr="00160C95">
              <w:rPr>
                <w:noProof/>
                <w:lang w:eastAsia="en-AU"/>
              </w:rPr>
              <w:drawing>
                <wp:inline distT="0" distB="0" distL="0" distR="0" wp14:anchorId="50D8FDB3" wp14:editId="0D785953">
                  <wp:extent cx="219600" cy="219600"/>
                  <wp:effectExtent l="0" t="0" r="9525" b="9525"/>
                  <wp:docPr id="27883" name="Picture 278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3" name="Picture 27883">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600" cy="219600"/>
                          </a:xfrm>
                          <a:prstGeom prst="rect">
                            <a:avLst/>
                          </a:prstGeom>
                          <a:noFill/>
                          <a:ln>
                            <a:noFill/>
                          </a:ln>
                        </pic:spPr>
                      </pic:pic>
                    </a:graphicData>
                  </a:graphic>
                </wp:inline>
              </w:drawing>
            </w:r>
          </w:p>
        </w:tc>
        <w:tc>
          <w:tcPr>
            <w:tcW w:w="567" w:type="dxa"/>
          </w:tcPr>
          <w:p w14:paraId="15C83494" w14:textId="25D80D9D" w:rsidR="00091A2E" w:rsidRDefault="00091A2E" w:rsidP="00091A2E">
            <w:pPr>
              <w:pStyle w:val="TableNText"/>
              <w:spacing w:before="0" w:after="0" w:line="240" w:lineRule="auto"/>
              <w:jc w:val="center"/>
            </w:pPr>
            <w:r w:rsidRPr="009D2B0D">
              <w:rPr>
                <w:rFonts w:cs="Segoe UI"/>
                <w:sz w:val="36"/>
                <w:szCs w:val="48"/>
                <w:rtl/>
              </w:rPr>
              <w:t>٠</w:t>
            </w:r>
          </w:p>
        </w:tc>
        <w:tc>
          <w:tcPr>
            <w:tcW w:w="567" w:type="dxa"/>
          </w:tcPr>
          <w:p w14:paraId="3C95DE7E" w14:textId="77777777" w:rsidR="00091A2E" w:rsidRPr="00272671" w:rsidRDefault="00091A2E" w:rsidP="00091A2E">
            <w:pPr>
              <w:pStyle w:val="TableNText"/>
              <w:spacing w:before="0" w:after="0" w:line="240" w:lineRule="auto"/>
              <w:jc w:val="center"/>
            </w:pPr>
            <w:r w:rsidRPr="009D2B0D">
              <w:rPr>
                <w:rFonts w:cs="Segoe UI"/>
                <w:sz w:val="36"/>
                <w:szCs w:val="48"/>
                <w:rtl/>
              </w:rPr>
              <w:t>٠</w:t>
            </w:r>
          </w:p>
        </w:tc>
        <w:tc>
          <w:tcPr>
            <w:tcW w:w="567" w:type="dxa"/>
          </w:tcPr>
          <w:p w14:paraId="5C85619C" w14:textId="77777777" w:rsidR="00091A2E" w:rsidRPr="00272671" w:rsidRDefault="00091A2E" w:rsidP="00091A2E">
            <w:pPr>
              <w:pStyle w:val="TableNText"/>
              <w:spacing w:before="0" w:after="0" w:line="240" w:lineRule="auto"/>
              <w:jc w:val="center"/>
            </w:pPr>
            <w:r w:rsidRPr="009D2B0D">
              <w:rPr>
                <w:rFonts w:cs="Segoe UI"/>
                <w:sz w:val="36"/>
                <w:szCs w:val="48"/>
                <w:rtl/>
              </w:rPr>
              <w:t>٠</w:t>
            </w:r>
          </w:p>
        </w:tc>
        <w:tc>
          <w:tcPr>
            <w:tcW w:w="2127" w:type="dxa"/>
          </w:tcPr>
          <w:p w14:paraId="680C6F0D" w14:textId="0C306A1F" w:rsidR="00091A2E" w:rsidRDefault="00A5420E" w:rsidP="00091A2E">
            <w:pPr>
              <w:pStyle w:val="TableNText"/>
              <w:spacing w:before="0" w:after="0" w:line="240" w:lineRule="auto"/>
            </w:pPr>
            <w:r>
              <w:t xml:space="preserve">4 </w:t>
            </w:r>
            <w:r w:rsidR="00091A2E">
              <w:t xml:space="preserve">or as required </w:t>
            </w:r>
            <w:r w:rsidR="00091A2E" w:rsidRPr="00A771A9">
              <w:t>x2</w:t>
            </w:r>
            <w:r w:rsidR="00091A2E">
              <w:t xml:space="preserve"> rounds</w:t>
            </w:r>
          </w:p>
        </w:tc>
        <w:tc>
          <w:tcPr>
            <w:tcW w:w="1417" w:type="dxa"/>
          </w:tcPr>
          <w:p w14:paraId="03FE95B6" w14:textId="068B5113" w:rsidR="00091A2E" w:rsidRDefault="00321C91" w:rsidP="00091A2E">
            <w:pPr>
              <w:pStyle w:val="TableNText"/>
              <w:spacing w:before="0" w:after="0" w:line="240" w:lineRule="auto"/>
            </w:pPr>
            <w:proofErr w:type="gramStart"/>
            <w:r>
              <w:t xml:space="preserve">30-60 </w:t>
            </w:r>
            <w:r w:rsidR="00091A2E">
              <w:t>minute</w:t>
            </w:r>
            <w:proofErr w:type="gramEnd"/>
            <w:r w:rsidR="00091A2E">
              <w:t xml:space="preserve"> i</w:t>
            </w:r>
            <w:r w:rsidR="00091A2E" w:rsidRPr="00272671">
              <w:t>nterview/ teleconference</w:t>
            </w:r>
          </w:p>
        </w:tc>
        <w:tc>
          <w:tcPr>
            <w:tcW w:w="2890" w:type="dxa"/>
          </w:tcPr>
          <w:p w14:paraId="58C21A24" w14:textId="2222847A" w:rsidR="00091A2E" w:rsidRDefault="00687CB5" w:rsidP="00091A2E">
            <w:pPr>
              <w:pStyle w:val="TableNText"/>
              <w:spacing w:before="0" w:after="0" w:line="240" w:lineRule="auto"/>
            </w:pPr>
            <w:r>
              <w:t>Also ad hoc as needed</w:t>
            </w:r>
            <w:r w:rsidR="00A978B2" w:rsidRPr="00A771A9">
              <w:t>.</w:t>
            </w:r>
          </w:p>
        </w:tc>
      </w:tr>
    </w:tbl>
    <w:p w14:paraId="2336605D" w14:textId="50E4D16B" w:rsidR="006D4DE5" w:rsidRDefault="006D4DE5" w:rsidP="006D4DE5">
      <w:pPr>
        <w:pStyle w:val="TableNBullet"/>
        <w:numPr>
          <w:ilvl w:val="0"/>
          <w:numId w:val="0"/>
        </w:numPr>
        <w:ind w:left="227" w:hanging="227"/>
      </w:pPr>
      <w:r w:rsidRPr="00CC4140">
        <w:rPr>
          <w:noProof/>
        </w:rPr>
        <w:drawing>
          <wp:inline distT="0" distB="0" distL="0" distR="0" wp14:anchorId="4E1042C2" wp14:editId="5D077747">
            <wp:extent cx="8801100" cy="406400"/>
            <wp:effectExtent l="0" t="0" r="0" b="0"/>
            <wp:docPr id="27884" name="Picture 27884" descr="Table key&#10;A tick means that the purpose of the stakeholder engagement is to inform evaluation findings. A bullseye means that the engagement is used to inform interpretation of results, and a chart means that the purpose of the engagement is to provide data ad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4" name="Picture 27884" descr="Table key&#10;A tick means that the purpose of the stakeholder engagement is to inform evaluation findings. A bullseye means that the engagement is used to inform interpretation of results, and a chart means that the purpose of the engagement is to provide data advi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01100" cy="406400"/>
                    </a:xfrm>
                    <a:prstGeom prst="rect">
                      <a:avLst/>
                    </a:prstGeom>
                    <a:noFill/>
                    <a:ln>
                      <a:noFill/>
                    </a:ln>
                  </pic:spPr>
                </pic:pic>
              </a:graphicData>
            </a:graphic>
          </wp:inline>
        </w:drawing>
      </w:r>
    </w:p>
    <w:p w14:paraId="33D3EE36" w14:textId="77777777" w:rsidR="006D4DE5" w:rsidRDefault="006D4DE5" w:rsidP="006D4DE5">
      <w:pPr>
        <w:pStyle w:val="TableNBullet"/>
        <w:numPr>
          <w:ilvl w:val="0"/>
          <w:numId w:val="0"/>
        </w:numPr>
        <w:ind w:left="227" w:hanging="227"/>
      </w:pPr>
    </w:p>
    <w:p w14:paraId="0F1A5F89" w14:textId="27CD7A6C" w:rsidR="006D4DE5" w:rsidRDefault="00FD5FAC" w:rsidP="00FD5FAC">
      <w:pPr>
        <w:pStyle w:val="TableNBullet"/>
        <w:numPr>
          <w:ilvl w:val="0"/>
          <w:numId w:val="0"/>
        </w:numPr>
        <w:sectPr w:rsidR="006D4DE5" w:rsidSect="006F43BE">
          <w:pgSz w:w="16839" w:h="11907" w:orient="landscape" w:code="9"/>
          <w:pgMar w:top="1559" w:right="1418" w:bottom="1418" w:left="1701" w:header="720" w:footer="720" w:gutter="0"/>
          <w:cols w:space="720"/>
          <w:titlePg/>
          <w:docGrid w:linePitch="360"/>
        </w:sectPr>
      </w:pPr>
      <w:r>
        <w:t>Note</w:t>
      </w:r>
      <w:r w:rsidR="00A978B2" w:rsidRPr="00A771A9">
        <w:t>:</w:t>
      </w:r>
      <w:r>
        <w:t xml:space="preserve"> All consultations are assumed to be virtual. Where Nous team members are based in the same city as stakeholders, we can conduct consultations face-to-face if COVID-19 restrictions allow and Nous and stakeholders agree. </w:t>
      </w:r>
    </w:p>
    <w:p w14:paraId="17E8902A" w14:textId="29DF8849" w:rsidR="006D4DE5" w:rsidRDefault="006D4DE5" w:rsidP="000B0314">
      <w:pPr>
        <w:pStyle w:val="Heading1"/>
      </w:pPr>
      <w:bookmarkStart w:id="64" w:name="_Ref57817109"/>
      <w:bookmarkStart w:id="65" w:name="_Ref58570233"/>
      <w:bookmarkStart w:id="66" w:name="_Ref58570592"/>
      <w:bookmarkStart w:id="67" w:name="_Ref58571202"/>
      <w:bookmarkStart w:id="68" w:name="_Toc82767223"/>
      <w:r>
        <w:lastRenderedPageBreak/>
        <w:t xml:space="preserve">Dependencies, </w:t>
      </w:r>
      <w:proofErr w:type="gramStart"/>
      <w:r>
        <w:t>challenges</w:t>
      </w:r>
      <w:proofErr w:type="gramEnd"/>
      <w:r>
        <w:t xml:space="preserve"> </w:t>
      </w:r>
      <w:r w:rsidRPr="000B0314">
        <w:t>and</w:t>
      </w:r>
      <w:r>
        <w:t xml:space="preserve"> risks</w:t>
      </w:r>
      <w:bookmarkEnd w:id="64"/>
      <w:bookmarkEnd w:id="65"/>
      <w:bookmarkEnd w:id="66"/>
      <w:bookmarkEnd w:id="67"/>
      <w:bookmarkEnd w:id="68"/>
      <w:r>
        <w:t xml:space="preserve"> </w:t>
      </w:r>
    </w:p>
    <w:tbl>
      <w:tblPr>
        <w:tblStyle w:val="TableGrid"/>
        <w:tblW w:w="0" w:type="auto"/>
        <w:tblInd w:w="85" w:type="dxa"/>
        <w:tblBorders>
          <w:top w:val="none" w:sz="0" w:space="0" w:color="auto"/>
          <w:bottom w:val="none" w:sz="0" w:space="0" w:color="auto"/>
          <w:insideH w:val="none" w:sz="0" w:space="0" w:color="auto"/>
        </w:tblBorders>
        <w:shd w:val="clear" w:color="auto" w:fill="00264D" w:themeFill="background2"/>
        <w:tblLook w:val="0600" w:firstRow="0" w:lastRow="0" w:firstColumn="0" w:lastColumn="0" w:noHBand="1" w:noVBand="1"/>
        <w:tblCaption w:val="Overview of the dependencies, challenges and risks section"/>
        <w:tblDescription w:val="This section describes the potential challenges, limitations and risks of the evaluation including the boundaries and dependencies, challenges and risks, and the risk management approach and risk management plan.&#10;"/>
      </w:tblPr>
      <w:tblGrid>
        <w:gridCol w:w="1640"/>
        <w:gridCol w:w="7205"/>
      </w:tblGrid>
      <w:tr w:rsidR="003101D5" w:rsidRPr="001D6B0A" w14:paraId="1664E08E" w14:textId="77777777" w:rsidTr="003101D5">
        <w:tc>
          <w:tcPr>
            <w:tcW w:w="1640" w:type="dxa"/>
            <w:shd w:val="clear" w:color="auto" w:fill="FFFFFF" w:themeFill="background1"/>
          </w:tcPr>
          <w:p w14:paraId="09535EE3" w14:textId="77777777" w:rsidR="003101D5" w:rsidRPr="00EC36A5" w:rsidRDefault="003101D5" w:rsidP="00DB065F">
            <w:pPr>
              <w:pStyle w:val="TableNText"/>
            </w:pPr>
            <w:r w:rsidRPr="00877AD2">
              <w:rPr>
                <w:noProof/>
                <w:lang w:eastAsia="en-AU"/>
              </w:rPr>
              <w:drawing>
                <wp:inline distT="0" distB="0" distL="0" distR="0" wp14:anchorId="37075E49" wp14:editId="0277CC7E">
                  <wp:extent cx="930302" cy="741040"/>
                  <wp:effectExtent l="0" t="0" r="3175" b="2540"/>
                  <wp:docPr id="27854" name="Picture 278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4" name="Picture 27854">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6137" cy="745688"/>
                          </a:xfrm>
                          <a:prstGeom prst="rect">
                            <a:avLst/>
                          </a:prstGeom>
                          <a:noFill/>
                          <a:ln>
                            <a:noFill/>
                          </a:ln>
                        </pic:spPr>
                      </pic:pic>
                    </a:graphicData>
                  </a:graphic>
                </wp:inline>
              </w:drawing>
            </w:r>
          </w:p>
        </w:tc>
        <w:tc>
          <w:tcPr>
            <w:tcW w:w="7743" w:type="dxa"/>
            <w:shd w:val="clear" w:color="auto" w:fill="00264D" w:themeFill="background2"/>
          </w:tcPr>
          <w:p w14:paraId="4BAB44AC" w14:textId="7C629C20" w:rsidR="003101D5" w:rsidRDefault="003101D5" w:rsidP="003101D5">
            <w:pPr>
              <w:pStyle w:val="TableNText"/>
            </w:pPr>
            <w:r>
              <w:t xml:space="preserve">This section describes the potential challenges, </w:t>
            </w:r>
            <w:proofErr w:type="gramStart"/>
            <w:r>
              <w:t>limitations</w:t>
            </w:r>
            <w:proofErr w:type="gramEnd"/>
            <w:r>
              <w:t xml:space="preserve"> and risks of the evaluation. It includes:</w:t>
            </w:r>
          </w:p>
          <w:p w14:paraId="04765E38" w14:textId="77777777" w:rsidR="003101D5" w:rsidRDefault="003101D5" w:rsidP="003101D5">
            <w:pPr>
              <w:pStyle w:val="TableNBullet"/>
            </w:pPr>
            <w:r>
              <w:t xml:space="preserve">the boundaries and dependencies </w:t>
            </w:r>
          </w:p>
          <w:p w14:paraId="4C0934C1" w14:textId="77777777" w:rsidR="003101D5" w:rsidRDefault="003101D5" w:rsidP="003101D5">
            <w:pPr>
              <w:pStyle w:val="TableNBullet"/>
            </w:pPr>
            <w:r>
              <w:t>challenges and risks</w:t>
            </w:r>
          </w:p>
          <w:p w14:paraId="51E69813" w14:textId="1839A29D" w:rsidR="003101D5" w:rsidRPr="00EC36A5" w:rsidRDefault="003101D5" w:rsidP="003101D5">
            <w:pPr>
              <w:pStyle w:val="TableNBullet"/>
            </w:pPr>
            <w:r>
              <w:t>the risk management approach and risk management plan.</w:t>
            </w:r>
          </w:p>
        </w:tc>
      </w:tr>
    </w:tbl>
    <w:p w14:paraId="4C47E239" w14:textId="6BA4D793" w:rsidR="006D4DE5" w:rsidRDefault="006D4DE5" w:rsidP="006D4DE5">
      <w:pPr>
        <w:pStyle w:val="Heading2"/>
      </w:pPr>
      <w:bookmarkStart w:id="69" w:name="_Toc82767224"/>
      <w:r>
        <w:t>Boundaries and dependencies of the evaluation</w:t>
      </w:r>
      <w:bookmarkEnd w:id="69"/>
    </w:p>
    <w:p w14:paraId="49DC71C9" w14:textId="4FDACB29" w:rsidR="006D4DE5" w:rsidRDefault="006D4DE5" w:rsidP="006D4DE5">
      <w:pPr>
        <w:rPr>
          <w:lang w:eastAsia="en-AU"/>
        </w:rPr>
      </w:pPr>
      <w:r>
        <w:rPr>
          <w:lang w:eastAsia="en-AU"/>
        </w:rPr>
        <w:t xml:space="preserve">The </w:t>
      </w:r>
      <w:r w:rsidR="00096A52">
        <w:rPr>
          <w:lang w:eastAsia="en-AU"/>
        </w:rPr>
        <w:t>evaluation scope</w:t>
      </w:r>
      <w:r>
        <w:rPr>
          <w:lang w:eastAsia="en-AU"/>
        </w:rPr>
        <w:t xml:space="preserve"> is limited to the implementation of the Measure and activities undertaken under the Measure. The following are </w:t>
      </w:r>
      <w:r w:rsidRPr="00501C5E">
        <w:rPr>
          <w:u w:val="single"/>
          <w:lang w:eastAsia="en-AU"/>
        </w:rPr>
        <w:t>not</w:t>
      </w:r>
      <w:r>
        <w:rPr>
          <w:lang w:eastAsia="en-AU"/>
        </w:rPr>
        <w:t xml:space="preserve"> within the scope of the evaluation:</w:t>
      </w:r>
    </w:p>
    <w:p w14:paraId="32D5D4DC" w14:textId="22AB4F45" w:rsidR="006D4DE5" w:rsidRPr="00BC2CF3" w:rsidRDefault="006D4DE5" w:rsidP="006D4DE5">
      <w:pPr>
        <w:pStyle w:val="Bullet"/>
      </w:pPr>
      <w:r w:rsidRPr="00725DD7">
        <w:rPr>
          <w:rFonts w:ascii="Segoe UI Semibold" w:hAnsi="Segoe UI Semibold" w:cs="Segoe UI Semibold"/>
        </w:rPr>
        <w:t xml:space="preserve">Palliative care activities and service delivery by </w:t>
      </w:r>
      <w:r w:rsidR="00C1100C" w:rsidRPr="00725DD7">
        <w:rPr>
          <w:rFonts w:ascii="Segoe UI Semibold" w:hAnsi="Segoe UI Semibold" w:cs="Segoe UI Semibold"/>
        </w:rPr>
        <w:t>states</w:t>
      </w:r>
      <w:r w:rsidRPr="00725DD7">
        <w:rPr>
          <w:rFonts w:ascii="Segoe UI Semibold" w:hAnsi="Segoe UI Semibold" w:cs="Segoe UI Semibold"/>
        </w:rPr>
        <w:t xml:space="preserve"> and </w:t>
      </w:r>
      <w:r w:rsidR="00C1100C" w:rsidRPr="00725DD7">
        <w:rPr>
          <w:rFonts w:ascii="Segoe UI Semibold" w:hAnsi="Segoe UI Semibold" w:cs="Segoe UI Semibold"/>
        </w:rPr>
        <w:t>territories</w:t>
      </w:r>
      <w:r w:rsidRPr="00725DD7">
        <w:rPr>
          <w:rFonts w:ascii="Segoe UI Semibold" w:hAnsi="Segoe UI Semibold" w:cs="Segoe UI Semibold"/>
        </w:rPr>
        <w:t xml:space="preserve"> in residential aged care settings which are not part of the Measure</w:t>
      </w:r>
      <w:r w:rsidRPr="00725DD7">
        <w:t xml:space="preserve">. </w:t>
      </w:r>
      <w:r>
        <w:t>For example, if an in-reach service is expanded under the Measure, then expansion activities only will be considered in this evaluation.</w:t>
      </w:r>
    </w:p>
    <w:p w14:paraId="5053D2C3" w14:textId="5ED500F0" w:rsidR="006D4DE5" w:rsidRDefault="006D4DE5" w:rsidP="006D4DE5">
      <w:pPr>
        <w:pStyle w:val="Bullet"/>
      </w:pPr>
      <w:r w:rsidRPr="00725DD7">
        <w:rPr>
          <w:rFonts w:ascii="Segoe UI Semibold" w:hAnsi="Segoe UI Semibold" w:cs="Segoe UI Semibold"/>
        </w:rPr>
        <w:t>The evaluation of individual measures implemented by the states/territories</w:t>
      </w:r>
      <w:r w:rsidRPr="00725DD7">
        <w:t xml:space="preserve">. </w:t>
      </w:r>
      <w:r>
        <w:t>Individual activities implemented by states and territories will not be evaluated</w:t>
      </w:r>
      <w:r w:rsidR="00C1100C" w:rsidRPr="00725DD7">
        <w:t>;</w:t>
      </w:r>
      <w:r w:rsidRPr="00725DD7">
        <w:t xml:space="preserve"> </w:t>
      </w:r>
      <w:r w:rsidR="00C1100C" w:rsidRPr="00725DD7">
        <w:t>h</w:t>
      </w:r>
      <w:r w:rsidRPr="00725DD7">
        <w:t>owever</w:t>
      </w:r>
      <w:r>
        <w:t>, models of care may be compared to identify successful models.</w:t>
      </w:r>
    </w:p>
    <w:p w14:paraId="7E27F2DA" w14:textId="0EED6C92" w:rsidR="006D4DE5" w:rsidRDefault="006D4DE5" w:rsidP="00725DD7">
      <w:r>
        <w:t xml:space="preserve">Dependencies are described below and in the Risk Management Plan (see section </w:t>
      </w:r>
      <w:r w:rsidRPr="00A771A9">
        <w:fldChar w:fldCharType="begin"/>
      </w:r>
      <w:r w:rsidRPr="00A771A9">
        <w:instrText xml:space="preserve"> REF _Ref57649707 \r \h </w:instrText>
      </w:r>
      <w:r w:rsidR="00725DD7">
        <w:instrText xml:space="preserve"> \* MERGEFORMAT </w:instrText>
      </w:r>
      <w:r w:rsidRPr="00A771A9">
        <w:fldChar w:fldCharType="separate"/>
      </w:r>
      <w:r w:rsidR="00DF258C">
        <w:t>8.3</w:t>
      </w:r>
      <w:r w:rsidRPr="00A771A9">
        <w:fldChar w:fldCharType="end"/>
      </w:r>
      <w:r>
        <w:t xml:space="preserve"> and </w:t>
      </w:r>
      <w:r w:rsidRPr="00AA4C23">
        <w:fldChar w:fldCharType="begin"/>
      </w:r>
      <w:r w:rsidRPr="00AA4C23">
        <w:instrText xml:space="preserve"> REF _Ref56703231 \r \h </w:instrText>
      </w:r>
      <w:r>
        <w:instrText xml:space="preserve"> \* MERGEFORMAT </w:instrText>
      </w:r>
      <w:r w:rsidRPr="00AA4C23">
        <w:fldChar w:fldCharType="separate"/>
      </w:r>
      <w:r w:rsidR="00DF258C">
        <w:t>Appendix D</w:t>
      </w:r>
      <w:r w:rsidRPr="00AA4C23">
        <w:fldChar w:fldCharType="end"/>
      </w:r>
      <w:r w:rsidRPr="00AA4C23">
        <w:t>)</w:t>
      </w:r>
      <w:r>
        <w:t>:</w:t>
      </w:r>
    </w:p>
    <w:p w14:paraId="5CF4CE5A" w14:textId="0EB305B7" w:rsidR="006D4DE5" w:rsidRPr="00AA4C23" w:rsidRDefault="00E92C67" w:rsidP="006D4DE5">
      <w:pPr>
        <w:pStyle w:val="Bullet"/>
      </w:pPr>
      <w:r w:rsidRPr="00725DD7">
        <w:rPr>
          <w:rFonts w:ascii="Segoe UI Semibold" w:hAnsi="Segoe UI Semibold" w:cs="Segoe UI Semibold"/>
        </w:rPr>
        <w:t>Establishment of</w:t>
      </w:r>
      <w:r w:rsidR="006D4DE5" w:rsidRPr="00725DD7">
        <w:rPr>
          <w:rFonts w:ascii="Segoe UI Semibold" w:hAnsi="Segoe UI Semibold" w:cs="Segoe UI Semibold"/>
        </w:rPr>
        <w:t xml:space="preserve"> strong relationships with participating states and territories</w:t>
      </w:r>
      <w:r w:rsidR="006D4DE5" w:rsidRPr="00725DD7">
        <w:t>.</w:t>
      </w:r>
      <w:r w:rsidR="006D4DE5">
        <w:t xml:space="preserve"> Timeframes, activities, </w:t>
      </w:r>
      <w:proofErr w:type="gramStart"/>
      <w:r w:rsidR="006D4DE5">
        <w:t>funding</w:t>
      </w:r>
      <w:proofErr w:type="gramEnd"/>
      <w:r w:rsidR="006D4DE5">
        <w:t xml:space="preserve"> and local operating environments differ in each jurisdiction. To understand the variation and the impact upon the evaluation, a strong relationship with jurisdictions is critical. This will support information sharing, </w:t>
      </w:r>
      <w:proofErr w:type="gramStart"/>
      <w:r w:rsidR="006D4DE5">
        <w:t>collaboration</w:t>
      </w:r>
      <w:proofErr w:type="gramEnd"/>
      <w:r w:rsidR="006D4DE5">
        <w:t xml:space="preserve"> and ongoing learning. </w:t>
      </w:r>
    </w:p>
    <w:p w14:paraId="369D384D" w14:textId="6FD2EE2C" w:rsidR="006D4DE5" w:rsidRPr="00147C75" w:rsidRDefault="006D4DE5" w:rsidP="006D4DE5">
      <w:pPr>
        <w:pStyle w:val="Bullet"/>
      </w:pPr>
      <w:r w:rsidRPr="00725DD7">
        <w:rPr>
          <w:rFonts w:ascii="Segoe UI Semibold" w:hAnsi="Segoe UI Semibold" w:cs="Segoe UI Semibold"/>
        </w:rPr>
        <w:t>Access to quality data and availability of stakeholders</w:t>
      </w:r>
      <w:r w:rsidRPr="00725DD7">
        <w:t>. C</w:t>
      </w:r>
      <w:r>
        <w:t>onsistent quality data in the aged care sector – and from palliative care within aged care – is challenging. Nous will be practical about access to data sources to ensure the evaluation is rigorous. Where data is not available, Nous will consider proxies, workarounds and/or</w:t>
      </w:r>
      <w:r w:rsidRPr="00147C75">
        <w:t xml:space="preserve"> engage with stakeholders</w:t>
      </w:r>
      <w:r w:rsidR="00285181">
        <w:t xml:space="preserve"> to gather supplementary</w:t>
      </w:r>
      <w:r w:rsidR="00311F11">
        <w:t xml:space="preserve"> qualitative</w:t>
      </w:r>
      <w:r w:rsidR="00285181">
        <w:t xml:space="preserve"> information</w:t>
      </w:r>
      <w:r w:rsidRPr="00147C75">
        <w:t>.</w:t>
      </w:r>
    </w:p>
    <w:p w14:paraId="53D4E71F" w14:textId="5F263356" w:rsidR="006D4DE5" w:rsidRPr="00147C75" w:rsidRDefault="006D4DE5" w:rsidP="006D4DE5">
      <w:pPr>
        <w:pStyle w:val="Heading2"/>
      </w:pPr>
      <w:bookmarkStart w:id="70" w:name="_Toc82767225"/>
      <w:r w:rsidRPr="00147C75">
        <w:t>Key challenges and risks for the evaluation</w:t>
      </w:r>
      <w:bookmarkEnd w:id="70"/>
    </w:p>
    <w:p w14:paraId="6BD0AE48" w14:textId="2DF387F2" w:rsidR="006D4DE5" w:rsidRPr="003B75AC" w:rsidRDefault="006D4DE5" w:rsidP="006D4DE5">
      <w:pPr>
        <w:rPr>
          <w:lang w:eastAsia="en-AU"/>
        </w:rPr>
      </w:pPr>
      <w:r>
        <w:rPr>
          <w:lang w:eastAsia="en-AU"/>
        </w:rPr>
        <w:t>Several</w:t>
      </w:r>
      <w:r w:rsidRPr="00147C75">
        <w:rPr>
          <w:lang w:eastAsia="en-AU"/>
        </w:rPr>
        <w:t xml:space="preserve"> challenges, limitations and risks </w:t>
      </w:r>
      <w:r>
        <w:rPr>
          <w:lang w:eastAsia="en-AU"/>
        </w:rPr>
        <w:t>exist</w:t>
      </w:r>
      <w:r w:rsidRPr="00147C75">
        <w:rPr>
          <w:lang w:eastAsia="en-AU"/>
        </w:rPr>
        <w:t xml:space="preserve">. </w:t>
      </w:r>
      <w:r>
        <w:rPr>
          <w:lang w:eastAsia="en-AU"/>
        </w:rPr>
        <w:t>T</w:t>
      </w:r>
      <w:r w:rsidRPr="00147C75">
        <w:rPr>
          <w:lang w:eastAsia="en-AU"/>
        </w:rPr>
        <w:t xml:space="preserve">hree </w:t>
      </w:r>
      <w:r>
        <w:rPr>
          <w:lang w:eastAsia="en-AU"/>
        </w:rPr>
        <w:t xml:space="preserve">key </w:t>
      </w:r>
      <w:r w:rsidRPr="00147C75">
        <w:rPr>
          <w:lang w:eastAsia="en-AU"/>
        </w:rPr>
        <w:t xml:space="preserve">challenges </w:t>
      </w:r>
      <w:r>
        <w:rPr>
          <w:lang w:eastAsia="en-AU"/>
        </w:rPr>
        <w:t xml:space="preserve">are outlined below (with all risks detailed in </w:t>
      </w:r>
      <w:r>
        <w:rPr>
          <w:highlight w:val="yellow"/>
          <w:lang w:eastAsia="en-AU"/>
        </w:rPr>
        <w:fldChar w:fldCharType="begin"/>
      </w:r>
      <w:r>
        <w:rPr>
          <w:lang w:eastAsia="en-AU"/>
        </w:rPr>
        <w:instrText xml:space="preserve"> REF _Ref61851414 \r \h </w:instrText>
      </w:r>
      <w:r>
        <w:rPr>
          <w:highlight w:val="yellow"/>
          <w:lang w:eastAsia="en-AU"/>
        </w:rPr>
      </w:r>
      <w:r>
        <w:rPr>
          <w:highlight w:val="yellow"/>
          <w:lang w:eastAsia="en-AU"/>
        </w:rPr>
        <w:fldChar w:fldCharType="separate"/>
      </w:r>
      <w:r w:rsidR="00DF258C">
        <w:rPr>
          <w:lang w:eastAsia="en-AU"/>
        </w:rPr>
        <w:t>Appendix D</w:t>
      </w:r>
      <w:r>
        <w:rPr>
          <w:highlight w:val="yellow"/>
          <w:lang w:eastAsia="en-AU"/>
        </w:rPr>
        <w:fldChar w:fldCharType="end"/>
      </w:r>
      <w:r>
        <w:rPr>
          <w:lang w:eastAsia="en-AU"/>
        </w:rPr>
        <w:t xml:space="preserve">): </w:t>
      </w:r>
    </w:p>
    <w:p w14:paraId="27EB807B" w14:textId="698D5B1D" w:rsidR="006D4DE5" w:rsidRPr="003B75AC" w:rsidRDefault="006D4DE5" w:rsidP="006D4DE5">
      <w:pPr>
        <w:pStyle w:val="Heading5"/>
      </w:pPr>
      <w:r w:rsidRPr="003B75AC">
        <w:t xml:space="preserve">1. Variability of activities implemented under the Measure over time and across jurisdictions raises challenges in </w:t>
      </w:r>
      <w:r w:rsidR="005025DB">
        <w:t xml:space="preserve">the </w:t>
      </w:r>
      <w:r w:rsidRPr="003B75AC">
        <w:t>evaluation</w:t>
      </w:r>
    </w:p>
    <w:p w14:paraId="031370E8" w14:textId="7CE84FBF" w:rsidR="006D4DE5" w:rsidRPr="003B75AC" w:rsidRDefault="006D4DE5" w:rsidP="006D4DE5">
      <w:r w:rsidRPr="003B75AC">
        <w:t>There is variation that will influence implementation of activities and the evaluation</w:t>
      </w:r>
      <w:r w:rsidR="002414D6">
        <w:t xml:space="preserve"> including</w:t>
      </w:r>
      <w:r w:rsidRPr="003B75AC">
        <w:t>:</w:t>
      </w:r>
    </w:p>
    <w:p w14:paraId="4CCBF6E7" w14:textId="432CCAFD" w:rsidR="006D4DE5" w:rsidRPr="003B75AC" w:rsidRDefault="006D4DE5" w:rsidP="006D4DE5">
      <w:pPr>
        <w:pStyle w:val="Bullet"/>
      </w:pPr>
      <w:r w:rsidRPr="003B75AC">
        <w:t>Each jurisdiction has a unique population and operating environment that defines the context in which the Measure is implemented.</w:t>
      </w:r>
    </w:p>
    <w:p w14:paraId="46764B1F" w14:textId="5F9580F6" w:rsidR="006D4DE5" w:rsidRPr="003B75AC" w:rsidRDefault="006D4DE5" w:rsidP="006D4DE5">
      <w:pPr>
        <w:pStyle w:val="Bullet"/>
      </w:pPr>
      <w:r w:rsidRPr="003B75AC">
        <w:t>Each jurisdiction has implemented different initiatives to support palliative care in RACFs prior to and outside of the Measure.</w:t>
      </w:r>
    </w:p>
    <w:p w14:paraId="01148487" w14:textId="73C749B9" w:rsidR="006D4DE5" w:rsidRDefault="006D4DE5" w:rsidP="006D4DE5">
      <w:pPr>
        <w:pStyle w:val="Bullet"/>
      </w:pPr>
      <w:r>
        <w:lastRenderedPageBreak/>
        <w:t>Jurisdictions are implementing a range of different activities under the Measure and will do so under varying timeframes and with varying amounts of funding.</w:t>
      </w:r>
    </w:p>
    <w:p w14:paraId="0EF33FFA" w14:textId="210EDA7C" w:rsidR="006D4DE5" w:rsidRDefault="006D4DE5" w:rsidP="006D4DE5">
      <w:pPr>
        <w:pStyle w:val="Bullet"/>
      </w:pPr>
      <w:r>
        <w:t>Each individual RACF will vary in their implementation of activities under the Measure.</w:t>
      </w:r>
    </w:p>
    <w:p w14:paraId="736C72C8" w14:textId="2E1237D2" w:rsidR="006D4DE5" w:rsidRDefault="006D4DE5" w:rsidP="006D4DE5">
      <w:r>
        <w:t xml:space="preserve">The evaluation will </w:t>
      </w:r>
      <w:r w:rsidR="002A62C6">
        <w:t>remain aware</w:t>
      </w:r>
      <w:r>
        <w:t xml:space="preserve"> of jurisdictional variations</w:t>
      </w:r>
      <w:r w:rsidR="00CB46C6">
        <w:t>; however, will</w:t>
      </w:r>
      <w:r w:rsidR="002A62C6">
        <w:t xml:space="preserve"> bring</w:t>
      </w:r>
      <w:r>
        <w:t xml:space="preserve"> a national perspective </w:t>
      </w:r>
      <w:r w:rsidR="002A62C6">
        <w:t>to</w:t>
      </w:r>
      <w:r>
        <w:t xml:space="preserve"> the evaluation. </w:t>
      </w:r>
    </w:p>
    <w:p w14:paraId="3232BA13" w14:textId="5B832732" w:rsidR="006D4DE5" w:rsidRPr="008D4A2C" w:rsidRDefault="006D4DE5" w:rsidP="006D4DE5">
      <w:pPr>
        <w:pStyle w:val="Heading5"/>
      </w:pPr>
      <w:r w:rsidRPr="008D4A2C">
        <w:t>2. There are significant data limitations in residential aged care and palliative care</w:t>
      </w:r>
    </w:p>
    <w:p w14:paraId="5D1E46F3" w14:textId="2C19D5B1" w:rsidR="006D4DE5" w:rsidRPr="008D4A2C" w:rsidRDefault="006D4DE5" w:rsidP="006D4DE5">
      <w:pPr>
        <w:rPr>
          <w:lang w:eastAsia="en-AU"/>
        </w:rPr>
      </w:pPr>
      <w:r w:rsidRPr="008D4A2C">
        <w:rPr>
          <w:lang w:eastAsia="en-AU"/>
        </w:rPr>
        <w:t xml:space="preserve">Access to high quality and comprehensive data in RACFs – particularly relating to the provision of palliative care – presents many challenges. </w:t>
      </w:r>
      <w:r>
        <w:rPr>
          <w:lang w:eastAsia="en-AU"/>
        </w:rPr>
        <w:t>J</w:t>
      </w:r>
      <w:r w:rsidRPr="008D4A2C">
        <w:rPr>
          <w:lang w:eastAsia="en-AU"/>
        </w:rPr>
        <w:t>urisdictions collect different data, which in turn each have different limitations. Some of the challenges that may arise relating to data limitations include:</w:t>
      </w:r>
    </w:p>
    <w:p w14:paraId="3C267A99" w14:textId="2A42DAFB" w:rsidR="006D4DE5" w:rsidRDefault="006D4DE5" w:rsidP="006D4DE5">
      <w:pPr>
        <w:pStyle w:val="Bullet"/>
      </w:pPr>
      <w:r>
        <w:t>Jurisdictions may not have specific data collections for state-based palliative care services or be able to identify when these services are provided in RACFs.</w:t>
      </w:r>
    </w:p>
    <w:p w14:paraId="63AEFD3C" w14:textId="00C715D5" w:rsidR="006D4DE5" w:rsidRDefault="006D4DE5" w:rsidP="006D4DE5">
      <w:pPr>
        <w:pStyle w:val="Bullet"/>
      </w:pPr>
      <w:r>
        <w:t>ACFI data captures only permanent residents who have been appraised as requiring palliative care and may therefore underrepresent the number of residents receiving palliative care.</w:t>
      </w:r>
    </w:p>
    <w:p w14:paraId="2FA27DFE" w14:textId="0C93CAD9" w:rsidR="006D4DE5" w:rsidRDefault="006D4DE5" w:rsidP="006D4DE5">
      <w:pPr>
        <w:pStyle w:val="Bullet"/>
      </w:pPr>
      <w:r>
        <w:t xml:space="preserve">Jurisdictions may not be able </w:t>
      </w:r>
      <w:r w:rsidRPr="008D4A2C">
        <w:t>to identify when a patient is from a</w:t>
      </w:r>
      <w:r>
        <w:t xml:space="preserve"> RACF in admitted or non-admitted patient data sets.</w:t>
      </w:r>
    </w:p>
    <w:p w14:paraId="01C951DF" w14:textId="5BD680D0" w:rsidR="006D4DE5" w:rsidRDefault="006D4DE5" w:rsidP="006D4DE5">
      <w:r>
        <w:t xml:space="preserve">These challenges mean that the evaluation approach will have to be flexible. Qualitative data collection will be used to fill any gaps in unavailable quantitative data – for example </w:t>
      </w:r>
      <w:proofErr w:type="gramStart"/>
      <w:r>
        <w:t>through the use of</w:t>
      </w:r>
      <w:proofErr w:type="gramEnd"/>
      <w:r>
        <w:t xml:space="preserve"> a RACF survey to identify a baseline. See section </w:t>
      </w:r>
      <w:r>
        <w:fldChar w:fldCharType="begin"/>
      </w:r>
      <w:r>
        <w:instrText xml:space="preserve"> REF _Ref57651247 \r \h </w:instrText>
      </w:r>
      <w:r>
        <w:fldChar w:fldCharType="separate"/>
      </w:r>
      <w:r w:rsidR="00DF258C">
        <w:t>6</w:t>
      </w:r>
      <w:r>
        <w:fldChar w:fldCharType="end"/>
      </w:r>
      <w:r>
        <w:t xml:space="preserve"> for further detail on how data limitation challenges will be addressed.</w:t>
      </w:r>
    </w:p>
    <w:p w14:paraId="79AA75AE" w14:textId="63F798F0" w:rsidR="006D4DE5" w:rsidRPr="00B829FC" w:rsidRDefault="006D4DE5" w:rsidP="006D4DE5">
      <w:pPr>
        <w:pStyle w:val="Heading5"/>
      </w:pPr>
      <w:r w:rsidRPr="00260B91">
        <w:t xml:space="preserve">3. </w:t>
      </w:r>
      <w:r w:rsidRPr="00B829FC">
        <w:t xml:space="preserve">Gaining input from </w:t>
      </w:r>
      <w:r>
        <w:t xml:space="preserve">RACFs, </w:t>
      </w:r>
      <w:r w:rsidRPr="00B829FC">
        <w:t xml:space="preserve">families and carers </w:t>
      </w:r>
      <w:r>
        <w:t>will hold challenges</w:t>
      </w:r>
    </w:p>
    <w:p w14:paraId="043B44F1" w14:textId="4F81D60B" w:rsidR="006D4DE5" w:rsidRDefault="006D4DE5" w:rsidP="006D4DE5">
      <w:r>
        <w:t xml:space="preserve">A critical input to the evaluation is the views </w:t>
      </w:r>
      <w:r w:rsidR="005B4D22">
        <w:t xml:space="preserve">of </w:t>
      </w:r>
      <w:r>
        <w:t xml:space="preserve">families/carers of residents. </w:t>
      </w:r>
      <w:r w:rsidR="00F0613A">
        <w:t>C</w:t>
      </w:r>
      <w:r>
        <w:t xml:space="preserve">linicians and practitioners are </w:t>
      </w:r>
      <w:r w:rsidR="00124DF4">
        <w:t>well</w:t>
      </w:r>
      <w:r>
        <w:t xml:space="preserve"> placed to observe the impact of the Measure as they engage with palliative care in RACFs over time. In contrast, families/carers will have input </w:t>
      </w:r>
      <w:r w:rsidR="000B4FDD">
        <w:t>about</w:t>
      </w:r>
      <w:r>
        <w:t xml:space="preserve"> service delivery at </w:t>
      </w:r>
      <w:r w:rsidR="00C37E14">
        <w:t>a specific point in time</w:t>
      </w:r>
      <w:r w:rsidR="00474C71">
        <w:t xml:space="preserve"> and at </w:t>
      </w:r>
      <w:r>
        <w:t xml:space="preserve">the </w:t>
      </w:r>
      <w:proofErr w:type="gramStart"/>
      <w:r>
        <w:t>jurisdictional</w:t>
      </w:r>
      <w:r w:rsidR="00BA4F64">
        <w:t>-</w:t>
      </w:r>
      <w:r w:rsidR="00AA1CB7">
        <w:t>l</w:t>
      </w:r>
      <w:r w:rsidRPr="00A771A9">
        <w:t>evel</w:t>
      </w:r>
      <w:proofErr w:type="gramEnd"/>
      <w:r w:rsidRPr="00A771A9">
        <w:t>.</w:t>
      </w:r>
      <w:r>
        <w:t xml:space="preserve"> It is out-of-scope for the national evaluation to conduct jurisdictional-level evaluations or reviews. </w:t>
      </w:r>
    </w:p>
    <w:p w14:paraId="4A56F2F1" w14:textId="05E0E1FD" w:rsidR="006D4DE5" w:rsidRDefault="006D4DE5" w:rsidP="006D4DE5">
      <w:r>
        <w:t xml:space="preserve">Further, </w:t>
      </w:r>
      <w:r w:rsidR="00370D7D">
        <w:t xml:space="preserve">directly </w:t>
      </w:r>
      <w:r>
        <w:t xml:space="preserve">engaging with families and carers comes with substantial risks and may provide little valuable information </w:t>
      </w:r>
      <w:r w:rsidR="00124DF4">
        <w:t xml:space="preserve">directly relevant </w:t>
      </w:r>
      <w:r>
        <w:t xml:space="preserve">for the </w:t>
      </w:r>
      <w:r w:rsidR="00124DF4">
        <w:t>purpose of this</w:t>
      </w:r>
      <w:r>
        <w:t xml:space="preserve"> evaluation. Risks include causing </w:t>
      </w:r>
      <w:r w:rsidR="00E77D51">
        <w:t>survey fatigue and additional</w:t>
      </w:r>
      <w:r>
        <w:t xml:space="preserve"> distress to the family/carer for re-experiencing the death of a loved one. In addition, it is d</w:t>
      </w:r>
      <w:r w:rsidRPr="003D4D46">
        <w:t xml:space="preserve">ifficult to obtain accurate and relevant responses when the family/carer is </w:t>
      </w:r>
      <w:r>
        <w:t xml:space="preserve">currently </w:t>
      </w:r>
      <w:r w:rsidRPr="003D4D46">
        <w:t>experiencing grief</w:t>
      </w:r>
      <w:r>
        <w:t xml:space="preserve">. </w:t>
      </w:r>
      <w:r w:rsidRPr="00300413">
        <w:t xml:space="preserve">Researchers </w:t>
      </w:r>
      <w:r w:rsidR="003C7727" w:rsidRPr="00A771A9">
        <w:t>must</w:t>
      </w:r>
      <w:r w:rsidRPr="00300413">
        <w:t xml:space="preserve"> balance survey time delicately: providing families/carers an appropriate grieving period, while administering surveys or interviews soon after a residents’ death </w:t>
      </w:r>
      <w:proofErr w:type="gramStart"/>
      <w:r w:rsidRPr="00300413">
        <w:t>in order to</w:t>
      </w:r>
      <w:proofErr w:type="gramEnd"/>
      <w:r w:rsidRPr="00300413">
        <w:t xml:space="preserve"> reduce the risk of recall bias</w:t>
      </w:r>
      <w:r>
        <w:t>.</w:t>
      </w:r>
      <w:r>
        <w:rPr>
          <w:rStyle w:val="FootnoteReference"/>
        </w:rPr>
        <w:footnoteReference w:id="11"/>
      </w:r>
      <w:r>
        <w:t xml:space="preserve"> </w:t>
      </w:r>
    </w:p>
    <w:p w14:paraId="37CD8A49" w14:textId="412A58C7" w:rsidR="006D4DE5" w:rsidRDefault="006D4DE5" w:rsidP="006C6F54">
      <w:r>
        <w:t xml:space="preserve">Nous understands the importance of providing the </w:t>
      </w:r>
      <w:r w:rsidR="00E77D51">
        <w:t>residents’</w:t>
      </w:r>
      <w:r>
        <w:t xml:space="preserve"> family/carer perspective to inform the evaluation. </w:t>
      </w:r>
      <w:r w:rsidR="00002471">
        <w:t>We will use the following data sources</w:t>
      </w:r>
      <w:r w:rsidR="007535C4">
        <w:t xml:space="preserve"> to understand the needs of residents, </w:t>
      </w:r>
      <w:proofErr w:type="gramStart"/>
      <w:r w:rsidR="007535C4">
        <w:t>families</w:t>
      </w:r>
      <w:proofErr w:type="gramEnd"/>
      <w:r w:rsidR="007535C4">
        <w:t xml:space="preserve"> and carers</w:t>
      </w:r>
      <w:r w:rsidR="00002471">
        <w:t xml:space="preserve">: </w:t>
      </w:r>
    </w:p>
    <w:p w14:paraId="633EE490" w14:textId="0C9485C0" w:rsidR="006D4DE5" w:rsidRDefault="00C15B33" w:rsidP="006D4DE5">
      <w:pPr>
        <w:pStyle w:val="Bullet"/>
      </w:pPr>
      <w:r>
        <w:t>c</w:t>
      </w:r>
      <w:r w:rsidR="006D4DE5" w:rsidRPr="00A771A9">
        <w:t>linician</w:t>
      </w:r>
      <w:r w:rsidR="006D4DE5">
        <w:t>/practitioner input via consultations with GPs/PHNs and/or the ELDAC After Death Audit</w:t>
      </w:r>
    </w:p>
    <w:p w14:paraId="7ED3648A" w14:textId="7D4C34DC" w:rsidR="006D4DE5" w:rsidRDefault="006D4DE5" w:rsidP="006D4DE5">
      <w:pPr>
        <w:pStyle w:val="Bullet"/>
      </w:pPr>
      <w:r>
        <w:t xml:space="preserve">PCA consumer representative groups </w:t>
      </w:r>
      <w:r w:rsidR="00002471">
        <w:t xml:space="preserve">(see section </w:t>
      </w:r>
      <w:r w:rsidR="00002471">
        <w:fldChar w:fldCharType="begin"/>
      </w:r>
      <w:r w:rsidR="00002471">
        <w:instrText xml:space="preserve"> REF _Ref61422006 \r \h </w:instrText>
      </w:r>
      <w:r w:rsidR="00002471">
        <w:fldChar w:fldCharType="separate"/>
      </w:r>
      <w:r w:rsidR="00DF258C">
        <w:t>6.1</w:t>
      </w:r>
      <w:r w:rsidR="00002471">
        <w:fldChar w:fldCharType="end"/>
      </w:r>
      <w:r w:rsidR="00002471">
        <w:t xml:space="preserve"> for details</w:t>
      </w:r>
      <w:r w:rsidR="00002471" w:rsidRPr="00A771A9">
        <w:t>)</w:t>
      </w:r>
      <w:r w:rsidR="00C15B33">
        <w:t>.</w:t>
      </w:r>
    </w:p>
    <w:p w14:paraId="22228E06" w14:textId="25F26112" w:rsidR="006D4DE5" w:rsidRPr="00260B91" w:rsidRDefault="006D4DE5" w:rsidP="006D4DE5">
      <w:pPr>
        <w:pStyle w:val="Heading5"/>
      </w:pPr>
      <w:r>
        <w:lastRenderedPageBreak/>
        <w:t>4</w:t>
      </w:r>
      <w:r w:rsidRPr="00260B91">
        <w:t xml:space="preserve">. Initiatives </w:t>
      </w:r>
      <w:r>
        <w:t>outside of</w:t>
      </w:r>
      <w:r w:rsidRPr="00260B91">
        <w:t xml:space="preserve"> the Measure will impact upon the Measure and how it is evaluated</w:t>
      </w:r>
    </w:p>
    <w:p w14:paraId="2FBCE362" w14:textId="5E82C661" w:rsidR="006D4DE5" w:rsidRDefault="006D4DE5" w:rsidP="006D4DE5">
      <w:pPr>
        <w:rPr>
          <w:lang w:eastAsia="en-AU"/>
        </w:rPr>
      </w:pPr>
      <w:r w:rsidRPr="00260B91">
        <w:rPr>
          <w:lang w:eastAsia="en-AU"/>
        </w:rPr>
        <w:t xml:space="preserve">Programs and initiatives implemented prior to </w:t>
      </w:r>
      <w:r>
        <w:rPr>
          <w:lang w:eastAsia="en-AU"/>
        </w:rPr>
        <w:t xml:space="preserve">and alongside </w:t>
      </w:r>
      <w:r w:rsidRPr="00260B91">
        <w:rPr>
          <w:lang w:eastAsia="en-AU"/>
        </w:rPr>
        <w:t>the Measure will impact upon activities under the Measure and their evaluation in</w:t>
      </w:r>
      <w:r>
        <w:rPr>
          <w:lang w:eastAsia="en-AU"/>
        </w:rPr>
        <w:t xml:space="preserve"> two ways:</w:t>
      </w:r>
    </w:p>
    <w:p w14:paraId="077BE825" w14:textId="76723072" w:rsidR="006D4DE5" w:rsidRDefault="006D4DE5" w:rsidP="006D4DE5">
      <w:pPr>
        <w:pStyle w:val="Bullet"/>
      </w:pPr>
      <w:r>
        <w:t>Activities undertaken prior to the Measure will form a foundation for what is implemented under the Measure. For example, a jurisdiction that has made significant progress on implementation of specialist in-reach palliative care services may choose to build on that progress through expanding the service or using it as a basis for the introduction of other activities such as education and training.</w:t>
      </w:r>
    </w:p>
    <w:p w14:paraId="33CAADFF" w14:textId="43B76448" w:rsidR="006D4DE5" w:rsidRDefault="006D4DE5" w:rsidP="006D4DE5">
      <w:pPr>
        <w:pStyle w:val="Bullet"/>
      </w:pPr>
      <w:r>
        <w:t xml:space="preserve">Initiatives established outside of the Measure may also be implemented under the Measure. For example, initiatives such as ELDAC </w:t>
      </w:r>
      <w:r w:rsidRPr="00A771A9">
        <w:t>provide</w:t>
      </w:r>
      <w:r w:rsidR="009A1284">
        <w:t>d</w:t>
      </w:r>
      <w:r>
        <w:t xml:space="preserve"> training and education resources that might be implemented under the Measure. Attribution may become a challenge in this scenario. Evaluation of such activities may also involve metrics that are recorded by the pre-existing initiative, such as uptake or usage statistics.</w:t>
      </w:r>
    </w:p>
    <w:p w14:paraId="6D0EF717" w14:textId="546C3573" w:rsidR="006D4DE5" w:rsidRPr="00745D5B" w:rsidRDefault="006D4DE5" w:rsidP="006D4DE5">
      <w:r>
        <w:t>It may be challenging to separate the impact of activities under the Measure from those that existed prior to the Measure – particularly where activities build on or utilise pre-existing programs or initiatives.</w:t>
      </w:r>
    </w:p>
    <w:p w14:paraId="452AE004" w14:textId="0DD0749B" w:rsidR="006D4DE5" w:rsidRDefault="006D4DE5" w:rsidP="006D4DE5">
      <w:pPr>
        <w:pStyle w:val="Heading2"/>
      </w:pPr>
      <w:bookmarkStart w:id="71" w:name="_Ref57649707"/>
      <w:bookmarkStart w:id="72" w:name="_Toc82767226"/>
      <w:r>
        <w:t>Risk management approach</w:t>
      </w:r>
      <w:bookmarkEnd w:id="71"/>
      <w:bookmarkEnd w:id="72"/>
    </w:p>
    <w:p w14:paraId="4A2453F5" w14:textId="3B241C83" w:rsidR="006D4DE5" w:rsidRPr="005C1848" w:rsidRDefault="006D4DE5" w:rsidP="006D4DE5">
      <w:pPr>
        <w:rPr>
          <w:rFonts w:ascii="Segoe UI Semibold" w:hAnsi="Segoe UI Semibold"/>
          <w:color w:val="00264D" w:themeColor="background2"/>
          <w:szCs w:val="18"/>
        </w:rPr>
      </w:pPr>
      <w:r>
        <w:rPr>
          <w:lang w:eastAsia="en-AU"/>
        </w:rPr>
        <w:t xml:space="preserve">Nous employs a risk matrix approach to determine overall risk rating and mitigation strategies. </w:t>
      </w:r>
      <w:r>
        <w:rPr>
          <w:lang w:eastAsia="en-AU"/>
        </w:rPr>
        <w:fldChar w:fldCharType="begin"/>
      </w:r>
      <w:r>
        <w:rPr>
          <w:lang w:eastAsia="en-AU"/>
        </w:rPr>
        <w:instrText xml:space="preserve"> REF _Ref56703231 \r \h </w:instrText>
      </w:r>
      <w:r>
        <w:rPr>
          <w:lang w:eastAsia="en-AU"/>
        </w:rPr>
      </w:r>
      <w:r>
        <w:rPr>
          <w:lang w:eastAsia="en-AU"/>
        </w:rPr>
        <w:fldChar w:fldCharType="separate"/>
      </w:r>
      <w:r w:rsidR="00DF258C">
        <w:rPr>
          <w:lang w:eastAsia="en-AU"/>
        </w:rPr>
        <w:t>Appendix D</w:t>
      </w:r>
      <w:r>
        <w:rPr>
          <w:lang w:eastAsia="en-AU"/>
        </w:rPr>
        <w:fldChar w:fldCharType="end"/>
      </w:r>
      <w:r>
        <w:rPr>
          <w:lang w:eastAsia="en-AU"/>
        </w:rPr>
        <w:t xml:space="preserve"> provides a thorough risk assessment. It includes a risk rating, mitigation strategies and residual risk. Nous will continue to assess risks </w:t>
      </w:r>
      <w:proofErr w:type="gramStart"/>
      <w:r>
        <w:rPr>
          <w:lang w:eastAsia="en-AU"/>
        </w:rPr>
        <w:t>through the use of</w:t>
      </w:r>
      <w:proofErr w:type="gramEnd"/>
      <w:r>
        <w:rPr>
          <w:lang w:eastAsia="en-AU"/>
        </w:rPr>
        <w:t xml:space="preserve"> a risk register. </w:t>
      </w:r>
    </w:p>
    <w:p w14:paraId="4F460984" w14:textId="75BA4D16" w:rsidR="006D4DE5" w:rsidRDefault="006D4DE5" w:rsidP="006D4DE5">
      <w:pPr>
        <w:pStyle w:val="Heading1"/>
      </w:pPr>
      <w:bookmarkStart w:id="73" w:name="_Ref57809330"/>
      <w:bookmarkStart w:id="74" w:name="_Ref58570238"/>
      <w:bookmarkStart w:id="75" w:name="_Ref61435789"/>
      <w:bookmarkStart w:id="76" w:name="_Toc82767227"/>
      <w:r>
        <w:lastRenderedPageBreak/>
        <w:t>Ethics considerations</w:t>
      </w:r>
      <w:bookmarkEnd w:id="73"/>
      <w:bookmarkEnd w:id="74"/>
      <w:bookmarkEnd w:id="75"/>
      <w:bookmarkEnd w:id="76"/>
    </w:p>
    <w:tbl>
      <w:tblPr>
        <w:tblStyle w:val="TableGrid"/>
        <w:tblW w:w="0" w:type="auto"/>
        <w:tblInd w:w="85" w:type="dxa"/>
        <w:tblBorders>
          <w:top w:val="none" w:sz="0" w:space="0" w:color="auto"/>
          <w:bottom w:val="none" w:sz="0" w:space="0" w:color="auto"/>
          <w:insideH w:val="none" w:sz="0" w:space="0" w:color="auto"/>
        </w:tblBorders>
        <w:shd w:val="clear" w:color="auto" w:fill="00264D" w:themeFill="background2"/>
        <w:tblLook w:val="0600" w:firstRow="0" w:lastRow="0" w:firstColumn="0" w:lastColumn="0" w:noHBand="1" w:noVBand="1"/>
        <w:tblCaption w:val="Overview of the ethics considerations section"/>
        <w:tblDescription w:val="This section details how the evaluation will be conducted in an ethical manner, including the approach to seeking formal ethical approval from a Human Research Ethics Committee where needed."/>
      </w:tblPr>
      <w:tblGrid>
        <w:gridCol w:w="1640"/>
        <w:gridCol w:w="7205"/>
      </w:tblGrid>
      <w:tr w:rsidR="003101D5" w:rsidRPr="001D6B0A" w14:paraId="0E573CA4" w14:textId="77777777" w:rsidTr="003101D5">
        <w:tc>
          <w:tcPr>
            <w:tcW w:w="1640" w:type="dxa"/>
            <w:shd w:val="clear" w:color="auto" w:fill="FFFFFF" w:themeFill="background1"/>
          </w:tcPr>
          <w:p w14:paraId="52A7BEDC" w14:textId="77777777" w:rsidR="003101D5" w:rsidRPr="00EC36A5" w:rsidRDefault="003101D5" w:rsidP="00DB065F">
            <w:pPr>
              <w:pStyle w:val="TableNText"/>
            </w:pPr>
            <w:r w:rsidRPr="00877AD2">
              <w:rPr>
                <w:noProof/>
                <w:lang w:eastAsia="en-AU"/>
              </w:rPr>
              <w:drawing>
                <wp:inline distT="0" distB="0" distL="0" distR="0" wp14:anchorId="43BE2AF5" wp14:editId="48ECAE40">
                  <wp:extent cx="930302" cy="741040"/>
                  <wp:effectExtent l="0" t="0" r="3175" b="2540"/>
                  <wp:docPr id="27855" name="Picture 278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5" name="Picture 27855">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6137" cy="745688"/>
                          </a:xfrm>
                          <a:prstGeom prst="rect">
                            <a:avLst/>
                          </a:prstGeom>
                          <a:noFill/>
                          <a:ln>
                            <a:noFill/>
                          </a:ln>
                        </pic:spPr>
                      </pic:pic>
                    </a:graphicData>
                  </a:graphic>
                </wp:inline>
              </w:drawing>
            </w:r>
          </w:p>
        </w:tc>
        <w:tc>
          <w:tcPr>
            <w:tcW w:w="7743" w:type="dxa"/>
            <w:shd w:val="clear" w:color="auto" w:fill="00264D" w:themeFill="background2"/>
          </w:tcPr>
          <w:p w14:paraId="50E578C7" w14:textId="1000D296" w:rsidR="003101D5" w:rsidRPr="00EC36A5" w:rsidRDefault="003101D5" w:rsidP="00725DD7">
            <w:pPr>
              <w:pStyle w:val="TableNText"/>
            </w:pPr>
            <w:r w:rsidRPr="00CF115B">
              <w:t xml:space="preserve">This section </w:t>
            </w:r>
            <w:r w:rsidRPr="00A771A9">
              <w:t>details how the evaluation will be conducted in an ethical manner, including the approach to seeking formal ethical approval from a Human Research Ethics Committee (HREC) where needed.</w:t>
            </w:r>
          </w:p>
        </w:tc>
      </w:tr>
    </w:tbl>
    <w:p w14:paraId="1C6DBE61" w14:textId="0578D550" w:rsidR="006D4DE5" w:rsidRDefault="006D4DE5" w:rsidP="006D4DE5">
      <w:pPr>
        <w:pStyle w:val="Heading2"/>
      </w:pPr>
      <w:bookmarkStart w:id="77" w:name="_Toc82767228"/>
      <w:r>
        <w:t>Ethics management</w:t>
      </w:r>
      <w:bookmarkEnd w:id="77"/>
    </w:p>
    <w:p w14:paraId="3BC43590" w14:textId="652D2230" w:rsidR="006D4DE5" w:rsidRDefault="006D4DE5" w:rsidP="006D4DE5">
      <w:pPr>
        <w:rPr>
          <w:lang w:eastAsia="en-AU"/>
        </w:rPr>
      </w:pPr>
      <w:r>
        <w:rPr>
          <w:lang w:eastAsia="en-AU"/>
        </w:rPr>
        <w:t xml:space="preserve">Nous is committed to ensuring that the evaluation is conducted to the highest standard of ethical conduct. Nous’ methodology has been developed in a way that ensures design and implementation of the evaluation is consistent with the relevant ethical requirements outlined within the following codes of practice: </w:t>
      </w:r>
    </w:p>
    <w:p w14:paraId="71479EAA" w14:textId="42172D15" w:rsidR="006D4DE5" w:rsidRDefault="006D4DE5" w:rsidP="006D4DE5">
      <w:pPr>
        <w:pStyle w:val="Bullet"/>
      </w:pPr>
      <w:r>
        <w:t>The Australian Code for the Responsible Conduct of Research (2018), published by the National Health and Medical Research Council (NHMRC), the Australian Research Council and Universities Australia.</w:t>
      </w:r>
    </w:p>
    <w:p w14:paraId="639ED94A" w14:textId="644A98B8" w:rsidR="006D4DE5" w:rsidRDefault="006D4DE5" w:rsidP="006D4DE5">
      <w:pPr>
        <w:pStyle w:val="Bullet"/>
      </w:pPr>
      <w:r>
        <w:t>National Statement on Ethical Conduct in Human Research (2018), published by the NHMRC.</w:t>
      </w:r>
    </w:p>
    <w:p w14:paraId="68FFF27E" w14:textId="5EEA5606" w:rsidR="006D4DE5" w:rsidRDefault="006D4DE5" w:rsidP="006D4DE5">
      <w:pPr>
        <w:pStyle w:val="Bullet"/>
      </w:pPr>
      <w:r>
        <w:t>Ethical conduct in research with Aboriginal and Torres Strait Islander Peoples and communities: Guidelines for researchers and stakeholders (2018), published by the NHMRC.</w:t>
      </w:r>
    </w:p>
    <w:p w14:paraId="3E06BD24" w14:textId="35771176" w:rsidR="006D4DE5" w:rsidRDefault="006D4DE5" w:rsidP="006D4DE5">
      <w:pPr>
        <w:pStyle w:val="Bullet"/>
      </w:pPr>
      <w:r>
        <w:t>AIATSIS Code of Ethics for Aboriginal and Torres Strait Islander Research (2020), published by the Australian Institute of Aboriginal and Torres Strait Islander Studies (AIATSIS).</w:t>
      </w:r>
    </w:p>
    <w:p w14:paraId="7DF2F861" w14:textId="144D078C" w:rsidR="006D4DE5" w:rsidRDefault="006D4DE5" w:rsidP="006D4DE5">
      <w:pPr>
        <w:rPr>
          <w:b/>
          <w:lang w:eastAsia="en-AU"/>
        </w:rPr>
      </w:pPr>
      <w:r>
        <w:rPr>
          <w:lang w:eastAsia="en-AU"/>
        </w:rPr>
        <w:t xml:space="preserve">Based on the evaluation methodology described above, Nous assesses that this evaluation </w:t>
      </w:r>
      <w:r w:rsidRPr="00AB42BE">
        <w:rPr>
          <w:rFonts w:asciiTheme="majorHAnsi" w:hAnsiTheme="majorHAnsi" w:cstheme="majorHAnsi"/>
          <w:lang w:eastAsia="en-AU"/>
        </w:rPr>
        <w:t>does not require ethics approval</w:t>
      </w:r>
      <w:r w:rsidRPr="008B2348">
        <w:rPr>
          <w:b/>
          <w:lang w:eastAsia="en-AU"/>
        </w:rPr>
        <w:t>.</w:t>
      </w:r>
      <w:r>
        <w:rPr>
          <w:b/>
          <w:lang w:eastAsia="en-AU"/>
        </w:rPr>
        <w:t xml:space="preserve"> </w:t>
      </w:r>
    </w:p>
    <w:p w14:paraId="59E2A02F" w14:textId="3E8EA990" w:rsidR="006D4DE5" w:rsidRPr="00DB065F" w:rsidRDefault="0039171F" w:rsidP="006D4DE5">
      <w:pPr>
        <w:rPr>
          <w:bCs/>
          <w:lang w:eastAsia="en-AU"/>
        </w:rPr>
      </w:pPr>
      <w:r>
        <w:rPr>
          <w:bCs/>
          <w:lang w:eastAsia="en-AU"/>
        </w:rPr>
        <w:t xml:space="preserve">NIHSI-AA </w:t>
      </w:r>
      <w:r w:rsidR="00ED2429">
        <w:rPr>
          <w:bCs/>
          <w:lang w:eastAsia="en-AU"/>
        </w:rPr>
        <w:t>will be a significant data source for the evaluation that does include personal data</w:t>
      </w:r>
      <w:r w:rsidR="00DB065F">
        <w:rPr>
          <w:bCs/>
          <w:lang w:eastAsia="en-AU"/>
        </w:rPr>
        <w:t xml:space="preserve"> and therefore requires ethics considerations. </w:t>
      </w:r>
      <w:r w:rsidR="006D4DE5">
        <w:rPr>
          <w:lang w:eastAsia="en-AU"/>
        </w:rPr>
        <w:t xml:space="preserve">Analysis of NIHSI-AA will be conducted in partnership with </w:t>
      </w:r>
      <w:proofErr w:type="gramStart"/>
      <w:r w:rsidR="006D4DE5">
        <w:rPr>
          <w:lang w:eastAsia="en-AU"/>
        </w:rPr>
        <w:t>AIHW</w:t>
      </w:r>
      <w:proofErr w:type="gramEnd"/>
      <w:r w:rsidR="006D4DE5">
        <w:rPr>
          <w:lang w:eastAsia="en-AU"/>
        </w:rPr>
        <w:t xml:space="preserve"> and Nous will not have direct access to NIHSI-AA. Nous understands existing ethics approvals within AIHW cover use of NIHSI-AA for this purpose and a new ethics application is not necessary. AIHW’s head of </w:t>
      </w:r>
      <w:r w:rsidR="006D4DE5" w:rsidRPr="00FC7FB7">
        <w:rPr>
          <w:lang w:eastAsia="en-AU"/>
        </w:rPr>
        <w:t xml:space="preserve">Ethics, Privacy </w:t>
      </w:r>
      <w:r w:rsidR="00D26A53">
        <w:rPr>
          <w:lang w:eastAsia="en-AU"/>
        </w:rPr>
        <w:t>and</w:t>
      </w:r>
      <w:r w:rsidR="006D4DE5" w:rsidRPr="00FC7FB7">
        <w:rPr>
          <w:lang w:eastAsia="en-AU"/>
        </w:rPr>
        <w:t xml:space="preserve"> Legal</w:t>
      </w:r>
      <w:r w:rsidR="006D4DE5">
        <w:rPr>
          <w:lang w:eastAsia="en-AU"/>
        </w:rPr>
        <w:t xml:space="preserve"> will conduct a</w:t>
      </w:r>
      <w:r w:rsidR="006D4DE5" w:rsidRPr="00FC4BD9">
        <w:rPr>
          <w:lang w:eastAsia="en-AU"/>
        </w:rPr>
        <w:t xml:space="preserve"> review of the project proposal </w:t>
      </w:r>
      <w:r w:rsidR="006D4DE5">
        <w:rPr>
          <w:lang w:eastAsia="en-AU"/>
        </w:rPr>
        <w:t xml:space="preserve">to ensure that further ethics approvals are not required. </w:t>
      </w:r>
    </w:p>
    <w:p w14:paraId="6A275222" w14:textId="3870E9E6" w:rsidR="006D4DE5" w:rsidRPr="004854F6" w:rsidRDefault="006D4DE5" w:rsidP="006D4DE5">
      <w:pPr>
        <w:rPr>
          <w:bCs/>
          <w:lang w:eastAsia="en-AU"/>
        </w:rPr>
      </w:pPr>
      <w:r>
        <w:rPr>
          <w:bCs/>
          <w:lang w:eastAsia="en-AU"/>
        </w:rPr>
        <w:t>If an additional data source is required to inform the evaluation, Nous will reassess the need for ethics approval at that time.</w:t>
      </w:r>
    </w:p>
    <w:p w14:paraId="5DBD6355" w14:textId="76EE5DBD" w:rsidR="006D4DE5" w:rsidRDefault="004D3FEA" w:rsidP="006D4DE5">
      <w:pPr>
        <w:rPr>
          <w:lang w:eastAsia="en-AU"/>
        </w:rPr>
      </w:pPr>
      <w:r>
        <w:rPr>
          <w:lang w:eastAsia="en-AU"/>
        </w:rPr>
        <w:t>Nous will conduct all activities ethically.</w:t>
      </w:r>
      <w:r w:rsidR="006D4DE5">
        <w:rPr>
          <w:lang w:eastAsia="en-AU"/>
        </w:rPr>
        <w:t xml:space="preserve"> </w:t>
      </w:r>
      <w:r>
        <w:rPr>
          <w:lang w:eastAsia="en-AU"/>
        </w:rPr>
        <w:t>Of</w:t>
      </w:r>
      <w:r w:rsidR="006D4DE5">
        <w:rPr>
          <w:lang w:eastAsia="en-AU"/>
        </w:rPr>
        <w:t xml:space="preserve"> </w:t>
      </w:r>
      <w:proofErr w:type="gramStart"/>
      <w:r w:rsidR="006D4DE5">
        <w:rPr>
          <w:lang w:eastAsia="en-AU"/>
        </w:rPr>
        <w:t>particular relevance</w:t>
      </w:r>
      <w:proofErr w:type="gramEnd"/>
      <w:r w:rsidR="006D4DE5">
        <w:rPr>
          <w:lang w:eastAsia="en-AU"/>
        </w:rPr>
        <w:t xml:space="preserve"> for this evaluation</w:t>
      </w:r>
      <w:r>
        <w:rPr>
          <w:lang w:eastAsia="en-AU"/>
        </w:rPr>
        <w:t xml:space="preserve"> is: </w:t>
      </w:r>
    </w:p>
    <w:p w14:paraId="7710E984" w14:textId="449973FA" w:rsidR="006D4DE5" w:rsidRDefault="006D4DE5" w:rsidP="006D4DE5">
      <w:pPr>
        <w:pStyle w:val="Bullet"/>
      </w:pPr>
      <w:r w:rsidRPr="00725DD7">
        <w:rPr>
          <w:rFonts w:ascii="Segoe UI Semibold" w:hAnsi="Segoe UI Semibold" w:cs="Segoe UI Semibold"/>
        </w:rPr>
        <w:t>Ethical engagement</w:t>
      </w:r>
      <w:r>
        <w:t xml:space="preserve">. Nous is intending to engage with families and carers through PCA consumer representative bodies, and with other relevant stakeholders including clinicians and RACF staff. Nous will ensure that all stakeholder engagement is completed in an ethical fashion, in accordance with the principles for stakeholder engagement detailed in section </w:t>
      </w:r>
      <w:r w:rsidRPr="00725DD7">
        <w:fldChar w:fldCharType="begin"/>
      </w:r>
      <w:r w:rsidRPr="00725DD7">
        <w:instrText xml:space="preserve"> REF _Ref61452729 \r \h </w:instrText>
      </w:r>
      <w:r w:rsidR="00725DD7">
        <w:instrText xml:space="preserve"> \* MERGEFORMAT </w:instrText>
      </w:r>
      <w:r w:rsidRPr="00725DD7">
        <w:fldChar w:fldCharType="separate"/>
      </w:r>
      <w:r w:rsidR="00DF258C">
        <w:t>7.1</w:t>
      </w:r>
      <w:r w:rsidRPr="00725DD7">
        <w:fldChar w:fldCharType="end"/>
      </w:r>
      <w:r w:rsidRPr="00725DD7">
        <w:t>.</w:t>
      </w:r>
    </w:p>
    <w:p w14:paraId="6205C45F" w14:textId="0617C6E2" w:rsidR="006D4DE5" w:rsidRDefault="006D4DE5" w:rsidP="006D4DE5">
      <w:pPr>
        <w:pStyle w:val="Bullet"/>
      </w:pPr>
      <w:r w:rsidRPr="00725DD7">
        <w:rPr>
          <w:rFonts w:ascii="Segoe UI Semibold" w:hAnsi="Segoe UI Semibold" w:cs="Segoe UI Semibold"/>
        </w:rPr>
        <w:t>Privacy and data management</w:t>
      </w:r>
      <w:r>
        <w:t xml:space="preserve">. While not intending to collect personal data except through other data projects such as NIHSI-AA, the evaluation will still require the use and handling of sensitive data. Nous’ approach to privacy and data management is described in section </w:t>
      </w:r>
      <w:r w:rsidRPr="00725DD7">
        <w:fldChar w:fldCharType="begin"/>
      </w:r>
      <w:r w:rsidRPr="00725DD7">
        <w:instrText xml:space="preserve"> REF _Ref61851395 \r \h </w:instrText>
      </w:r>
      <w:r w:rsidR="00725DD7">
        <w:instrText xml:space="preserve"> \* MERGEFORMAT </w:instrText>
      </w:r>
      <w:r w:rsidRPr="00725DD7">
        <w:fldChar w:fldCharType="separate"/>
      </w:r>
      <w:r w:rsidR="00DF258C">
        <w:t>9.1.1</w:t>
      </w:r>
      <w:r w:rsidRPr="00725DD7">
        <w:fldChar w:fldCharType="end"/>
      </w:r>
      <w:r>
        <w:t xml:space="preserve"> and in </w:t>
      </w:r>
      <w:r>
        <w:fldChar w:fldCharType="begin"/>
      </w:r>
      <w:r>
        <w:instrText xml:space="preserve"> REF _Ref61851414 \r \h </w:instrText>
      </w:r>
      <w:r>
        <w:fldChar w:fldCharType="separate"/>
      </w:r>
      <w:r w:rsidR="00DF258C">
        <w:t>Appendix D</w:t>
      </w:r>
      <w:r>
        <w:fldChar w:fldCharType="end"/>
      </w:r>
      <w:r>
        <w:t>.</w:t>
      </w:r>
    </w:p>
    <w:p w14:paraId="18C8EDBE" w14:textId="2784C559" w:rsidR="006D4DE5" w:rsidRDefault="006D4DE5" w:rsidP="006D4DE5">
      <w:pPr>
        <w:pStyle w:val="Heading3"/>
      </w:pPr>
      <w:bookmarkStart w:id="78" w:name="_Ref61851395"/>
      <w:bookmarkStart w:id="79" w:name="_Toc82767229"/>
      <w:r>
        <w:lastRenderedPageBreak/>
        <w:t>Privacy and data management</w:t>
      </w:r>
      <w:bookmarkEnd w:id="78"/>
      <w:bookmarkEnd w:id="79"/>
    </w:p>
    <w:p w14:paraId="5B8C8021" w14:textId="19B63589" w:rsidR="006D4DE5" w:rsidRPr="00EC4DA6" w:rsidRDefault="006D4DE5" w:rsidP="006D4DE5">
      <w:pPr>
        <w:rPr>
          <w:lang w:eastAsia="en-AU"/>
        </w:rPr>
      </w:pPr>
      <w:r>
        <w:rPr>
          <w:lang w:eastAsia="en-AU"/>
        </w:rPr>
        <w:t>Nous manages all information in accordance with relevant privacy and data security legislation, regulations and public sector policies and procedures for data storage and retention. Nous has a comprehensive suite of Information Security and Privacy policies and educates its staff on the importance of designating and managing sensitive information.</w:t>
      </w:r>
    </w:p>
    <w:p w14:paraId="19E98705" w14:textId="77777777" w:rsidR="006D4DE5" w:rsidRPr="00175C1A" w:rsidRDefault="006D4DE5" w:rsidP="006D4DE5">
      <w:pPr>
        <w:rPr>
          <w:lang w:eastAsia="en-AU"/>
        </w:rPr>
      </w:pPr>
      <w:r w:rsidRPr="00175C1A">
        <w:rPr>
          <w:lang w:eastAsia="en-AU"/>
        </w:rPr>
        <w:t>Nous will implement the following regime to ensure the highest levels of privacy and confidentiality of the collected evaluation data:</w:t>
      </w:r>
    </w:p>
    <w:p w14:paraId="4C755856" w14:textId="262ABEDE" w:rsidR="006D4DE5" w:rsidRDefault="006D4DE5" w:rsidP="006D4DE5">
      <w:pPr>
        <w:pStyle w:val="Bullet"/>
      </w:pPr>
      <w:r>
        <w:t>only data relevant to the evaluation will be collected</w:t>
      </w:r>
    </w:p>
    <w:p w14:paraId="2EED94B2" w14:textId="77777777" w:rsidR="006D4DE5" w:rsidRPr="00175C1A" w:rsidRDefault="006D4DE5" w:rsidP="006D4DE5">
      <w:pPr>
        <w:pStyle w:val="Bullet"/>
      </w:pPr>
      <w:r w:rsidRPr="00175C1A">
        <w:t>the volume of personal or identifying information will be minimised as far as possible</w:t>
      </w:r>
    </w:p>
    <w:p w14:paraId="01BCC213" w14:textId="50950315" w:rsidR="006D4DE5" w:rsidRPr="00175C1A" w:rsidRDefault="006D4DE5" w:rsidP="006D4DE5">
      <w:pPr>
        <w:pStyle w:val="Bullet"/>
      </w:pPr>
      <w:r w:rsidRPr="00175C1A">
        <w:t xml:space="preserve">all electronic information </w:t>
      </w:r>
      <w:r>
        <w:t xml:space="preserve">will be stored </w:t>
      </w:r>
      <w:r w:rsidRPr="00175C1A">
        <w:t>on private network servers protected by firewalls</w:t>
      </w:r>
    </w:p>
    <w:p w14:paraId="32C42243" w14:textId="77777777" w:rsidR="006D4DE5" w:rsidRPr="00175C1A" w:rsidRDefault="006D4DE5" w:rsidP="006D4DE5">
      <w:pPr>
        <w:pStyle w:val="Bullet"/>
      </w:pPr>
      <w:r w:rsidRPr="00175C1A">
        <w:t>document management and collaboration systems will be hosted on a secure private cloud in Australia</w:t>
      </w:r>
    </w:p>
    <w:p w14:paraId="5D47340C" w14:textId="0274E389" w:rsidR="006D4DE5" w:rsidRDefault="006D4DE5" w:rsidP="006D4DE5">
      <w:pPr>
        <w:pStyle w:val="Bullet"/>
      </w:pPr>
      <w:r w:rsidRPr="00175C1A">
        <w:t>receipt of key documents and datasets will be tracked in central project registers</w:t>
      </w:r>
    </w:p>
    <w:p w14:paraId="2A1F463F" w14:textId="6312F32C" w:rsidR="006D4DE5" w:rsidRPr="00A852CC" w:rsidRDefault="006D4DE5" w:rsidP="006D4DE5">
      <w:pPr>
        <w:pStyle w:val="Bullet"/>
        <w:rPr>
          <w:b/>
          <w:bCs/>
          <w:u w:val="single"/>
        </w:rPr>
      </w:pPr>
      <w:r>
        <w:t xml:space="preserve">any stored data will be destroyed at the conclusion of the evaluation and all personal information that is no longer required will be deleted. </w:t>
      </w:r>
    </w:p>
    <w:p w14:paraId="732AC9A0" w14:textId="77777777" w:rsidR="006D4DE5" w:rsidRPr="00175C1A" w:rsidRDefault="006D4DE5" w:rsidP="00F05281">
      <w:pPr>
        <w:pStyle w:val="Bullet"/>
        <w:numPr>
          <w:ilvl w:val="0"/>
          <w:numId w:val="0"/>
        </w:numPr>
      </w:pPr>
    </w:p>
    <w:p w14:paraId="3F7B6B79" w14:textId="631324CA" w:rsidR="006D4DE5" w:rsidRDefault="006D4DE5" w:rsidP="006D4DE5">
      <w:pPr>
        <w:pStyle w:val="xAppendixLevel1"/>
      </w:pPr>
      <w:bookmarkStart w:id="80" w:name="_Ref58827293"/>
      <w:bookmarkStart w:id="81" w:name="_Ref61957259"/>
      <w:bookmarkStart w:id="82" w:name="_Toc82767230"/>
      <w:r>
        <w:lastRenderedPageBreak/>
        <w:t xml:space="preserve">Stakeholders consulted in development of this </w:t>
      </w:r>
      <w:bookmarkEnd w:id="80"/>
      <w:r>
        <w:t>Framework</w:t>
      </w:r>
      <w:bookmarkEnd w:id="81"/>
      <w:bookmarkEnd w:id="82"/>
      <w:r>
        <w:t xml:space="preserve"> </w:t>
      </w:r>
    </w:p>
    <w:p w14:paraId="76A06DE0" w14:textId="23CDC5D3" w:rsidR="006D4DE5" w:rsidRDefault="006D4DE5" w:rsidP="006D4DE5">
      <w:r>
        <w:t>This appendix provides the list of stakeholders consulted in development of the Evaluation Framework.</w:t>
      </w:r>
    </w:p>
    <w:tbl>
      <w:tblPr>
        <w:tblStyle w:val="TableGrid"/>
        <w:tblW w:w="0" w:type="auto"/>
        <w:tblLook w:val="04A0" w:firstRow="1" w:lastRow="0" w:firstColumn="1" w:lastColumn="0" w:noHBand="0" w:noVBand="1"/>
        <w:tblCaption w:val="Appendix A lists the stakeholders who were consulted in the development of this Framework. The table also details their positions and organisations "/>
        <w:tblDescription w:val="Australian Department of Health stakeholders include: Cathy Moore (Assistant Director), Donna Acs (Project Officer), Georgia Phillips (Acting Director) and Jacky Lacey (Program Manager).&#10;&#10;Australian Capital Territory Department of Health stakeholders include:&#10;Nikki Johnston (OAM) and Peter Matwijw (Manager)&#10;&#10;New South Wales Department of Health stakeholders include: Gemma Rafferty (Principal Policy Officer) and Isabella Dillon Savage (Policy Officer)&#10;&#10;Northern Territory Department of Health stakeholders include:&#10;Amy Jean Burrows (Clinical Nurse Manager), Anthony Burton (Principal Policy Advisor), Christine Sanderson (Palliative Care Consultant), Natalie Anderson (Nurse Management Consultant), Philomena Smith (Policy Officer), Precious Mapendere (Nurse Practitioner) and Rachel Flavell (Acting CFO)&#10;&#10;Queensland Department of Health stakeholders include:  &#10;Laureen Hines (Director), Michelle Lucas (Manager), Caitlin Lock (Principal Project Officer) and Allison Lovell (Project Manager)&#10;&#10;Souther Australia Department of Health stakeholders include: &#10;Elizabeth Lithgow (Senior Policy Officer), Kate Swetenham (Clinical Lead) and Kathy Williams (Principal Policy Officer).&#10;&#10;Tasmania Department of Health and Human Services stakeholders include: Flora Dean (Principal Project Officer) and Ian Bell (Manager)&#10;&#10;Victoria Department of Health and Human Services stakeholders include: Jackie Kearney (Assistant Director) and Theresa Williamson (Manager).&#10;&#10;Western Australia Department of Health stakeholders include: Andrew Jones ((Former) Manager), Christie Sorenti (Senior Policy Officer), Danielle Vanpraag, Frances Arthur (Project Officer) and Gabriella Jerrat (Program Manager)&#10;&#10;Palliative care and/or aged care peak bodies stakeholders include: Katie Snell (Acting National Policy Manager and Aged Care Policy Advisor), Coleen Johnstone (CEO), Tracy Gillard (CEO), Janeane Harlum (President), Julianne Brisbane (Supportive and Palliative Care Nurse Practitioner), Beverley Malone (Residential Services Advisory Group) and Troy Speirs (Senior Policy Advisor)&#10;&#10;ELDAC stakehodler include: Deborah Parker (Professor of Nursing Aged Care (Dementia)), Jennifer Tieman(CareSearch, Palliative and Supportive Services), Patsy Yates (QUT Lead and Project Director&#10;PCOC), Barb Daveson (Director and Senior Research Fellow), Claire Johnson (Professorial Fellow) and Kathy Eager (Chief Investigator)&#10;&#10;Other stakeholders include:  &#10;Cathy Thomas (Group Executive at Blue Care, Executive Director ARRCS), Chris Hall (CEO at Juniper), Felicity Reid (Program Director at Australian Digital Heaolth Agency), Ian Thompson (Principal at Nous Group), James Eynstone-Hinkins (Director of Health and Vital Statistics at the Australian Bureau of Statistics), Paula Trood (COO at RSL LifeCare),Richard Jukes at AIHW, Sandra Hills (CEO at Benetas), Saviour Buhagiar (Director of Aged Care at Uniting NSW and ACT), and Stephen Teulan (Principal at Nous Group)&#10;&#10;"/>
      </w:tblPr>
      <w:tblGrid>
        <w:gridCol w:w="2314"/>
        <w:gridCol w:w="2644"/>
        <w:gridCol w:w="3972"/>
      </w:tblGrid>
      <w:tr w:rsidR="006D4DE5" w:rsidRPr="00A75948" w14:paraId="10F2760E" w14:textId="77777777" w:rsidTr="00B25FA6">
        <w:trPr>
          <w:cnfStyle w:val="100000000000" w:firstRow="1" w:lastRow="0" w:firstColumn="0" w:lastColumn="0" w:oddVBand="0" w:evenVBand="0" w:oddHBand="0" w:evenHBand="0" w:firstRowFirstColumn="0" w:firstRowLastColumn="0" w:lastRowFirstColumn="0" w:lastRowLastColumn="0"/>
        </w:trPr>
        <w:tc>
          <w:tcPr>
            <w:tcW w:w="2353" w:type="dxa"/>
          </w:tcPr>
          <w:p w14:paraId="49B7E190" w14:textId="77777777" w:rsidR="006D4DE5" w:rsidRPr="00F51636" w:rsidRDefault="006D4DE5" w:rsidP="00F51636">
            <w:pPr>
              <w:pStyle w:val="TableNheader"/>
              <w:spacing w:before="0" w:after="0"/>
              <w:rPr>
                <w:sz w:val="16"/>
                <w:szCs w:val="16"/>
                <w:lang w:eastAsia="en-AU"/>
              </w:rPr>
            </w:pPr>
            <w:r w:rsidRPr="00F51636">
              <w:rPr>
                <w:sz w:val="16"/>
                <w:szCs w:val="16"/>
                <w:lang w:eastAsia="en-AU"/>
              </w:rPr>
              <w:t>Name</w:t>
            </w:r>
          </w:p>
        </w:tc>
        <w:tc>
          <w:tcPr>
            <w:tcW w:w="2694" w:type="dxa"/>
          </w:tcPr>
          <w:p w14:paraId="2E551D11" w14:textId="77777777" w:rsidR="006D4DE5" w:rsidRPr="00F51636" w:rsidRDefault="006D4DE5" w:rsidP="00F51636">
            <w:pPr>
              <w:pStyle w:val="TableNheader"/>
              <w:spacing w:before="0" w:after="0"/>
              <w:rPr>
                <w:sz w:val="16"/>
                <w:szCs w:val="16"/>
                <w:lang w:eastAsia="en-AU"/>
              </w:rPr>
            </w:pPr>
            <w:r w:rsidRPr="00F51636">
              <w:rPr>
                <w:sz w:val="16"/>
                <w:szCs w:val="16"/>
                <w:lang w:eastAsia="en-AU"/>
              </w:rPr>
              <w:t>Position</w:t>
            </w:r>
          </w:p>
        </w:tc>
        <w:tc>
          <w:tcPr>
            <w:tcW w:w="4053" w:type="dxa"/>
          </w:tcPr>
          <w:p w14:paraId="1248E128" w14:textId="6F1419F3" w:rsidR="006D4DE5" w:rsidRPr="00F51636" w:rsidRDefault="006D4DE5" w:rsidP="00F51636">
            <w:pPr>
              <w:pStyle w:val="TableNheader"/>
              <w:spacing w:before="0" w:after="0"/>
              <w:rPr>
                <w:sz w:val="16"/>
                <w:szCs w:val="16"/>
                <w:lang w:eastAsia="en-AU"/>
              </w:rPr>
            </w:pPr>
            <w:r w:rsidRPr="00F51636">
              <w:rPr>
                <w:sz w:val="16"/>
                <w:szCs w:val="16"/>
                <w:lang w:eastAsia="en-AU"/>
              </w:rPr>
              <w:t>Organisation</w:t>
            </w:r>
          </w:p>
        </w:tc>
      </w:tr>
      <w:tr w:rsidR="007C49AF" w:rsidRPr="00A75948" w14:paraId="55D8B098" w14:textId="77777777" w:rsidTr="00A56DCA">
        <w:trPr>
          <w:cnfStyle w:val="000000100000" w:firstRow="0" w:lastRow="0" w:firstColumn="0" w:lastColumn="0" w:oddVBand="0" w:evenVBand="0" w:oddHBand="1" w:evenHBand="0" w:firstRowFirstColumn="0" w:firstRowLastColumn="0" w:lastRowFirstColumn="0" w:lastRowLastColumn="0"/>
          <w:trHeight w:val="342"/>
        </w:trPr>
        <w:tc>
          <w:tcPr>
            <w:tcW w:w="5047" w:type="dxa"/>
            <w:gridSpan w:val="2"/>
            <w:shd w:val="clear" w:color="auto" w:fill="00264D" w:themeFill="background2"/>
          </w:tcPr>
          <w:p w14:paraId="42D80924" w14:textId="3F90109B" w:rsidR="007C49AF" w:rsidRPr="00F51636" w:rsidRDefault="007C49AF" w:rsidP="00F51636">
            <w:pPr>
              <w:pStyle w:val="TableNheader"/>
              <w:spacing w:before="0" w:after="0"/>
              <w:rPr>
                <w:color w:val="FFFFFF" w:themeColor="background1"/>
                <w:sz w:val="16"/>
                <w:szCs w:val="16"/>
                <w:lang w:eastAsia="en-AU"/>
              </w:rPr>
            </w:pPr>
            <w:r w:rsidRPr="00F51636">
              <w:rPr>
                <w:color w:val="FFFFFF" w:themeColor="background1"/>
                <w:sz w:val="16"/>
                <w:szCs w:val="16"/>
                <w:lang w:eastAsia="en-AU"/>
              </w:rPr>
              <w:t xml:space="preserve">Australian Department of Health </w:t>
            </w:r>
          </w:p>
        </w:tc>
        <w:tc>
          <w:tcPr>
            <w:tcW w:w="4053" w:type="dxa"/>
            <w:shd w:val="clear" w:color="auto" w:fill="00264D" w:themeFill="background2"/>
          </w:tcPr>
          <w:p w14:paraId="74E37A53" w14:textId="77777777" w:rsidR="007C49AF" w:rsidRPr="00F51636" w:rsidRDefault="007C49AF" w:rsidP="00F51636">
            <w:pPr>
              <w:spacing w:after="0" w:line="240" w:lineRule="auto"/>
              <w:rPr>
                <w:sz w:val="16"/>
                <w:szCs w:val="16"/>
                <w:lang w:eastAsia="en-AU"/>
              </w:rPr>
            </w:pPr>
          </w:p>
        </w:tc>
      </w:tr>
      <w:tr w:rsidR="00F50539" w:rsidRPr="00A75948" w14:paraId="7812D51D" w14:textId="77777777" w:rsidTr="007C49AF">
        <w:trPr>
          <w:cnfStyle w:val="000000010000" w:firstRow="0" w:lastRow="0" w:firstColumn="0" w:lastColumn="0" w:oddVBand="0" w:evenVBand="0" w:oddHBand="0" w:evenHBand="1" w:firstRowFirstColumn="0" w:firstRowLastColumn="0" w:lastRowFirstColumn="0" w:lastRowLastColumn="0"/>
          <w:trHeight w:val="342"/>
        </w:trPr>
        <w:tc>
          <w:tcPr>
            <w:tcW w:w="2353" w:type="dxa"/>
            <w:shd w:val="clear" w:color="auto" w:fill="FFFFFF" w:themeFill="background1"/>
          </w:tcPr>
          <w:p w14:paraId="1B9293AD" w14:textId="1FBCE191" w:rsidR="00F50539" w:rsidRPr="00F51636" w:rsidRDefault="00F50539" w:rsidP="00F51636">
            <w:pPr>
              <w:pStyle w:val="TableNText"/>
              <w:spacing w:before="0" w:after="0" w:line="240" w:lineRule="auto"/>
              <w:rPr>
                <w:sz w:val="16"/>
                <w:szCs w:val="16"/>
                <w:lang w:eastAsia="en-AU"/>
              </w:rPr>
            </w:pPr>
            <w:r w:rsidRPr="00F51636">
              <w:rPr>
                <w:sz w:val="16"/>
                <w:szCs w:val="16"/>
                <w:lang w:eastAsia="en-AU"/>
              </w:rPr>
              <w:t>Cathy</w:t>
            </w:r>
            <w:r w:rsidR="002949C7" w:rsidRPr="00F51636">
              <w:rPr>
                <w:sz w:val="16"/>
                <w:szCs w:val="16"/>
                <w:lang w:eastAsia="en-AU"/>
              </w:rPr>
              <w:t xml:space="preserve"> Moore</w:t>
            </w:r>
          </w:p>
        </w:tc>
        <w:tc>
          <w:tcPr>
            <w:tcW w:w="2694" w:type="dxa"/>
            <w:shd w:val="clear" w:color="auto" w:fill="FFFFFF" w:themeFill="background1"/>
          </w:tcPr>
          <w:p w14:paraId="613821FF" w14:textId="06E08B40" w:rsidR="00F50539" w:rsidRPr="00F51636" w:rsidRDefault="00EB7786" w:rsidP="00F51636">
            <w:pPr>
              <w:pStyle w:val="TableNText"/>
              <w:spacing w:before="0" w:after="0" w:line="240" w:lineRule="auto"/>
              <w:rPr>
                <w:sz w:val="16"/>
                <w:szCs w:val="16"/>
                <w:lang w:eastAsia="en-AU"/>
              </w:rPr>
            </w:pPr>
            <w:r w:rsidRPr="00F51636">
              <w:rPr>
                <w:sz w:val="16"/>
                <w:szCs w:val="16"/>
                <w:lang w:eastAsia="en-AU"/>
              </w:rPr>
              <w:t>Assistant Director</w:t>
            </w:r>
          </w:p>
        </w:tc>
        <w:tc>
          <w:tcPr>
            <w:tcW w:w="4053" w:type="dxa"/>
            <w:shd w:val="clear" w:color="auto" w:fill="FFFFFF" w:themeFill="background1"/>
          </w:tcPr>
          <w:p w14:paraId="417D1EC9" w14:textId="20CE0AA7" w:rsidR="00F50539" w:rsidRPr="00F51636" w:rsidRDefault="002949C7" w:rsidP="00F51636">
            <w:pPr>
              <w:pStyle w:val="TableNText"/>
              <w:spacing w:before="0" w:after="0" w:line="240" w:lineRule="auto"/>
              <w:rPr>
                <w:sz w:val="16"/>
                <w:szCs w:val="16"/>
                <w:lang w:eastAsia="en-AU"/>
              </w:rPr>
            </w:pPr>
            <w:r w:rsidRPr="00F51636">
              <w:rPr>
                <w:sz w:val="16"/>
                <w:szCs w:val="16"/>
                <w:lang w:eastAsia="en-AU"/>
              </w:rPr>
              <w:t>Department of H</w:t>
            </w:r>
            <w:r w:rsidR="00501E88" w:rsidRPr="00F51636">
              <w:rPr>
                <w:sz w:val="16"/>
                <w:szCs w:val="16"/>
                <w:lang w:eastAsia="en-AU"/>
              </w:rPr>
              <w:t>e</w:t>
            </w:r>
            <w:r w:rsidRPr="00F51636">
              <w:rPr>
                <w:sz w:val="16"/>
                <w:szCs w:val="16"/>
                <w:lang w:eastAsia="en-AU"/>
              </w:rPr>
              <w:t>alth</w:t>
            </w:r>
          </w:p>
        </w:tc>
      </w:tr>
      <w:tr w:rsidR="00F50539" w:rsidRPr="00A75948" w14:paraId="4B396656" w14:textId="77777777" w:rsidTr="007C49AF">
        <w:trPr>
          <w:cnfStyle w:val="000000100000" w:firstRow="0" w:lastRow="0" w:firstColumn="0" w:lastColumn="0" w:oddVBand="0" w:evenVBand="0" w:oddHBand="1" w:evenHBand="0" w:firstRowFirstColumn="0" w:firstRowLastColumn="0" w:lastRowFirstColumn="0" w:lastRowLastColumn="0"/>
          <w:trHeight w:val="342"/>
        </w:trPr>
        <w:tc>
          <w:tcPr>
            <w:tcW w:w="2353" w:type="dxa"/>
            <w:shd w:val="clear" w:color="auto" w:fill="FFFFFF" w:themeFill="background1"/>
          </w:tcPr>
          <w:p w14:paraId="0586C069" w14:textId="78E91164" w:rsidR="00501E88" w:rsidRPr="00F51636" w:rsidRDefault="00F50539" w:rsidP="00F51636">
            <w:pPr>
              <w:pStyle w:val="TableNText"/>
              <w:spacing w:before="0" w:after="0" w:line="240" w:lineRule="auto"/>
              <w:rPr>
                <w:sz w:val="16"/>
                <w:szCs w:val="16"/>
                <w:lang w:eastAsia="en-AU"/>
              </w:rPr>
            </w:pPr>
            <w:r w:rsidRPr="00F51636">
              <w:rPr>
                <w:sz w:val="16"/>
                <w:szCs w:val="16"/>
                <w:lang w:eastAsia="en-AU"/>
              </w:rPr>
              <w:t>Donna</w:t>
            </w:r>
            <w:r w:rsidR="00501E88" w:rsidRPr="00F51636">
              <w:rPr>
                <w:sz w:val="16"/>
                <w:szCs w:val="16"/>
                <w:lang w:eastAsia="en-AU"/>
              </w:rPr>
              <w:t xml:space="preserve"> </w:t>
            </w:r>
            <w:proofErr w:type="spellStart"/>
            <w:r w:rsidR="00501E88" w:rsidRPr="00F51636">
              <w:rPr>
                <w:sz w:val="16"/>
                <w:szCs w:val="16"/>
                <w:lang w:eastAsia="en-AU"/>
              </w:rPr>
              <w:t>Acs</w:t>
            </w:r>
            <w:proofErr w:type="spellEnd"/>
          </w:p>
        </w:tc>
        <w:tc>
          <w:tcPr>
            <w:tcW w:w="2694" w:type="dxa"/>
            <w:shd w:val="clear" w:color="auto" w:fill="FFFFFF" w:themeFill="background1"/>
          </w:tcPr>
          <w:p w14:paraId="1D902DD3" w14:textId="488669EE" w:rsidR="00F50539" w:rsidRPr="00F51636" w:rsidRDefault="00B165E1" w:rsidP="00F51636">
            <w:pPr>
              <w:pStyle w:val="TableNText"/>
              <w:spacing w:before="0" w:after="0" w:line="240" w:lineRule="auto"/>
              <w:rPr>
                <w:sz w:val="16"/>
                <w:szCs w:val="16"/>
                <w:lang w:eastAsia="en-AU"/>
              </w:rPr>
            </w:pPr>
            <w:r>
              <w:rPr>
                <w:sz w:val="16"/>
                <w:szCs w:val="16"/>
                <w:lang w:eastAsia="en-AU"/>
              </w:rPr>
              <w:t>Project Officer</w:t>
            </w:r>
          </w:p>
        </w:tc>
        <w:tc>
          <w:tcPr>
            <w:tcW w:w="4053" w:type="dxa"/>
            <w:shd w:val="clear" w:color="auto" w:fill="FFFFFF" w:themeFill="background1"/>
          </w:tcPr>
          <w:p w14:paraId="3F3ABB8A" w14:textId="1B7B5D0C" w:rsidR="00F50539" w:rsidRPr="00F51636" w:rsidRDefault="00501E88" w:rsidP="00F51636">
            <w:pPr>
              <w:pStyle w:val="TableNText"/>
              <w:spacing w:before="0" w:after="0" w:line="240" w:lineRule="auto"/>
              <w:rPr>
                <w:sz w:val="16"/>
                <w:szCs w:val="16"/>
                <w:lang w:eastAsia="en-AU"/>
              </w:rPr>
            </w:pPr>
            <w:r w:rsidRPr="00F51636">
              <w:rPr>
                <w:sz w:val="16"/>
                <w:szCs w:val="16"/>
                <w:lang w:eastAsia="en-AU"/>
              </w:rPr>
              <w:t>Department of Health</w:t>
            </w:r>
          </w:p>
        </w:tc>
      </w:tr>
      <w:tr w:rsidR="002C603C" w:rsidRPr="00A75948" w14:paraId="511495C3" w14:textId="77777777" w:rsidTr="007C49AF">
        <w:trPr>
          <w:cnfStyle w:val="000000010000" w:firstRow="0" w:lastRow="0" w:firstColumn="0" w:lastColumn="0" w:oddVBand="0" w:evenVBand="0" w:oddHBand="0" w:evenHBand="1" w:firstRowFirstColumn="0" w:firstRowLastColumn="0" w:lastRowFirstColumn="0" w:lastRowLastColumn="0"/>
          <w:trHeight w:val="342"/>
        </w:trPr>
        <w:tc>
          <w:tcPr>
            <w:tcW w:w="2353" w:type="dxa"/>
            <w:shd w:val="clear" w:color="auto" w:fill="FFFFFF" w:themeFill="background1"/>
          </w:tcPr>
          <w:p w14:paraId="74FBAD87" w14:textId="2C9139C1" w:rsidR="002C603C" w:rsidRPr="00F51636" w:rsidRDefault="00232A64" w:rsidP="00F51636">
            <w:pPr>
              <w:pStyle w:val="TableNText"/>
              <w:spacing w:before="0" w:after="0" w:line="240" w:lineRule="auto"/>
              <w:rPr>
                <w:sz w:val="16"/>
                <w:szCs w:val="16"/>
                <w:lang w:eastAsia="en-AU"/>
              </w:rPr>
            </w:pPr>
            <w:r w:rsidRPr="00F51636">
              <w:rPr>
                <w:sz w:val="16"/>
                <w:szCs w:val="16"/>
                <w:lang w:eastAsia="en-AU"/>
              </w:rPr>
              <w:t>Georgia</w:t>
            </w:r>
            <w:r w:rsidR="009218CB" w:rsidRPr="00F51636">
              <w:rPr>
                <w:sz w:val="16"/>
                <w:szCs w:val="16"/>
                <w:lang w:eastAsia="en-AU"/>
              </w:rPr>
              <w:t xml:space="preserve"> Phillips</w:t>
            </w:r>
          </w:p>
        </w:tc>
        <w:tc>
          <w:tcPr>
            <w:tcW w:w="2694" w:type="dxa"/>
            <w:shd w:val="clear" w:color="auto" w:fill="FFFFFF" w:themeFill="background1"/>
          </w:tcPr>
          <w:p w14:paraId="763D0CF9" w14:textId="6AC84A0F" w:rsidR="002C603C" w:rsidRPr="00F51636" w:rsidRDefault="00401847" w:rsidP="00F51636">
            <w:pPr>
              <w:pStyle w:val="TableNText"/>
              <w:spacing w:before="0" w:after="0" w:line="240" w:lineRule="auto"/>
              <w:rPr>
                <w:sz w:val="16"/>
                <w:szCs w:val="16"/>
                <w:lang w:eastAsia="en-AU"/>
              </w:rPr>
            </w:pPr>
            <w:r w:rsidRPr="00F51636">
              <w:rPr>
                <w:sz w:val="16"/>
                <w:szCs w:val="16"/>
                <w:lang w:eastAsia="en-AU"/>
              </w:rPr>
              <w:t xml:space="preserve">Acting Director </w:t>
            </w:r>
          </w:p>
        </w:tc>
        <w:tc>
          <w:tcPr>
            <w:tcW w:w="4053" w:type="dxa"/>
            <w:shd w:val="clear" w:color="auto" w:fill="FFFFFF" w:themeFill="background1"/>
          </w:tcPr>
          <w:p w14:paraId="1F27B341" w14:textId="66AD478F" w:rsidR="002C603C" w:rsidRPr="00F51636" w:rsidRDefault="00501E88" w:rsidP="00F51636">
            <w:pPr>
              <w:pStyle w:val="TableNText"/>
              <w:spacing w:before="0" w:after="0" w:line="240" w:lineRule="auto"/>
              <w:rPr>
                <w:sz w:val="16"/>
                <w:szCs w:val="16"/>
                <w:lang w:eastAsia="en-AU"/>
              </w:rPr>
            </w:pPr>
            <w:r w:rsidRPr="00F51636">
              <w:rPr>
                <w:sz w:val="16"/>
                <w:szCs w:val="16"/>
                <w:lang w:eastAsia="en-AU"/>
              </w:rPr>
              <w:t>Department of Health</w:t>
            </w:r>
          </w:p>
        </w:tc>
      </w:tr>
      <w:tr w:rsidR="002C603C" w:rsidRPr="00A75948" w14:paraId="0588C09A" w14:textId="77777777" w:rsidTr="007C49AF">
        <w:trPr>
          <w:cnfStyle w:val="000000100000" w:firstRow="0" w:lastRow="0" w:firstColumn="0" w:lastColumn="0" w:oddVBand="0" w:evenVBand="0" w:oddHBand="1" w:evenHBand="0" w:firstRowFirstColumn="0" w:firstRowLastColumn="0" w:lastRowFirstColumn="0" w:lastRowLastColumn="0"/>
          <w:trHeight w:val="342"/>
        </w:trPr>
        <w:tc>
          <w:tcPr>
            <w:tcW w:w="2353" w:type="dxa"/>
            <w:shd w:val="clear" w:color="auto" w:fill="FFFFFF" w:themeFill="background1"/>
          </w:tcPr>
          <w:p w14:paraId="1DC228D1" w14:textId="6F8C0FD4" w:rsidR="002C603C" w:rsidRPr="00F51636" w:rsidRDefault="00F935DB" w:rsidP="00F51636">
            <w:pPr>
              <w:pStyle w:val="TableNText"/>
              <w:spacing w:before="0" w:after="0" w:line="240" w:lineRule="auto"/>
              <w:rPr>
                <w:sz w:val="16"/>
                <w:szCs w:val="16"/>
                <w:lang w:eastAsia="en-AU"/>
              </w:rPr>
            </w:pPr>
            <w:r w:rsidRPr="00F51636">
              <w:rPr>
                <w:sz w:val="16"/>
                <w:szCs w:val="16"/>
                <w:lang w:eastAsia="en-AU"/>
              </w:rPr>
              <w:t>Jacky</w:t>
            </w:r>
            <w:r w:rsidR="008A6F72" w:rsidRPr="00F51636">
              <w:rPr>
                <w:sz w:val="16"/>
                <w:szCs w:val="16"/>
                <w:lang w:eastAsia="en-AU"/>
              </w:rPr>
              <w:t xml:space="preserve"> Lacey</w:t>
            </w:r>
          </w:p>
        </w:tc>
        <w:tc>
          <w:tcPr>
            <w:tcW w:w="2694" w:type="dxa"/>
            <w:shd w:val="clear" w:color="auto" w:fill="FFFFFF" w:themeFill="background1"/>
          </w:tcPr>
          <w:p w14:paraId="3CA49EA3" w14:textId="5D668224" w:rsidR="002C603C" w:rsidRPr="00F51636" w:rsidRDefault="008A6F72" w:rsidP="00F51636">
            <w:pPr>
              <w:pStyle w:val="TableNText"/>
              <w:spacing w:before="0" w:after="0" w:line="240" w:lineRule="auto"/>
              <w:rPr>
                <w:sz w:val="16"/>
                <w:szCs w:val="16"/>
                <w:lang w:eastAsia="en-AU"/>
              </w:rPr>
            </w:pPr>
            <w:r w:rsidRPr="00F51636">
              <w:rPr>
                <w:sz w:val="16"/>
                <w:szCs w:val="16"/>
                <w:lang w:eastAsia="en-AU"/>
              </w:rPr>
              <w:t>Program Manager</w:t>
            </w:r>
          </w:p>
        </w:tc>
        <w:tc>
          <w:tcPr>
            <w:tcW w:w="4053" w:type="dxa"/>
            <w:shd w:val="clear" w:color="auto" w:fill="FFFFFF" w:themeFill="background1"/>
          </w:tcPr>
          <w:p w14:paraId="12669C59" w14:textId="209F2D9D" w:rsidR="002C603C" w:rsidRPr="00F51636" w:rsidRDefault="00501E88" w:rsidP="00F51636">
            <w:pPr>
              <w:pStyle w:val="TableNText"/>
              <w:spacing w:before="0" w:after="0" w:line="240" w:lineRule="auto"/>
              <w:rPr>
                <w:sz w:val="16"/>
                <w:szCs w:val="16"/>
                <w:lang w:eastAsia="en-AU"/>
              </w:rPr>
            </w:pPr>
            <w:r w:rsidRPr="00F51636">
              <w:rPr>
                <w:sz w:val="16"/>
                <w:szCs w:val="16"/>
                <w:lang w:eastAsia="en-AU"/>
              </w:rPr>
              <w:t>Department of Health</w:t>
            </w:r>
          </w:p>
        </w:tc>
      </w:tr>
      <w:tr w:rsidR="00795CD3" w:rsidRPr="00A75948" w14:paraId="4D447B29" w14:textId="77777777" w:rsidTr="00795CD3">
        <w:trPr>
          <w:cnfStyle w:val="000000010000" w:firstRow="0" w:lastRow="0" w:firstColumn="0" w:lastColumn="0" w:oddVBand="0" w:evenVBand="0" w:oddHBand="0" w:evenHBand="1" w:firstRowFirstColumn="0" w:firstRowLastColumn="0" w:lastRowFirstColumn="0" w:lastRowLastColumn="0"/>
          <w:trHeight w:val="342"/>
        </w:trPr>
        <w:tc>
          <w:tcPr>
            <w:tcW w:w="2353" w:type="dxa"/>
            <w:shd w:val="clear" w:color="auto" w:fill="00264D" w:themeFill="background2"/>
          </w:tcPr>
          <w:p w14:paraId="736E79CC" w14:textId="73970463" w:rsidR="00795CD3" w:rsidRPr="00F51636" w:rsidRDefault="00966A28" w:rsidP="00F51636">
            <w:pPr>
              <w:pStyle w:val="TableNheader"/>
              <w:spacing w:before="0" w:after="0"/>
              <w:rPr>
                <w:color w:val="FFFFFF" w:themeColor="background1"/>
                <w:sz w:val="16"/>
                <w:szCs w:val="16"/>
                <w:lang w:eastAsia="en-AU"/>
              </w:rPr>
            </w:pPr>
            <w:r w:rsidRPr="00F51636">
              <w:rPr>
                <w:color w:val="FFFFFF" w:themeColor="background1"/>
                <w:sz w:val="16"/>
                <w:szCs w:val="16"/>
                <w:lang w:eastAsia="en-AU"/>
              </w:rPr>
              <w:t>ACT</w:t>
            </w:r>
            <w:r w:rsidR="004A7F40" w:rsidRPr="00F51636">
              <w:rPr>
                <w:color w:val="FFFFFF" w:themeColor="background1"/>
                <w:sz w:val="16"/>
                <w:szCs w:val="16"/>
                <w:lang w:eastAsia="en-AU"/>
              </w:rPr>
              <w:t xml:space="preserve"> </w:t>
            </w:r>
            <w:r w:rsidR="00BE21EC" w:rsidRPr="00F51636">
              <w:rPr>
                <w:color w:val="FFFFFF" w:themeColor="background1"/>
                <w:sz w:val="16"/>
                <w:szCs w:val="16"/>
                <w:lang w:eastAsia="en-AU"/>
              </w:rPr>
              <w:t>Department of Health</w:t>
            </w:r>
          </w:p>
        </w:tc>
        <w:tc>
          <w:tcPr>
            <w:tcW w:w="2694" w:type="dxa"/>
            <w:shd w:val="clear" w:color="auto" w:fill="00264D" w:themeFill="background2"/>
          </w:tcPr>
          <w:p w14:paraId="70436F8F" w14:textId="77777777" w:rsidR="00795CD3" w:rsidRPr="00F51636" w:rsidRDefault="00795CD3" w:rsidP="00F51636">
            <w:pPr>
              <w:spacing w:after="0" w:line="240" w:lineRule="auto"/>
              <w:rPr>
                <w:sz w:val="16"/>
                <w:szCs w:val="16"/>
                <w:lang w:eastAsia="en-AU"/>
              </w:rPr>
            </w:pPr>
          </w:p>
        </w:tc>
        <w:tc>
          <w:tcPr>
            <w:tcW w:w="4053" w:type="dxa"/>
            <w:shd w:val="clear" w:color="auto" w:fill="00264D" w:themeFill="background2"/>
          </w:tcPr>
          <w:p w14:paraId="661BA2E1" w14:textId="77777777" w:rsidR="00795CD3" w:rsidRPr="00F51636" w:rsidRDefault="00795CD3" w:rsidP="00F51636">
            <w:pPr>
              <w:spacing w:after="0" w:line="240" w:lineRule="auto"/>
              <w:rPr>
                <w:sz w:val="16"/>
                <w:szCs w:val="16"/>
                <w:lang w:eastAsia="en-AU"/>
              </w:rPr>
            </w:pPr>
          </w:p>
        </w:tc>
      </w:tr>
      <w:tr w:rsidR="001A1A22" w:rsidRPr="00A75948" w14:paraId="78D1BAB3" w14:textId="77777777" w:rsidTr="00B25FA6">
        <w:trPr>
          <w:cnfStyle w:val="000000100000" w:firstRow="0" w:lastRow="0" w:firstColumn="0" w:lastColumn="0" w:oddVBand="0" w:evenVBand="0" w:oddHBand="1" w:evenHBand="0" w:firstRowFirstColumn="0" w:firstRowLastColumn="0" w:lastRowFirstColumn="0" w:lastRowLastColumn="0"/>
        </w:trPr>
        <w:tc>
          <w:tcPr>
            <w:tcW w:w="2353" w:type="dxa"/>
          </w:tcPr>
          <w:p w14:paraId="49E9BE5E" w14:textId="6E83606A" w:rsidR="001A1A22" w:rsidRPr="00F51636" w:rsidRDefault="001A1A22" w:rsidP="00F51636">
            <w:pPr>
              <w:pStyle w:val="TableNText"/>
              <w:spacing w:before="0" w:after="0" w:line="240" w:lineRule="auto"/>
              <w:rPr>
                <w:sz w:val="16"/>
                <w:szCs w:val="16"/>
                <w:lang w:eastAsia="en-AU"/>
              </w:rPr>
            </w:pPr>
            <w:r w:rsidRPr="00F51636">
              <w:rPr>
                <w:sz w:val="16"/>
                <w:szCs w:val="16"/>
                <w:lang w:eastAsia="en-AU"/>
              </w:rPr>
              <w:t>Nikki Johnston</w:t>
            </w:r>
          </w:p>
        </w:tc>
        <w:tc>
          <w:tcPr>
            <w:tcW w:w="2694" w:type="dxa"/>
          </w:tcPr>
          <w:p w14:paraId="2738EFB2" w14:textId="4116A437" w:rsidR="001A1A22" w:rsidRPr="00F51636" w:rsidRDefault="001A1A22" w:rsidP="00F51636">
            <w:pPr>
              <w:pStyle w:val="TableNText"/>
              <w:spacing w:before="0" w:after="0" w:line="240" w:lineRule="auto"/>
              <w:rPr>
                <w:sz w:val="16"/>
                <w:szCs w:val="16"/>
                <w:lang w:eastAsia="en-AU"/>
              </w:rPr>
            </w:pPr>
            <w:r w:rsidRPr="00F51636">
              <w:rPr>
                <w:sz w:val="16"/>
                <w:szCs w:val="16"/>
                <w:lang w:eastAsia="en-AU"/>
              </w:rPr>
              <w:t>OAM, Palliative Care Nurse Practitioner</w:t>
            </w:r>
          </w:p>
        </w:tc>
        <w:tc>
          <w:tcPr>
            <w:tcW w:w="4053" w:type="dxa"/>
          </w:tcPr>
          <w:p w14:paraId="4E504772" w14:textId="7425F87E" w:rsidR="001A1A22" w:rsidRPr="00F51636" w:rsidRDefault="005B5AFC" w:rsidP="00F51636">
            <w:pPr>
              <w:pStyle w:val="TableNText"/>
              <w:spacing w:before="0" w:after="0" w:line="240" w:lineRule="auto"/>
              <w:rPr>
                <w:sz w:val="16"/>
                <w:szCs w:val="16"/>
                <w:lang w:eastAsia="en-AU"/>
              </w:rPr>
            </w:pPr>
            <w:r>
              <w:rPr>
                <w:sz w:val="16"/>
                <w:szCs w:val="16"/>
                <w:lang w:eastAsia="en-AU"/>
              </w:rPr>
              <w:t xml:space="preserve">Clare Holland House Hospice, </w:t>
            </w:r>
            <w:r w:rsidR="001A1A22" w:rsidRPr="00F51636">
              <w:rPr>
                <w:sz w:val="16"/>
                <w:szCs w:val="16"/>
                <w:lang w:eastAsia="en-AU"/>
              </w:rPr>
              <w:t xml:space="preserve">Calvary </w:t>
            </w:r>
            <w:r w:rsidR="00C9310E">
              <w:rPr>
                <w:sz w:val="16"/>
                <w:szCs w:val="16"/>
                <w:lang w:eastAsia="en-AU"/>
              </w:rPr>
              <w:t xml:space="preserve">Public </w:t>
            </w:r>
            <w:r w:rsidR="001A1A22" w:rsidRPr="00F51636">
              <w:rPr>
                <w:sz w:val="16"/>
                <w:szCs w:val="16"/>
                <w:lang w:eastAsia="en-AU"/>
              </w:rPr>
              <w:t>H</w:t>
            </w:r>
            <w:r w:rsidR="00810E4F">
              <w:rPr>
                <w:sz w:val="16"/>
                <w:szCs w:val="16"/>
                <w:lang w:eastAsia="en-AU"/>
              </w:rPr>
              <w:t xml:space="preserve">ospital </w:t>
            </w:r>
            <w:r w:rsidR="00C9310E">
              <w:rPr>
                <w:sz w:val="16"/>
                <w:szCs w:val="16"/>
                <w:lang w:eastAsia="en-AU"/>
              </w:rPr>
              <w:t>Bruce</w:t>
            </w:r>
          </w:p>
        </w:tc>
      </w:tr>
      <w:tr w:rsidR="00A4729A" w:rsidRPr="00A75948" w14:paraId="4DE290FA" w14:textId="77777777" w:rsidTr="00B25FA6">
        <w:trPr>
          <w:cnfStyle w:val="000000010000" w:firstRow="0" w:lastRow="0" w:firstColumn="0" w:lastColumn="0" w:oddVBand="0" w:evenVBand="0" w:oddHBand="0" w:evenHBand="1" w:firstRowFirstColumn="0" w:firstRowLastColumn="0" w:lastRowFirstColumn="0" w:lastRowLastColumn="0"/>
        </w:trPr>
        <w:tc>
          <w:tcPr>
            <w:tcW w:w="2353" w:type="dxa"/>
          </w:tcPr>
          <w:p w14:paraId="20F46083" w14:textId="4F29F12D" w:rsidR="00A4729A" w:rsidRPr="00F51636" w:rsidRDefault="00A4729A" w:rsidP="00F51636">
            <w:pPr>
              <w:pStyle w:val="TableNText"/>
              <w:spacing w:before="0" w:after="0" w:line="240" w:lineRule="auto"/>
              <w:rPr>
                <w:sz w:val="16"/>
                <w:szCs w:val="16"/>
                <w:lang w:eastAsia="en-AU"/>
              </w:rPr>
            </w:pPr>
            <w:r w:rsidRPr="00F51636">
              <w:rPr>
                <w:sz w:val="16"/>
                <w:szCs w:val="16"/>
                <w:lang w:eastAsia="en-AU"/>
              </w:rPr>
              <w:t xml:space="preserve">Peter </w:t>
            </w:r>
            <w:proofErr w:type="spellStart"/>
            <w:r w:rsidRPr="00F51636">
              <w:rPr>
                <w:sz w:val="16"/>
                <w:szCs w:val="16"/>
                <w:lang w:eastAsia="en-AU"/>
              </w:rPr>
              <w:t>Matwijw</w:t>
            </w:r>
            <w:proofErr w:type="spellEnd"/>
          </w:p>
        </w:tc>
        <w:tc>
          <w:tcPr>
            <w:tcW w:w="2694" w:type="dxa"/>
          </w:tcPr>
          <w:p w14:paraId="5A274240" w14:textId="17161801" w:rsidR="00A4729A" w:rsidRPr="00F51636" w:rsidRDefault="00A4729A" w:rsidP="00F51636">
            <w:pPr>
              <w:pStyle w:val="TableNText"/>
              <w:spacing w:before="0" w:after="0" w:line="240" w:lineRule="auto"/>
              <w:rPr>
                <w:sz w:val="16"/>
                <w:szCs w:val="16"/>
                <w:lang w:eastAsia="en-AU"/>
              </w:rPr>
            </w:pPr>
            <w:r w:rsidRPr="00F51636">
              <w:rPr>
                <w:sz w:val="16"/>
                <w:szCs w:val="16"/>
                <w:lang w:eastAsia="en-AU"/>
              </w:rPr>
              <w:t>Manager</w:t>
            </w:r>
          </w:p>
        </w:tc>
        <w:tc>
          <w:tcPr>
            <w:tcW w:w="4053" w:type="dxa"/>
          </w:tcPr>
          <w:p w14:paraId="2F258816" w14:textId="28D4DB67" w:rsidR="00A4729A" w:rsidRPr="00F51636" w:rsidRDefault="00A4729A" w:rsidP="00F51636">
            <w:pPr>
              <w:pStyle w:val="TableNText"/>
              <w:spacing w:before="0" w:after="0" w:line="240" w:lineRule="auto"/>
              <w:rPr>
                <w:sz w:val="16"/>
                <w:szCs w:val="16"/>
                <w:lang w:eastAsia="en-AU"/>
              </w:rPr>
            </w:pPr>
            <w:r w:rsidRPr="00F51636">
              <w:rPr>
                <w:sz w:val="16"/>
                <w:szCs w:val="16"/>
                <w:lang w:eastAsia="en-AU"/>
              </w:rPr>
              <w:t xml:space="preserve">Health Policy Unit, Health Policy </w:t>
            </w:r>
            <w:r w:rsidR="00933531" w:rsidRPr="00F51636">
              <w:rPr>
                <w:sz w:val="16"/>
                <w:szCs w:val="16"/>
                <w:lang w:eastAsia="en-AU"/>
              </w:rPr>
              <w:t>and</w:t>
            </w:r>
            <w:r w:rsidRPr="00F51636">
              <w:rPr>
                <w:sz w:val="16"/>
                <w:szCs w:val="16"/>
                <w:lang w:eastAsia="en-AU"/>
              </w:rPr>
              <w:t xml:space="preserve"> Strategy, </w:t>
            </w:r>
            <w:r w:rsidR="00C43DDA" w:rsidRPr="00C43DDA">
              <w:rPr>
                <w:sz w:val="16"/>
                <w:szCs w:val="16"/>
                <w:lang w:eastAsia="en-AU"/>
              </w:rPr>
              <w:t>ACT Health Directorate</w:t>
            </w:r>
          </w:p>
        </w:tc>
      </w:tr>
      <w:tr w:rsidR="00A31391" w:rsidRPr="00A75948" w14:paraId="5D59A40C" w14:textId="77777777" w:rsidTr="008F75CA">
        <w:trPr>
          <w:cnfStyle w:val="000000100000" w:firstRow="0" w:lastRow="0" w:firstColumn="0" w:lastColumn="0" w:oddVBand="0" w:evenVBand="0" w:oddHBand="1" w:evenHBand="0" w:firstRowFirstColumn="0" w:firstRowLastColumn="0" w:lastRowFirstColumn="0" w:lastRowLastColumn="0"/>
        </w:trPr>
        <w:tc>
          <w:tcPr>
            <w:tcW w:w="2353" w:type="dxa"/>
            <w:shd w:val="clear" w:color="auto" w:fill="00264D" w:themeFill="background2"/>
          </w:tcPr>
          <w:p w14:paraId="0519D80D" w14:textId="7DBF0E65" w:rsidR="00A31391" w:rsidRPr="00F51636" w:rsidRDefault="00A31391" w:rsidP="00F51636">
            <w:pPr>
              <w:pStyle w:val="TableNheader"/>
              <w:spacing w:before="0" w:after="0"/>
              <w:rPr>
                <w:color w:val="FFFFFF" w:themeColor="background1"/>
                <w:sz w:val="16"/>
                <w:szCs w:val="16"/>
                <w:lang w:eastAsia="en-AU"/>
              </w:rPr>
            </w:pPr>
            <w:r w:rsidRPr="00F51636">
              <w:rPr>
                <w:color w:val="FFFFFF" w:themeColor="background1"/>
                <w:sz w:val="16"/>
                <w:szCs w:val="16"/>
                <w:lang w:eastAsia="en-AU"/>
              </w:rPr>
              <w:t>NSW</w:t>
            </w:r>
            <w:r w:rsidR="00C94918" w:rsidRPr="00F51636">
              <w:rPr>
                <w:color w:val="FFFFFF" w:themeColor="background1"/>
                <w:sz w:val="16"/>
                <w:szCs w:val="16"/>
                <w:lang w:eastAsia="en-AU"/>
              </w:rPr>
              <w:t xml:space="preserve"> </w:t>
            </w:r>
            <w:r w:rsidR="00BE21EC" w:rsidRPr="00F51636">
              <w:rPr>
                <w:color w:val="FFFFFF" w:themeColor="background1"/>
                <w:sz w:val="16"/>
                <w:szCs w:val="16"/>
                <w:lang w:eastAsia="en-AU"/>
              </w:rPr>
              <w:t>Department of Health</w:t>
            </w:r>
          </w:p>
        </w:tc>
        <w:tc>
          <w:tcPr>
            <w:tcW w:w="2694" w:type="dxa"/>
            <w:shd w:val="clear" w:color="auto" w:fill="00264D" w:themeFill="background2"/>
          </w:tcPr>
          <w:p w14:paraId="4B822D2F" w14:textId="77777777" w:rsidR="00A31391" w:rsidRPr="00F51636" w:rsidRDefault="00A31391" w:rsidP="00F51636">
            <w:pPr>
              <w:spacing w:after="0" w:line="240" w:lineRule="auto"/>
              <w:rPr>
                <w:sz w:val="16"/>
                <w:szCs w:val="16"/>
                <w:lang w:eastAsia="en-AU"/>
              </w:rPr>
            </w:pPr>
          </w:p>
        </w:tc>
        <w:tc>
          <w:tcPr>
            <w:tcW w:w="4053" w:type="dxa"/>
            <w:shd w:val="clear" w:color="auto" w:fill="00264D" w:themeFill="background2"/>
          </w:tcPr>
          <w:p w14:paraId="5C0C4255" w14:textId="77777777" w:rsidR="00A31391" w:rsidRPr="00F51636" w:rsidRDefault="00A31391" w:rsidP="00F51636">
            <w:pPr>
              <w:spacing w:after="0" w:line="240" w:lineRule="auto"/>
              <w:rPr>
                <w:sz w:val="16"/>
                <w:szCs w:val="16"/>
                <w:lang w:eastAsia="en-AU"/>
              </w:rPr>
            </w:pPr>
          </w:p>
        </w:tc>
      </w:tr>
      <w:tr w:rsidR="00A81284" w:rsidRPr="00A75948" w14:paraId="40C68A45" w14:textId="77777777" w:rsidTr="00A31391">
        <w:trPr>
          <w:cnfStyle w:val="000000010000" w:firstRow="0" w:lastRow="0" w:firstColumn="0" w:lastColumn="0" w:oddVBand="0" w:evenVBand="0" w:oddHBand="0" w:evenHBand="1" w:firstRowFirstColumn="0" w:firstRowLastColumn="0" w:lastRowFirstColumn="0" w:lastRowLastColumn="0"/>
        </w:trPr>
        <w:tc>
          <w:tcPr>
            <w:tcW w:w="2353" w:type="dxa"/>
            <w:shd w:val="clear" w:color="auto" w:fill="FFFFFF" w:themeFill="background1"/>
          </w:tcPr>
          <w:p w14:paraId="52F75326" w14:textId="2EDB2810" w:rsidR="00A81284" w:rsidRPr="00F51636" w:rsidRDefault="00A81284" w:rsidP="00F51636">
            <w:pPr>
              <w:pStyle w:val="TableNText"/>
              <w:spacing w:before="0" w:after="0" w:line="240" w:lineRule="auto"/>
              <w:rPr>
                <w:color w:val="000000" w:themeColor="text1"/>
                <w:sz w:val="16"/>
                <w:szCs w:val="16"/>
                <w:lang w:eastAsia="en-AU"/>
              </w:rPr>
            </w:pPr>
            <w:r w:rsidRPr="00F51636">
              <w:rPr>
                <w:sz w:val="16"/>
                <w:szCs w:val="16"/>
                <w:lang w:eastAsia="en-AU"/>
              </w:rPr>
              <w:t>Gemma Rafferty</w:t>
            </w:r>
          </w:p>
        </w:tc>
        <w:tc>
          <w:tcPr>
            <w:tcW w:w="2694" w:type="dxa"/>
            <w:shd w:val="clear" w:color="auto" w:fill="FFFFFF" w:themeFill="background1"/>
          </w:tcPr>
          <w:p w14:paraId="753DBD21" w14:textId="289CCBB3" w:rsidR="00A81284" w:rsidRPr="00F51636" w:rsidRDefault="00A81284" w:rsidP="00F51636">
            <w:pPr>
              <w:pStyle w:val="TableNText"/>
              <w:spacing w:before="0" w:after="0" w:line="240" w:lineRule="auto"/>
              <w:rPr>
                <w:color w:val="000000" w:themeColor="text1"/>
                <w:sz w:val="16"/>
                <w:szCs w:val="16"/>
                <w:lang w:eastAsia="en-AU"/>
              </w:rPr>
            </w:pPr>
            <w:r w:rsidRPr="00F51636">
              <w:rPr>
                <w:sz w:val="16"/>
                <w:szCs w:val="16"/>
                <w:lang w:eastAsia="en-AU"/>
              </w:rPr>
              <w:t>Principal Policy Officer</w:t>
            </w:r>
          </w:p>
        </w:tc>
        <w:tc>
          <w:tcPr>
            <w:tcW w:w="4053" w:type="dxa"/>
            <w:shd w:val="clear" w:color="auto" w:fill="FFFFFF" w:themeFill="background1"/>
          </w:tcPr>
          <w:p w14:paraId="5C8DA382" w14:textId="3FF20E49" w:rsidR="00A81284" w:rsidRPr="00F51636" w:rsidRDefault="00A81284" w:rsidP="00F51636">
            <w:pPr>
              <w:pStyle w:val="TableNText"/>
              <w:spacing w:before="0" w:after="0" w:line="240" w:lineRule="auto"/>
              <w:rPr>
                <w:color w:val="000000" w:themeColor="text1"/>
                <w:sz w:val="16"/>
                <w:szCs w:val="16"/>
                <w:lang w:eastAsia="en-AU"/>
              </w:rPr>
            </w:pPr>
            <w:r w:rsidRPr="00F51636">
              <w:rPr>
                <w:sz w:val="16"/>
                <w:szCs w:val="16"/>
                <w:lang w:eastAsia="en-AU"/>
              </w:rPr>
              <w:t xml:space="preserve">Palliative Care, Primary </w:t>
            </w:r>
            <w:r w:rsidR="00933531" w:rsidRPr="00F51636">
              <w:rPr>
                <w:sz w:val="16"/>
                <w:szCs w:val="16"/>
                <w:lang w:eastAsia="en-AU"/>
              </w:rPr>
              <w:t>and</w:t>
            </w:r>
            <w:r w:rsidRPr="00F51636">
              <w:rPr>
                <w:sz w:val="16"/>
                <w:szCs w:val="16"/>
                <w:lang w:eastAsia="en-AU"/>
              </w:rPr>
              <w:t xml:space="preserve"> Community Care </w:t>
            </w:r>
            <w:r w:rsidR="00933531" w:rsidRPr="00F51636">
              <w:rPr>
                <w:sz w:val="16"/>
                <w:szCs w:val="16"/>
                <w:lang w:eastAsia="en-AU"/>
              </w:rPr>
              <w:t>and</w:t>
            </w:r>
            <w:r w:rsidRPr="00F51636">
              <w:rPr>
                <w:sz w:val="16"/>
                <w:szCs w:val="16"/>
                <w:lang w:eastAsia="en-AU"/>
              </w:rPr>
              <w:t xml:space="preserve"> Priority Programs, Health and Social Policy Branch, NSW Health</w:t>
            </w:r>
          </w:p>
        </w:tc>
      </w:tr>
      <w:tr w:rsidR="00A81284" w:rsidRPr="00A75948" w14:paraId="68534EB8" w14:textId="77777777" w:rsidTr="00A31391">
        <w:trPr>
          <w:cnfStyle w:val="000000100000" w:firstRow="0" w:lastRow="0" w:firstColumn="0" w:lastColumn="0" w:oddVBand="0" w:evenVBand="0" w:oddHBand="1" w:evenHBand="0" w:firstRowFirstColumn="0" w:firstRowLastColumn="0" w:lastRowFirstColumn="0" w:lastRowLastColumn="0"/>
        </w:trPr>
        <w:tc>
          <w:tcPr>
            <w:tcW w:w="2353" w:type="dxa"/>
            <w:shd w:val="clear" w:color="auto" w:fill="FFFFFF" w:themeFill="background1"/>
          </w:tcPr>
          <w:p w14:paraId="1BB33CF4" w14:textId="27EB3127" w:rsidR="00A81284" w:rsidRPr="00F51636" w:rsidRDefault="00A81284" w:rsidP="00F51636">
            <w:pPr>
              <w:pStyle w:val="TableNText"/>
              <w:spacing w:before="0" w:after="0" w:line="240" w:lineRule="auto"/>
              <w:rPr>
                <w:color w:val="000000" w:themeColor="text1"/>
                <w:sz w:val="16"/>
                <w:szCs w:val="16"/>
                <w:lang w:eastAsia="en-AU"/>
              </w:rPr>
            </w:pPr>
            <w:r w:rsidRPr="00F51636">
              <w:rPr>
                <w:sz w:val="16"/>
                <w:szCs w:val="16"/>
                <w:lang w:eastAsia="en-AU"/>
              </w:rPr>
              <w:t>Isabella Dillon Savage</w:t>
            </w:r>
          </w:p>
        </w:tc>
        <w:tc>
          <w:tcPr>
            <w:tcW w:w="2694" w:type="dxa"/>
            <w:shd w:val="clear" w:color="auto" w:fill="FFFFFF" w:themeFill="background1"/>
          </w:tcPr>
          <w:p w14:paraId="463625D8" w14:textId="7B2CDA48" w:rsidR="00A81284" w:rsidRPr="00F51636" w:rsidRDefault="00401847" w:rsidP="00F51636">
            <w:pPr>
              <w:pStyle w:val="TableNText"/>
              <w:spacing w:before="0" w:after="0" w:line="240" w:lineRule="auto"/>
              <w:rPr>
                <w:color w:val="000000" w:themeColor="text1"/>
                <w:sz w:val="16"/>
                <w:szCs w:val="16"/>
                <w:lang w:eastAsia="en-AU"/>
              </w:rPr>
            </w:pPr>
            <w:r w:rsidRPr="00F51636">
              <w:rPr>
                <w:color w:val="000000" w:themeColor="text1"/>
                <w:sz w:val="16"/>
                <w:szCs w:val="16"/>
                <w:lang w:eastAsia="en-AU"/>
              </w:rPr>
              <w:t xml:space="preserve">Policy Officer </w:t>
            </w:r>
          </w:p>
        </w:tc>
        <w:tc>
          <w:tcPr>
            <w:tcW w:w="4053" w:type="dxa"/>
            <w:shd w:val="clear" w:color="auto" w:fill="FFFFFF" w:themeFill="background1"/>
          </w:tcPr>
          <w:p w14:paraId="2656BB11" w14:textId="09134550" w:rsidR="00A81284" w:rsidRPr="00F51636" w:rsidRDefault="00A81284" w:rsidP="00F51636">
            <w:pPr>
              <w:pStyle w:val="TableNText"/>
              <w:spacing w:before="0" w:after="0" w:line="240" w:lineRule="auto"/>
              <w:rPr>
                <w:color w:val="000000" w:themeColor="text1"/>
                <w:sz w:val="16"/>
                <w:szCs w:val="16"/>
                <w:lang w:eastAsia="en-AU"/>
              </w:rPr>
            </w:pPr>
            <w:r w:rsidRPr="00F51636">
              <w:rPr>
                <w:sz w:val="16"/>
                <w:szCs w:val="16"/>
                <w:lang w:eastAsia="en-AU"/>
              </w:rPr>
              <w:t xml:space="preserve">Health Policy Unit, Health Policy </w:t>
            </w:r>
            <w:r w:rsidR="00933531" w:rsidRPr="00F51636">
              <w:rPr>
                <w:sz w:val="16"/>
                <w:szCs w:val="16"/>
                <w:lang w:eastAsia="en-AU"/>
              </w:rPr>
              <w:t>and</w:t>
            </w:r>
            <w:r w:rsidRPr="00F51636">
              <w:rPr>
                <w:sz w:val="16"/>
                <w:szCs w:val="16"/>
                <w:lang w:eastAsia="en-AU"/>
              </w:rPr>
              <w:t xml:space="preserve"> Strategy, NSW Health</w:t>
            </w:r>
          </w:p>
        </w:tc>
      </w:tr>
      <w:tr w:rsidR="00A81284" w:rsidRPr="00A75948" w14:paraId="7E777218" w14:textId="77777777" w:rsidTr="00E64A83">
        <w:trPr>
          <w:cnfStyle w:val="000000010000" w:firstRow="0" w:lastRow="0" w:firstColumn="0" w:lastColumn="0" w:oddVBand="0" w:evenVBand="0" w:oddHBand="0" w:evenHBand="1" w:firstRowFirstColumn="0" w:firstRowLastColumn="0" w:lastRowFirstColumn="0" w:lastRowLastColumn="0"/>
        </w:trPr>
        <w:tc>
          <w:tcPr>
            <w:tcW w:w="2353" w:type="dxa"/>
            <w:shd w:val="clear" w:color="auto" w:fill="00264D" w:themeFill="background2"/>
          </w:tcPr>
          <w:p w14:paraId="1FF4D8A0" w14:textId="5DE5CD1D" w:rsidR="00A81284" w:rsidRPr="00F51636" w:rsidRDefault="00E64A83" w:rsidP="00F51636">
            <w:pPr>
              <w:pStyle w:val="TableNheader"/>
              <w:spacing w:before="0" w:after="0"/>
              <w:rPr>
                <w:color w:val="FFFFFF" w:themeColor="background1"/>
                <w:sz w:val="16"/>
                <w:szCs w:val="16"/>
                <w:lang w:eastAsia="en-AU"/>
              </w:rPr>
            </w:pPr>
            <w:r w:rsidRPr="00F51636">
              <w:rPr>
                <w:color w:val="FFFFFF" w:themeColor="background1"/>
                <w:sz w:val="16"/>
                <w:szCs w:val="16"/>
                <w:lang w:eastAsia="en-AU"/>
              </w:rPr>
              <w:t>NT</w:t>
            </w:r>
            <w:r w:rsidR="00CD164C" w:rsidRPr="00F51636">
              <w:rPr>
                <w:color w:val="FFFFFF" w:themeColor="background1"/>
                <w:sz w:val="16"/>
                <w:szCs w:val="16"/>
                <w:lang w:eastAsia="en-AU"/>
              </w:rPr>
              <w:t xml:space="preserve"> Department of Health</w:t>
            </w:r>
          </w:p>
        </w:tc>
        <w:tc>
          <w:tcPr>
            <w:tcW w:w="2694" w:type="dxa"/>
            <w:shd w:val="clear" w:color="auto" w:fill="00264D" w:themeFill="background2"/>
          </w:tcPr>
          <w:p w14:paraId="0F273C02" w14:textId="77777777" w:rsidR="00A81284" w:rsidRPr="00F51636" w:rsidRDefault="00A81284" w:rsidP="00F51636">
            <w:pPr>
              <w:spacing w:after="0" w:line="240" w:lineRule="auto"/>
              <w:rPr>
                <w:color w:val="000000" w:themeColor="text1"/>
                <w:sz w:val="16"/>
                <w:szCs w:val="16"/>
                <w:lang w:eastAsia="en-AU"/>
              </w:rPr>
            </w:pPr>
          </w:p>
        </w:tc>
        <w:tc>
          <w:tcPr>
            <w:tcW w:w="4053" w:type="dxa"/>
            <w:shd w:val="clear" w:color="auto" w:fill="00264D" w:themeFill="background2"/>
          </w:tcPr>
          <w:p w14:paraId="6F35CFF2" w14:textId="77777777" w:rsidR="00A81284" w:rsidRPr="00F51636" w:rsidRDefault="00A81284" w:rsidP="00F51636">
            <w:pPr>
              <w:spacing w:after="0" w:line="240" w:lineRule="auto"/>
              <w:rPr>
                <w:color w:val="000000" w:themeColor="text1"/>
                <w:sz w:val="16"/>
                <w:szCs w:val="16"/>
                <w:lang w:eastAsia="en-AU"/>
              </w:rPr>
            </w:pPr>
          </w:p>
        </w:tc>
      </w:tr>
      <w:tr w:rsidR="00C943C4" w:rsidRPr="00A75948" w14:paraId="1B56B3A4" w14:textId="77777777" w:rsidTr="00A31391">
        <w:trPr>
          <w:cnfStyle w:val="000000100000" w:firstRow="0" w:lastRow="0" w:firstColumn="0" w:lastColumn="0" w:oddVBand="0" w:evenVBand="0" w:oddHBand="1" w:evenHBand="0" w:firstRowFirstColumn="0" w:firstRowLastColumn="0" w:lastRowFirstColumn="0" w:lastRowLastColumn="0"/>
        </w:trPr>
        <w:tc>
          <w:tcPr>
            <w:tcW w:w="2353" w:type="dxa"/>
            <w:shd w:val="clear" w:color="auto" w:fill="FFFFFF" w:themeFill="background1"/>
          </w:tcPr>
          <w:p w14:paraId="4323E1D1" w14:textId="24373624" w:rsidR="00C943C4" w:rsidRPr="00F51636" w:rsidRDefault="009602BE" w:rsidP="00F51636">
            <w:pPr>
              <w:pStyle w:val="TableNText"/>
              <w:spacing w:before="0" w:after="0" w:line="240" w:lineRule="auto"/>
              <w:rPr>
                <w:sz w:val="16"/>
                <w:szCs w:val="16"/>
                <w:lang w:eastAsia="en-AU"/>
              </w:rPr>
            </w:pPr>
            <w:r w:rsidRPr="00F51636">
              <w:rPr>
                <w:sz w:val="16"/>
                <w:szCs w:val="16"/>
                <w:lang w:eastAsia="en-AU"/>
              </w:rPr>
              <w:t>Amy Jean Burrows</w:t>
            </w:r>
          </w:p>
        </w:tc>
        <w:tc>
          <w:tcPr>
            <w:tcW w:w="2694" w:type="dxa"/>
            <w:shd w:val="clear" w:color="auto" w:fill="FFFFFF" w:themeFill="background1"/>
          </w:tcPr>
          <w:p w14:paraId="529AE82A" w14:textId="73D0B902" w:rsidR="00C943C4" w:rsidRPr="00F51636" w:rsidRDefault="009602BE" w:rsidP="00F51636">
            <w:pPr>
              <w:pStyle w:val="TableNText"/>
              <w:spacing w:before="0" w:after="0" w:line="240" w:lineRule="auto"/>
              <w:rPr>
                <w:sz w:val="16"/>
                <w:szCs w:val="16"/>
                <w:lang w:eastAsia="en-AU"/>
              </w:rPr>
            </w:pPr>
            <w:r w:rsidRPr="00F51636">
              <w:rPr>
                <w:sz w:val="16"/>
                <w:szCs w:val="16"/>
                <w:lang w:eastAsia="en-AU"/>
              </w:rPr>
              <w:t xml:space="preserve">Clinical Nurse Manager </w:t>
            </w:r>
          </w:p>
        </w:tc>
        <w:tc>
          <w:tcPr>
            <w:tcW w:w="4053" w:type="dxa"/>
            <w:shd w:val="clear" w:color="auto" w:fill="FFFFFF" w:themeFill="background1"/>
          </w:tcPr>
          <w:p w14:paraId="1BC979E9" w14:textId="68C5760E" w:rsidR="00C943C4" w:rsidRPr="00F51636" w:rsidRDefault="009602BE" w:rsidP="00F51636">
            <w:pPr>
              <w:pStyle w:val="TableNText"/>
              <w:spacing w:before="0" w:after="0" w:line="240" w:lineRule="auto"/>
              <w:rPr>
                <w:sz w:val="16"/>
                <w:szCs w:val="16"/>
                <w:lang w:eastAsia="en-AU"/>
              </w:rPr>
            </w:pPr>
            <w:r w:rsidRPr="00F51636">
              <w:rPr>
                <w:sz w:val="16"/>
                <w:szCs w:val="16"/>
                <w:lang w:eastAsia="en-AU"/>
              </w:rPr>
              <w:t>NT Health</w:t>
            </w:r>
            <w:r w:rsidR="001F2B65" w:rsidRPr="00F51636">
              <w:rPr>
                <w:sz w:val="16"/>
                <w:szCs w:val="16"/>
                <w:lang w:eastAsia="en-AU"/>
              </w:rPr>
              <w:t xml:space="preserve">, Top End </w:t>
            </w:r>
          </w:p>
        </w:tc>
      </w:tr>
      <w:tr w:rsidR="00E429E6" w:rsidRPr="00A75948" w14:paraId="3635136A" w14:textId="77777777" w:rsidTr="00A31391">
        <w:trPr>
          <w:cnfStyle w:val="000000010000" w:firstRow="0" w:lastRow="0" w:firstColumn="0" w:lastColumn="0" w:oddVBand="0" w:evenVBand="0" w:oddHBand="0" w:evenHBand="1" w:firstRowFirstColumn="0" w:firstRowLastColumn="0" w:lastRowFirstColumn="0" w:lastRowLastColumn="0"/>
        </w:trPr>
        <w:tc>
          <w:tcPr>
            <w:tcW w:w="2353" w:type="dxa"/>
            <w:shd w:val="clear" w:color="auto" w:fill="FFFFFF" w:themeFill="background1"/>
          </w:tcPr>
          <w:p w14:paraId="1EE93DC0" w14:textId="5762B5B0" w:rsidR="00E429E6" w:rsidRPr="00F51636" w:rsidRDefault="00E429E6" w:rsidP="00F51636">
            <w:pPr>
              <w:pStyle w:val="TableNText"/>
              <w:spacing w:before="0" w:after="0" w:line="240" w:lineRule="auto"/>
              <w:rPr>
                <w:sz w:val="16"/>
                <w:szCs w:val="16"/>
                <w:lang w:eastAsia="en-AU"/>
              </w:rPr>
            </w:pPr>
            <w:r w:rsidRPr="00F51636">
              <w:rPr>
                <w:sz w:val="16"/>
                <w:szCs w:val="16"/>
                <w:lang w:eastAsia="en-AU"/>
              </w:rPr>
              <w:t>Anthony Burton</w:t>
            </w:r>
          </w:p>
        </w:tc>
        <w:tc>
          <w:tcPr>
            <w:tcW w:w="2694" w:type="dxa"/>
            <w:shd w:val="clear" w:color="auto" w:fill="FFFFFF" w:themeFill="background1"/>
          </w:tcPr>
          <w:p w14:paraId="74F2A871" w14:textId="00E0FC47" w:rsidR="00E429E6" w:rsidRPr="00F51636" w:rsidRDefault="00E429E6" w:rsidP="00F51636">
            <w:pPr>
              <w:pStyle w:val="TableNText"/>
              <w:spacing w:before="0" w:after="0" w:line="240" w:lineRule="auto"/>
              <w:rPr>
                <w:sz w:val="16"/>
                <w:szCs w:val="16"/>
                <w:lang w:eastAsia="en-AU"/>
              </w:rPr>
            </w:pPr>
            <w:r w:rsidRPr="00F51636">
              <w:rPr>
                <w:sz w:val="16"/>
                <w:szCs w:val="16"/>
                <w:lang w:eastAsia="en-AU"/>
              </w:rPr>
              <w:t>Principal Policy Advisor</w:t>
            </w:r>
          </w:p>
        </w:tc>
        <w:tc>
          <w:tcPr>
            <w:tcW w:w="4053" w:type="dxa"/>
            <w:shd w:val="clear" w:color="auto" w:fill="FFFFFF" w:themeFill="background1"/>
          </w:tcPr>
          <w:p w14:paraId="1C34F203" w14:textId="761DA1A8" w:rsidR="00E429E6" w:rsidRPr="00F51636" w:rsidRDefault="00E429E6" w:rsidP="00F51636">
            <w:pPr>
              <w:pStyle w:val="TableNText"/>
              <w:spacing w:before="0" w:after="0" w:line="240" w:lineRule="auto"/>
              <w:rPr>
                <w:sz w:val="16"/>
                <w:szCs w:val="16"/>
                <w:lang w:eastAsia="en-AU"/>
              </w:rPr>
            </w:pPr>
            <w:r w:rsidRPr="00F51636">
              <w:rPr>
                <w:sz w:val="16"/>
                <w:szCs w:val="16"/>
                <w:lang w:eastAsia="en-AU"/>
              </w:rPr>
              <w:t>Strategy, Policy and Planning Branch, NT Health</w:t>
            </w:r>
            <w:r w:rsidR="00BE46C5" w:rsidRPr="00F51636">
              <w:rPr>
                <w:sz w:val="16"/>
                <w:szCs w:val="16"/>
                <w:lang w:eastAsia="en-AU"/>
              </w:rPr>
              <w:t>, Central</w:t>
            </w:r>
          </w:p>
        </w:tc>
      </w:tr>
      <w:tr w:rsidR="00E429E6" w:rsidRPr="00A75948" w14:paraId="5F410226" w14:textId="77777777" w:rsidTr="00A31391">
        <w:trPr>
          <w:cnfStyle w:val="000000100000" w:firstRow="0" w:lastRow="0" w:firstColumn="0" w:lastColumn="0" w:oddVBand="0" w:evenVBand="0" w:oddHBand="1" w:evenHBand="0" w:firstRowFirstColumn="0" w:firstRowLastColumn="0" w:lastRowFirstColumn="0" w:lastRowLastColumn="0"/>
        </w:trPr>
        <w:tc>
          <w:tcPr>
            <w:tcW w:w="2353" w:type="dxa"/>
            <w:shd w:val="clear" w:color="auto" w:fill="FFFFFF" w:themeFill="background1"/>
          </w:tcPr>
          <w:p w14:paraId="683665CE" w14:textId="4B6BD05D" w:rsidR="00E429E6" w:rsidRPr="00F51636" w:rsidRDefault="00E429E6" w:rsidP="00F51636">
            <w:pPr>
              <w:pStyle w:val="TableNText"/>
              <w:spacing w:before="0" w:after="0" w:line="240" w:lineRule="auto"/>
              <w:rPr>
                <w:sz w:val="16"/>
                <w:szCs w:val="16"/>
                <w:lang w:eastAsia="en-AU"/>
              </w:rPr>
            </w:pPr>
            <w:r w:rsidRPr="00F51636">
              <w:rPr>
                <w:sz w:val="16"/>
                <w:szCs w:val="16"/>
                <w:lang w:eastAsia="en-AU"/>
              </w:rPr>
              <w:t>Christine Sanderson</w:t>
            </w:r>
          </w:p>
        </w:tc>
        <w:tc>
          <w:tcPr>
            <w:tcW w:w="2694" w:type="dxa"/>
            <w:shd w:val="clear" w:color="auto" w:fill="FFFFFF" w:themeFill="background1"/>
          </w:tcPr>
          <w:p w14:paraId="09EC77C4" w14:textId="02255150" w:rsidR="00E429E6" w:rsidRPr="00F51636" w:rsidRDefault="00E429E6" w:rsidP="00F51636">
            <w:pPr>
              <w:pStyle w:val="TableNText"/>
              <w:spacing w:before="0" w:after="0" w:line="240" w:lineRule="auto"/>
              <w:rPr>
                <w:sz w:val="16"/>
                <w:szCs w:val="16"/>
                <w:lang w:eastAsia="en-AU"/>
              </w:rPr>
            </w:pPr>
            <w:r w:rsidRPr="00F51636">
              <w:rPr>
                <w:sz w:val="16"/>
                <w:szCs w:val="16"/>
                <w:lang w:eastAsia="en-AU"/>
              </w:rPr>
              <w:t>Palliative Care Consultant</w:t>
            </w:r>
          </w:p>
        </w:tc>
        <w:tc>
          <w:tcPr>
            <w:tcW w:w="4053" w:type="dxa"/>
            <w:shd w:val="clear" w:color="auto" w:fill="FFFFFF" w:themeFill="background1"/>
          </w:tcPr>
          <w:p w14:paraId="4FBB4B35" w14:textId="6E5BA796" w:rsidR="00E429E6" w:rsidRPr="00F51636" w:rsidRDefault="00E429E6" w:rsidP="00F51636">
            <w:pPr>
              <w:pStyle w:val="TableNText"/>
              <w:spacing w:before="0" w:after="0" w:line="240" w:lineRule="auto"/>
              <w:rPr>
                <w:sz w:val="16"/>
                <w:szCs w:val="16"/>
                <w:lang w:eastAsia="en-AU"/>
              </w:rPr>
            </w:pPr>
            <w:r w:rsidRPr="00F51636">
              <w:rPr>
                <w:sz w:val="16"/>
                <w:szCs w:val="16"/>
                <w:lang w:eastAsia="en-AU"/>
              </w:rPr>
              <w:t>NT Health</w:t>
            </w:r>
            <w:r w:rsidR="00BE46C5" w:rsidRPr="00F51636">
              <w:rPr>
                <w:sz w:val="16"/>
                <w:szCs w:val="16"/>
                <w:lang w:eastAsia="en-AU"/>
              </w:rPr>
              <w:t>, Central</w:t>
            </w:r>
          </w:p>
        </w:tc>
      </w:tr>
      <w:tr w:rsidR="00775D31" w:rsidRPr="00A75948" w14:paraId="5FE40754" w14:textId="77777777" w:rsidTr="00A31391">
        <w:trPr>
          <w:cnfStyle w:val="000000010000" w:firstRow="0" w:lastRow="0" w:firstColumn="0" w:lastColumn="0" w:oddVBand="0" w:evenVBand="0" w:oddHBand="0" w:evenHBand="1" w:firstRowFirstColumn="0" w:firstRowLastColumn="0" w:lastRowFirstColumn="0" w:lastRowLastColumn="0"/>
        </w:trPr>
        <w:tc>
          <w:tcPr>
            <w:tcW w:w="2353" w:type="dxa"/>
            <w:shd w:val="clear" w:color="auto" w:fill="FFFFFF" w:themeFill="background1"/>
          </w:tcPr>
          <w:p w14:paraId="5BFC5A19" w14:textId="2C2236F7" w:rsidR="00775D31" w:rsidRPr="00F51636" w:rsidRDefault="00775D31" w:rsidP="00F51636">
            <w:pPr>
              <w:pStyle w:val="TableNText"/>
              <w:spacing w:before="0" w:after="0" w:line="240" w:lineRule="auto"/>
              <w:rPr>
                <w:sz w:val="16"/>
                <w:szCs w:val="16"/>
                <w:lang w:eastAsia="en-AU"/>
              </w:rPr>
            </w:pPr>
            <w:r w:rsidRPr="00F51636">
              <w:rPr>
                <w:sz w:val="16"/>
                <w:szCs w:val="16"/>
                <w:lang w:eastAsia="en-AU"/>
              </w:rPr>
              <w:t>Natalie Anderson</w:t>
            </w:r>
          </w:p>
        </w:tc>
        <w:tc>
          <w:tcPr>
            <w:tcW w:w="2694" w:type="dxa"/>
            <w:shd w:val="clear" w:color="auto" w:fill="FFFFFF" w:themeFill="background1"/>
          </w:tcPr>
          <w:p w14:paraId="7B19594E" w14:textId="37A3695D" w:rsidR="00775D31" w:rsidRPr="00F51636" w:rsidRDefault="00775D31" w:rsidP="00F51636">
            <w:pPr>
              <w:pStyle w:val="TableNText"/>
              <w:spacing w:before="0" w:after="0" w:line="240" w:lineRule="auto"/>
              <w:rPr>
                <w:sz w:val="16"/>
                <w:szCs w:val="16"/>
                <w:lang w:eastAsia="en-AU"/>
              </w:rPr>
            </w:pPr>
            <w:r w:rsidRPr="00F51636">
              <w:rPr>
                <w:sz w:val="16"/>
                <w:szCs w:val="16"/>
                <w:lang w:eastAsia="en-AU"/>
              </w:rPr>
              <w:t>Nurse Management Consultant</w:t>
            </w:r>
          </w:p>
        </w:tc>
        <w:tc>
          <w:tcPr>
            <w:tcW w:w="4053" w:type="dxa"/>
            <w:shd w:val="clear" w:color="auto" w:fill="FFFFFF" w:themeFill="background1"/>
          </w:tcPr>
          <w:p w14:paraId="1683F894" w14:textId="078B03E4" w:rsidR="00775D31" w:rsidRPr="00F51636" w:rsidRDefault="00775D31" w:rsidP="00F51636">
            <w:pPr>
              <w:pStyle w:val="TableNText"/>
              <w:spacing w:before="0" w:after="0" w:line="240" w:lineRule="auto"/>
              <w:rPr>
                <w:sz w:val="16"/>
                <w:szCs w:val="16"/>
                <w:lang w:eastAsia="en-AU"/>
              </w:rPr>
            </w:pPr>
            <w:r w:rsidRPr="00F51636">
              <w:rPr>
                <w:sz w:val="16"/>
                <w:szCs w:val="16"/>
                <w:lang w:eastAsia="en-AU"/>
              </w:rPr>
              <w:t>NT Health</w:t>
            </w:r>
            <w:r w:rsidR="00BE46C5" w:rsidRPr="00F51636">
              <w:rPr>
                <w:sz w:val="16"/>
                <w:szCs w:val="16"/>
                <w:lang w:eastAsia="en-AU"/>
              </w:rPr>
              <w:t>, Central</w:t>
            </w:r>
          </w:p>
        </w:tc>
      </w:tr>
      <w:tr w:rsidR="00397C2F" w:rsidRPr="00A75948" w14:paraId="370FC050" w14:textId="77777777" w:rsidTr="00A31391">
        <w:trPr>
          <w:cnfStyle w:val="000000100000" w:firstRow="0" w:lastRow="0" w:firstColumn="0" w:lastColumn="0" w:oddVBand="0" w:evenVBand="0" w:oddHBand="1" w:evenHBand="0" w:firstRowFirstColumn="0" w:firstRowLastColumn="0" w:lastRowFirstColumn="0" w:lastRowLastColumn="0"/>
        </w:trPr>
        <w:tc>
          <w:tcPr>
            <w:tcW w:w="2353" w:type="dxa"/>
            <w:shd w:val="clear" w:color="auto" w:fill="FFFFFF" w:themeFill="background1"/>
          </w:tcPr>
          <w:p w14:paraId="118C1D7E" w14:textId="687A1071" w:rsidR="00397C2F" w:rsidRPr="00F51636" w:rsidRDefault="00397C2F" w:rsidP="00F51636">
            <w:pPr>
              <w:pStyle w:val="TableNText"/>
              <w:spacing w:before="0" w:after="0" w:line="240" w:lineRule="auto"/>
              <w:rPr>
                <w:sz w:val="16"/>
                <w:szCs w:val="16"/>
                <w:lang w:eastAsia="en-AU"/>
              </w:rPr>
            </w:pPr>
            <w:r w:rsidRPr="00F51636">
              <w:rPr>
                <w:sz w:val="16"/>
                <w:szCs w:val="16"/>
                <w:lang w:eastAsia="en-AU"/>
              </w:rPr>
              <w:t>Philomena Smith</w:t>
            </w:r>
          </w:p>
        </w:tc>
        <w:tc>
          <w:tcPr>
            <w:tcW w:w="2694" w:type="dxa"/>
            <w:shd w:val="clear" w:color="auto" w:fill="FFFFFF" w:themeFill="background1"/>
          </w:tcPr>
          <w:p w14:paraId="4754218C" w14:textId="2DD5C0FA" w:rsidR="00397C2F" w:rsidRPr="00F51636" w:rsidRDefault="00397C2F" w:rsidP="00F51636">
            <w:pPr>
              <w:pStyle w:val="TableNText"/>
              <w:spacing w:before="0" w:after="0" w:line="240" w:lineRule="auto"/>
              <w:rPr>
                <w:sz w:val="16"/>
                <w:szCs w:val="16"/>
                <w:lang w:eastAsia="en-AU"/>
              </w:rPr>
            </w:pPr>
            <w:r w:rsidRPr="00F51636">
              <w:rPr>
                <w:sz w:val="16"/>
                <w:szCs w:val="16"/>
                <w:lang w:eastAsia="en-AU"/>
              </w:rPr>
              <w:t>Policy Officer</w:t>
            </w:r>
          </w:p>
        </w:tc>
        <w:tc>
          <w:tcPr>
            <w:tcW w:w="4053" w:type="dxa"/>
            <w:shd w:val="clear" w:color="auto" w:fill="FFFFFF" w:themeFill="background1"/>
          </w:tcPr>
          <w:p w14:paraId="0197C93C" w14:textId="7C590F4F" w:rsidR="00397C2F" w:rsidRPr="00F51636" w:rsidRDefault="00397C2F" w:rsidP="00F51636">
            <w:pPr>
              <w:pStyle w:val="TableNText"/>
              <w:spacing w:before="0" w:after="0" w:line="240" w:lineRule="auto"/>
              <w:rPr>
                <w:sz w:val="16"/>
                <w:szCs w:val="16"/>
                <w:lang w:eastAsia="en-AU"/>
              </w:rPr>
            </w:pPr>
            <w:r w:rsidRPr="00F51636">
              <w:rPr>
                <w:sz w:val="16"/>
                <w:szCs w:val="16"/>
                <w:lang w:eastAsia="en-AU"/>
              </w:rPr>
              <w:t xml:space="preserve">Intergovernmental Relations and Ageing, NT Health </w:t>
            </w:r>
          </w:p>
        </w:tc>
      </w:tr>
      <w:tr w:rsidR="00397C2F" w:rsidRPr="00A75948" w14:paraId="1B17BEDA" w14:textId="77777777" w:rsidTr="00A31391">
        <w:trPr>
          <w:cnfStyle w:val="000000010000" w:firstRow="0" w:lastRow="0" w:firstColumn="0" w:lastColumn="0" w:oddVBand="0" w:evenVBand="0" w:oddHBand="0" w:evenHBand="1" w:firstRowFirstColumn="0" w:firstRowLastColumn="0" w:lastRowFirstColumn="0" w:lastRowLastColumn="0"/>
        </w:trPr>
        <w:tc>
          <w:tcPr>
            <w:tcW w:w="2353" w:type="dxa"/>
            <w:shd w:val="clear" w:color="auto" w:fill="FFFFFF" w:themeFill="background1"/>
          </w:tcPr>
          <w:p w14:paraId="201C49D4" w14:textId="3936B37D" w:rsidR="00397C2F" w:rsidRPr="00F51636" w:rsidRDefault="00397C2F" w:rsidP="00F51636">
            <w:pPr>
              <w:pStyle w:val="TableNText"/>
              <w:spacing w:before="0" w:after="0" w:line="240" w:lineRule="auto"/>
              <w:rPr>
                <w:sz w:val="16"/>
                <w:szCs w:val="16"/>
                <w:lang w:eastAsia="en-AU"/>
              </w:rPr>
            </w:pPr>
            <w:r w:rsidRPr="00F51636">
              <w:rPr>
                <w:sz w:val="16"/>
                <w:szCs w:val="16"/>
                <w:lang w:eastAsia="en-AU"/>
              </w:rPr>
              <w:t>Precious Mapendere</w:t>
            </w:r>
          </w:p>
        </w:tc>
        <w:tc>
          <w:tcPr>
            <w:tcW w:w="2694" w:type="dxa"/>
            <w:shd w:val="clear" w:color="auto" w:fill="FFFFFF" w:themeFill="background1"/>
          </w:tcPr>
          <w:p w14:paraId="78491D08" w14:textId="5A1A0C80" w:rsidR="00397C2F" w:rsidRPr="00F51636" w:rsidRDefault="00397C2F" w:rsidP="00F51636">
            <w:pPr>
              <w:pStyle w:val="TableNText"/>
              <w:spacing w:before="0" w:after="0" w:line="240" w:lineRule="auto"/>
              <w:rPr>
                <w:sz w:val="16"/>
                <w:szCs w:val="16"/>
                <w:lang w:eastAsia="en-AU"/>
              </w:rPr>
            </w:pPr>
            <w:r w:rsidRPr="00F51636">
              <w:rPr>
                <w:sz w:val="16"/>
                <w:szCs w:val="16"/>
                <w:lang w:eastAsia="en-AU"/>
              </w:rPr>
              <w:t>Nurse Practitioner</w:t>
            </w:r>
          </w:p>
        </w:tc>
        <w:tc>
          <w:tcPr>
            <w:tcW w:w="4053" w:type="dxa"/>
            <w:shd w:val="clear" w:color="auto" w:fill="FFFFFF" w:themeFill="background1"/>
          </w:tcPr>
          <w:p w14:paraId="27EBC600" w14:textId="76C70923" w:rsidR="00397C2F" w:rsidRPr="00F51636" w:rsidRDefault="00397C2F" w:rsidP="00F51636">
            <w:pPr>
              <w:pStyle w:val="TableNText"/>
              <w:spacing w:before="0" w:after="0" w:line="240" w:lineRule="auto"/>
              <w:rPr>
                <w:sz w:val="16"/>
                <w:szCs w:val="16"/>
                <w:lang w:eastAsia="en-AU"/>
              </w:rPr>
            </w:pPr>
            <w:r w:rsidRPr="00F51636">
              <w:rPr>
                <w:sz w:val="16"/>
                <w:szCs w:val="16"/>
                <w:lang w:eastAsia="en-AU"/>
              </w:rPr>
              <w:t>NT Health, Top End</w:t>
            </w:r>
          </w:p>
        </w:tc>
      </w:tr>
      <w:tr w:rsidR="00397C2F" w:rsidRPr="00A75948" w14:paraId="65B7AC81" w14:textId="77777777" w:rsidTr="00A31391">
        <w:trPr>
          <w:cnfStyle w:val="000000100000" w:firstRow="0" w:lastRow="0" w:firstColumn="0" w:lastColumn="0" w:oddVBand="0" w:evenVBand="0" w:oddHBand="1" w:evenHBand="0" w:firstRowFirstColumn="0" w:firstRowLastColumn="0" w:lastRowFirstColumn="0" w:lastRowLastColumn="0"/>
        </w:trPr>
        <w:tc>
          <w:tcPr>
            <w:tcW w:w="2353" w:type="dxa"/>
            <w:shd w:val="clear" w:color="auto" w:fill="FFFFFF" w:themeFill="background1"/>
          </w:tcPr>
          <w:p w14:paraId="4760F43C" w14:textId="26C8F911" w:rsidR="00397C2F" w:rsidRPr="00F51636" w:rsidRDefault="00397C2F" w:rsidP="00F51636">
            <w:pPr>
              <w:pStyle w:val="TableNText"/>
              <w:spacing w:before="0" w:after="0" w:line="240" w:lineRule="auto"/>
              <w:rPr>
                <w:color w:val="000000" w:themeColor="text1"/>
                <w:sz w:val="16"/>
                <w:szCs w:val="16"/>
                <w:lang w:eastAsia="en-AU"/>
              </w:rPr>
            </w:pPr>
            <w:r w:rsidRPr="00F51636">
              <w:rPr>
                <w:color w:val="000000" w:themeColor="text1"/>
                <w:sz w:val="16"/>
                <w:szCs w:val="16"/>
                <w:lang w:eastAsia="en-AU"/>
              </w:rPr>
              <w:t>Rachel Flavell</w:t>
            </w:r>
          </w:p>
        </w:tc>
        <w:tc>
          <w:tcPr>
            <w:tcW w:w="2694" w:type="dxa"/>
            <w:shd w:val="clear" w:color="auto" w:fill="FFFFFF" w:themeFill="background1"/>
          </w:tcPr>
          <w:p w14:paraId="6D8682D4" w14:textId="05FD5F9D" w:rsidR="00397C2F" w:rsidRPr="00F51636" w:rsidRDefault="00263E25" w:rsidP="00F51636">
            <w:pPr>
              <w:pStyle w:val="TableNText"/>
              <w:spacing w:before="0" w:after="0" w:line="240" w:lineRule="auto"/>
              <w:rPr>
                <w:color w:val="000000" w:themeColor="text1"/>
                <w:sz w:val="16"/>
                <w:szCs w:val="16"/>
                <w:lang w:eastAsia="en-AU"/>
              </w:rPr>
            </w:pPr>
            <w:r w:rsidRPr="00F51636">
              <w:rPr>
                <w:color w:val="000000" w:themeColor="text1"/>
                <w:sz w:val="16"/>
                <w:szCs w:val="16"/>
                <w:lang w:eastAsia="en-AU"/>
              </w:rPr>
              <w:t>Acting Chief Finance Officer</w:t>
            </w:r>
          </w:p>
        </w:tc>
        <w:tc>
          <w:tcPr>
            <w:tcW w:w="4053" w:type="dxa"/>
            <w:shd w:val="clear" w:color="auto" w:fill="FFFFFF" w:themeFill="background1"/>
          </w:tcPr>
          <w:p w14:paraId="5C55E178" w14:textId="0A3D62D7" w:rsidR="00397C2F" w:rsidRPr="00F51636" w:rsidRDefault="00397C2F" w:rsidP="00F51636">
            <w:pPr>
              <w:pStyle w:val="TableNText"/>
              <w:spacing w:before="0" w:after="0" w:line="240" w:lineRule="auto"/>
              <w:rPr>
                <w:color w:val="000000" w:themeColor="text1"/>
                <w:sz w:val="16"/>
                <w:szCs w:val="16"/>
                <w:lang w:eastAsia="en-AU"/>
              </w:rPr>
            </w:pPr>
            <w:r w:rsidRPr="00F51636">
              <w:rPr>
                <w:color w:val="000000" w:themeColor="text1"/>
                <w:sz w:val="16"/>
                <w:szCs w:val="16"/>
                <w:lang w:eastAsia="en-AU"/>
              </w:rPr>
              <w:t>NT Health, Central</w:t>
            </w:r>
          </w:p>
        </w:tc>
      </w:tr>
      <w:tr w:rsidR="00BE21EC" w:rsidRPr="00A75948" w14:paraId="10DE2218" w14:textId="77777777" w:rsidTr="00A56DCA">
        <w:trPr>
          <w:cnfStyle w:val="000000010000" w:firstRow="0" w:lastRow="0" w:firstColumn="0" w:lastColumn="0" w:oddVBand="0" w:evenVBand="0" w:oddHBand="0" w:evenHBand="1" w:firstRowFirstColumn="0" w:firstRowLastColumn="0" w:lastRowFirstColumn="0" w:lastRowLastColumn="0"/>
        </w:trPr>
        <w:tc>
          <w:tcPr>
            <w:tcW w:w="9100" w:type="dxa"/>
            <w:gridSpan w:val="3"/>
            <w:shd w:val="clear" w:color="auto" w:fill="00264D" w:themeFill="background2"/>
          </w:tcPr>
          <w:p w14:paraId="477C9147" w14:textId="59EE7FF6" w:rsidR="00BE21EC" w:rsidRPr="00F51636" w:rsidRDefault="00BE21EC" w:rsidP="00F51636">
            <w:pPr>
              <w:pStyle w:val="TableNheader"/>
              <w:spacing w:before="0" w:after="0"/>
              <w:rPr>
                <w:sz w:val="16"/>
                <w:szCs w:val="16"/>
                <w:lang w:eastAsia="en-AU"/>
              </w:rPr>
            </w:pPr>
            <w:r w:rsidRPr="00F51636">
              <w:rPr>
                <w:color w:val="FFFFFF" w:themeColor="background1"/>
                <w:sz w:val="16"/>
                <w:szCs w:val="16"/>
                <w:lang w:eastAsia="en-AU"/>
              </w:rPr>
              <w:t>Queensland Department of Health</w:t>
            </w:r>
          </w:p>
        </w:tc>
      </w:tr>
      <w:tr w:rsidR="00397C2F" w:rsidRPr="00A75948" w14:paraId="789DDA04" w14:textId="77777777" w:rsidTr="00B25FA6">
        <w:trPr>
          <w:cnfStyle w:val="000000100000" w:firstRow="0" w:lastRow="0" w:firstColumn="0" w:lastColumn="0" w:oddVBand="0" w:evenVBand="0" w:oddHBand="1" w:evenHBand="0" w:firstRowFirstColumn="0" w:firstRowLastColumn="0" w:lastRowFirstColumn="0" w:lastRowLastColumn="0"/>
        </w:trPr>
        <w:tc>
          <w:tcPr>
            <w:tcW w:w="2353" w:type="dxa"/>
          </w:tcPr>
          <w:p w14:paraId="0824C5FD" w14:textId="50646ADE" w:rsidR="00397C2F" w:rsidRPr="00F51636" w:rsidRDefault="00397C2F" w:rsidP="00F51636">
            <w:pPr>
              <w:pStyle w:val="TableNText"/>
              <w:spacing w:before="0" w:after="0" w:line="240" w:lineRule="auto"/>
              <w:rPr>
                <w:sz w:val="16"/>
                <w:szCs w:val="16"/>
                <w:lang w:eastAsia="en-AU"/>
              </w:rPr>
            </w:pPr>
            <w:r w:rsidRPr="00F51636">
              <w:rPr>
                <w:sz w:val="16"/>
                <w:szCs w:val="16"/>
                <w:lang w:eastAsia="en-AU"/>
              </w:rPr>
              <w:t>Laureen Hines</w:t>
            </w:r>
          </w:p>
        </w:tc>
        <w:tc>
          <w:tcPr>
            <w:tcW w:w="2694" w:type="dxa"/>
          </w:tcPr>
          <w:p w14:paraId="05CC3FEC" w14:textId="3764B8FD" w:rsidR="00397C2F" w:rsidRPr="00F51636" w:rsidRDefault="00397C2F" w:rsidP="00F51636">
            <w:pPr>
              <w:pStyle w:val="TableNText"/>
              <w:spacing w:before="0" w:after="0" w:line="240" w:lineRule="auto"/>
              <w:rPr>
                <w:sz w:val="16"/>
                <w:szCs w:val="16"/>
                <w:lang w:eastAsia="en-AU"/>
              </w:rPr>
            </w:pPr>
            <w:r w:rsidRPr="00F51636">
              <w:rPr>
                <w:sz w:val="16"/>
                <w:szCs w:val="16"/>
                <w:lang w:eastAsia="en-AU"/>
              </w:rPr>
              <w:t>Director</w:t>
            </w:r>
          </w:p>
        </w:tc>
        <w:tc>
          <w:tcPr>
            <w:tcW w:w="4053" w:type="dxa"/>
          </w:tcPr>
          <w:p w14:paraId="07BCFF61" w14:textId="2E19A2CB" w:rsidR="00397C2F" w:rsidRPr="00F51636" w:rsidRDefault="00397C2F" w:rsidP="00F51636">
            <w:pPr>
              <w:pStyle w:val="TableNText"/>
              <w:spacing w:before="0" w:after="0" w:line="240" w:lineRule="auto"/>
              <w:rPr>
                <w:sz w:val="16"/>
                <w:szCs w:val="16"/>
                <w:lang w:eastAsia="en-AU"/>
              </w:rPr>
            </w:pPr>
            <w:r w:rsidRPr="00F51636">
              <w:rPr>
                <w:sz w:val="16"/>
                <w:szCs w:val="16"/>
                <w:lang w:eastAsia="en-AU"/>
              </w:rPr>
              <w:t>Healthcare Improvement Unit, clinical Excellence, Queensland Health</w:t>
            </w:r>
          </w:p>
        </w:tc>
      </w:tr>
      <w:tr w:rsidR="00397C2F" w:rsidRPr="00A75948" w14:paraId="7D6777D6" w14:textId="77777777" w:rsidTr="00B25FA6">
        <w:trPr>
          <w:cnfStyle w:val="000000010000" w:firstRow="0" w:lastRow="0" w:firstColumn="0" w:lastColumn="0" w:oddVBand="0" w:evenVBand="0" w:oddHBand="0" w:evenHBand="1" w:firstRowFirstColumn="0" w:firstRowLastColumn="0" w:lastRowFirstColumn="0" w:lastRowLastColumn="0"/>
        </w:trPr>
        <w:tc>
          <w:tcPr>
            <w:tcW w:w="2353" w:type="dxa"/>
          </w:tcPr>
          <w:p w14:paraId="5AC1CAFB" w14:textId="28871A44" w:rsidR="00397C2F" w:rsidRPr="00F51636" w:rsidRDefault="00397C2F" w:rsidP="00F51636">
            <w:pPr>
              <w:pStyle w:val="TableNText"/>
              <w:spacing w:before="0" w:after="0" w:line="240" w:lineRule="auto"/>
              <w:rPr>
                <w:sz w:val="16"/>
                <w:szCs w:val="16"/>
                <w:lang w:eastAsia="en-AU"/>
              </w:rPr>
            </w:pPr>
            <w:r w:rsidRPr="00F51636">
              <w:rPr>
                <w:sz w:val="16"/>
                <w:szCs w:val="16"/>
                <w:lang w:eastAsia="en-AU"/>
              </w:rPr>
              <w:t>Michelle Lucas</w:t>
            </w:r>
          </w:p>
        </w:tc>
        <w:tc>
          <w:tcPr>
            <w:tcW w:w="2694" w:type="dxa"/>
          </w:tcPr>
          <w:p w14:paraId="5794DF04" w14:textId="62077858" w:rsidR="00397C2F" w:rsidRPr="00F51636" w:rsidRDefault="00397C2F" w:rsidP="00F51636">
            <w:pPr>
              <w:pStyle w:val="TableNText"/>
              <w:spacing w:before="0" w:after="0" w:line="240" w:lineRule="auto"/>
              <w:rPr>
                <w:sz w:val="16"/>
                <w:szCs w:val="16"/>
                <w:lang w:eastAsia="en-AU"/>
              </w:rPr>
            </w:pPr>
            <w:r w:rsidRPr="00F51636">
              <w:rPr>
                <w:sz w:val="16"/>
                <w:szCs w:val="16"/>
                <w:lang w:eastAsia="en-AU"/>
              </w:rPr>
              <w:t>Manager</w:t>
            </w:r>
          </w:p>
        </w:tc>
        <w:tc>
          <w:tcPr>
            <w:tcW w:w="4053" w:type="dxa"/>
          </w:tcPr>
          <w:p w14:paraId="053C8282" w14:textId="53A0B969" w:rsidR="00397C2F" w:rsidRPr="00F51636" w:rsidRDefault="00397C2F" w:rsidP="00F51636">
            <w:pPr>
              <w:pStyle w:val="TableNText"/>
              <w:spacing w:before="0" w:after="0" w:line="240" w:lineRule="auto"/>
              <w:rPr>
                <w:sz w:val="16"/>
                <w:szCs w:val="16"/>
                <w:lang w:eastAsia="en-AU"/>
              </w:rPr>
            </w:pPr>
            <w:r w:rsidRPr="00F51636">
              <w:rPr>
                <w:sz w:val="16"/>
                <w:szCs w:val="16"/>
                <w:lang w:eastAsia="en-AU"/>
              </w:rPr>
              <w:t>Social Policy and Legislation Branch, Queensland Health</w:t>
            </w:r>
          </w:p>
        </w:tc>
      </w:tr>
      <w:tr w:rsidR="00690ACD" w:rsidRPr="00A75948" w14:paraId="04B8EA47" w14:textId="77777777" w:rsidTr="009B3ED8">
        <w:trPr>
          <w:cnfStyle w:val="000000100000" w:firstRow="0" w:lastRow="0" w:firstColumn="0" w:lastColumn="0" w:oddVBand="0" w:evenVBand="0" w:oddHBand="1" w:evenHBand="0" w:firstRowFirstColumn="0" w:firstRowLastColumn="0" w:lastRowFirstColumn="0" w:lastRowLastColumn="0"/>
        </w:trPr>
        <w:tc>
          <w:tcPr>
            <w:tcW w:w="2353" w:type="dxa"/>
          </w:tcPr>
          <w:p w14:paraId="5865C056" w14:textId="35922B36" w:rsidR="00690ACD" w:rsidRPr="00F51636" w:rsidRDefault="00690ACD" w:rsidP="00F51636">
            <w:pPr>
              <w:pStyle w:val="TableNText"/>
              <w:spacing w:before="0" w:after="0" w:line="240" w:lineRule="auto"/>
              <w:rPr>
                <w:sz w:val="16"/>
                <w:szCs w:val="16"/>
                <w:lang w:eastAsia="en-AU"/>
              </w:rPr>
            </w:pPr>
            <w:r w:rsidRPr="00F51636">
              <w:rPr>
                <w:sz w:val="16"/>
                <w:szCs w:val="16"/>
                <w:lang w:eastAsia="en-AU"/>
              </w:rPr>
              <w:t>Caitlin Lock</w:t>
            </w:r>
          </w:p>
        </w:tc>
        <w:tc>
          <w:tcPr>
            <w:tcW w:w="2694" w:type="dxa"/>
          </w:tcPr>
          <w:p w14:paraId="5290912A" w14:textId="29580DF4" w:rsidR="00690ACD" w:rsidRPr="00F51636" w:rsidRDefault="00CE06A9" w:rsidP="00F51636">
            <w:pPr>
              <w:pStyle w:val="TableNText"/>
              <w:spacing w:before="0" w:after="0" w:line="240" w:lineRule="auto"/>
              <w:rPr>
                <w:sz w:val="16"/>
                <w:szCs w:val="16"/>
                <w:lang w:eastAsia="en-AU"/>
              </w:rPr>
            </w:pPr>
            <w:r w:rsidRPr="00F51636">
              <w:rPr>
                <w:sz w:val="16"/>
                <w:szCs w:val="16"/>
                <w:lang w:eastAsia="en-AU"/>
              </w:rPr>
              <w:t>Principal Project Officer</w:t>
            </w:r>
          </w:p>
        </w:tc>
        <w:tc>
          <w:tcPr>
            <w:tcW w:w="4053" w:type="dxa"/>
          </w:tcPr>
          <w:p w14:paraId="0F1DC91C" w14:textId="5E3B80E9" w:rsidR="00690ACD" w:rsidRPr="00F51636" w:rsidRDefault="009B3ED8" w:rsidP="00F51636">
            <w:pPr>
              <w:pStyle w:val="TableNText"/>
              <w:spacing w:before="0" w:after="0" w:line="240" w:lineRule="auto"/>
              <w:rPr>
                <w:sz w:val="16"/>
                <w:szCs w:val="16"/>
                <w:lang w:eastAsia="en-AU"/>
              </w:rPr>
            </w:pPr>
            <w:r w:rsidRPr="00F51636">
              <w:rPr>
                <w:sz w:val="16"/>
                <w:szCs w:val="16"/>
                <w:lang w:eastAsia="en-AU"/>
              </w:rPr>
              <w:t xml:space="preserve">Care at </w:t>
            </w:r>
            <w:r w:rsidR="00AE070D" w:rsidRPr="00F51636">
              <w:rPr>
                <w:sz w:val="16"/>
                <w:szCs w:val="16"/>
                <w:lang w:eastAsia="en-AU"/>
              </w:rPr>
              <w:t>End-of-life</w:t>
            </w:r>
            <w:r w:rsidRPr="00F51636">
              <w:rPr>
                <w:sz w:val="16"/>
                <w:szCs w:val="16"/>
                <w:lang w:eastAsia="en-AU"/>
              </w:rPr>
              <w:t>, Queensland Health</w:t>
            </w:r>
          </w:p>
        </w:tc>
      </w:tr>
      <w:tr w:rsidR="00690ACD" w:rsidRPr="00A75948" w14:paraId="3F392647" w14:textId="77777777" w:rsidTr="009B3ED8">
        <w:trPr>
          <w:cnfStyle w:val="000000010000" w:firstRow="0" w:lastRow="0" w:firstColumn="0" w:lastColumn="0" w:oddVBand="0" w:evenVBand="0" w:oddHBand="0" w:evenHBand="1" w:firstRowFirstColumn="0" w:firstRowLastColumn="0" w:lastRowFirstColumn="0" w:lastRowLastColumn="0"/>
        </w:trPr>
        <w:tc>
          <w:tcPr>
            <w:tcW w:w="2353" w:type="dxa"/>
          </w:tcPr>
          <w:p w14:paraId="78507560" w14:textId="1C3BFFD5" w:rsidR="00690ACD" w:rsidRPr="00F51636" w:rsidRDefault="00690ACD" w:rsidP="00F51636">
            <w:pPr>
              <w:pStyle w:val="TableNText"/>
              <w:spacing w:before="0" w:after="0" w:line="240" w:lineRule="auto"/>
              <w:rPr>
                <w:sz w:val="16"/>
                <w:szCs w:val="16"/>
                <w:lang w:eastAsia="en-AU"/>
              </w:rPr>
            </w:pPr>
            <w:r w:rsidRPr="00F51636">
              <w:rPr>
                <w:sz w:val="16"/>
                <w:szCs w:val="16"/>
                <w:lang w:eastAsia="en-AU"/>
              </w:rPr>
              <w:t>Allison Lovell</w:t>
            </w:r>
          </w:p>
        </w:tc>
        <w:tc>
          <w:tcPr>
            <w:tcW w:w="2694" w:type="dxa"/>
          </w:tcPr>
          <w:p w14:paraId="41B3CA27" w14:textId="5605DA62" w:rsidR="00690ACD" w:rsidRPr="00F51636" w:rsidRDefault="00CE06A9" w:rsidP="00F51636">
            <w:pPr>
              <w:pStyle w:val="TableNText"/>
              <w:spacing w:before="0" w:after="0" w:line="240" w:lineRule="auto"/>
              <w:rPr>
                <w:sz w:val="16"/>
                <w:szCs w:val="16"/>
                <w:lang w:eastAsia="en-AU"/>
              </w:rPr>
            </w:pPr>
            <w:r w:rsidRPr="00F51636">
              <w:rPr>
                <w:sz w:val="16"/>
                <w:szCs w:val="16"/>
                <w:lang w:eastAsia="en-AU"/>
              </w:rPr>
              <w:t>Project Manager</w:t>
            </w:r>
          </w:p>
        </w:tc>
        <w:tc>
          <w:tcPr>
            <w:tcW w:w="4053" w:type="dxa"/>
          </w:tcPr>
          <w:p w14:paraId="295F11C3" w14:textId="00EDCB00" w:rsidR="00690ACD" w:rsidRPr="00F51636" w:rsidRDefault="00CE06A9" w:rsidP="00F51636">
            <w:pPr>
              <w:pStyle w:val="TableNText"/>
              <w:spacing w:before="0" w:after="0" w:line="240" w:lineRule="auto"/>
              <w:rPr>
                <w:sz w:val="16"/>
                <w:szCs w:val="16"/>
                <w:lang w:eastAsia="en-AU"/>
              </w:rPr>
            </w:pPr>
            <w:r w:rsidRPr="00F51636">
              <w:rPr>
                <w:sz w:val="16"/>
                <w:szCs w:val="16"/>
                <w:lang w:eastAsia="en-AU"/>
              </w:rPr>
              <w:t xml:space="preserve">Care at </w:t>
            </w:r>
            <w:r w:rsidR="00AE070D" w:rsidRPr="00F51636">
              <w:rPr>
                <w:sz w:val="16"/>
                <w:szCs w:val="16"/>
                <w:lang w:eastAsia="en-AU"/>
              </w:rPr>
              <w:t>End-of-life</w:t>
            </w:r>
            <w:r w:rsidRPr="00F51636">
              <w:rPr>
                <w:sz w:val="16"/>
                <w:szCs w:val="16"/>
                <w:lang w:eastAsia="en-AU"/>
              </w:rPr>
              <w:t xml:space="preserve">, </w:t>
            </w:r>
            <w:r w:rsidR="009B3ED8" w:rsidRPr="00F51636">
              <w:rPr>
                <w:sz w:val="16"/>
                <w:szCs w:val="16"/>
                <w:lang w:eastAsia="en-AU"/>
              </w:rPr>
              <w:t>Queensland Health</w:t>
            </w:r>
          </w:p>
        </w:tc>
      </w:tr>
      <w:tr w:rsidR="00397C2F" w:rsidRPr="00A75948" w14:paraId="284B2631" w14:textId="77777777" w:rsidTr="00805D24">
        <w:trPr>
          <w:cnfStyle w:val="000000100000" w:firstRow="0" w:lastRow="0" w:firstColumn="0" w:lastColumn="0" w:oddVBand="0" w:evenVBand="0" w:oddHBand="1" w:evenHBand="0" w:firstRowFirstColumn="0" w:firstRowLastColumn="0" w:lastRowFirstColumn="0" w:lastRowLastColumn="0"/>
        </w:trPr>
        <w:tc>
          <w:tcPr>
            <w:tcW w:w="2353" w:type="dxa"/>
            <w:shd w:val="clear" w:color="auto" w:fill="00264D" w:themeFill="background2"/>
          </w:tcPr>
          <w:p w14:paraId="056D38F1" w14:textId="1C8D41A2" w:rsidR="00397C2F" w:rsidRPr="00F51636" w:rsidRDefault="00397C2F" w:rsidP="00F51636">
            <w:pPr>
              <w:spacing w:after="0" w:line="240" w:lineRule="auto"/>
              <w:rPr>
                <w:sz w:val="16"/>
                <w:szCs w:val="16"/>
                <w:lang w:eastAsia="en-AU"/>
              </w:rPr>
            </w:pPr>
            <w:r w:rsidRPr="00F51636">
              <w:rPr>
                <w:rFonts w:ascii="Segoe UI Semibold" w:hAnsi="Segoe UI Semibold"/>
                <w:color w:val="FFFFFF" w:themeColor="background1"/>
                <w:sz w:val="16"/>
                <w:szCs w:val="16"/>
                <w:lang w:eastAsia="en-AU"/>
              </w:rPr>
              <w:t>SA</w:t>
            </w:r>
            <w:r w:rsidR="00BE21EC" w:rsidRPr="00F51636">
              <w:rPr>
                <w:rFonts w:ascii="Segoe UI Semibold" w:hAnsi="Segoe UI Semibold"/>
                <w:color w:val="FFFFFF" w:themeColor="background1"/>
                <w:sz w:val="16"/>
                <w:szCs w:val="16"/>
                <w:lang w:eastAsia="en-AU"/>
              </w:rPr>
              <w:t xml:space="preserve"> Department of Health</w:t>
            </w:r>
          </w:p>
        </w:tc>
        <w:tc>
          <w:tcPr>
            <w:tcW w:w="2694" w:type="dxa"/>
            <w:shd w:val="clear" w:color="auto" w:fill="00264D" w:themeFill="background2"/>
          </w:tcPr>
          <w:p w14:paraId="4A2E341E" w14:textId="77777777" w:rsidR="00397C2F" w:rsidRPr="00F51636" w:rsidRDefault="00397C2F" w:rsidP="00F51636">
            <w:pPr>
              <w:spacing w:after="0" w:line="240" w:lineRule="auto"/>
              <w:rPr>
                <w:sz w:val="16"/>
                <w:szCs w:val="16"/>
                <w:lang w:eastAsia="en-AU"/>
              </w:rPr>
            </w:pPr>
          </w:p>
        </w:tc>
        <w:tc>
          <w:tcPr>
            <w:tcW w:w="4053" w:type="dxa"/>
            <w:shd w:val="clear" w:color="auto" w:fill="00264D" w:themeFill="background2"/>
          </w:tcPr>
          <w:p w14:paraId="69923013" w14:textId="77777777" w:rsidR="00397C2F" w:rsidRPr="00F51636" w:rsidRDefault="00397C2F" w:rsidP="00F51636">
            <w:pPr>
              <w:spacing w:after="0" w:line="240" w:lineRule="auto"/>
              <w:rPr>
                <w:sz w:val="16"/>
                <w:szCs w:val="16"/>
                <w:lang w:eastAsia="en-AU"/>
              </w:rPr>
            </w:pPr>
          </w:p>
        </w:tc>
      </w:tr>
      <w:tr w:rsidR="00397C2F" w:rsidRPr="00A75948" w14:paraId="46226BD1" w14:textId="77777777" w:rsidTr="00B25FA6">
        <w:trPr>
          <w:cnfStyle w:val="000000010000" w:firstRow="0" w:lastRow="0" w:firstColumn="0" w:lastColumn="0" w:oddVBand="0" w:evenVBand="0" w:oddHBand="0" w:evenHBand="1" w:firstRowFirstColumn="0" w:firstRowLastColumn="0" w:lastRowFirstColumn="0" w:lastRowLastColumn="0"/>
        </w:trPr>
        <w:tc>
          <w:tcPr>
            <w:tcW w:w="2353" w:type="dxa"/>
          </w:tcPr>
          <w:p w14:paraId="72EC6FC1" w14:textId="654B879C" w:rsidR="00397C2F" w:rsidRPr="00F51636" w:rsidRDefault="00397C2F" w:rsidP="00F51636">
            <w:pPr>
              <w:pStyle w:val="TableNText"/>
              <w:spacing w:before="0" w:after="0" w:line="240" w:lineRule="auto"/>
              <w:rPr>
                <w:sz w:val="16"/>
                <w:szCs w:val="16"/>
                <w:lang w:eastAsia="en-AU"/>
              </w:rPr>
            </w:pPr>
            <w:r w:rsidRPr="00F51636">
              <w:rPr>
                <w:sz w:val="16"/>
                <w:szCs w:val="16"/>
                <w:lang w:eastAsia="en-AU"/>
              </w:rPr>
              <w:lastRenderedPageBreak/>
              <w:t>Elizabeth Lithgow</w:t>
            </w:r>
          </w:p>
        </w:tc>
        <w:tc>
          <w:tcPr>
            <w:tcW w:w="2694" w:type="dxa"/>
          </w:tcPr>
          <w:p w14:paraId="73882F47" w14:textId="1D9E6369" w:rsidR="00397C2F" w:rsidRPr="00F51636" w:rsidRDefault="00397C2F" w:rsidP="00F51636">
            <w:pPr>
              <w:pStyle w:val="TableNText"/>
              <w:spacing w:before="0" w:after="0" w:line="240" w:lineRule="auto"/>
              <w:rPr>
                <w:sz w:val="16"/>
                <w:szCs w:val="16"/>
                <w:lang w:eastAsia="en-AU"/>
              </w:rPr>
            </w:pPr>
            <w:r w:rsidRPr="00F51636">
              <w:rPr>
                <w:rFonts w:cs="Segoe UI"/>
                <w:color w:val="000000"/>
                <w:sz w:val="16"/>
                <w:szCs w:val="16"/>
              </w:rPr>
              <w:t>Senior Policy Officer</w:t>
            </w:r>
          </w:p>
        </w:tc>
        <w:tc>
          <w:tcPr>
            <w:tcW w:w="4053" w:type="dxa"/>
          </w:tcPr>
          <w:p w14:paraId="4A8AB3D9" w14:textId="605870A9" w:rsidR="00397C2F" w:rsidRPr="00F51636" w:rsidRDefault="00397C2F" w:rsidP="00F51636">
            <w:pPr>
              <w:pStyle w:val="TableNText"/>
              <w:spacing w:before="0" w:after="0" w:line="240" w:lineRule="auto"/>
              <w:rPr>
                <w:sz w:val="16"/>
                <w:szCs w:val="16"/>
                <w:lang w:eastAsia="en-AU"/>
              </w:rPr>
            </w:pPr>
            <w:r w:rsidRPr="00F51636">
              <w:rPr>
                <w:rFonts w:cs="Segoe UI"/>
                <w:color w:val="000000"/>
                <w:sz w:val="16"/>
                <w:szCs w:val="16"/>
              </w:rPr>
              <w:t>Inter-government Relations, SA Health</w:t>
            </w:r>
          </w:p>
        </w:tc>
      </w:tr>
      <w:tr w:rsidR="00397C2F" w:rsidRPr="00A75948" w14:paraId="53518355" w14:textId="77777777" w:rsidTr="00B25FA6">
        <w:trPr>
          <w:cnfStyle w:val="000000100000" w:firstRow="0" w:lastRow="0" w:firstColumn="0" w:lastColumn="0" w:oddVBand="0" w:evenVBand="0" w:oddHBand="1" w:evenHBand="0" w:firstRowFirstColumn="0" w:firstRowLastColumn="0" w:lastRowFirstColumn="0" w:lastRowLastColumn="0"/>
        </w:trPr>
        <w:tc>
          <w:tcPr>
            <w:tcW w:w="2353" w:type="dxa"/>
          </w:tcPr>
          <w:p w14:paraId="43EFC29C" w14:textId="1838A1D9" w:rsidR="00397C2F" w:rsidRPr="00F51636" w:rsidRDefault="00397C2F" w:rsidP="00F51636">
            <w:pPr>
              <w:pStyle w:val="TableNText"/>
              <w:spacing w:before="0" w:after="0" w:line="240" w:lineRule="auto"/>
              <w:rPr>
                <w:sz w:val="16"/>
                <w:szCs w:val="16"/>
                <w:lang w:eastAsia="en-AU"/>
              </w:rPr>
            </w:pPr>
            <w:r w:rsidRPr="00F51636">
              <w:rPr>
                <w:rFonts w:cs="Segoe UI"/>
                <w:color w:val="000000"/>
                <w:sz w:val="16"/>
                <w:szCs w:val="16"/>
              </w:rPr>
              <w:t xml:space="preserve">Kate Swetenham </w:t>
            </w:r>
          </w:p>
        </w:tc>
        <w:tc>
          <w:tcPr>
            <w:tcW w:w="2694" w:type="dxa"/>
          </w:tcPr>
          <w:p w14:paraId="6009C48B" w14:textId="4FA5CEDC" w:rsidR="00397C2F" w:rsidRPr="00F51636" w:rsidRDefault="00397C2F" w:rsidP="00F51636">
            <w:pPr>
              <w:pStyle w:val="TableNText"/>
              <w:spacing w:before="0" w:after="0" w:line="240" w:lineRule="auto"/>
              <w:rPr>
                <w:sz w:val="16"/>
                <w:szCs w:val="16"/>
                <w:lang w:eastAsia="en-AU"/>
              </w:rPr>
            </w:pPr>
            <w:r w:rsidRPr="00F51636">
              <w:rPr>
                <w:rFonts w:cs="Segoe UI"/>
                <w:color w:val="000000"/>
                <w:sz w:val="16"/>
                <w:szCs w:val="16"/>
              </w:rPr>
              <w:t>Clinical Lead</w:t>
            </w:r>
          </w:p>
        </w:tc>
        <w:tc>
          <w:tcPr>
            <w:tcW w:w="4053" w:type="dxa"/>
          </w:tcPr>
          <w:p w14:paraId="71C5FB95" w14:textId="26FDB447" w:rsidR="00397C2F" w:rsidRPr="00F51636" w:rsidRDefault="00397C2F" w:rsidP="00F51636">
            <w:pPr>
              <w:pStyle w:val="TableNText"/>
              <w:spacing w:before="0" w:after="0" w:line="240" w:lineRule="auto"/>
              <w:rPr>
                <w:sz w:val="16"/>
                <w:szCs w:val="16"/>
                <w:lang w:eastAsia="en-AU"/>
              </w:rPr>
            </w:pPr>
            <w:r w:rsidRPr="00F51636">
              <w:rPr>
                <w:rFonts w:cs="Segoe UI"/>
                <w:color w:val="000000"/>
                <w:sz w:val="16"/>
                <w:szCs w:val="16"/>
              </w:rPr>
              <w:t>Comprehensive Palliative Care in Aged Care Project, SA Health</w:t>
            </w:r>
          </w:p>
        </w:tc>
      </w:tr>
      <w:tr w:rsidR="00397C2F" w:rsidRPr="00A75948" w14:paraId="6172FE5E" w14:textId="77777777" w:rsidTr="00B25FA6">
        <w:trPr>
          <w:cnfStyle w:val="000000010000" w:firstRow="0" w:lastRow="0" w:firstColumn="0" w:lastColumn="0" w:oddVBand="0" w:evenVBand="0" w:oddHBand="0" w:evenHBand="1" w:firstRowFirstColumn="0" w:firstRowLastColumn="0" w:lastRowFirstColumn="0" w:lastRowLastColumn="0"/>
        </w:trPr>
        <w:tc>
          <w:tcPr>
            <w:tcW w:w="2353" w:type="dxa"/>
          </w:tcPr>
          <w:p w14:paraId="59BA433C" w14:textId="6DF9BFE9" w:rsidR="00397C2F" w:rsidRPr="00F51636" w:rsidRDefault="00397C2F" w:rsidP="00F51636">
            <w:pPr>
              <w:pStyle w:val="TableNText"/>
              <w:spacing w:before="0" w:after="0" w:line="240" w:lineRule="auto"/>
              <w:rPr>
                <w:sz w:val="16"/>
                <w:szCs w:val="16"/>
                <w:lang w:eastAsia="en-AU"/>
              </w:rPr>
            </w:pPr>
            <w:r w:rsidRPr="00F51636">
              <w:rPr>
                <w:rFonts w:cs="Segoe UI"/>
                <w:color w:val="000000"/>
                <w:sz w:val="16"/>
                <w:szCs w:val="16"/>
              </w:rPr>
              <w:t xml:space="preserve">Kathy Williams </w:t>
            </w:r>
          </w:p>
        </w:tc>
        <w:tc>
          <w:tcPr>
            <w:tcW w:w="2694" w:type="dxa"/>
          </w:tcPr>
          <w:p w14:paraId="59B22CE9" w14:textId="3D1CFF1E" w:rsidR="00397C2F" w:rsidRPr="00F51636" w:rsidRDefault="004534DB" w:rsidP="00F51636">
            <w:pPr>
              <w:pStyle w:val="TableNText"/>
              <w:spacing w:before="0" w:after="0" w:line="240" w:lineRule="auto"/>
              <w:rPr>
                <w:sz w:val="16"/>
                <w:szCs w:val="16"/>
                <w:lang w:eastAsia="en-AU"/>
              </w:rPr>
            </w:pPr>
            <w:r w:rsidRPr="00F51636">
              <w:rPr>
                <w:sz w:val="16"/>
                <w:szCs w:val="16"/>
                <w:lang w:eastAsia="en-AU"/>
              </w:rPr>
              <w:t>Principal Policy Officer</w:t>
            </w:r>
          </w:p>
        </w:tc>
        <w:tc>
          <w:tcPr>
            <w:tcW w:w="4053" w:type="dxa"/>
          </w:tcPr>
          <w:p w14:paraId="2371D7DD" w14:textId="21444FB9" w:rsidR="00397C2F" w:rsidRPr="00F51636" w:rsidRDefault="00397C2F" w:rsidP="00F51636">
            <w:pPr>
              <w:pStyle w:val="TableNText"/>
              <w:spacing w:before="0" w:after="0" w:line="240" w:lineRule="auto"/>
              <w:rPr>
                <w:sz w:val="16"/>
                <w:szCs w:val="16"/>
                <w:lang w:eastAsia="en-AU"/>
              </w:rPr>
            </w:pPr>
            <w:r w:rsidRPr="00F51636">
              <w:rPr>
                <w:rFonts w:cs="Segoe UI"/>
                <w:color w:val="000000"/>
                <w:sz w:val="16"/>
                <w:szCs w:val="16"/>
              </w:rPr>
              <w:t>Office for Ageing Well, SA Health</w:t>
            </w:r>
          </w:p>
        </w:tc>
      </w:tr>
      <w:tr w:rsidR="00B03EA0" w:rsidRPr="00A75948" w14:paraId="5234562C" w14:textId="77777777" w:rsidTr="00A56DCA">
        <w:trPr>
          <w:cnfStyle w:val="000000100000" w:firstRow="0" w:lastRow="0" w:firstColumn="0" w:lastColumn="0" w:oddVBand="0" w:evenVBand="0" w:oddHBand="1" w:evenHBand="0" w:firstRowFirstColumn="0" w:firstRowLastColumn="0" w:lastRowFirstColumn="0" w:lastRowLastColumn="0"/>
        </w:trPr>
        <w:tc>
          <w:tcPr>
            <w:tcW w:w="9100" w:type="dxa"/>
            <w:gridSpan w:val="3"/>
            <w:shd w:val="clear" w:color="auto" w:fill="00264D" w:themeFill="background2"/>
          </w:tcPr>
          <w:p w14:paraId="18716B76" w14:textId="34C478FA" w:rsidR="00B03EA0" w:rsidRPr="00F51636" w:rsidRDefault="00B03EA0" w:rsidP="00F51636">
            <w:pPr>
              <w:spacing w:after="0" w:line="240" w:lineRule="auto"/>
              <w:rPr>
                <w:rFonts w:cs="Segoe UI"/>
                <w:color w:val="000000"/>
                <w:sz w:val="16"/>
                <w:szCs w:val="16"/>
              </w:rPr>
            </w:pPr>
            <w:r w:rsidRPr="00F51636">
              <w:rPr>
                <w:rFonts w:ascii="Segoe UI Semibold" w:hAnsi="Segoe UI Semibold"/>
                <w:color w:val="FFFFFF" w:themeColor="background1"/>
                <w:sz w:val="16"/>
                <w:szCs w:val="16"/>
                <w:lang w:eastAsia="en-AU"/>
              </w:rPr>
              <w:t>Tasmania Department of Health and Human Services</w:t>
            </w:r>
          </w:p>
        </w:tc>
      </w:tr>
      <w:tr w:rsidR="00397C2F" w:rsidRPr="00A75948" w14:paraId="0CF1F020" w14:textId="77777777" w:rsidTr="00B25FA6">
        <w:trPr>
          <w:cnfStyle w:val="000000010000" w:firstRow="0" w:lastRow="0" w:firstColumn="0" w:lastColumn="0" w:oddVBand="0" w:evenVBand="0" w:oddHBand="0" w:evenHBand="1" w:firstRowFirstColumn="0" w:firstRowLastColumn="0" w:lastRowFirstColumn="0" w:lastRowLastColumn="0"/>
        </w:trPr>
        <w:tc>
          <w:tcPr>
            <w:tcW w:w="2353" w:type="dxa"/>
          </w:tcPr>
          <w:p w14:paraId="3CDABAB0" w14:textId="0735782E" w:rsidR="00397C2F" w:rsidRPr="00F51636" w:rsidRDefault="00397C2F" w:rsidP="00F51636">
            <w:pPr>
              <w:pStyle w:val="TableNText"/>
              <w:spacing w:before="0" w:after="0" w:line="240" w:lineRule="auto"/>
              <w:rPr>
                <w:rFonts w:cs="Segoe UI"/>
                <w:color w:val="000000"/>
                <w:sz w:val="16"/>
                <w:szCs w:val="16"/>
              </w:rPr>
            </w:pPr>
            <w:r w:rsidRPr="00F51636">
              <w:rPr>
                <w:sz w:val="16"/>
                <w:szCs w:val="16"/>
                <w:lang w:eastAsia="en-AU"/>
              </w:rPr>
              <w:t>Flora Dean</w:t>
            </w:r>
          </w:p>
        </w:tc>
        <w:tc>
          <w:tcPr>
            <w:tcW w:w="2694" w:type="dxa"/>
          </w:tcPr>
          <w:p w14:paraId="2E38D093" w14:textId="295025A0" w:rsidR="00397C2F" w:rsidRPr="00F51636" w:rsidRDefault="00397C2F" w:rsidP="00F51636">
            <w:pPr>
              <w:pStyle w:val="TableNText"/>
              <w:spacing w:before="0" w:after="0" w:line="240" w:lineRule="auto"/>
              <w:rPr>
                <w:sz w:val="16"/>
                <w:szCs w:val="16"/>
                <w:lang w:eastAsia="en-AU"/>
              </w:rPr>
            </w:pPr>
            <w:r w:rsidRPr="00F51636">
              <w:rPr>
                <w:sz w:val="16"/>
                <w:szCs w:val="16"/>
                <w:lang w:eastAsia="en-AU"/>
              </w:rPr>
              <w:t>Principal Project Officer</w:t>
            </w:r>
          </w:p>
        </w:tc>
        <w:tc>
          <w:tcPr>
            <w:tcW w:w="4053" w:type="dxa"/>
          </w:tcPr>
          <w:p w14:paraId="54A65AB0" w14:textId="02C02559" w:rsidR="00397C2F" w:rsidRPr="00F51636" w:rsidRDefault="00397C2F" w:rsidP="00F51636">
            <w:pPr>
              <w:pStyle w:val="TableNText"/>
              <w:spacing w:before="0" w:after="0" w:line="240" w:lineRule="auto"/>
              <w:rPr>
                <w:rFonts w:cs="Segoe UI"/>
                <w:color w:val="000000"/>
                <w:sz w:val="16"/>
                <w:szCs w:val="16"/>
              </w:rPr>
            </w:pPr>
            <w:r w:rsidRPr="00F51636">
              <w:rPr>
                <w:sz w:val="16"/>
                <w:szCs w:val="16"/>
                <w:lang w:eastAsia="en-AU"/>
              </w:rPr>
              <w:t>Tasmania Health</w:t>
            </w:r>
          </w:p>
        </w:tc>
      </w:tr>
      <w:tr w:rsidR="00397C2F" w:rsidRPr="00A75948" w14:paraId="0C83A891" w14:textId="77777777" w:rsidTr="00B25FA6">
        <w:trPr>
          <w:cnfStyle w:val="000000100000" w:firstRow="0" w:lastRow="0" w:firstColumn="0" w:lastColumn="0" w:oddVBand="0" w:evenVBand="0" w:oddHBand="1" w:evenHBand="0" w:firstRowFirstColumn="0" w:firstRowLastColumn="0" w:lastRowFirstColumn="0" w:lastRowLastColumn="0"/>
        </w:trPr>
        <w:tc>
          <w:tcPr>
            <w:tcW w:w="2353" w:type="dxa"/>
          </w:tcPr>
          <w:p w14:paraId="3895BB77" w14:textId="60A8AE7B" w:rsidR="00397C2F" w:rsidRPr="00F51636" w:rsidRDefault="00397C2F" w:rsidP="00F51636">
            <w:pPr>
              <w:pStyle w:val="TableNText"/>
              <w:spacing w:before="0" w:after="0" w:line="240" w:lineRule="auto"/>
              <w:rPr>
                <w:rFonts w:cs="Segoe UI"/>
                <w:color w:val="000000"/>
                <w:sz w:val="16"/>
                <w:szCs w:val="16"/>
              </w:rPr>
            </w:pPr>
            <w:r w:rsidRPr="00F51636">
              <w:rPr>
                <w:sz w:val="16"/>
                <w:szCs w:val="16"/>
                <w:lang w:eastAsia="en-AU"/>
              </w:rPr>
              <w:t>Ian Bell</w:t>
            </w:r>
          </w:p>
        </w:tc>
        <w:tc>
          <w:tcPr>
            <w:tcW w:w="2694" w:type="dxa"/>
          </w:tcPr>
          <w:p w14:paraId="634594C7" w14:textId="2C28C392" w:rsidR="00397C2F" w:rsidRPr="00F51636" w:rsidRDefault="006D58E0" w:rsidP="00F51636">
            <w:pPr>
              <w:pStyle w:val="TableNText"/>
              <w:spacing w:before="0" w:after="0" w:line="240" w:lineRule="auto"/>
              <w:rPr>
                <w:sz w:val="16"/>
                <w:szCs w:val="16"/>
                <w:lang w:eastAsia="en-AU"/>
              </w:rPr>
            </w:pPr>
            <w:r w:rsidRPr="00F51636">
              <w:rPr>
                <w:sz w:val="16"/>
                <w:szCs w:val="16"/>
                <w:lang w:eastAsia="en-AU"/>
              </w:rPr>
              <w:t>Manager</w:t>
            </w:r>
          </w:p>
        </w:tc>
        <w:tc>
          <w:tcPr>
            <w:tcW w:w="4053" w:type="dxa"/>
          </w:tcPr>
          <w:p w14:paraId="7F697A3E" w14:textId="0430A2A2" w:rsidR="00397C2F" w:rsidRPr="00F51636" w:rsidRDefault="006D58E0" w:rsidP="00F51636">
            <w:pPr>
              <w:pStyle w:val="TableNText"/>
              <w:spacing w:before="0" w:after="0" w:line="240" w:lineRule="auto"/>
              <w:rPr>
                <w:rFonts w:cs="Segoe UI"/>
                <w:color w:val="000000"/>
                <w:sz w:val="16"/>
                <w:szCs w:val="16"/>
              </w:rPr>
            </w:pPr>
            <w:r w:rsidRPr="00F51636">
              <w:rPr>
                <w:rFonts w:cs="Segoe UI"/>
                <w:color w:val="000000"/>
                <w:sz w:val="16"/>
                <w:szCs w:val="16"/>
              </w:rPr>
              <w:t>Primary, Rural and Palliative Care</w:t>
            </w:r>
            <w:r w:rsidR="00397C2F" w:rsidRPr="00F51636">
              <w:rPr>
                <w:rFonts w:cs="Segoe UI"/>
                <w:color w:val="000000"/>
                <w:sz w:val="16"/>
                <w:szCs w:val="16"/>
              </w:rPr>
              <w:t>, Tasmania Health</w:t>
            </w:r>
          </w:p>
        </w:tc>
      </w:tr>
      <w:tr w:rsidR="00B03EA0" w:rsidRPr="00A75948" w14:paraId="277ECD56" w14:textId="77777777" w:rsidTr="00A56DCA">
        <w:trPr>
          <w:cnfStyle w:val="000000010000" w:firstRow="0" w:lastRow="0" w:firstColumn="0" w:lastColumn="0" w:oddVBand="0" w:evenVBand="0" w:oddHBand="0" w:evenHBand="1" w:firstRowFirstColumn="0" w:firstRowLastColumn="0" w:lastRowFirstColumn="0" w:lastRowLastColumn="0"/>
        </w:trPr>
        <w:tc>
          <w:tcPr>
            <w:tcW w:w="9100" w:type="dxa"/>
            <w:gridSpan w:val="3"/>
            <w:shd w:val="clear" w:color="auto" w:fill="00264D" w:themeFill="background2"/>
          </w:tcPr>
          <w:p w14:paraId="604A8FE2" w14:textId="0F2252CA" w:rsidR="00B03EA0" w:rsidRPr="00F51636" w:rsidRDefault="00B03EA0" w:rsidP="00F51636">
            <w:pPr>
              <w:spacing w:after="0" w:line="240" w:lineRule="auto"/>
              <w:rPr>
                <w:sz w:val="16"/>
                <w:szCs w:val="16"/>
                <w:lang w:eastAsia="en-AU"/>
              </w:rPr>
            </w:pPr>
            <w:r w:rsidRPr="00F51636">
              <w:rPr>
                <w:rFonts w:ascii="Segoe UI Semibold" w:hAnsi="Segoe UI Semibold"/>
                <w:color w:val="FFFFFF" w:themeColor="background1"/>
                <w:sz w:val="16"/>
                <w:szCs w:val="16"/>
                <w:lang w:eastAsia="en-AU"/>
              </w:rPr>
              <w:t>Victoria Department of Health and Human Services</w:t>
            </w:r>
          </w:p>
        </w:tc>
      </w:tr>
      <w:tr w:rsidR="002C603C" w:rsidRPr="00A75948" w14:paraId="2686FAD3" w14:textId="77777777" w:rsidTr="002C603C">
        <w:trPr>
          <w:cnfStyle w:val="000000100000" w:firstRow="0" w:lastRow="0" w:firstColumn="0" w:lastColumn="0" w:oddVBand="0" w:evenVBand="0" w:oddHBand="1" w:evenHBand="0" w:firstRowFirstColumn="0" w:firstRowLastColumn="0" w:lastRowFirstColumn="0" w:lastRowLastColumn="0"/>
        </w:trPr>
        <w:tc>
          <w:tcPr>
            <w:tcW w:w="2353" w:type="dxa"/>
            <w:shd w:val="clear" w:color="auto" w:fill="FFFFFF" w:themeFill="background1"/>
          </w:tcPr>
          <w:p w14:paraId="469815DD" w14:textId="3779A3D0" w:rsidR="002C603C" w:rsidRPr="00F51636" w:rsidRDefault="002C603C" w:rsidP="00F51636">
            <w:pPr>
              <w:pStyle w:val="TableNText"/>
              <w:spacing w:before="0" w:after="0" w:line="240" w:lineRule="auto"/>
              <w:rPr>
                <w:sz w:val="16"/>
                <w:szCs w:val="16"/>
                <w:lang w:eastAsia="en-AU"/>
              </w:rPr>
            </w:pPr>
            <w:r w:rsidRPr="00F51636">
              <w:rPr>
                <w:sz w:val="16"/>
                <w:szCs w:val="16"/>
              </w:rPr>
              <w:t>Jackie Kearney</w:t>
            </w:r>
          </w:p>
        </w:tc>
        <w:tc>
          <w:tcPr>
            <w:tcW w:w="2694" w:type="dxa"/>
            <w:shd w:val="clear" w:color="auto" w:fill="FFFFFF" w:themeFill="background1"/>
          </w:tcPr>
          <w:p w14:paraId="538B8CE9" w14:textId="508E2818" w:rsidR="002C603C" w:rsidRPr="00F51636" w:rsidRDefault="002C603C" w:rsidP="00F51636">
            <w:pPr>
              <w:pStyle w:val="TableNText"/>
              <w:spacing w:before="0" w:after="0" w:line="240" w:lineRule="auto"/>
              <w:rPr>
                <w:sz w:val="16"/>
                <w:szCs w:val="16"/>
                <w:lang w:eastAsia="en-AU"/>
              </w:rPr>
            </w:pPr>
            <w:r w:rsidRPr="00F51636">
              <w:rPr>
                <w:sz w:val="16"/>
                <w:szCs w:val="16"/>
              </w:rPr>
              <w:t>Assistant Director</w:t>
            </w:r>
          </w:p>
        </w:tc>
        <w:tc>
          <w:tcPr>
            <w:tcW w:w="4053" w:type="dxa"/>
            <w:shd w:val="clear" w:color="auto" w:fill="FFFFFF" w:themeFill="background1"/>
          </w:tcPr>
          <w:p w14:paraId="2BA9A761" w14:textId="488AC80E" w:rsidR="002C603C" w:rsidRPr="00F51636" w:rsidRDefault="002C603C" w:rsidP="00F51636">
            <w:pPr>
              <w:pStyle w:val="TableNText"/>
              <w:spacing w:before="0" w:after="0" w:line="240" w:lineRule="auto"/>
              <w:rPr>
                <w:sz w:val="16"/>
                <w:szCs w:val="16"/>
                <w:lang w:eastAsia="en-AU"/>
              </w:rPr>
            </w:pPr>
            <w:r w:rsidRPr="00F51636">
              <w:rPr>
                <w:sz w:val="16"/>
                <w:szCs w:val="16"/>
              </w:rPr>
              <w:t xml:space="preserve">Person Directed Care and Worker Wellbeing, Health </w:t>
            </w:r>
            <w:r w:rsidR="00933531" w:rsidRPr="00F51636">
              <w:rPr>
                <w:sz w:val="16"/>
                <w:szCs w:val="16"/>
                <w:lang w:eastAsia="en-AU"/>
              </w:rPr>
              <w:t>and</w:t>
            </w:r>
            <w:r w:rsidRPr="00F51636">
              <w:rPr>
                <w:sz w:val="16"/>
                <w:szCs w:val="16"/>
              </w:rPr>
              <w:t xml:space="preserve"> Wellbeing Division, VIC Health </w:t>
            </w:r>
          </w:p>
        </w:tc>
      </w:tr>
      <w:tr w:rsidR="002C603C" w:rsidRPr="00A75948" w14:paraId="7048A344" w14:textId="77777777" w:rsidTr="002C603C">
        <w:trPr>
          <w:cnfStyle w:val="000000010000" w:firstRow="0" w:lastRow="0" w:firstColumn="0" w:lastColumn="0" w:oddVBand="0" w:evenVBand="0" w:oddHBand="0" w:evenHBand="1" w:firstRowFirstColumn="0" w:firstRowLastColumn="0" w:lastRowFirstColumn="0" w:lastRowLastColumn="0"/>
        </w:trPr>
        <w:tc>
          <w:tcPr>
            <w:tcW w:w="2353" w:type="dxa"/>
            <w:shd w:val="clear" w:color="auto" w:fill="FFFFFF" w:themeFill="background1"/>
          </w:tcPr>
          <w:p w14:paraId="2351282D" w14:textId="21CA82D0" w:rsidR="002C603C" w:rsidRPr="00F51636" w:rsidRDefault="002C603C" w:rsidP="00F51636">
            <w:pPr>
              <w:pStyle w:val="TableNText"/>
              <w:spacing w:before="0" w:after="0" w:line="240" w:lineRule="auto"/>
              <w:rPr>
                <w:sz w:val="16"/>
                <w:szCs w:val="16"/>
                <w:lang w:eastAsia="en-AU"/>
              </w:rPr>
            </w:pPr>
            <w:r w:rsidRPr="00F51636">
              <w:rPr>
                <w:sz w:val="16"/>
                <w:szCs w:val="16"/>
                <w:lang w:eastAsia="en-AU"/>
              </w:rPr>
              <w:t>Theresa Williamson</w:t>
            </w:r>
          </w:p>
        </w:tc>
        <w:tc>
          <w:tcPr>
            <w:tcW w:w="2694" w:type="dxa"/>
            <w:shd w:val="clear" w:color="auto" w:fill="FFFFFF" w:themeFill="background1"/>
          </w:tcPr>
          <w:p w14:paraId="7B7F10AC" w14:textId="710928EC" w:rsidR="002C603C" w:rsidRPr="00F51636" w:rsidRDefault="002C603C" w:rsidP="00F51636">
            <w:pPr>
              <w:pStyle w:val="TableNText"/>
              <w:spacing w:before="0" w:after="0" w:line="240" w:lineRule="auto"/>
              <w:rPr>
                <w:sz w:val="16"/>
                <w:szCs w:val="16"/>
                <w:lang w:eastAsia="en-AU"/>
              </w:rPr>
            </w:pPr>
            <w:r w:rsidRPr="00F51636">
              <w:rPr>
                <w:sz w:val="16"/>
                <w:szCs w:val="16"/>
                <w:lang w:eastAsia="en-AU"/>
              </w:rPr>
              <w:t>Manager</w:t>
            </w:r>
          </w:p>
        </w:tc>
        <w:tc>
          <w:tcPr>
            <w:tcW w:w="4053" w:type="dxa"/>
            <w:shd w:val="clear" w:color="auto" w:fill="FFFFFF" w:themeFill="background1"/>
          </w:tcPr>
          <w:p w14:paraId="54AF9DE1" w14:textId="0D5A811A" w:rsidR="002C603C" w:rsidRPr="00F51636" w:rsidRDefault="002C603C" w:rsidP="00F51636">
            <w:pPr>
              <w:pStyle w:val="TableNText"/>
              <w:spacing w:before="0" w:after="0" w:line="240" w:lineRule="auto"/>
              <w:rPr>
                <w:sz w:val="16"/>
                <w:szCs w:val="16"/>
                <w:lang w:eastAsia="en-AU"/>
              </w:rPr>
            </w:pPr>
            <w:r w:rsidRPr="00F51636">
              <w:rPr>
                <w:sz w:val="16"/>
                <w:szCs w:val="16"/>
              </w:rPr>
              <w:t xml:space="preserve">Palliative Care, Person Directed Care </w:t>
            </w:r>
            <w:r w:rsidR="00933531" w:rsidRPr="00F51636">
              <w:rPr>
                <w:sz w:val="16"/>
                <w:szCs w:val="16"/>
                <w:lang w:eastAsia="en-AU"/>
              </w:rPr>
              <w:t>and</w:t>
            </w:r>
            <w:r w:rsidRPr="00F51636">
              <w:rPr>
                <w:sz w:val="16"/>
                <w:szCs w:val="16"/>
              </w:rPr>
              <w:t xml:space="preserve"> Worker Wellbeing, VIC Health</w:t>
            </w:r>
          </w:p>
        </w:tc>
      </w:tr>
      <w:tr w:rsidR="002C603C" w:rsidRPr="00A75948" w14:paraId="5545355D" w14:textId="77777777" w:rsidTr="00966A28">
        <w:trPr>
          <w:cnfStyle w:val="000000100000" w:firstRow="0" w:lastRow="0" w:firstColumn="0" w:lastColumn="0" w:oddVBand="0" w:evenVBand="0" w:oddHBand="1" w:evenHBand="0" w:firstRowFirstColumn="0" w:firstRowLastColumn="0" w:lastRowFirstColumn="0" w:lastRowLastColumn="0"/>
        </w:trPr>
        <w:tc>
          <w:tcPr>
            <w:tcW w:w="2353" w:type="dxa"/>
            <w:shd w:val="clear" w:color="auto" w:fill="00264D" w:themeFill="background2"/>
          </w:tcPr>
          <w:p w14:paraId="4AD83058" w14:textId="7E45335F" w:rsidR="002C603C" w:rsidRPr="00F51636" w:rsidRDefault="002C603C" w:rsidP="00F51636">
            <w:pPr>
              <w:spacing w:after="0" w:line="240" w:lineRule="auto"/>
              <w:rPr>
                <w:sz w:val="16"/>
                <w:szCs w:val="16"/>
                <w:lang w:eastAsia="en-AU"/>
              </w:rPr>
            </w:pPr>
            <w:r w:rsidRPr="00F51636">
              <w:rPr>
                <w:rFonts w:ascii="Segoe UI Semibold" w:hAnsi="Segoe UI Semibold"/>
                <w:color w:val="FFFFFF" w:themeColor="background1"/>
                <w:sz w:val="16"/>
                <w:szCs w:val="16"/>
                <w:lang w:eastAsia="en-AU"/>
              </w:rPr>
              <w:t xml:space="preserve">WA </w:t>
            </w:r>
            <w:r w:rsidR="00BE21EC" w:rsidRPr="00F51636">
              <w:rPr>
                <w:rFonts w:ascii="Segoe UI Semibold" w:hAnsi="Segoe UI Semibold"/>
                <w:color w:val="FFFFFF" w:themeColor="background1"/>
                <w:sz w:val="16"/>
                <w:szCs w:val="16"/>
                <w:lang w:eastAsia="en-AU"/>
              </w:rPr>
              <w:t>Department of Health</w:t>
            </w:r>
            <w:r w:rsidR="00BE21EC" w:rsidRPr="00F51636">
              <w:rPr>
                <w:sz w:val="16"/>
                <w:szCs w:val="16"/>
                <w:lang w:eastAsia="en-AU"/>
              </w:rPr>
              <w:t xml:space="preserve"> </w:t>
            </w:r>
          </w:p>
        </w:tc>
        <w:tc>
          <w:tcPr>
            <w:tcW w:w="2694" w:type="dxa"/>
            <w:shd w:val="clear" w:color="auto" w:fill="00264D" w:themeFill="background2"/>
          </w:tcPr>
          <w:p w14:paraId="62C38FC3" w14:textId="77777777" w:rsidR="002C603C" w:rsidRPr="00F51636" w:rsidRDefault="002C603C" w:rsidP="00F51636">
            <w:pPr>
              <w:spacing w:after="0" w:line="240" w:lineRule="auto"/>
              <w:rPr>
                <w:sz w:val="16"/>
                <w:szCs w:val="16"/>
                <w:lang w:eastAsia="en-AU"/>
              </w:rPr>
            </w:pPr>
          </w:p>
        </w:tc>
        <w:tc>
          <w:tcPr>
            <w:tcW w:w="4053" w:type="dxa"/>
            <w:shd w:val="clear" w:color="auto" w:fill="00264D" w:themeFill="background2"/>
          </w:tcPr>
          <w:p w14:paraId="036F05FC" w14:textId="77777777" w:rsidR="002C603C" w:rsidRPr="00F51636" w:rsidRDefault="002C603C" w:rsidP="00F51636">
            <w:pPr>
              <w:spacing w:after="0" w:line="240" w:lineRule="auto"/>
              <w:rPr>
                <w:sz w:val="16"/>
                <w:szCs w:val="16"/>
                <w:lang w:eastAsia="en-AU"/>
              </w:rPr>
            </w:pPr>
          </w:p>
        </w:tc>
      </w:tr>
      <w:tr w:rsidR="002C603C" w:rsidRPr="00A75948" w14:paraId="3F2D0AB7" w14:textId="77777777" w:rsidTr="00B25FA6">
        <w:trPr>
          <w:cnfStyle w:val="000000010000" w:firstRow="0" w:lastRow="0" w:firstColumn="0" w:lastColumn="0" w:oddVBand="0" w:evenVBand="0" w:oddHBand="0" w:evenHBand="1" w:firstRowFirstColumn="0" w:firstRowLastColumn="0" w:lastRowFirstColumn="0" w:lastRowLastColumn="0"/>
        </w:trPr>
        <w:tc>
          <w:tcPr>
            <w:tcW w:w="2353" w:type="dxa"/>
          </w:tcPr>
          <w:p w14:paraId="5B1D200D" w14:textId="299BE434" w:rsidR="002C603C" w:rsidRPr="00F51636" w:rsidRDefault="002C603C" w:rsidP="00F51636">
            <w:pPr>
              <w:pStyle w:val="TableNText"/>
              <w:spacing w:before="0" w:after="0" w:line="240" w:lineRule="auto"/>
              <w:rPr>
                <w:sz w:val="16"/>
                <w:szCs w:val="16"/>
                <w:lang w:eastAsia="en-AU"/>
              </w:rPr>
            </w:pPr>
            <w:r w:rsidRPr="00F51636">
              <w:rPr>
                <w:sz w:val="16"/>
                <w:szCs w:val="16"/>
                <w:lang w:eastAsia="en-AU"/>
              </w:rPr>
              <w:t>Andrew Jones</w:t>
            </w:r>
          </w:p>
        </w:tc>
        <w:tc>
          <w:tcPr>
            <w:tcW w:w="2694" w:type="dxa"/>
          </w:tcPr>
          <w:p w14:paraId="076388D0" w14:textId="10D87337" w:rsidR="002C603C" w:rsidRPr="00F51636" w:rsidRDefault="002C603C" w:rsidP="00F51636">
            <w:pPr>
              <w:pStyle w:val="TableNText"/>
              <w:spacing w:before="0" w:after="0" w:line="240" w:lineRule="auto"/>
              <w:rPr>
                <w:sz w:val="16"/>
                <w:szCs w:val="16"/>
                <w:lang w:eastAsia="en-AU"/>
              </w:rPr>
            </w:pPr>
            <w:r w:rsidRPr="00F51636">
              <w:rPr>
                <w:sz w:val="16"/>
                <w:szCs w:val="16"/>
                <w:lang w:eastAsia="en-AU"/>
              </w:rPr>
              <w:t>(Former) Manager</w:t>
            </w:r>
          </w:p>
        </w:tc>
        <w:tc>
          <w:tcPr>
            <w:tcW w:w="4053" w:type="dxa"/>
          </w:tcPr>
          <w:p w14:paraId="1084513B" w14:textId="608C71AC" w:rsidR="002C603C" w:rsidRPr="00F51636" w:rsidRDefault="002C603C" w:rsidP="00F51636">
            <w:pPr>
              <w:pStyle w:val="TableNText"/>
              <w:spacing w:before="0" w:after="0" w:line="240" w:lineRule="auto"/>
              <w:rPr>
                <w:sz w:val="16"/>
                <w:szCs w:val="16"/>
                <w:lang w:eastAsia="en-AU"/>
              </w:rPr>
            </w:pPr>
            <w:r w:rsidRPr="00F51636">
              <w:rPr>
                <w:sz w:val="16"/>
                <w:szCs w:val="16"/>
                <w:lang w:eastAsia="en-AU"/>
              </w:rPr>
              <w:t>Cancer and Palliative Care, WA Health</w:t>
            </w:r>
          </w:p>
        </w:tc>
      </w:tr>
      <w:tr w:rsidR="002C603C" w:rsidRPr="00A75948" w14:paraId="4ED033E9" w14:textId="77777777" w:rsidTr="00B25FA6">
        <w:trPr>
          <w:cnfStyle w:val="000000100000" w:firstRow="0" w:lastRow="0" w:firstColumn="0" w:lastColumn="0" w:oddVBand="0" w:evenVBand="0" w:oddHBand="1" w:evenHBand="0" w:firstRowFirstColumn="0" w:firstRowLastColumn="0" w:lastRowFirstColumn="0" w:lastRowLastColumn="0"/>
        </w:trPr>
        <w:tc>
          <w:tcPr>
            <w:tcW w:w="2353" w:type="dxa"/>
          </w:tcPr>
          <w:p w14:paraId="17259D4C" w14:textId="75C2004F" w:rsidR="002C603C" w:rsidRPr="00F51636" w:rsidRDefault="002C603C" w:rsidP="00F51636">
            <w:pPr>
              <w:pStyle w:val="TableNText"/>
              <w:spacing w:before="0" w:after="0" w:line="240" w:lineRule="auto"/>
              <w:rPr>
                <w:sz w:val="16"/>
                <w:szCs w:val="16"/>
                <w:lang w:eastAsia="en-AU"/>
              </w:rPr>
            </w:pPr>
            <w:r w:rsidRPr="00F51636">
              <w:rPr>
                <w:sz w:val="16"/>
                <w:szCs w:val="16"/>
                <w:lang w:eastAsia="en-AU"/>
              </w:rPr>
              <w:t>Christie Sorenti</w:t>
            </w:r>
          </w:p>
        </w:tc>
        <w:tc>
          <w:tcPr>
            <w:tcW w:w="2694" w:type="dxa"/>
          </w:tcPr>
          <w:p w14:paraId="19103BA9" w14:textId="2E92BABB" w:rsidR="002C603C" w:rsidRPr="00F51636" w:rsidRDefault="002C603C" w:rsidP="00F51636">
            <w:pPr>
              <w:pStyle w:val="TableNText"/>
              <w:spacing w:before="0" w:after="0" w:line="240" w:lineRule="auto"/>
              <w:rPr>
                <w:sz w:val="16"/>
                <w:szCs w:val="16"/>
                <w:lang w:eastAsia="en-AU"/>
              </w:rPr>
            </w:pPr>
            <w:r w:rsidRPr="00F51636">
              <w:rPr>
                <w:rFonts w:cs="Segoe UI"/>
                <w:color w:val="000000"/>
                <w:sz w:val="16"/>
                <w:szCs w:val="16"/>
              </w:rPr>
              <w:t>Senior Policy Officer</w:t>
            </w:r>
          </w:p>
        </w:tc>
        <w:tc>
          <w:tcPr>
            <w:tcW w:w="4053" w:type="dxa"/>
          </w:tcPr>
          <w:p w14:paraId="1ECD8E13" w14:textId="4E125E4A" w:rsidR="002C603C" w:rsidRPr="00F51636" w:rsidRDefault="002C603C" w:rsidP="00F51636">
            <w:pPr>
              <w:pStyle w:val="TableNText"/>
              <w:spacing w:before="0" w:after="0" w:line="240" w:lineRule="auto"/>
              <w:rPr>
                <w:sz w:val="16"/>
                <w:szCs w:val="16"/>
                <w:lang w:eastAsia="en-AU"/>
              </w:rPr>
            </w:pPr>
            <w:r w:rsidRPr="00F51636">
              <w:rPr>
                <w:sz w:val="16"/>
                <w:szCs w:val="16"/>
                <w:lang w:eastAsia="en-AU"/>
              </w:rPr>
              <w:t>End-of-Life Care, WA Health</w:t>
            </w:r>
          </w:p>
        </w:tc>
      </w:tr>
      <w:tr w:rsidR="006D4DE5" w:rsidRPr="00A75948" w14:paraId="0139D22C" w14:textId="77777777" w:rsidTr="00B25FA6">
        <w:trPr>
          <w:cnfStyle w:val="000000010000" w:firstRow="0" w:lastRow="0" w:firstColumn="0" w:lastColumn="0" w:oddVBand="0" w:evenVBand="0" w:oddHBand="0" w:evenHBand="1" w:firstRowFirstColumn="0" w:firstRowLastColumn="0" w:lastRowFirstColumn="0" w:lastRowLastColumn="0"/>
        </w:trPr>
        <w:tc>
          <w:tcPr>
            <w:tcW w:w="2353" w:type="dxa"/>
          </w:tcPr>
          <w:p w14:paraId="40A7A53E" w14:textId="2B4713F8" w:rsidR="006D4DE5" w:rsidRPr="00F51636" w:rsidRDefault="002C603C" w:rsidP="00F51636">
            <w:pPr>
              <w:pStyle w:val="TableNText"/>
              <w:spacing w:before="0" w:after="0" w:line="240" w:lineRule="auto"/>
              <w:rPr>
                <w:sz w:val="16"/>
                <w:szCs w:val="16"/>
                <w:lang w:eastAsia="en-AU"/>
              </w:rPr>
            </w:pPr>
            <w:r w:rsidRPr="00F51636">
              <w:rPr>
                <w:sz w:val="16"/>
                <w:szCs w:val="16"/>
                <w:lang w:eastAsia="en-AU"/>
              </w:rPr>
              <w:t>Danielle Vanpraag</w:t>
            </w:r>
          </w:p>
        </w:tc>
        <w:tc>
          <w:tcPr>
            <w:tcW w:w="2694" w:type="dxa"/>
          </w:tcPr>
          <w:p w14:paraId="7A7B112A" w14:textId="2EA8834C" w:rsidR="006D4DE5" w:rsidRPr="00F51636" w:rsidRDefault="006D4DE5" w:rsidP="00F51636">
            <w:pPr>
              <w:pStyle w:val="TableNText"/>
              <w:spacing w:before="0" w:after="0" w:line="240" w:lineRule="auto"/>
              <w:rPr>
                <w:sz w:val="16"/>
                <w:szCs w:val="16"/>
                <w:lang w:eastAsia="en-AU"/>
              </w:rPr>
            </w:pPr>
          </w:p>
        </w:tc>
        <w:tc>
          <w:tcPr>
            <w:tcW w:w="4053" w:type="dxa"/>
          </w:tcPr>
          <w:p w14:paraId="5E4E69B3" w14:textId="60D5E05E" w:rsidR="006D4DE5" w:rsidRPr="00F51636" w:rsidRDefault="002C603C" w:rsidP="00F51636">
            <w:pPr>
              <w:pStyle w:val="TableNText"/>
              <w:spacing w:before="0" w:after="0" w:line="240" w:lineRule="auto"/>
              <w:rPr>
                <w:sz w:val="16"/>
                <w:szCs w:val="16"/>
                <w:lang w:eastAsia="en-AU"/>
              </w:rPr>
            </w:pPr>
            <w:r w:rsidRPr="00F51636">
              <w:rPr>
                <w:rFonts w:cs="Segoe UI"/>
                <w:color w:val="000000"/>
                <w:sz w:val="16"/>
                <w:szCs w:val="16"/>
              </w:rPr>
              <w:t>WA Health</w:t>
            </w:r>
          </w:p>
        </w:tc>
      </w:tr>
      <w:tr w:rsidR="002C603C" w:rsidRPr="00A75948" w14:paraId="20857B10" w14:textId="77777777" w:rsidTr="00B25FA6">
        <w:trPr>
          <w:cnfStyle w:val="000000100000" w:firstRow="0" w:lastRow="0" w:firstColumn="0" w:lastColumn="0" w:oddVBand="0" w:evenVBand="0" w:oddHBand="1" w:evenHBand="0" w:firstRowFirstColumn="0" w:firstRowLastColumn="0" w:lastRowFirstColumn="0" w:lastRowLastColumn="0"/>
        </w:trPr>
        <w:tc>
          <w:tcPr>
            <w:tcW w:w="2353" w:type="dxa"/>
          </w:tcPr>
          <w:p w14:paraId="27CECAA1" w14:textId="75EFCC67" w:rsidR="002C603C" w:rsidRPr="00F51636" w:rsidRDefault="002C603C" w:rsidP="00F51636">
            <w:pPr>
              <w:pStyle w:val="TableNText"/>
              <w:spacing w:before="0" w:after="0" w:line="240" w:lineRule="auto"/>
              <w:rPr>
                <w:sz w:val="16"/>
                <w:szCs w:val="16"/>
                <w:lang w:eastAsia="en-AU"/>
              </w:rPr>
            </w:pPr>
            <w:r w:rsidRPr="00F51636">
              <w:rPr>
                <w:sz w:val="16"/>
                <w:szCs w:val="16"/>
                <w:lang w:eastAsia="en-AU"/>
              </w:rPr>
              <w:t>Frances Arthur</w:t>
            </w:r>
          </w:p>
        </w:tc>
        <w:tc>
          <w:tcPr>
            <w:tcW w:w="2694" w:type="dxa"/>
          </w:tcPr>
          <w:p w14:paraId="4340580E" w14:textId="0B81930B" w:rsidR="002C603C" w:rsidRPr="00F51636" w:rsidRDefault="002C603C" w:rsidP="00F51636">
            <w:pPr>
              <w:pStyle w:val="TableNText"/>
              <w:spacing w:before="0" w:after="0" w:line="240" w:lineRule="auto"/>
              <w:rPr>
                <w:sz w:val="16"/>
                <w:szCs w:val="16"/>
                <w:lang w:eastAsia="en-AU"/>
              </w:rPr>
            </w:pPr>
            <w:r w:rsidRPr="00F51636">
              <w:rPr>
                <w:sz w:val="16"/>
                <w:szCs w:val="16"/>
                <w:lang w:eastAsia="en-AU"/>
              </w:rPr>
              <w:t>Project Officer</w:t>
            </w:r>
          </w:p>
        </w:tc>
        <w:tc>
          <w:tcPr>
            <w:tcW w:w="4053" w:type="dxa"/>
          </w:tcPr>
          <w:p w14:paraId="167EFB90" w14:textId="04F2B7C9" w:rsidR="002C603C" w:rsidRPr="00F51636" w:rsidRDefault="002C603C" w:rsidP="00F51636">
            <w:pPr>
              <w:pStyle w:val="TableNText"/>
              <w:spacing w:before="0" w:after="0" w:line="240" w:lineRule="auto"/>
              <w:rPr>
                <w:sz w:val="16"/>
                <w:szCs w:val="16"/>
                <w:lang w:eastAsia="en-AU"/>
              </w:rPr>
            </w:pPr>
            <w:r w:rsidRPr="00F51636">
              <w:rPr>
                <w:sz w:val="16"/>
                <w:szCs w:val="16"/>
                <w:lang w:eastAsia="en-AU"/>
              </w:rPr>
              <w:t>End-of-Life Care, WA Health</w:t>
            </w:r>
          </w:p>
        </w:tc>
      </w:tr>
      <w:tr w:rsidR="002C603C" w:rsidRPr="00A75948" w14:paraId="082583A6" w14:textId="77777777" w:rsidTr="00B25FA6">
        <w:trPr>
          <w:cnfStyle w:val="000000010000" w:firstRow="0" w:lastRow="0" w:firstColumn="0" w:lastColumn="0" w:oddVBand="0" w:evenVBand="0" w:oddHBand="0" w:evenHBand="1" w:firstRowFirstColumn="0" w:firstRowLastColumn="0" w:lastRowFirstColumn="0" w:lastRowLastColumn="0"/>
        </w:trPr>
        <w:tc>
          <w:tcPr>
            <w:tcW w:w="2353" w:type="dxa"/>
          </w:tcPr>
          <w:p w14:paraId="3BCECDAF" w14:textId="6E8142A1" w:rsidR="002C603C" w:rsidRPr="00F51636" w:rsidRDefault="002C603C" w:rsidP="00F51636">
            <w:pPr>
              <w:pStyle w:val="TableNText"/>
              <w:spacing w:before="0" w:after="0" w:line="240" w:lineRule="auto"/>
              <w:rPr>
                <w:sz w:val="16"/>
                <w:szCs w:val="16"/>
                <w:lang w:eastAsia="en-AU"/>
              </w:rPr>
            </w:pPr>
            <w:r w:rsidRPr="00F51636">
              <w:rPr>
                <w:sz w:val="16"/>
                <w:szCs w:val="16"/>
                <w:lang w:eastAsia="en-AU"/>
              </w:rPr>
              <w:t>Gabriella Jerrat</w:t>
            </w:r>
          </w:p>
        </w:tc>
        <w:tc>
          <w:tcPr>
            <w:tcW w:w="2694" w:type="dxa"/>
          </w:tcPr>
          <w:p w14:paraId="07B5873F" w14:textId="6FE6058F" w:rsidR="002C603C" w:rsidRPr="00F51636" w:rsidRDefault="002C603C" w:rsidP="00F51636">
            <w:pPr>
              <w:pStyle w:val="TableNText"/>
              <w:spacing w:before="0" w:after="0" w:line="240" w:lineRule="auto"/>
              <w:rPr>
                <w:sz w:val="16"/>
                <w:szCs w:val="16"/>
                <w:lang w:eastAsia="en-AU"/>
              </w:rPr>
            </w:pPr>
            <w:r w:rsidRPr="00F51636">
              <w:rPr>
                <w:sz w:val="16"/>
                <w:szCs w:val="16"/>
                <w:lang w:eastAsia="en-AU"/>
              </w:rPr>
              <w:t>Program Manager</w:t>
            </w:r>
          </w:p>
        </w:tc>
        <w:tc>
          <w:tcPr>
            <w:tcW w:w="4053" w:type="dxa"/>
          </w:tcPr>
          <w:p w14:paraId="5A12391A" w14:textId="66702E84" w:rsidR="002C603C" w:rsidRPr="00F51636" w:rsidRDefault="002C603C" w:rsidP="00F51636">
            <w:pPr>
              <w:pStyle w:val="TableNText"/>
              <w:spacing w:before="0" w:after="0" w:line="240" w:lineRule="auto"/>
              <w:rPr>
                <w:sz w:val="16"/>
                <w:szCs w:val="16"/>
                <w:lang w:eastAsia="en-AU"/>
              </w:rPr>
            </w:pPr>
            <w:r w:rsidRPr="00F51636">
              <w:rPr>
                <w:sz w:val="16"/>
                <w:szCs w:val="16"/>
                <w:lang w:eastAsia="en-AU"/>
              </w:rPr>
              <w:t>Palliative Care and Advance Care Planning, WA Health</w:t>
            </w:r>
          </w:p>
        </w:tc>
      </w:tr>
      <w:tr w:rsidR="006D4DE5" w:rsidRPr="00A75948" w14:paraId="7AF59090" w14:textId="77777777" w:rsidTr="00A56DCA">
        <w:trPr>
          <w:cnfStyle w:val="000000100000" w:firstRow="0" w:lastRow="0" w:firstColumn="0" w:lastColumn="0" w:oddVBand="0" w:evenVBand="0" w:oddHBand="1" w:evenHBand="0" w:firstRowFirstColumn="0" w:firstRowLastColumn="0" w:lastRowFirstColumn="0" w:lastRowLastColumn="0"/>
        </w:trPr>
        <w:tc>
          <w:tcPr>
            <w:tcW w:w="9100" w:type="dxa"/>
            <w:gridSpan w:val="3"/>
            <w:shd w:val="clear" w:color="auto" w:fill="00264D" w:themeFill="background2"/>
          </w:tcPr>
          <w:p w14:paraId="776F113F" w14:textId="4F659900" w:rsidR="006D4DE5" w:rsidRPr="00F51636" w:rsidRDefault="003174D9" w:rsidP="00F51636">
            <w:pPr>
              <w:spacing w:after="0" w:line="240" w:lineRule="auto"/>
              <w:rPr>
                <w:color w:val="FFFFFF" w:themeColor="background1"/>
                <w:sz w:val="16"/>
                <w:szCs w:val="16"/>
                <w:lang w:eastAsia="en-AU"/>
              </w:rPr>
            </w:pPr>
            <w:r w:rsidRPr="00F51636">
              <w:rPr>
                <w:rFonts w:ascii="Segoe UI Semibold" w:hAnsi="Segoe UI Semibold"/>
                <w:color w:val="FFFFFF" w:themeColor="background1"/>
                <w:sz w:val="16"/>
                <w:szCs w:val="16"/>
                <w:lang w:eastAsia="en-AU"/>
              </w:rPr>
              <w:t xml:space="preserve">Palliative </w:t>
            </w:r>
            <w:r w:rsidR="00190B7B" w:rsidRPr="00F51636">
              <w:rPr>
                <w:rFonts w:ascii="Segoe UI Semibold" w:hAnsi="Segoe UI Semibold"/>
                <w:color w:val="FFFFFF" w:themeColor="background1"/>
                <w:sz w:val="16"/>
                <w:szCs w:val="16"/>
                <w:lang w:eastAsia="en-AU"/>
              </w:rPr>
              <w:t>care and/or a</w:t>
            </w:r>
            <w:r w:rsidR="00623CE0" w:rsidRPr="00F51636">
              <w:rPr>
                <w:rFonts w:ascii="Segoe UI Semibold" w:hAnsi="Segoe UI Semibold"/>
                <w:color w:val="FFFFFF" w:themeColor="background1"/>
                <w:sz w:val="16"/>
                <w:szCs w:val="16"/>
                <w:lang w:eastAsia="en-AU"/>
              </w:rPr>
              <w:t xml:space="preserve">ged care </w:t>
            </w:r>
            <w:r w:rsidRPr="00F51636">
              <w:rPr>
                <w:rFonts w:ascii="Segoe UI Semibold" w:hAnsi="Segoe UI Semibold"/>
                <w:color w:val="FFFFFF" w:themeColor="background1"/>
                <w:sz w:val="16"/>
                <w:szCs w:val="16"/>
                <w:lang w:eastAsia="en-AU"/>
              </w:rPr>
              <w:t>peak bodies</w:t>
            </w:r>
          </w:p>
        </w:tc>
      </w:tr>
      <w:tr w:rsidR="00D81648" w:rsidRPr="00A75948" w14:paraId="3D0BD7DA" w14:textId="77777777" w:rsidTr="00ED15F4">
        <w:trPr>
          <w:cnfStyle w:val="000000010000" w:firstRow="0" w:lastRow="0" w:firstColumn="0" w:lastColumn="0" w:oddVBand="0" w:evenVBand="0" w:oddHBand="0" w:evenHBand="1" w:firstRowFirstColumn="0" w:firstRowLastColumn="0" w:lastRowFirstColumn="0" w:lastRowLastColumn="0"/>
        </w:trPr>
        <w:tc>
          <w:tcPr>
            <w:tcW w:w="2353" w:type="dxa"/>
          </w:tcPr>
          <w:p w14:paraId="1294AC5B" w14:textId="6A6B537E" w:rsidR="00D81648" w:rsidRPr="00F51636" w:rsidRDefault="00D81648" w:rsidP="00F51636">
            <w:pPr>
              <w:pStyle w:val="TableNText"/>
              <w:spacing w:before="0" w:after="0" w:line="240" w:lineRule="auto"/>
              <w:rPr>
                <w:sz w:val="16"/>
                <w:szCs w:val="16"/>
                <w:lang w:eastAsia="en-AU"/>
              </w:rPr>
            </w:pPr>
            <w:r w:rsidRPr="00F51636">
              <w:rPr>
                <w:sz w:val="16"/>
                <w:szCs w:val="16"/>
              </w:rPr>
              <w:t>Katie Snell</w:t>
            </w:r>
          </w:p>
        </w:tc>
        <w:tc>
          <w:tcPr>
            <w:tcW w:w="2694" w:type="dxa"/>
          </w:tcPr>
          <w:p w14:paraId="6CA4DA79" w14:textId="397D6E5D" w:rsidR="00D81648" w:rsidRPr="00F51636" w:rsidRDefault="00A2288A" w:rsidP="00F51636">
            <w:pPr>
              <w:pStyle w:val="TableNText"/>
              <w:spacing w:before="0" w:after="0" w:line="240" w:lineRule="auto"/>
              <w:rPr>
                <w:sz w:val="16"/>
                <w:szCs w:val="16"/>
              </w:rPr>
            </w:pPr>
            <w:r w:rsidRPr="00F51636">
              <w:rPr>
                <w:sz w:val="16"/>
                <w:szCs w:val="16"/>
              </w:rPr>
              <w:t>Acting National Policy Manager and Aged Care Policy Advisor</w:t>
            </w:r>
          </w:p>
        </w:tc>
        <w:tc>
          <w:tcPr>
            <w:tcW w:w="4053" w:type="dxa"/>
          </w:tcPr>
          <w:p w14:paraId="0B5E55BD" w14:textId="326EEB28" w:rsidR="00D81648" w:rsidRPr="00F51636" w:rsidRDefault="00D81648" w:rsidP="00F51636">
            <w:pPr>
              <w:pStyle w:val="TableNText"/>
              <w:spacing w:before="0" w:after="0" w:line="240" w:lineRule="auto"/>
              <w:rPr>
                <w:sz w:val="16"/>
                <w:szCs w:val="16"/>
                <w:lang w:eastAsia="en-AU"/>
              </w:rPr>
            </w:pPr>
            <w:r w:rsidRPr="00F51636">
              <w:rPr>
                <w:sz w:val="16"/>
                <w:szCs w:val="16"/>
              </w:rPr>
              <w:t xml:space="preserve">Palliative Care Australia </w:t>
            </w:r>
          </w:p>
        </w:tc>
      </w:tr>
      <w:tr w:rsidR="00D81648" w:rsidRPr="00A75948" w14:paraId="4904E662" w14:textId="77777777" w:rsidTr="00ED15F4">
        <w:trPr>
          <w:cnfStyle w:val="000000100000" w:firstRow="0" w:lastRow="0" w:firstColumn="0" w:lastColumn="0" w:oddVBand="0" w:evenVBand="0" w:oddHBand="1" w:evenHBand="0" w:firstRowFirstColumn="0" w:firstRowLastColumn="0" w:lastRowFirstColumn="0" w:lastRowLastColumn="0"/>
        </w:trPr>
        <w:tc>
          <w:tcPr>
            <w:tcW w:w="2353" w:type="dxa"/>
          </w:tcPr>
          <w:p w14:paraId="0112E24C" w14:textId="20C81287" w:rsidR="00D81648" w:rsidRPr="00F51636" w:rsidRDefault="00D81648" w:rsidP="00F51636">
            <w:pPr>
              <w:pStyle w:val="TableNText"/>
              <w:spacing w:before="0" w:after="0" w:line="240" w:lineRule="auto"/>
              <w:rPr>
                <w:sz w:val="16"/>
                <w:szCs w:val="16"/>
                <w:lang w:eastAsia="en-AU"/>
              </w:rPr>
            </w:pPr>
            <w:r w:rsidRPr="00F51636">
              <w:rPr>
                <w:sz w:val="16"/>
                <w:szCs w:val="16"/>
                <w:lang w:eastAsia="en-AU"/>
              </w:rPr>
              <w:t>Coleen Johnstone</w:t>
            </w:r>
          </w:p>
        </w:tc>
        <w:tc>
          <w:tcPr>
            <w:tcW w:w="2694" w:type="dxa"/>
          </w:tcPr>
          <w:p w14:paraId="4C803EF2" w14:textId="367B9644" w:rsidR="00D81648" w:rsidRPr="00F51636" w:rsidRDefault="00D81648" w:rsidP="00F51636">
            <w:pPr>
              <w:pStyle w:val="TableNText"/>
              <w:spacing w:before="0" w:after="0" w:line="240" w:lineRule="auto"/>
              <w:rPr>
                <w:sz w:val="16"/>
                <w:szCs w:val="16"/>
              </w:rPr>
            </w:pPr>
            <w:r w:rsidRPr="00F51636">
              <w:rPr>
                <w:sz w:val="16"/>
                <w:szCs w:val="16"/>
              </w:rPr>
              <w:t>CEO</w:t>
            </w:r>
          </w:p>
        </w:tc>
        <w:tc>
          <w:tcPr>
            <w:tcW w:w="4053" w:type="dxa"/>
          </w:tcPr>
          <w:p w14:paraId="6EFBB2BD" w14:textId="3E4084A5" w:rsidR="00D81648" w:rsidRPr="00F51636" w:rsidRDefault="00D81648" w:rsidP="00F51636">
            <w:pPr>
              <w:pStyle w:val="TableNText"/>
              <w:spacing w:before="0" w:after="0" w:line="240" w:lineRule="auto"/>
              <w:rPr>
                <w:sz w:val="16"/>
                <w:szCs w:val="16"/>
                <w:lang w:eastAsia="en-AU"/>
              </w:rPr>
            </w:pPr>
            <w:r w:rsidRPr="00F51636">
              <w:rPr>
                <w:sz w:val="16"/>
                <w:szCs w:val="16"/>
                <w:lang w:eastAsia="en-AU"/>
              </w:rPr>
              <w:t>Palliative Care Tasmania</w:t>
            </w:r>
          </w:p>
        </w:tc>
      </w:tr>
      <w:tr w:rsidR="00D81648" w:rsidRPr="00A75948" w14:paraId="7AE27876" w14:textId="77777777" w:rsidTr="00ED15F4">
        <w:trPr>
          <w:cnfStyle w:val="000000010000" w:firstRow="0" w:lastRow="0" w:firstColumn="0" w:lastColumn="0" w:oddVBand="0" w:evenVBand="0" w:oddHBand="0" w:evenHBand="1" w:firstRowFirstColumn="0" w:firstRowLastColumn="0" w:lastRowFirstColumn="0" w:lastRowLastColumn="0"/>
        </w:trPr>
        <w:tc>
          <w:tcPr>
            <w:tcW w:w="2353" w:type="dxa"/>
          </w:tcPr>
          <w:p w14:paraId="44F3FAEF" w14:textId="658EB0DA" w:rsidR="00D81648" w:rsidRPr="00F51636" w:rsidRDefault="00D81648" w:rsidP="00F51636">
            <w:pPr>
              <w:pStyle w:val="TableNText"/>
              <w:spacing w:before="0" w:after="0" w:line="240" w:lineRule="auto"/>
              <w:rPr>
                <w:rFonts w:cs="Segoe UI"/>
                <w:color w:val="000000"/>
                <w:sz w:val="16"/>
                <w:szCs w:val="16"/>
              </w:rPr>
            </w:pPr>
            <w:r w:rsidRPr="00F51636">
              <w:rPr>
                <w:sz w:val="16"/>
                <w:szCs w:val="16"/>
                <w:lang w:eastAsia="en-AU"/>
              </w:rPr>
              <w:t>Tracy Gillard</w:t>
            </w:r>
          </w:p>
        </w:tc>
        <w:tc>
          <w:tcPr>
            <w:tcW w:w="2694" w:type="dxa"/>
          </w:tcPr>
          <w:p w14:paraId="5EEE862D" w14:textId="414CF763" w:rsidR="00D81648" w:rsidRPr="00F51636" w:rsidRDefault="003A24E3" w:rsidP="00F51636">
            <w:pPr>
              <w:pStyle w:val="TableNText"/>
              <w:spacing w:before="0" w:after="0" w:line="240" w:lineRule="auto"/>
              <w:rPr>
                <w:rFonts w:cs="Segoe UI"/>
                <w:color w:val="000000"/>
                <w:sz w:val="16"/>
                <w:szCs w:val="16"/>
              </w:rPr>
            </w:pPr>
            <w:r w:rsidRPr="00F51636">
              <w:rPr>
                <w:rFonts w:cs="Segoe UI"/>
                <w:color w:val="000000"/>
                <w:sz w:val="16"/>
                <w:szCs w:val="16"/>
              </w:rPr>
              <w:t>CEO</w:t>
            </w:r>
          </w:p>
        </w:tc>
        <w:tc>
          <w:tcPr>
            <w:tcW w:w="4053" w:type="dxa"/>
          </w:tcPr>
          <w:p w14:paraId="7F9E6700" w14:textId="2E237962" w:rsidR="00D81648" w:rsidRPr="00F51636" w:rsidRDefault="00D81648" w:rsidP="00F51636">
            <w:pPr>
              <w:pStyle w:val="TableNText"/>
              <w:spacing w:before="0" w:after="0" w:line="240" w:lineRule="auto"/>
              <w:rPr>
                <w:rFonts w:cs="Segoe UI"/>
                <w:color w:val="000000"/>
                <w:sz w:val="16"/>
                <w:szCs w:val="16"/>
              </w:rPr>
            </w:pPr>
            <w:r w:rsidRPr="00F51636">
              <w:rPr>
                <w:sz w:val="16"/>
                <w:szCs w:val="16"/>
                <w:lang w:eastAsia="en-AU"/>
              </w:rPr>
              <w:t>Palliative Care ACT</w:t>
            </w:r>
          </w:p>
        </w:tc>
      </w:tr>
      <w:tr w:rsidR="00D81648" w:rsidRPr="00A75948" w14:paraId="75B0BDC3" w14:textId="77777777" w:rsidTr="00ED15F4">
        <w:trPr>
          <w:cnfStyle w:val="000000100000" w:firstRow="0" w:lastRow="0" w:firstColumn="0" w:lastColumn="0" w:oddVBand="0" w:evenVBand="0" w:oddHBand="1" w:evenHBand="0" w:firstRowFirstColumn="0" w:firstRowLastColumn="0" w:lastRowFirstColumn="0" w:lastRowLastColumn="0"/>
        </w:trPr>
        <w:tc>
          <w:tcPr>
            <w:tcW w:w="2353" w:type="dxa"/>
          </w:tcPr>
          <w:p w14:paraId="2210F5C2" w14:textId="6A7CB1FE" w:rsidR="00D81648" w:rsidRPr="00F51636" w:rsidRDefault="00D81648" w:rsidP="00F51636">
            <w:pPr>
              <w:pStyle w:val="TableNText"/>
              <w:spacing w:before="0" w:after="0" w:line="240" w:lineRule="auto"/>
              <w:rPr>
                <w:sz w:val="16"/>
                <w:szCs w:val="16"/>
                <w:lang w:eastAsia="en-AU"/>
              </w:rPr>
            </w:pPr>
            <w:r w:rsidRPr="00F51636">
              <w:rPr>
                <w:rFonts w:cs="Segoe UI"/>
                <w:color w:val="000000"/>
                <w:sz w:val="16"/>
                <w:szCs w:val="16"/>
              </w:rPr>
              <w:t>Janeane Harlum</w:t>
            </w:r>
          </w:p>
        </w:tc>
        <w:tc>
          <w:tcPr>
            <w:tcW w:w="2694" w:type="dxa"/>
          </w:tcPr>
          <w:p w14:paraId="7FB0D110" w14:textId="4CC543DA" w:rsidR="00D81648" w:rsidRPr="00F51636" w:rsidRDefault="00D81648" w:rsidP="00F51636">
            <w:pPr>
              <w:pStyle w:val="TableNText"/>
              <w:spacing w:before="0" w:after="0" w:line="240" w:lineRule="auto"/>
              <w:rPr>
                <w:rFonts w:cs="Segoe UI"/>
                <w:color w:val="000000"/>
                <w:sz w:val="16"/>
                <w:szCs w:val="16"/>
              </w:rPr>
            </w:pPr>
            <w:r w:rsidRPr="00F51636">
              <w:rPr>
                <w:rFonts w:cs="Segoe UI"/>
                <w:color w:val="000000"/>
                <w:sz w:val="16"/>
                <w:szCs w:val="16"/>
              </w:rPr>
              <w:t>President</w:t>
            </w:r>
          </w:p>
        </w:tc>
        <w:tc>
          <w:tcPr>
            <w:tcW w:w="4053" w:type="dxa"/>
          </w:tcPr>
          <w:p w14:paraId="3D515EDB" w14:textId="46C8CF39" w:rsidR="00D81648" w:rsidRPr="00F51636" w:rsidRDefault="00D81648" w:rsidP="00F51636">
            <w:pPr>
              <w:pStyle w:val="TableNText"/>
              <w:spacing w:before="0" w:after="0" w:line="240" w:lineRule="auto"/>
              <w:rPr>
                <w:sz w:val="16"/>
                <w:szCs w:val="16"/>
                <w:lang w:eastAsia="en-AU"/>
              </w:rPr>
            </w:pPr>
            <w:r w:rsidRPr="00F51636">
              <w:rPr>
                <w:rFonts w:cs="Segoe UI"/>
                <w:color w:val="000000"/>
                <w:sz w:val="16"/>
                <w:szCs w:val="16"/>
              </w:rPr>
              <w:t xml:space="preserve">Palliative Care Nurses Australia </w:t>
            </w:r>
          </w:p>
        </w:tc>
      </w:tr>
      <w:tr w:rsidR="00D81648" w:rsidRPr="00A75948" w14:paraId="29C37A6D" w14:textId="77777777" w:rsidTr="00ED15F4">
        <w:trPr>
          <w:cnfStyle w:val="000000010000" w:firstRow="0" w:lastRow="0" w:firstColumn="0" w:lastColumn="0" w:oddVBand="0" w:evenVBand="0" w:oddHBand="0" w:evenHBand="1" w:firstRowFirstColumn="0" w:firstRowLastColumn="0" w:lastRowFirstColumn="0" w:lastRowLastColumn="0"/>
        </w:trPr>
        <w:tc>
          <w:tcPr>
            <w:tcW w:w="2353" w:type="dxa"/>
          </w:tcPr>
          <w:p w14:paraId="28E05708" w14:textId="20C28D0F" w:rsidR="00D81648" w:rsidRPr="00F51636" w:rsidRDefault="00D81648" w:rsidP="00F51636">
            <w:pPr>
              <w:pStyle w:val="TableNText"/>
              <w:spacing w:before="0" w:after="0" w:line="240" w:lineRule="auto"/>
              <w:rPr>
                <w:sz w:val="16"/>
                <w:szCs w:val="16"/>
                <w:lang w:eastAsia="en-AU"/>
              </w:rPr>
            </w:pPr>
            <w:r w:rsidRPr="00F51636">
              <w:rPr>
                <w:rFonts w:cs="Segoe UI"/>
                <w:color w:val="000000"/>
                <w:sz w:val="16"/>
                <w:szCs w:val="16"/>
              </w:rPr>
              <w:t>Julianne Brisbane</w:t>
            </w:r>
          </w:p>
        </w:tc>
        <w:tc>
          <w:tcPr>
            <w:tcW w:w="2694" w:type="dxa"/>
          </w:tcPr>
          <w:p w14:paraId="41779636" w14:textId="4530AA9B" w:rsidR="00D81648" w:rsidRPr="00F51636" w:rsidRDefault="00D07BEA" w:rsidP="00F51636">
            <w:pPr>
              <w:pStyle w:val="TableNText"/>
              <w:spacing w:before="0" w:after="0" w:line="240" w:lineRule="auto"/>
              <w:rPr>
                <w:rFonts w:cs="Segoe UI"/>
                <w:color w:val="000000"/>
                <w:sz w:val="16"/>
                <w:szCs w:val="16"/>
              </w:rPr>
            </w:pPr>
            <w:r w:rsidRPr="00F51636">
              <w:rPr>
                <w:rFonts w:cs="Segoe UI"/>
                <w:color w:val="000000"/>
                <w:sz w:val="16"/>
                <w:szCs w:val="16"/>
              </w:rPr>
              <w:t xml:space="preserve">Supportive and Palliative Care Nurse Practitioner </w:t>
            </w:r>
          </w:p>
        </w:tc>
        <w:tc>
          <w:tcPr>
            <w:tcW w:w="4053" w:type="dxa"/>
          </w:tcPr>
          <w:p w14:paraId="23CA7A53" w14:textId="0CC28E81" w:rsidR="00D81648" w:rsidRPr="00F51636" w:rsidRDefault="00D07BEA" w:rsidP="00F51636">
            <w:pPr>
              <w:pStyle w:val="TableNText"/>
              <w:spacing w:before="0" w:after="0" w:line="240" w:lineRule="auto"/>
              <w:rPr>
                <w:sz w:val="16"/>
                <w:szCs w:val="16"/>
                <w:lang w:eastAsia="en-AU"/>
              </w:rPr>
            </w:pPr>
            <w:r w:rsidRPr="00F51636">
              <w:rPr>
                <w:rFonts w:cs="Segoe UI"/>
                <w:color w:val="000000"/>
                <w:sz w:val="16"/>
                <w:szCs w:val="16"/>
              </w:rPr>
              <w:t xml:space="preserve">Nepean Blue Mountains Local Health District (NBMLHD), </w:t>
            </w:r>
            <w:r w:rsidR="00D81648" w:rsidRPr="00F51636">
              <w:rPr>
                <w:rFonts w:cs="Segoe UI"/>
                <w:color w:val="000000"/>
                <w:sz w:val="16"/>
                <w:szCs w:val="16"/>
              </w:rPr>
              <w:t>Palliative Care Nurses Australia</w:t>
            </w:r>
          </w:p>
        </w:tc>
      </w:tr>
      <w:tr w:rsidR="00D81648" w:rsidRPr="00A75948" w14:paraId="4A07934A" w14:textId="77777777" w:rsidTr="00ED15F4">
        <w:trPr>
          <w:cnfStyle w:val="000000100000" w:firstRow="0" w:lastRow="0" w:firstColumn="0" w:lastColumn="0" w:oddVBand="0" w:evenVBand="0" w:oddHBand="1" w:evenHBand="0" w:firstRowFirstColumn="0" w:firstRowLastColumn="0" w:lastRowFirstColumn="0" w:lastRowLastColumn="0"/>
        </w:trPr>
        <w:tc>
          <w:tcPr>
            <w:tcW w:w="2353" w:type="dxa"/>
          </w:tcPr>
          <w:p w14:paraId="024B43B3" w14:textId="5C1806BA" w:rsidR="00D81648" w:rsidRPr="00F51636" w:rsidRDefault="00D81648" w:rsidP="00F51636">
            <w:pPr>
              <w:pStyle w:val="TableNText"/>
              <w:spacing w:before="0" w:after="0" w:line="240" w:lineRule="auto"/>
              <w:rPr>
                <w:sz w:val="16"/>
                <w:szCs w:val="16"/>
                <w:lang w:eastAsia="en-AU"/>
              </w:rPr>
            </w:pPr>
            <w:r w:rsidRPr="00F51636">
              <w:rPr>
                <w:rFonts w:cs="Segoe UI"/>
                <w:color w:val="000000"/>
                <w:sz w:val="16"/>
                <w:szCs w:val="16"/>
              </w:rPr>
              <w:t>Beverley Malone</w:t>
            </w:r>
          </w:p>
        </w:tc>
        <w:tc>
          <w:tcPr>
            <w:tcW w:w="2694" w:type="dxa"/>
          </w:tcPr>
          <w:p w14:paraId="1C70E2E7" w14:textId="20C6FB6B" w:rsidR="00D81648" w:rsidRPr="00F51636" w:rsidRDefault="00D81648" w:rsidP="00F51636">
            <w:pPr>
              <w:pStyle w:val="TableNText"/>
              <w:spacing w:before="0" w:after="0" w:line="240" w:lineRule="auto"/>
              <w:rPr>
                <w:rFonts w:cs="Segoe UI"/>
                <w:color w:val="000000"/>
                <w:sz w:val="16"/>
                <w:szCs w:val="16"/>
              </w:rPr>
            </w:pPr>
            <w:r w:rsidRPr="00F51636">
              <w:rPr>
                <w:rFonts w:cs="Segoe UI"/>
                <w:color w:val="000000"/>
                <w:sz w:val="16"/>
                <w:szCs w:val="16"/>
              </w:rPr>
              <w:t>Residential Services Advisory Group</w:t>
            </w:r>
          </w:p>
        </w:tc>
        <w:tc>
          <w:tcPr>
            <w:tcW w:w="4053" w:type="dxa"/>
          </w:tcPr>
          <w:p w14:paraId="31BD663A" w14:textId="2497D2B3" w:rsidR="00D81648" w:rsidRPr="00F51636" w:rsidRDefault="0056537C" w:rsidP="00F51636">
            <w:pPr>
              <w:pStyle w:val="TableNText"/>
              <w:spacing w:before="0" w:after="0" w:line="240" w:lineRule="auto"/>
              <w:rPr>
                <w:sz w:val="16"/>
                <w:szCs w:val="16"/>
                <w:lang w:eastAsia="en-AU"/>
              </w:rPr>
            </w:pPr>
            <w:r w:rsidRPr="00F51636">
              <w:rPr>
                <w:rFonts w:cs="Segoe UI"/>
                <w:color w:val="000000"/>
                <w:sz w:val="16"/>
                <w:szCs w:val="16"/>
              </w:rPr>
              <w:t>Leading Age Services Australia</w:t>
            </w:r>
          </w:p>
        </w:tc>
      </w:tr>
      <w:tr w:rsidR="00D81648" w:rsidRPr="00A75948" w14:paraId="06DC34A6" w14:textId="77777777" w:rsidTr="00ED15F4">
        <w:trPr>
          <w:cnfStyle w:val="000000010000" w:firstRow="0" w:lastRow="0" w:firstColumn="0" w:lastColumn="0" w:oddVBand="0" w:evenVBand="0" w:oddHBand="0" w:evenHBand="1" w:firstRowFirstColumn="0" w:firstRowLastColumn="0" w:lastRowFirstColumn="0" w:lastRowLastColumn="0"/>
        </w:trPr>
        <w:tc>
          <w:tcPr>
            <w:tcW w:w="2353" w:type="dxa"/>
          </w:tcPr>
          <w:p w14:paraId="4CBC0290" w14:textId="0A97B8E9" w:rsidR="00D81648" w:rsidRPr="00F51636" w:rsidRDefault="00D81648" w:rsidP="00F51636">
            <w:pPr>
              <w:pStyle w:val="TableNText"/>
              <w:spacing w:before="0" w:after="0" w:line="240" w:lineRule="auto"/>
              <w:rPr>
                <w:sz w:val="16"/>
                <w:szCs w:val="16"/>
                <w:lang w:eastAsia="en-AU"/>
              </w:rPr>
            </w:pPr>
            <w:r w:rsidRPr="00F51636">
              <w:rPr>
                <w:sz w:val="16"/>
                <w:szCs w:val="16"/>
                <w:lang w:eastAsia="en-AU"/>
              </w:rPr>
              <w:t>Troy Speirs</w:t>
            </w:r>
          </w:p>
        </w:tc>
        <w:tc>
          <w:tcPr>
            <w:tcW w:w="2694" w:type="dxa"/>
          </w:tcPr>
          <w:p w14:paraId="63BB1BB6" w14:textId="4B11A875" w:rsidR="00D81648" w:rsidRPr="00F51636" w:rsidRDefault="00A735F6" w:rsidP="00F51636">
            <w:pPr>
              <w:pStyle w:val="TableNText"/>
              <w:spacing w:before="0" w:after="0" w:line="240" w:lineRule="auto"/>
              <w:rPr>
                <w:rFonts w:cs="Segoe UI"/>
                <w:color w:val="000000"/>
                <w:sz w:val="16"/>
                <w:szCs w:val="16"/>
              </w:rPr>
            </w:pPr>
            <w:r w:rsidRPr="00F51636">
              <w:rPr>
                <w:rFonts w:cs="Segoe UI"/>
                <w:color w:val="000000"/>
                <w:sz w:val="16"/>
                <w:szCs w:val="16"/>
              </w:rPr>
              <w:t>Senior Policy Advisor</w:t>
            </w:r>
          </w:p>
        </w:tc>
        <w:tc>
          <w:tcPr>
            <w:tcW w:w="4053" w:type="dxa"/>
          </w:tcPr>
          <w:p w14:paraId="1C23074F" w14:textId="2296CABA" w:rsidR="00D81648" w:rsidRPr="00F51636" w:rsidRDefault="0056537C" w:rsidP="00F51636">
            <w:pPr>
              <w:pStyle w:val="TableNText"/>
              <w:spacing w:before="0" w:after="0" w:line="240" w:lineRule="auto"/>
              <w:rPr>
                <w:sz w:val="16"/>
                <w:szCs w:val="16"/>
                <w:lang w:eastAsia="en-AU"/>
              </w:rPr>
            </w:pPr>
            <w:r w:rsidRPr="00F51636">
              <w:rPr>
                <w:rFonts w:cs="Segoe UI"/>
                <w:color w:val="000000"/>
                <w:sz w:val="16"/>
                <w:szCs w:val="16"/>
              </w:rPr>
              <w:t>Leading Age Services Australia</w:t>
            </w:r>
          </w:p>
        </w:tc>
      </w:tr>
      <w:tr w:rsidR="00D81648" w:rsidRPr="00A75948" w14:paraId="406E5135" w14:textId="77777777" w:rsidTr="003174D9">
        <w:trPr>
          <w:cnfStyle w:val="000000100000" w:firstRow="0" w:lastRow="0" w:firstColumn="0" w:lastColumn="0" w:oddVBand="0" w:evenVBand="0" w:oddHBand="1" w:evenHBand="0" w:firstRowFirstColumn="0" w:firstRowLastColumn="0" w:lastRowFirstColumn="0" w:lastRowLastColumn="0"/>
        </w:trPr>
        <w:tc>
          <w:tcPr>
            <w:tcW w:w="2353" w:type="dxa"/>
            <w:shd w:val="clear" w:color="auto" w:fill="00264D" w:themeFill="background2"/>
          </w:tcPr>
          <w:p w14:paraId="6B6ECD7E" w14:textId="141CD536" w:rsidR="00D81648" w:rsidRPr="00F51636" w:rsidRDefault="00D81648" w:rsidP="00F51636">
            <w:pPr>
              <w:spacing w:after="0" w:line="240" w:lineRule="auto"/>
              <w:rPr>
                <w:sz w:val="16"/>
                <w:szCs w:val="16"/>
                <w:lang w:eastAsia="en-AU"/>
              </w:rPr>
            </w:pPr>
            <w:r w:rsidRPr="00F51636">
              <w:rPr>
                <w:rFonts w:ascii="Segoe UI Semibold" w:hAnsi="Segoe UI Semibold"/>
                <w:color w:val="FFFFFF" w:themeColor="background1"/>
                <w:sz w:val="16"/>
                <w:szCs w:val="16"/>
                <w:lang w:eastAsia="en-AU"/>
              </w:rPr>
              <w:t>ELDAC</w:t>
            </w:r>
          </w:p>
        </w:tc>
        <w:tc>
          <w:tcPr>
            <w:tcW w:w="2694" w:type="dxa"/>
            <w:shd w:val="clear" w:color="auto" w:fill="00264D" w:themeFill="background2"/>
          </w:tcPr>
          <w:p w14:paraId="14CE3CB5" w14:textId="77777777" w:rsidR="00D81648" w:rsidRPr="00F51636" w:rsidRDefault="00D81648" w:rsidP="00F51636">
            <w:pPr>
              <w:spacing w:after="0" w:line="240" w:lineRule="auto"/>
              <w:rPr>
                <w:rFonts w:cs="Segoe UI"/>
                <w:color w:val="000000"/>
                <w:sz w:val="16"/>
                <w:szCs w:val="16"/>
              </w:rPr>
            </w:pPr>
          </w:p>
        </w:tc>
        <w:tc>
          <w:tcPr>
            <w:tcW w:w="4053" w:type="dxa"/>
            <w:shd w:val="clear" w:color="auto" w:fill="00264D" w:themeFill="background2"/>
          </w:tcPr>
          <w:p w14:paraId="46FBAED1" w14:textId="77777777" w:rsidR="00D81648" w:rsidRPr="00F51636" w:rsidRDefault="00D81648" w:rsidP="00F51636">
            <w:pPr>
              <w:spacing w:after="0" w:line="240" w:lineRule="auto"/>
              <w:rPr>
                <w:sz w:val="16"/>
                <w:szCs w:val="16"/>
                <w:lang w:eastAsia="en-AU"/>
              </w:rPr>
            </w:pPr>
          </w:p>
        </w:tc>
      </w:tr>
      <w:tr w:rsidR="00D81648" w:rsidRPr="00A75948" w14:paraId="2AF16C86" w14:textId="77777777" w:rsidTr="00ED15F4">
        <w:trPr>
          <w:cnfStyle w:val="000000010000" w:firstRow="0" w:lastRow="0" w:firstColumn="0" w:lastColumn="0" w:oddVBand="0" w:evenVBand="0" w:oddHBand="0" w:evenHBand="1" w:firstRowFirstColumn="0" w:firstRowLastColumn="0" w:lastRowFirstColumn="0" w:lastRowLastColumn="0"/>
        </w:trPr>
        <w:tc>
          <w:tcPr>
            <w:tcW w:w="2353" w:type="dxa"/>
          </w:tcPr>
          <w:p w14:paraId="1A9954DD" w14:textId="3D70E95E" w:rsidR="00D81648" w:rsidRPr="00F51636" w:rsidRDefault="00D81648" w:rsidP="00F51636">
            <w:pPr>
              <w:pStyle w:val="TableNText"/>
              <w:spacing w:before="0" w:after="0" w:line="240" w:lineRule="auto"/>
              <w:rPr>
                <w:sz w:val="16"/>
                <w:szCs w:val="16"/>
                <w:lang w:eastAsia="en-AU"/>
              </w:rPr>
            </w:pPr>
            <w:r w:rsidRPr="00F51636">
              <w:rPr>
                <w:sz w:val="16"/>
                <w:szCs w:val="16"/>
                <w:lang w:eastAsia="en-AU"/>
              </w:rPr>
              <w:t>Deborah Parker</w:t>
            </w:r>
          </w:p>
        </w:tc>
        <w:tc>
          <w:tcPr>
            <w:tcW w:w="2694" w:type="dxa"/>
          </w:tcPr>
          <w:p w14:paraId="07596CB1" w14:textId="6C329AAC" w:rsidR="00D81648" w:rsidRPr="00F51636" w:rsidRDefault="00057026" w:rsidP="00F51636">
            <w:pPr>
              <w:pStyle w:val="TableNText"/>
              <w:spacing w:before="0" w:after="0" w:line="240" w:lineRule="auto"/>
              <w:rPr>
                <w:rFonts w:cs="Segoe UI"/>
                <w:color w:val="000000"/>
                <w:sz w:val="16"/>
                <w:szCs w:val="16"/>
              </w:rPr>
            </w:pPr>
            <w:r w:rsidRPr="00F51636">
              <w:rPr>
                <w:rFonts w:cs="Segoe UI"/>
                <w:color w:val="000000"/>
                <w:sz w:val="16"/>
                <w:szCs w:val="16"/>
              </w:rPr>
              <w:t>Professor of Nursing Aged Care (Dementia)</w:t>
            </w:r>
          </w:p>
        </w:tc>
        <w:tc>
          <w:tcPr>
            <w:tcW w:w="4053" w:type="dxa"/>
          </w:tcPr>
          <w:p w14:paraId="0CAB83F1" w14:textId="0A7CE537" w:rsidR="00D81648" w:rsidRPr="00F51636" w:rsidRDefault="00FC34DA" w:rsidP="00F51636">
            <w:pPr>
              <w:pStyle w:val="TableNText"/>
              <w:spacing w:before="0" w:after="0" w:line="240" w:lineRule="auto"/>
              <w:rPr>
                <w:sz w:val="16"/>
                <w:szCs w:val="16"/>
                <w:lang w:eastAsia="en-AU"/>
              </w:rPr>
            </w:pPr>
            <w:r w:rsidRPr="00F51636">
              <w:rPr>
                <w:sz w:val="16"/>
                <w:szCs w:val="16"/>
                <w:lang w:eastAsia="en-AU"/>
              </w:rPr>
              <w:t xml:space="preserve">University of Technology Sydney, </w:t>
            </w:r>
            <w:r w:rsidR="00D81648" w:rsidRPr="00F51636">
              <w:rPr>
                <w:sz w:val="16"/>
                <w:szCs w:val="16"/>
                <w:lang w:eastAsia="en-AU"/>
              </w:rPr>
              <w:t>ELDAC</w:t>
            </w:r>
          </w:p>
        </w:tc>
      </w:tr>
      <w:tr w:rsidR="00D81648" w:rsidRPr="00A75948" w14:paraId="56AD112E" w14:textId="77777777" w:rsidTr="00ED15F4">
        <w:trPr>
          <w:cnfStyle w:val="000000100000" w:firstRow="0" w:lastRow="0" w:firstColumn="0" w:lastColumn="0" w:oddVBand="0" w:evenVBand="0" w:oddHBand="1" w:evenHBand="0" w:firstRowFirstColumn="0" w:firstRowLastColumn="0" w:lastRowFirstColumn="0" w:lastRowLastColumn="0"/>
        </w:trPr>
        <w:tc>
          <w:tcPr>
            <w:tcW w:w="2353" w:type="dxa"/>
          </w:tcPr>
          <w:p w14:paraId="237DB297" w14:textId="3AB9E1FE" w:rsidR="00D81648" w:rsidRPr="00F51636" w:rsidRDefault="00D81648" w:rsidP="00F51636">
            <w:pPr>
              <w:pStyle w:val="TableNText"/>
              <w:spacing w:before="0" w:after="0" w:line="240" w:lineRule="auto"/>
              <w:rPr>
                <w:sz w:val="16"/>
                <w:szCs w:val="16"/>
                <w:lang w:eastAsia="en-AU"/>
              </w:rPr>
            </w:pPr>
            <w:r w:rsidRPr="00F51636">
              <w:rPr>
                <w:sz w:val="16"/>
                <w:szCs w:val="16"/>
                <w:lang w:eastAsia="en-AU"/>
              </w:rPr>
              <w:t>Jennifer Tieman</w:t>
            </w:r>
          </w:p>
        </w:tc>
        <w:tc>
          <w:tcPr>
            <w:tcW w:w="2694" w:type="dxa"/>
          </w:tcPr>
          <w:p w14:paraId="28390D05" w14:textId="4C0912F6" w:rsidR="00D81648" w:rsidRPr="00F51636" w:rsidRDefault="00C21B34" w:rsidP="00F51636">
            <w:pPr>
              <w:pStyle w:val="TableNText"/>
              <w:spacing w:before="0" w:after="0" w:line="240" w:lineRule="auto"/>
              <w:rPr>
                <w:rFonts w:cs="Segoe UI"/>
                <w:color w:val="000000"/>
                <w:sz w:val="16"/>
                <w:szCs w:val="16"/>
              </w:rPr>
            </w:pPr>
            <w:proofErr w:type="spellStart"/>
            <w:r w:rsidRPr="00F51636">
              <w:rPr>
                <w:rFonts w:cs="Segoe UI"/>
                <w:color w:val="000000"/>
                <w:sz w:val="16"/>
                <w:szCs w:val="16"/>
              </w:rPr>
              <w:t>CareSearch</w:t>
            </w:r>
            <w:proofErr w:type="spellEnd"/>
            <w:r w:rsidRPr="00F51636">
              <w:rPr>
                <w:rFonts w:cs="Segoe UI"/>
                <w:color w:val="000000"/>
                <w:sz w:val="16"/>
                <w:szCs w:val="16"/>
              </w:rPr>
              <w:t xml:space="preserve">, Palliative </w:t>
            </w:r>
            <w:r w:rsidR="00725DD7" w:rsidRPr="00F51636">
              <w:rPr>
                <w:rFonts w:cs="Segoe UI"/>
                <w:color w:val="000000"/>
                <w:sz w:val="16"/>
                <w:szCs w:val="16"/>
              </w:rPr>
              <w:t>and</w:t>
            </w:r>
            <w:r w:rsidRPr="00F51636">
              <w:rPr>
                <w:rFonts w:cs="Segoe UI"/>
                <w:color w:val="000000"/>
                <w:sz w:val="16"/>
                <w:szCs w:val="16"/>
              </w:rPr>
              <w:t xml:space="preserve"> Supportive Services</w:t>
            </w:r>
          </w:p>
        </w:tc>
        <w:tc>
          <w:tcPr>
            <w:tcW w:w="4053" w:type="dxa"/>
          </w:tcPr>
          <w:p w14:paraId="2FB53B34" w14:textId="6BF27E0C" w:rsidR="00D81648" w:rsidRPr="00F51636" w:rsidRDefault="00C21B34" w:rsidP="00F51636">
            <w:pPr>
              <w:pStyle w:val="TableNText"/>
              <w:spacing w:before="0" w:after="0" w:line="240" w:lineRule="auto"/>
              <w:rPr>
                <w:sz w:val="16"/>
                <w:szCs w:val="16"/>
                <w:lang w:eastAsia="en-AU"/>
              </w:rPr>
            </w:pPr>
            <w:r w:rsidRPr="00F51636">
              <w:rPr>
                <w:sz w:val="16"/>
                <w:szCs w:val="16"/>
                <w:lang w:eastAsia="en-AU"/>
              </w:rPr>
              <w:t xml:space="preserve">Flinders University, </w:t>
            </w:r>
            <w:r w:rsidR="00D81648" w:rsidRPr="00F51636">
              <w:rPr>
                <w:sz w:val="16"/>
                <w:szCs w:val="16"/>
                <w:lang w:eastAsia="en-AU"/>
              </w:rPr>
              <w:t>ELDAC</w:t>
            </w:r>
          </w:p>
        </w:tc>
      </w:tr>
      <w:tr w:rsidR="00D81648" w:rsidRPr="00A75948" w14:paraId="0A57878E" w14:textId="77777777" w:rsidTr="00ED15F4">
        <w:trPr>
          <w:cnfStyle w:val="000000010000" w:firstRow="0" w:lastRow="0" w:firstColumn="0" w:lastColumn="0" w:oddVBand="0" w:evenVBand="0" w:oddHBand="0" w:evenHBand="1" w:firstRowFirstColumn="0" w:firstRowLastColumn="0" w:lastRowFirstColumn="0" w:lastRowLastColumn="0"/>
        </w:trPr>
        <w:tc>
          <w:tcPr>
            <w:tcW w:w="2353" w:type="dxa"/>
          </w:tcPr>
          <w:p w14:paraId="0ADD1E75" w14:textId="7790AC40" w:rsidR="00D81648" w:rsidRPr="00F51636" w:rsidRDefault="00D81648" w:rsidP="00F51636">
            <w:pPr>
              <w:pStyle w:val="TableNText"/>
              <w:spacing w:before="0" w:after="0" w:line="240" w:lineRule="auto"/>
              <w:rPr>
                <w:sz w:val="16"/>
                <w:szCs w:val="16"/>
                <w:lang w:eastAsia="en-AU"/>
              </w:rPr>
            </w:pPr>
            <w:r w:rsidRPr="00F51636">
              <w:rPr>
                <w:sz w:val="16"/>
                <w:szCs w:val="16"/>
                <w:lang w:eastAsia="en-AU"/>
              </w:rPr>
              <w:t>Patsy Yates</w:t>
            </w:r>
          </w:p>
        </w:tc>
        <w:tc>
          <w:tcPr>
            <w:tcW w:w="2694" w:type="dxa"/>
          </w:tcPr>
          <w:p w14:paraId="5FE636CF" w14:textId="24EF8C4D" w:rsidR="00D81648" w:rsidRPr="00F51636" w:rsidRDefault="007A1AF7" w:rsidP="00F51636">
            <w:pPr>
              <w:pStyle w:val="TableNText"/>
              <w:spacing w:before="0" w:after="0" w:line="240" w:lineRule="auto"/>
              <w:rPr>
                <w:rFonts w:cs="Segoe UI"/>
                <w:color w:val="000000"/>
                <w:sz w:val="16"/>
                <w:szCs w:val="16"/>
              </w:rPr>
            </w:pPr>
            <w:r w:rsidRPr="00F51636">
              <w:rPr>
                <w:rFonts w:cs="Segoe UI"/>
                <w:color w:val="000000"/>
                <w:sz w:val="16"/>
                <w:szCs w:val="16"/>
              </w:rPr>
              <w:t>QUT Lead and Project Director</w:t>
            </w:r>
          </w:p>
        </w:tc>
        <w:tc>
          <w:tcPr>
            <w:tcW w:w="4053" w:type="dxa"/>
          </w:tcPr>
          <w:p w14:paraId="1DD187E8" w14:textId="2D323379" w:rsidR="00D81648" w:rsidRPr="00F51636" w:rsidRDefault="007A1AF7" w:rsidP="00F51636">
            <w:pPr>
              <w:pStyle w:val="TableNText"/>
              <w:spacing w:before="0" w:after="0" w:line="240" w:lineRule="auto"/>
              <w:rPr>
                <w:sz w:val="16"/>
                <w:szCs w:val="16"/>
                <w:lang w:eastAsia="en-AU"/>
              </w:rPr>
            </w:pPr>
            <w:r w:rsidRPr="00F51636">
              <w:rPr>
                <w:sz w:val="16"/>
                <w:szCs w:val="16"/>
                <w:lang w:eastAsia="en-AU"/>
              </w:rPr>
              <w:t>Queensland</w:t>
            </w:r>
            <w:r w:rsidR="001D4842" w:rsidRPr="00F51636">
              <w:rPr>
                <w:sz w:val="16"/>
                <w:szCs w:val="16"/>
                <w:lang w:eastAsia="en-AU"/>
              </w:rPr>
              <w:t xml:space="preserve"> </w:t>
            </w:r>
            <w:r w:rsidRPr="00F51636">
              <w:rPr>
                <w:sz w:val="16"/>
                <w:szCs w:val="16"/>
                <w:lang w:eastAsia="en-AU"/>
              </w:rPr>
              <w:t xml:space="preserve">University of Technology, </w:t>
            </w:r>
            <w:r w:rsidR="00D81648" w:rsidRPr="00F51636">
              <w:rPr>
                <w:sz w:val="16"/>
                <w:szCs w:val="16"/>
                <w:lang w:eastAsia="en-AU"/>
              </w:rPr>
              <w:t>ELDAC</w:t>
            </w:r>
          </w:p>
        </w:tc>
      </w:tr>
      <w:tr w:rsidR="00D81648" w:rsidRPr="00A75948" w14:paraId="1FDE19D4" w14:textId="77777777" w:rsidTr="007278EC">
        <w:trPr>
          <w:cnfStyle w:val="000000100000" w:firstRow="0" w:lastRow="0" w:firstColumn="0" w:lastColumn="0" w:oddVBand="0" w:evenVBand="0" w:oddHBand="1" w:evenHBand="0" w:firstRowFirstColumn="0" w:firstRowLastColumn="0" w:lastRowFirstColumn="0" w:lastRowLastColumn="0"/>
        </w:trPr>
        <w:tc>
          <w:tcPr>
            <w:tcW w:w="2353" w:type="dxa"/>
            <w:shd w:val="clear" w:color="auto" w:fill="00264D" w:themeFill="background2"/>
          </w:tcPr>
          <w:p w14:paraId="10B673C4" w14:textId="35648EC3" w:rsidR="00D81648" w:rsidRPr="00F51636" w:rsidRDefault="00D81648" w:rsidP="00F51636">
            <w:pPr>
              <w:spacing w:after="0" w:line="240" w:lineRule="auto"/>
              <w:rPr>
                <w:sz w:val="16"/>
                <w:szCs w:val="16"/>
                <w:lang w:eastAsia="en-AU"/>
              </w:rPr>
            </w:pPr>
            <w:r w:rsidRPr="00F51636">
              <w:rPr>
                <w:rFonts w:ascii="Segoe UI Semibold" w:hAnsi="Segoe UI Semibold"/>
                <w:color w:val="FFFFFF" w:themeColor="background1"/>
                <w:sz w:val="16"/>
                <w:szCs w:val="16"/>
                <w:lang w:eastAsia="en-AU"/>
              </w:rPr>
              <w:t>PCOC</w:t>
            </w:r>
          </w:p>
        </w:tc>
        <w:tc>
          <w:tcPr>
            <w:tcW w:w="2694" w:type="dxa"/>
            <w:shd w:val="clear" w:color="auto" w:fill="00264D" w:themeFill="background2"/>
          </w:tcPr>
          <w:p w14:paraId="4283E7D7" w14:textId="77777777" w:rsidR="00D81648" w:rsidRPr="00F51636" w:rsidRDefault="00D81648" w:rsidP="00F51636">
            <w:pPr>
              <w:spacing w:after="0" w:line="240" w:lineRule="auto"/>
              <w:rPr>
                <w:rFonts w:cs="Segoe UI"/>
                <w:color w:val="000000"/>
                <w:sz w:val="16"/>
                <w:szCs w:val="16"/>
              </w:rPr>
            </w:pPr>
          </w:p>
        </w:tc>
        <w:tc>
          <w:tcPr>
            <w:tcW w:w="4053" w:type="dxa"/>
            <w:shd w:val="clear" w:color="auto" w:fill="00264D" w:themeFill="background2"/>
          </w:tcPr>
          <w:p w14:paraId="59620170" w14:textId="77777777" w:rsidR="00D81648" w:rsidRPr="00F51636" w:rsidRDefault="00D81648" w:rsidP="00F51636">
            <w:pPr>
              <w:spacing w:after="0" w:line="240" w:lineRule="auto"/>
              <w:rPr>
                <w:sz w:val="16"/>
                <w:szCs w:val="16"/>
                <w:lang w:eastAsia="en-AU"/>
              </w:rPr>
            </w:pPr>
          </w:p>
        </w:tc>
      </w:tr>
      <w:tr w:rsidR="00D81648" w:rsidRPr="00A75948" w14:paraId="6948876E" w14:textId="77777777" w:rsidTr="00ED15F4">
        <w:trPr>
          <w:cnfStyle w:val="000000010000" w:firstRow="0" w:lastRow="0" w:firstColumn="0" w:lastColumn="0" w:oddVBand="0" w:evenVBand="0" w:oddHBand="0" w:evenHBand="1" w:firstRowFirstColumn="0" w:firstRowLastColumn="0" w:lastRowFirstColumn="0" w:lastRowLastColumn="0"/>
        </w:trPr>
        <w:tc>
          <w:tcPr>
            <w:tcW w:w="2353" w:type="dxa"/>
          </w:tcPr>
          <w:p w14:paraId="2691A253" w14:textId="6CD0B6C5" w:rsidR="00D81648" w:rsidRPr="00F51636" w:rsidRDefault="00D81648" w:rsidP="00F51636">
            <w:pPr>
              <w:pStyle w:val="TableNText"/>
              <w:spacing w:before="0" w:after="0" w:line="240" w:lineRule="auto"/>
              <w:rPr>
                <w:sz w:val="16"/>
                <w:szCs w:val="16"/>
                <w:lang w:eastAsia="en-AU"/>
              </w:rPr>
            </w:pPr>
            <w:r w:rsidRPr="00F51636">
              <w:rPr>
                <w:sz w:val="16"/>
                <w:szCs w:val="16"/>
                <w:lang w:eastAsia="en-AU"/>
              </w:rPr>
              <w:t xml:space="preserve">Barb </w:t>
            </w:r>
            <w:proofErr w:type="spellStart"/>
            <w:r w:rsidRPr="00F51636">
              <w:rPr>
                <w:sz w:val="16"/>
                <w:szCs w:val="16"/>
                <w:lang w:eastAsia="en-AU"/>
              </w:rPr>
              <w:t>Daveson</w:t>
            </w:r>
            <w:proofErr w:type="spellEnd"/>
          </w:p>
        </w:tc>
        <w:tc>
          <w:tcPr>
            <w:tcW w:w="2694" w:type="dxa"/>
          </w:tcPr>
          <w:p w14:paraId="3C0D087E" w14:textId="1628B272" w:rsidR="00D81648" w:rsidRPr="00F51636" w:rsidRDefault="00C227D0" w:rsidP="00F51636">
            <w:pPr>
              <w:pStyle w:val="TableNText"/>
              <w:spacing w:before="0" w:after="0" w:line="240" w:lineRule="auto"/>
              <w:rPr>
                <w:rFonts w:cs="Segoe UI"/>
                <w:color w:val="000000"/>
                <w:sz w:val="16"/>
                <w:szCs w:val="16"/>
              </w:rPr>
            </w:pPr>
            <w:r w:rsidRPr="00F51636">
              <w:rPr>
                <w:rFonts w:cs="Segoe UI"/>
                <w:color w:val="000000"/>
                <w:sz w:val="16"/>
                <w:szCs w:val="16"/>
              </w:rPr>
              <w:t>Director and Senior Research Fellow</w:t>
            </w:r>
          </w:p>
        </w:tc>
        <w:tc>
          <w:tcPr>
            <w:tcW w:w="4053" w:type="dxa"/>
          </w:tcPr>
          <w:p w14:paraId="5B0BA868" w14:textId="1E008CC5" w:rsidR="00D81648" w:rsidRPr="00F51636" w:rsidRDefault="00D81648" w:rsidP="00F51636">
            <w:pPr>
              <w:pStyle w:val="TableNText"/>
              <w:spacing w:before="0" w:after="0" w:line="240" w:lineRule="auto"/>
              <w:rPr>
                <w:sz w:val="16"/>
                <w:szCs w:val="16"/>
                <w:lang w:eastAsia="en-AU"/>
              </w:rPr>
            </w:pPr>
            <w:r w:rsidRPr="00F51636">
              <w:rPr>
                <w:sz w:val="16"/>
                <w:szCs w:val="16"/>
                <w:lang w:eastAsia="en-AU"/>
              </w:rPr>
              <w:t>University of Wollongong, PCOC</w:t>
            </w:r>
          </w:p>
        </w:tc>
      </w:tr>
      <w:tr w:rsidR="00D81648" w:rsidRPr="00A75948" w14:paraId="5E90735D" w14:textId="77777777" w:rsidTr="00ED15F4">
        <w:trPr>
          <w:cnfStyle w:val="000000100000" w:firstRow="0" w:lastRow="0" w:firstColumn="0" w:lastColumn="0" w:oddVBand="0" w:evenVBand="0" w:oddHBand="1" w:evenHBand="0" w:firstRowFirstColumn="0" w:firstRowLastColumn="0" w:lastRowFirstColumn="0" w:lastRowLastColumn="0"/>
        </w:trPr>
        <w:tc>
          <w:tcPr>
            <w:tcW w:w="2353" w:type="dxa"/>
          </w:tcPr>
          <w:p w14:paraId="1E806526" w14:textId="719005E9" w:rsidR="00D81648" w:rsidRPr="00F51636" w:rsidRDefault="00D81648" w:rsidP="00F51636">
            <w:pPr>
              <w:pStyle w:val="TableNText"/>
              <w:spacing w:before="0" w:after="0" w:line="240" w:lineRule="auto"/>
              <w:rPr>
                <w:sz w:val="16"/>
                <w:szCs w:val="16"/>
                <w:lang w:eastAsia="en-AU"/>
              </w:rPr>
            </w:pPr>
            <w:r w:rsidRPr="00F51636">
              <w:rPr>
                <w:sz w:val="16"/>
                <w:szCs w:val="16"/>
                <w:lang w:eastAsia="en-AU"/>
              </w:rPr>
              <w:t>Claire Johnson</w:t>
            </w:r>
          </w:p>
        </w:tc>
        <w:tc>
          <w:tcPr>
            <w:tcW w:w="2694" w:type="dxa"/>
          </w:tcPr>
          <w:p w14:paraId="3EB522A5" w14:textId="63267860" w:rsidR="00D81648" w:rsidRPr="00F51636" w:rsidRDefault="00EB33D9" w:rsidP="00F51636">
            <w:pPr>
              <w:pStyle w:val="TableNText"/>
              <w:spacing w:before="0" w:after="0" w:line="240" w:lineRule="auto"/>
              <w:rPr>
                <w:rFonts w:cs="Segoe UI"/>
                <w:color w:val="000000"/>
                <w:sz w:val="16"/>
                <w:szCs w:val="16"/>
              </w:rPr>
            </w:pPr>
            <w:r w:rsidRPr="00F51636">
              <w:rPr>
                <w:rFonts w:cs="Segoe UI"/>
                <w:color w:val="000000"/>
                <w:sz w:val="16"/>
                <w:szCs w:val="16"/>
              </w:rPr>
              <w:t>Professorial Fellow</w:t>
            </w:r>
          </w:p>
        </w:tc>
        <w:tc>
          <w:tcPr>
            <w:tcW w:w="4053" w:type="dxa"/>
          </w:tcPr>
          <w:p w14:paraId="45FEE47D" w14:textId="51E53C44" w:rsidR="00D81648" w:rsidRPr="00F51636" w:rsidRDefault="00D81648" w:rsidP="00F51636">
            <w:pPr>
              <w:pStyle w:val="TableNText"/>
              <w:spacing w:before="0" w:after="0" w:line="240" w:lineRule="auto"/>
              <w:rPr>
                <w:sz w:val="16"/>
                <w:szCs w:val="16"/>
                <w:lang w:eastAsia="en-AU"/>
              </w:rPr>
            </w:pPr>
            <w:r w:rsidRPr="00F51636">
              <w:rPr>
                <w:sz w:val="16"/>
                <w:szCs w:val="16"/>
                <w:lang w:eastAsia="en-AU"/>
              </w:rPr>
              <w:t>University of Wollongong, PCOC</w:t>
            </w:r>
          </w:p>
        </w:tc>
      </w:tr>
      <w:tr w:rsidR="00D81648" w:rsidRPr="00A75948" w14:paraId="4D3B26D5" w14:textId="77777777" w:rsidTr="00ED15F4">
        <w:trPr>
          <w:cnfStyle w:val="000000010000" w:firstRow="0" w:lastRow="0" w:firstColumn="0" w:lastColumn="0" w:oddVBand="0" w:evenVBand="0" w:oddHBand="0" w:evenHBand="1" w:firstRowFirstColumn="0" w:firstRowLastColumn="0" w:lastRowFirstColumn="0" w:lastRowLastColumn="0"/>
        </w:trPr>
        <w:tc>
          <w:tcPr>
            <w:tcW w:w="2353" w:type="dxa"/>
          </w:tcPr>
          <w:p w14:paraId="501FEFD3" w14:textId="5923CA78" w:rsidR="00D81648" w:rsidRPr="00F51636" w:rsidRDefault="00D81648" w:rsidP="00F51636">
            <w:pPr>
              <w:pStyle w:val="TableNText"/>
              <w:spacing w:before="0" w:after="0" w:line="240" w:lineRule="auto"/>
              <w:rPr>
                <w:sz w:val="16"/>
                <w:szCs w:val="16"/>
                <w:lang w:eastAsia="en-AU"/>
              </w:rPr>
            </w:pPr>
            <w:r w:rsidRPr="00F51636">
              <w:rPr>
                <w:sz w:val="16"/>
                <w:szCs w:val="16"/>
                <w:lang w:eastAsia="en-AU"/>
              </w:rPr>
              <w:t>Kathy Eager</w:t>
            </w:r>
          </w:p>
        </w:tc>
        <w:tc>
          <w:tcPr>
            <w:tcW w:w="2694" w:type="dxa"/>
          </w:tcPr>
          <w:p w14:paraId="74404E43" w14:textId="60531C72" w:rsidR="00D81648" w:rsidRPr="00F51636" w:rsidRDefault="00D4435E" w:rsidP="00F51636">
            <w:pPr>
              <w:pStyle w:val="TableNText"/>
              <w:spacing w:before="0" w:after="0" w:line="240" w:lineRule="auto"/>
              <w:rPr>
                <w:rFonts w:cs="Segoe UI"/>
                <w:color w:val="000000"/>
                <w:sz w:val="16"/>
                <w:szCs w:val="16"/>
              </w:rPr>
            </w:pPr>
            <w:r w:rsidRPr="00F51636">
              <w:rPr>
                <w:rFonts w:cs="Segoe UI"/>
                <w:color w:val="000000"/>
                <w:sz w:val="16"/>
                <w:szCs w:val="16"/>
              </w:rPr>
              <w:t>Chief Investigator</w:t>
            </w:r>
          </w:p>
        </w:tc>
        <w:tc>
          <w:tcPr>
            <w:tcW w:w="4053" w:type="dxa"/>
          </w:tcPr>
          <w:p w14:paraId="62074DA9" w14:textId="4D1B449F" w:rsidR="00D81648" w:rsidRPr="00F51636" w:rsidRDefault="00D81648" w:rsidP="00F51636">
            <w:pPr>
              <w:pStyle w:val="TableNText"/>
              <w:spacing w:before="0" w:after="0" w:line="240" w:lineRule="auto"/>
              <w:rPr>
                <w:sz w:val="16"/>
                <w:szCs w:val="16"/>
                <w:lang w:eastAsia="en-AU"/>
              </w:rPr>
            </w:pPr>
            <w:r w:rsidRPr="00F51636">
              <w:rPr>
                <w:sz w:val="16"/>
                <w:szCs w:val="16"/>
                <w:lang w:eastAsia="en-AU"/>
              </w:rPr>
              <w:t>University of Wollongong, PCOC</w:t>
            </w:r>
          </w:p>
        </w:tc>
      </w:tr>
      <w:tr w:rsidR="00D81648" w:rsidRPr="00A75948" w14:paraId="31D34E5E" w14:textId="77777777" w:rsidTr="00FF207B">
        <w:trPr>
          <w:cnfStyle w:val="000000100000" w:firstRow="0" w:lastRow="0" w:firstColumn="0" w:lastColumn="0" w:oddVBand="0" w:evenVBand="0" w:oddHBand="1" w:evenHBand="0" w:firstRowFirstColumn="0" w:firstRowLastColumn="0" w:lastRowFirstColumn="0" w:lastRowLastColumn="0"/>
        </w:trPr>
        <w:tc>
          <w:tcPr>
            <w:tcW w:w="2353" w:type="dxa"/>
            <w:shd w:val="clear" w:color="auto" w:fill="00264D" w:themeFill="background2"/>
          </w:tcPr>
          <w:p w14:paraId="744F8930" w14:textId="32836295" w:rsidR="00D81648" w:rsidRPr="00F51636" w:rsidRDefault="00D81648" w:rsidP="00F51636">
            <w:pPr>
              <w:spacing w:after="0" w:line="240" w:lineRule="auto"/>
              <w:rPr>
                <w:sz w:val="16"/>
                <w:szCs w:val="16"/>
                <w:lang w:eastAsia="en-AU"/>
              </w:rPr>
            </w:pPr>
            <w:r w:rsidRPr="00F51636">
              <w:rPr>
                <w:rFonts w:ascii="Segoe UI Semibold" w:hAnsi="Segoe UI Semibold"/>
                <w:color w:val="FFFFFF" w:themeColor="background1"/>
                <w:sz w:val="16"/>
                <w:szCs w:val="16"/>
                <w:lang w:eastAsia="en-AU"/>
              </w:rPr>
              <w:t>Other stakeholders</w:t>
            </w:r>
          </w:p>
        </w:tc>
        <w:tc>
          <w:tcPr>
            <w:tcW w:w="2694" w:type="dxa"/>
            <w:shd w:val="clear" w:color="auto" w:fill="00264D" w:themeFill="background2"/>
          </w:tcPr>
          <w:p w14:paraId="2A4EF5F8" w14:textId="77777777" w:rsidR="00D81648" w:rsidRPr="00F51636" w:rsidRDefault="00D81648" w:rsidP="00F51636">
            <w:pPr>
              <w:spacing w:after="0" w:line="240" w:lineRule="auto"/>
              <w:rPr>
                <w:rFonts w:cs="Segoe UI"/>
                <w:color w:val="000000"/>
                <w:sz w:val="16"/>
                <w:szCs w:val="16"/>
              </w:rPr>
            </w:pPr>
          </w:p>
        </w:tc>
        <w:tc>
          <w:tcPr>
            <w:tcW w:w="4053" w:type="dxa"/>
            <w:shd w:val="clear" w:color="auto" w:fill="00264D" w:themeFill="background2"/>
          </w:tcPr>
          <w:p w14:paraId="323EE491" w14:textId="77777777" w:rsidR="00D81648" w:rsidRPr="00F51636" w:rsidRDefault="00D81648" w:rsidP="00F51636">
            <w:pPr>
              <w:spacing w:after="0" w:line="240" w:lineRule="auto"/>
              <w:rPr>
                <w:sz w:val="16"/>
                <w:szCs w:val="16"/>
                <w:lang w:eastAsia="en-AU"/>
              </w:rPr>
            </w:pPr>
          </w:p>
        </w:tc>
      </w:tr>
      <w:tr w:rsidR="00167EF3" w:rsidRPr="00A75948" w14:paraId="20A8BA3A" w14:textId="77777777" w:rsidTr="00ED15F4">
        <w:trPr>
          <w:cnfStyle w:val="000000010000" w:firstRow="0" w:lastRow="0" w:firstColumn="0" w:lastColumn="0" w:oddVBand="0" w:evenVBand="0" w:oddHBand="0" w:evenHBand="1" w:firstRowFirstColumn="0" w:firstRowLastColumn="0" w:lastRowFirstColumn="0" w:lastRowLastColumn="0"/>
        </w:trPr>
        <w:tc>
          <w:tcPr>
            <w:tcW w:w="2353" w:type="dxa"/>
          </w:tcPr>
          <w:p w14:paraId="472632C2" w14:textId="2219084B" w:rsidR="00167EF3" w:rsidRPr="00F51636" w:rsidRDefault="00167EF3" w:rsidP="00F51636">
            <w:pPr>
              <w:pStyle w:val="TableNText"/>
              <w:spacing w:before="0" w:after="0" w:line="240" w:lineRule="auto"/>
              <w:rPr>
                <w:sz w:val="16"/>
                <w:szCs w:val="16"/>
                <w:lang w:eastAsia="en-AU"/>
              </w:rPr>
            </w:pPr>
            <w:r w:rsidRPr="00F51636">
              <w:rPr>
                <w:sz w:val="16"/>
                <w:szCs w:val="16"/>
                <w:lang w:eastAsia="en-AU"/>
              </w:rPr>
              <w:lastRenderedPageBreak/>
              <w:t>Cathy Thomas</w:t>
            </w:r>
          </w:p>
        </w:tc>
        <w:tc>
          <w:tcPr>
            <w:tcW w:w="2694" w:type="dxa"/>
          </w:tcPr>
          <w:p w14:paraId="1F7619EA" w14:textId="14721D7F" w:rsidR="00167EF3" w:rsidRPr="00F51636" w:rsidRDefault="00167EF3" w:rsidP="00F51636">
            <w:pPr>
              <w:pStyle w:val="TableNText"/>
              <w:spacing w:before="0" w:after="0" w:line="240" w:lineRule="auto"/>
              <w:rPr>
                <w:rFonts w:cs="Segoe UI"/>
                <w:color w:val="000000"/>
                <w:sz w:val="16"/>
                <w:szCs w:val="16"/>
              </w:rPr>
            </w:pPr>
            <w:r w:rsidRPr="00F51636">
              <w:rPr>
                <w:rFonts w:cs="Segoe UI"/>
                <w:color w:val="000000"/>
                <w:sz w:val="16"/>
                <w:szCs w:val="16"/>
              </w:rPr>
              <w:t>Group Executive</w:t>
            </w:r>
            <w:r w:rsidR="005A55CD" w:rsidRPr="00F51636">
              <w:rPr>
                <w:rFonts w:cs="Segoe UI"/>
                <w:color w:val="000000"/>
                <w:sz w:val="16"/>
                <w:szCs w:val="16"/>
              </w:rPr>
              <w:t>,</w:t>
            </w:r>
            <w:r w:rsidR="00A748FE" w:rsidRPr="00F51636">
              <w:rPr>
                <w:rFonts w:cs="Segoe UI"/>
                <w:color w:val="000000"/>
                <w:sz w:val="16"/>
                <w:szCs w:val="16"/>
              </w:rPr>
              <w:t xml:space="preserve"> Executive Director</w:t>
            </w:r>
          </w:p>
        </w:tc>
        <w:tc>
          <w:tcPr>
            <w:tcW w:w="4053" w:type="dxa"/>
          </w:tcPr>
          <w:p w14:paraId="10CCECE5" w14:textId="331827BD" w:rsidR="00167EF3" w:rsidRPr="00F51636" w:rsidRDefault="00A748FE" w:rsidP="00F51636">
            <w:pPr>
              <w:pStyle w:val="TableNText"/>
              <w:spacing w:before="0" w:after="0" w:line="240" w:lineRule="auto"/>
              <w:rPr>
                <w:sz w:val="16"/>
                <w:szCs w:val="16"/>
                <w:lang w:eastAsia="en-AU"/>
              </w:rPr>
            </w:pPr>
            <w:r w:rsidRPr="00F51636">
              <w:rPr>
                <w:sz w:val="16"/>
                <w:szCs w:val="16"/>
                <w:lang w:eastAsia="en-AU"/>
              </w:rPr>
              <w:t>Blue Care</w:t>
            </w:r>
            <w:r w:rsidR="005A55CD" w:rsidRPr="00F51636">
              <w:rPr>
                <w:sz w:val="16"/>
                <w:szCs w:val="16"/>
                <w:lang w:eastAsia="en-AU"/>
              </w:rPr>
              <w:t>,</w:t>
            </w:r>
            <w:r w:rsidRPr="00F51636">
              <w:rPr>
                <w:sz w:val="16"/>
                <w:szCs w:val="16"/>
                <w:lang w:eastAsia="en-AU"/>
              </w:rPr>
              <w:t xml:space="preserve"> ARRCS</w:t>
            </w:r>
          </w:p>
        </w:tc>
      </w:tr>
      <w:tr w:rsidR="00167EF3" w:rsidRPr="00A75948" w14:paraId="0F444B49" w14:textId="77777777" w:rsidTr="00ED15F4">
        <w:trPr>
          <w:cnfStyle w:val="000000100000" w:firstRow="0" w:lastRow="0" w:firstColumn="0" w:lastColumn="0" w:oddVBand="0" w:evenVBand="0" w:oddHBand="1" w:evenHBand="0" w:firstRowFirstColumn="0" w:firstRowLastColumn="0" w:lastRowFirstColumn="0" w:lastRowLastColumn="0"/>
        </w:trPr>
        <w:tc>
          <w:tcPr>
            <w:tcW w:w="2353" w:type="dxa"/>
          </w:tcPr>
          <w:p w14:paraId="7B48BAB0" w14:textId="23E619E1" w:rsidR="00167EF3" w:rsidRPr="00F51636" w:rsidRDefault="00167EF3" w:rsidP="00F51636">
            <w:pPr>
              <w:pStyle w:val="TableNText"/>
              <w:spacing w:before="0" w:after="0" w:line="240" w:lineRule="auto"/>
              <w:rPr>
                <w:sz w:val="16"/>
                <w:szCs w:val="16"/>
                <w:lang w:eastAsia="en-AU"/>
              </w:rPr>
            </w:pPr>
            <w:r w:rsidRPr="00F51636">
              <w:rPr>
                <w:sz w:val="16"/>
                <w:szCs w:val="16"/>
                <w:lang w:eastAsia="en-AU"/>
              </w:rPr>
              <w:t>Chris Hall</w:t>
            </w:r>
          </w:p>
        </w:tc>
        <w:tc>
          <w:tcPr>
            <w:tcW w:w="2694" w:type="dxa"/>
          </w:tcPr>
          <w:p w14:paraId="302EE182" w14:textId="6FF1F8ED" w:rsidR="00167EF3" w:rsidRPr="00F51636" w:rsidRDefault="005A55CD" w:rsidP="00F51636">
            <w:pPr>
              <w:pStyle w:val="TableNText"/>
              <w:spacing w:before="0" w:after="0" w:line="240" w:lineRule="auto"/>
              <w:rPr>
                <w:rFonts w:cs="Segoe UI"/>
                <w:color w:val="000000"/>
                <w:sz w:val="16"/>
                <w:szCs w:val="16"/>
              </w:rPr>
            </w:pPr>
            <w:r w:rsidRPr="00F51636">
              <w:rPr>
                <w:sz w:val="16"/>
                <w:szCs w:val="16"/>
                <w:lang w:eastAsia="en-AU"/>
              </w:rPr>
              <w:t>Chief Executive Officer</w:t>
            </w:r>
          </w:p>
        </w:tc>
        <w:tc>
          <w:tcPr>
            <w:tcW w:w="4053" w:type="dxa"/>
          </w:tcPr>
          <w:p w14:paraId="118DFD8A" w14:textId="53786851" w:rsidR="00167EF3" w:rsidRPr="00F51636" w:rsidRDefault="00167EF3" w:rsidP="00F51636">
            <w:pPr>
              <w:pStyle w:val="TableNText"/>
              <w:spacing w:before="0" w:after="0" w:line="240" w:lineRule="auto"/>
              <w:rPr>
                <w:sz w:val="16"/>
                <w:szCs w:val="16"/>
                <w:lang w:eastAsia="en-AU"/>
              </w:rPr>
            </w:pPr>
            <w:r w:rsidRPr="00F51636">
              <w:rPr>
                <w:sz w:val="16"/>
                <w:szCs w:val="16"/>
                <w:lang w:eastAsia="en-AU"/>
              </w:rPr>
              <w:t>Juniper</w:t>
            </w:r>
          </w:p>
        </w:tc>
      </w:tr>
      <w:tr w:rsidR="0005718F" w:rsidRPr="00A75948" w14:paraId="217C0C2A" w14:textId="77777777" w:rsidTr="00ED15F4">
        <w:trPr>
          <w:cnfStyle w:val="000000010000" w:firstRow="0" w:lastRow="0" w:firstColumn="0" w:lastColumn="0" w:oddVBand="0" w:evenVBand="0" w:oddHBand="0" w:evenHBand="1" w:firstRowFirstColumn="0" w:firstRowLastColumn="0" w:lastRowFirstColumn="0" w:lastRowLastColumn="0"/>
        </w:trPr>
        <w:tc>
          <w:tcPr>
            <w:tcW w:w="2353" w:type="dxa"/>
          </w:tcPr>
          <w:p w14:paraId="07E46FDC" w14:textId="426ED967" w:rsidR="0005718F" w:rsidRPr="00F51636" w:rsidRDefault="0005718F" w:rsidP="00F51636">
            <w:pPr>
              <w:pStyle w:val="TableNText"/>
              <w:spacing w:before="0" w:after="0" w:line="240" w:lineRule="auto"/>
              <w:rPr>
                <w:sz w:val="16"/>
                <w:szCs w:val="16"/>
                <w:lang w:eastAsia="en-AU"/>
              </w:rPr>
            </w:pPr>
            <w:r w:rsidRPr="00F51636">
              <w:rPr>
                <w:sz w:val="16"/>
                <w:szCs w:val="16"/>
                <w:lang w:eastAsia="en-AU"/>
              </w:rPr>
              <w:t>Felicity Reid</w:t>
            </w:r>
          </w:p>
        </w:tc>
        <w:tc>
          <w:tcPr>
            <w:tcW w:w="2694" w:type="dxa"/>
          </w:tcPr>
          <w:p w14:paraId="61A3FD92" w14:textId="368002EA" w:rsidR="0005718F" w:rsidRPr="00F51636" w:rsidRDefault="005A0CFC" w:rsidP="00F51636">
            <w:pPr>
              <w:pStyle w:val="TableNText"/>
              <w:spacing w:before="0" w:after="0" w:line="240" w:lineRule="auto"/>
              <w:rPr>
                <w:sz w:val="16"/>
                <w:szCs w:val="16"/>
                <w:lang w:eastAsia="en-AU"/>
              </w:rPr>
            </w:pPr>
            <w:r w:rsidRPr="00F51636">
              <w:rPr>
                <w:sz w:val="16"/>
                <w:szCs w:val="16"/>
                <w:lang w:eastAsia="en-AU"/>
              </w:rPr>
              <w:t>Program Director</w:t>
            </w:r>
          </w:p>
        </w:tc>
        <w:tc>
          <w:tcPr>
            <w:tcW w:w="4053" w:type="dxa"/>
          </w:tcPr>
          <w:p w14:paraId="6B43C226" w14:textId="50130F44" w:rsidR="0005718F" w:rsidRPr="00F51636" w:rsidRDefault="0005718F" w:rsidP="00F51636">
            <w:pPr>
              <w:pStyle w:val="TableNText"/>
              <w:spacing w:before="0" w:after="0" w:line="240" w:lineRule="auto"/>
              <w:rPr>
                <w:sz w:val="16"/>
                <w:szCs w:val="16"/>
                <w:lang w:eastAsia="en-AU"/>
              </w:rPr>
            </w:pPr>
            <w:r w:rsidRPr="00F51636">
              <w:rPr>
                <w:sz w:val="16"/>
                <w:szCs w:val="16"/>
                <w:lang w:eastAsia="en-AU"/>
              </w:rPr>
              <w:t>A</w:t>
            </w:r>
            <w:r w:rsidR="0056537C" w:rsidRPr="00F51636">
              <w:rPr>
                <w:sz w:val="16"/>
                <w:szCs w:val="16"/>
                <w:lang w:eastAsia="en-AU"/>
              </w:rPr>
              <w:t>ustralian Digital Health Agency</w:t>
            </w:r>
          </w:p>
        </w:tc>
      </w:tr>
      <w:tr w:rsidR="004A0912" w:rsidRPr="00A75948" w14:paraId="30F68B39" w14:textId="77777777" w:rsidTr="00ED15F4">
        <w:trPr>
          <w:cnfStyle w:val="000000100000" w:firstRow="0" w:lastRow="0" w:firstColumn="0" w:lastColumn="0" w:oddVBand="0" w:evenVBand="0" w:oddHBand="1" w:evenHBand="0" w:firstRowFirstColumn="0" w:firstRowLastColumn="0" w:lastRowFirstColumn="0" w:lastRowLastColumn="0"/>
        </w:trPr>
        <w:tc>
          <w:tcPr>
            <w:tcW w:w="2353" w:type="dxa"/>
          </w:tcPr>
          <w:p w14:paraId="72C17D87" w14:textId="7D31153D" w:rsidR="004A0912" w:rsidRPr="00F51636" w:rsidRDefault="004A0912" w:rsidP="00F51636">
            <w:pPr>
              <w:pStyle w:val="TableNText"/>
              <w:spacing w:before="0" w:after="0" w:line="240" w:lineRule="auto"/>
              <w:rPr>
                <w:sz w:val="16"/>
                <w:szCs w:val="16"/>
                <w:lang w:eastAsia="en-AU"/>
              </w:rPr>
            </w:pPr>
            <w:r w:rsidRPr="00F51636">
              <w:rPr>
                <w:sz w:val="16"/>
                <w:szCs w:val="16"/>
                <w:lang w:eastAsia="en-AU"/>
              </w:rPr>
              <w:t>Ian Thompson</w:t>
            </w:r>
          </w:p>
        </w:tc>
        <w:tc>
          <w:tcPr>
            <w:tcW w:w="2694" w:type="dxa"/>
          </w:tcPr>
          <w:p w14:paraId="03F99124" w14:textId="64FAAB58" w:rsidR="004A0912" w:rsidRPr="00F51636" w:rsidRDefault="00F22A58" w:rsidP="00F51636">
            <w:pPr>
              <w:pStyle w:val="TableNText"/>
              <w:spacing w:before="0" w:after="0" w:line="240" w:lineRule="auto"/>
              <w:rPr>
                <w:sz w:val="16"/>
                <w:szCs w:val="16"/>
                <w:lang w:eastAsia="en-AU"/>
              </w:rPr>
            </w:pPr>
            <w:r w:rsidRPr="00F51636">
              <w:rPr>
                <w:sz w:val="16"/>
                <w:szCs w:val="16"/>
                <w:lang w:eastAsia="en-AU"/>
              </w:rPr>
              <w:t>Principal</w:t>
            </w:r>
          </w:p>
        </w:tc>
        <w:tc>
          <w:tcPr>
            <w:tcW w:w="4053" w:type="dxa"/>
          </w:tcPr>
          <w:p w14:paraId="1841D78A" w14:textId="0147FED6" w:rsidR="004A0912" w:rsidRPr="00F51636" w:rsidRDefault="004A0912" w:rsidP="00F51636">
            <w:pPr>
              <w:pStyle w:val="TableNText"/>
              <w:spacing w:before="0" w:after="0" w:line="240" w:lineRule="auto"/>
              <w:rPr>
                <w:sz w:val="16"/>
                <w:szCs w:val="16"/>
                <w:lang w:eastAsia="en-AU"/>
              </w:rPr>
            </w:pPr>
            <w:r w:rsidRPr="00F51636">
              <w:rPr>
                <w:sz w:val="16"/>
                <w:szCs w:val="16"/>
                <w:lang w:eastAsia="en-AU"/>
              </w:rPr>
              <w:t>Nous Group</w:t>
            </w:r>
          </w:p>
        </w:tc>
      </w:tr>
      <w:tr w:rsidR="00D81648" w:rsidRPr="00A75948" w14:paraId="23D10599" w14:textId="77777777" w:rsidTr="00ED15F4">
        <w:trPr>
          <w:cnfStyle w:val="000000010000" w:firstRow="0" w:lastRow="0" w:firstColumn="0" w:lastColumn="0" w:oddVBand="0" w:evenVBand="0" w:oddHBand="0" w:evenHBand="1" w:firstRowFirstColumn="0" w:firstRowLastColumn="0" w:lastRowFirstColumn="0" w:lastRowLastColumn="0"/>
        </w:trPr>
        <w:tc>
          <w:tcPr>
            <w:tcW w:w="2353" w:type="dxa"/>
          </w:tcPr>
          <w:p w14:paraId="39AB5E57" w14:textId="73C3C3BE" w:rsidR="00D81648" w:rsidRPr="00F51636" w:rsidRDefault="00D81648" w:rsidP="00F51636">
            <w:pPr>
              <w:pStyle w:val="TableNText"/>
              <w:spacing w:before="0" w:after="0" w:line="240" w:lineRule="auto"/>
              <w:rPr>
                <w:sz w:val="16"/>
                <w:szCs w:val="16"/>
                <w:lang w:eastAsia="en-AU"/>
              </w:rPr>
            </w:pPr>
            <w:r w:rsidRPr="00F51636">
              <w:rPr>
                <w:sz w:val="16"/>
                <w:szCs w:val="16"/>
                <w:lang w:eastAsia="en-AU"/>
              </w:rPr>
              <w:t xml:space="preserve">James </w:t>
            </w:r>
            <w:proofErr w:type="spellStart"/>
            <w:r w:rsidRPr="00F51636">
              <w:rPr>
                <w:sz w:val="16"/>
                <w:szCs w:val="16"/>
                <w:lang w:eastAsia="en-AU"/>
              </w:rPr>
              <w:t>Eynstone-Hinkins</w:t>
            </w:r>
            <w:proofErr w:type="spellEnd"/>
          </w:p>
        </w:tc>
        <w:tc>
          <w:tcPr>
            <w:tcW w:w="2694" w:type="dxa"/>
          </w:tcPr>
          <w:p w14:paraId="7E4F0C23" w14:textId="311FA074" w:rsidR="00D81648" w:rsidRPr="00F51636" w:rsidRDefault="005A0CFC" w:rsidP="00F51636">
            <w:pPr>
              <w:pStyle w:val="TableNText"/>
              <w:spacing w:before="0" w:after="0" w:line="240" w:lineRule="auto"/>
              <w:rPr>
                <w:sz w:val="16"/>
                <w:szCs w:val="16"/>
                <w:lang w:eastAsia="en-AU"/>
              </w:rPr>
            </w:pPr>
            <w:r w:rsidRPr="00F51636">
              <w:rPr>
                <w:sz w:val="16"/>
                <w:szCs w:val="16"/>
                <w:lang w:eastAsia="en-AU"/>
              </w:rPr>
              <w:t>Director of Health and Vital Statistics</w:t>
            </w:r>
          </w:p>
        </w:tc>
        <w:tc>
          <w:tcPr>
            <w:tcW w:w="4053" w:type="dxa"/>
          </w:tcPr>
          <w:p w14:paraId="3991A76E" w14:textId="3D27D080" w:rsidR="00D81648" w:rsidRPr="00F51636" w:rsidRDefault="00D81648" w:rsidP="00F51636">
            <w:pPr>
              <w:pStyle w:val="TableNText"/>
              <w:spacing w:before="0" w:after="0" w:line="240" w:lineRule="auto"/>
              <w:rPr>
                <w:sz w:val="16"/>
                <w:szCs w:val="16"/>
                <w:lang w:eastAsia="en-AU"/>
              </w:rPr>
            </w:pPr>
            <w:r w:rsidRPr="00F51636">
              <w:rPr>
                <w:sz w:val="16"/>
                <w:szCs w:val="16"/>
                <w:lang w:eastAsia="en-AU"/>
              </w:rPr>
              <w:t>A</w:t>
            </w:r>
            <w:r w:rsidR="00C8726A" w:rsidRPr="00F51636">
              <w:rPr>
                <w:sz w:val="16"/>
                <w:szCs w:val="16"/>
                <w:lang w:eastAsia="en-AU"/>
              </w:rPr>
              <w:t xml:space="preserve">ustralian Bureau of Statistics </w:t>
            </w:r>
          </w:p>
        </w:tc>
      </w:tr>
      <w:tr w:rsidR="00F46BB4" w:rsidRPr="00A75948" w14:paraId="43C77D2A" w14:textId="77777777" w:rsidTr="00ED15F4">
        <w:trPr>
          <w:cnfStyle w:val="000000100000" w:firstRow="0" w:lastRow="0" w:firstColumn="0" w:lastColumn="0" w:oddVBand="0" w:evenVBand="0" w:oddHBand="1" w:evenHBand="0" w:firstRowFirstColumn="0" w:firstRowLastColumn="0" w:lastRowFirstColumn="0" w:lastRowLastColumn="0"/>
        </w:trPr>
        <w:tc>
          <w:tcPr>
            <w:tcW w:w="2353" w:type="dxa"/>
          </w:tcPr>
          <w:p w14:paraId="0677FBF4" w14:textId="0DD2FF08" w:rsidR="00F46BB4" w:rsidRPr="00F51636" w:rsidRDefault="00F46BB4" w:rsidP="00F51636">
            <w:pPr>
              <w:pStyle w:val="TableNText"/>
              <w:spacing w:before="0" w:after="0" w:line="240" w:lineRule="auto"/>
              <w:rPr>
                <w:sz w:val="16"/>
                <w:szCs w:val="16"/>
                <w:lang w:eastAsia="en-AU"/>
              </w:rPr>
            </w:pPr>
            <w:r w:rsidRPr="00F51636">
              <w:rPr>
                <w:sz w:val="16"/>
                <w:szCs w:val="16"/>
                <w:lang w:eastAsia="en-AU"/>
              </w:rPr>
              <w:t xml:space="preserve">Paula </w:t>
            </w:r>
            <w:proofErr w:type="spellStart"/>
            <w:r w:rsidRPr="00F51636">
              <w:rPr>
                <w:sz w:val="16"/>
                <w:szCs w:val="16"/>
                <w:lang w:eastAsia="en-AU"/>
              </w:rPr>
              <w:t>Trood</w:t>
            </w:r>
            <w:proofErr w:type="spellEnd"/>
          </w:p>
        </w:tc>
        <w:tc>
          <w:tcPr>
            <w:tcW w:w="2694" w:type="dxa"/>
          </w:tcPr>
          <w:p w14:paraId="44098121" w14:textId="50C67DC2" w:rsidR="00F46BB4" w:rsidRPr="00F51636" w:rsidRDefault="00F46BB4" w:rsidP="00F51636">
            <w:pPr>
              <w:pStyle w:val="TableNText"/>
              <w:spacing w:before="0" w:after="0" w:line="240" w:lineRule="auto"/>
              <w:rPr>
                <w:sz w:val="16"/>
                <w:szCs w:val="16"/>
                <w:lang w:eastAsia="en-AU"/>
              </w:rPr>
            </w:pPr>
            <w:r w:rsidRPr="00F51636">
              <w:rPr>
                <w:sz w:val="16"/>
                <w:szCs w:val="16"/>
                <w:lang w:eastAsia="en-AU"/>
              </w:rPr>
              <w:t>Chief Operating Officer</w:t>
            </w:r>
          </w:p>
        </w:tc>
        <w:tc>
          <w:tcPr>
            <w:tcW w:w="4053" w:type="dxa"/>
          </w:tcPr>
          <w:p w14:paraId="3BABAAE2" w14:textId="0D89CFCF" w:rsidR="00F46BB4" w:rsidRPr="00F51636" w:rsidRDefault="00F46BB4" w:rsidP="00F51636">
            <w:pPr>
              <w:pStyle w:val="TableNText"/>
              <w:spacing w:before="0" w:after="0" w:line="240" w:lineRule="auto"/>
              <w:rPr>
                <w:sz w:val="16"/>
                <w:szCs w:val="16"/>
                <w:lang w:eastAsia="en-AU"/>
              </w:rPr>
            </w:pPr>
            <w:r w:rsidRPr="00F51636">
              <w:rPr>
                <w:sz w:val="16"/>
                <w:szCs w:val="16"/>
                <w:lang w:eastAsia="en-AU"/>
              </w:rPr>
              <w:t xml:space="preserve">RSL </w:t>
            </w:r>
            <w:proofErr w:type="spellStart"/>
            <w:r w:rsidRPr="00F51636">
              <w:rPr>
                <w:sz w:val="16"/>
                <w:szCs w:val="16"/>
                <w:lang w:eastAsia="en-AU"/>
              </w:rPr>
              <w:t>LifeCare</w:t>
            </w:r>
            <w:proofErr w:type="spellEnd"/>
          </w:p>
        </w:tc>
      </w:tr>
      <w:tr w:rsidR="00D81648" w:rsidRPr="00A75948" w14:paraId="7AD7A5DA" w14:textId="77777777" w:rsidTr="00ED15F4">
        <w:trPr>
          <w:cnfStyle w:val="000000010000" w:firstRow="0" w:lastRow="0" w:firstColumn="0" w:lastColumn="0" w:oddVBand="0" w:evenVBand="0" w:oddHBand="0" w:evenHBand="1" w:firstRowFirstColumn="0" w:firstRowLastColumn="0" w:lastRowFirstColumn="0" w:lastRowLastColumn="0"/>
        </w:trPr>
        <w:tc>
          <w:tcPr>
            <w:tcW w:w="2353" w:type="dxa"/>
          </w:tcPr>
          <w:p w14:paraId="463E130C" w14:textId="0D4ED00D" w:rsidR="00D81648" w:rsidRPr="00F51636" w:rsidRDefault="00D81648" w:rsidP="00F51636">
            <w:pPr>
              <w:pStyle w:val="TableNText"/>
              <w:spacing w:before="0" w:after="0" w:line="240" w:lineRule="auto"/>
              <w:rPr>
                <w:sz w:val="16"/>
                <w:szCs w:val="16"/>
                <w:lang w:eastAsia="en-AU"/>
              </w:rPr>
            </w:pPr>
            <w:r w:rsidRPr="00F51636">
              <w:rPr>
                <w:sz w:val="16"/>
                <w:szCs w:val="16"/>
                <w:lang w:eastAsia="en-AU"/>
              </w:rPr>
              <w:t>Richard Jukes</w:t>
            </w:r>
          </w:p>
        </w:tc>
        <w:tc>
          <w:tcPr>
            <w:tcW w:w="2694" w:type="dxa"/>
          </w:tcPr>
          <w:p w14:paraId="566D8F4C" w14:textId="77777777" w:rsidR="00D81648" w:rsidRPr="00F51636" w:rsidRDefault="00D81648" w:rsidP="00F51636">
            <w:pPr>
              <w:pStyle w:val="TableNText"/>
              <w:spacing w:before="0" w:after="0" w:line="240" w:lineRule="auto"/>
              <w:rPr>
                <w:sz w:val="16"/>
                <w:szCs w:val="16"/>
                <w:lang w:eastAsia="en-AU"/>
              </w:rPr>
            </w:pPr>
          </w:p>
        </w:tc>
        <w:tc>
          <w:tcPr>
            <w:tcW w:w="4053" w:type="dxa"/>
          </w:tcPr>
          <w:p w14:paraId="441F2B94" w14:textId="2BBDF07F" w:rsidR="00D81648" w:rsidRPr="00F51636" w:rsidRDefault="00D81648" w:rsidP="00F51636">
            <w:pPr>
              <w:pStyle w:val="TableNText"/>
              <w:spacing w:before="0" w:after="0" w:line="240" w:lineRule="auto"/>
              <w:rPr>
                <w:sz w:val="16"/>
                <w:szCs w:val="16"/>
                <w:lang w:eastAsia="en-AU"/>
              </w:rPr>
            </w:pPr>
            <w:r w:rsidRPr="00F51636">
              <w:rPr>
                <w:sz w:val="16"/>
                <w:szCs w:val="16"/>
                <w:lang w:eastAsia="en-AU"/>
              </w:rPr>
              <w:t>AIHW</w:t>
            </w:r>
          </w:p>
        </w:tc>
      </w:tr>
      <w:tr w:rsidR="00E6029A" w:rsidRPr="00A75948" w14:paraId="107FC21F" w14:textId="77777777" w:rsidTr="00ED15F4">
        <w:trPr>
          <w:cnfStyle w:val="000000100000" w:firstRow="0" w:lastRow="0" w:firstColumn="0" w:lastColumn="0" w:oddVBand="0" w:evenVBand="0" w:oddHBand="1" w:evenHBand="0" w:firstRowFirstColumn="0" w:firstRowLastColumn="0" w:lastRowFirstColumn="0" w:lastRowLastColumn="0"/>
        </w:trPr>
        <w:tc>
          <w:tcPr>
            <w:tcW w:w="2353" w:type="dxa"/>
          </w:tcPr>
          <w:p w14:paraId="0DA55105" w14:textId="1F9DD35C" w:rsidR="00E6029A" w:rsidRPr="00F51636" w:rsidRDefault="00E6029A" w:rsidP="00F51636">
            <w:pPr>
              <w:pStyle w:val="TableNText"/>
              <w:spacing w:before="0" w:after="0" w:line="240" w:lineRule="auto"/>
              <w:rPr>
                <w:sz w:val="16"/>
                <w:szCs w:val="16"/>
                <w:lang w:eastAsia="en-AU"/>
              </w:rPr>
            </w:pPr>
            <w:r w:rsidRPr="00F51636">
              <w:rPr>
                <w:sz w:val="16"/>
                <w:szCs w:val="16"/>
                <w:lang w:eastAsia="en-AU"/>
              </w:rPr>
              <w:t>Sandra Hills</w:t>
            </w:r>
          </w:p>
        </w:tc>
        <w:tc>
          <w:tcPr>
            <w:tcW w:w="2694" w:type="dxa"/>
          </w:tcPr>
          <w:p w14:paraId="1A21DCA0" w14:textId="28E733C7" w:rsidR="00E6029A" w:rsidRPr="00F51636" w:rsidRDefault="00167EF3" w:rsidP="00F51636">
            <w:pPr>
              <w:pStyle w:val="TableNText"/>
              <w:spacing w:before="0" w:after="0" w:line="240" w:lineRule="auto"/>
              <w:rPr>
                <w:sz w:val="16"/>
                <w:szCs w:val="16"/>
                <w:lang w:eastAsia="en-AU"/>
              </w:rPr>
            </w:pPr>
            <w:r w:rsidRPr="00F51636">
              <w:rPr>
                <w:sz w:val="16"/>
                <w:szCs w:val="16"/>
                <w:lang w:eastAsia="en-AU"/>
              </w:rPr>
              <w:t>C</w:t>
            </w:r>
            <w:r w:rsidR="00F46BB4" w:rsidRPr="00F51636">
              <w:rPr>
                <w:sz w:val="16"/>
                <w:szCs w:val="16"/>
                <w:lang w:eastAsia="en-AU"/>
              </w:rPr>
              <w:t>hief Executive Officer</w:t>
            </w:r>
          </w:p>
        </w:tc>
        <w:tc>
          <w:tcPr>
            <w:tcW w:w="4053" w:type="dxa"/>
          </w:tcPr>
          <w:p w14:paraId="20199542" w14:textId="73A3DCEB" w:rsidR="00E6029A" w:rsidRPr="00F51636" w:rsidRDefault="00167EF3" w:rsidP="00F51636">
            <w:pPr>
              <w:pStyle w:val="TableNText"/>
              <w:spacing w:before="0" w:after="0" w:line="240" w:lineRule="auto"/>
              <w:rPr>
                <w:sz w:val="16"/>
                <w:szCs w:val="16"/>
                <w:lang w:eastAsia="en-AU"/>
              </w:rPr>
            </w:pPr>
            <w:proofErr w:type="spellStart"/>
            <w:r w:rsidRPr="00F51636">
              <w:rPr>
                <w:sz w:val="16"/>
                <w:szCs w:val="16"/>
                <w:lang w:eastAsia="en-AU"/>
              </w:rPr>
              <w:t>Benetas</w:t>
            </w:r>
            <w:proofErr w:type="spellEnd"/>
          </w:p>
        </w:tc>
      </w:tr>
      <w:tr w:rsidR="00E6029A" w:rsidRPr="00A75948" w14:paraId="470579CB" w14:textId="77777777" w:rsidTr="00ED15F4">
        <w:trPr>
          <w:cnfStyle w:val="000000010000" w:firstRow="0" w:lastRow="0" w:firstColumn="0" w:lastColumn="0" w:oddVBand="0" w:evenVBand="0" w:oddHBand="0" w:evenHBand="1" w:firstRowFirstColumn="0" w:firstRowLastColumn="0" w:lastRowFirstColumn="0" w:lastRowLastColumn="0"/>
        </w:trPr>
        <w:tc>
          <w:tcPr>
            <w:tcW w:w="2353" w:type="dxa"/>
          </w:tcPr>
          <w:p w14:paraId="5708064D" w14:textId="1FAAD01B" w:rsidR="00E6029A" w:rsidRPr="00F51636" w:rsidRDefault="00E6029A" w:rsidP="00F51636">
            <w:pPr>
              <w:pStyle w:val="TableNText"/>
              <w:spacing w:before="0" w:after="0" w:line="240" w:lineRule="auto"/>
              <w:rPr>
                <w:sz w:val="16"/>
                <w:szCs w:val="16"/>
                <w:lang w:eastAsia="en-AU"/>
              </w:rPr>
            </w:pPr>
            <w:r w:rsidRPr="00F51636">
              <w:rPr>
                <w:sz w:val="16"/>
                <w:szCs w:val="16"/>
                <w:lang w:eastAsia="en-AU"/>
              </w:rPr>
              <w:t xml:space="preserve">Saviour </w:t>
            </w:r>
            <w:proofErr w:type="spellStart"/>
            <w:r w:rsidRPr="00F51636">
              <w:rPr>
                <w:sz w:val="16"/>
                <w:szCs w:val="16"/>
                <w:lang w:eastAsia="en-AU"/>
              </w:rPr>
              <w:t>Buhagiar</w:t>
            </w:r>
            <w:proofErr w:type="spellEnd"/>
          </w:p>
        </w:tc>
        <w:tc>
          <w:tcPr>
            <w:tcW w:w="2694" w:type="dxa"/>
          </w:tcPr>
          <w:p w14:paraId="69E68A8B" w14:textId="1C014EBE" w:rsidR="00E6029A" w:rsidRPr="00F51636" w:rsidRDefault="00E6029A" w:rsidP="00F51636">
            <w:pPr>
              <w:pStyle w:val="TableNText"/>
              <w:spacing w:before="0" w:after="0" w:line="240" w:lineRule="auto"/>
              <w:rPr>
                <w:sz w:val="16"/>
                <w:szCs w:val="16"/>
                <w:lang w:eastAsia="en-AU"/>
              </w:rPr>
            </w:pPr>
            <w:r w:rsidRPr="00F51636">
              <w:rPr>
                <w:sz w:val="16"/>
                <w:szCs w:val="16"/>
                <w:lang w:eastAsia="en-AU"/>
              </w:rPr>
              <w:t>Director of Aged Care</w:t>
            </w:r>
          </w:p>
        </w:tc>
        <w:tc>
          <w:tcPr>
            <w:tcW w:w="4053" w:type="dxa"/>
          </w:tcPr>
          <w:p w14:paraId="4C5DD6C7" w14:textId="095ECF88" w:rsidR="00E6029A" w:rsidRPr="00F51636" w:rsidRDefault="00E6029A" w:rsidP="00F51636">
            <w:pPr>
              <w:pStyle w:val="TableNText"/>
              <w:spacing w:before="0" w:after="0" w:line="240" w:lineRule="auto"/>
              <w:rPr>
                <w:sz w:val="16"/>
                <w:szCs w:val="16"/>
                <w:lang w:eastAsia="en-AU"/>
              </w:rPr>
            </w:pPr>
            <w:r w:rsidRPr="00F51636">
              <w:rPr>
                <w:sz w:val="16"/>
                <w:szCs w:val="16"/>
                <w:lang w:eastAsia="en-AU"/>
              </w:rPr>
              <w:t xml:space="preserve">Uniting NSW </w:t>
            </w:r>
            <w:r w:rsidR="00933531" w:rsidRPr="00F51636">
              <w:rPr>
                <w:sz w:val="16"/>
                <w:szCs w:val="16"/>
                <w:lang w:eastAsia="en-AU"/>
              </w:rPr>
              <w:t>and</w:t>
            </w:r>
            <w:r w:rsidRPr="00F51636">
              <w:rPr>
                <w:sz w:val="16"/>
                <w:szCs w:val="16"/>
                <w:lang w:eastAsia="en-AU"/>
              </w:rPr>
              <w:t xml:space="preserve"> ACT</w:t>
            </w:r>
          </w:p>
        </w:tc>
      </w:tr>
      <w:tr w:rsidR="00D81648" w:rsidRPr="00A75948" w14:paraId="328A6B58" w14:textId="77777777" w:rsidTr="00B25FA6">
        <w:trPr>
          <w:cnfStyle w:val="000000100000" w:firstRow="0" w:lastRow="0" w:firstColumn="0" w:lastColumn="0" w:oddVBand="0" w:evenVBand="0" w:oddHBand="1" w:evenHBand="0" w:firstRowFirstColumn="0" w:firstRowLastColumn="0" w:lastRowFirstColumn="0" w:lastRowLastColumn="0"/>
        </w:trPr>
        <w:tc>
          <w:tcPr>
            <w:tcW w:w="2353" w:type="dxa"/>
          </w:tcPr>
          <w:p w14:paraId="12E6D904" w14:textId="41358C7D" w:rsidR="00D81648" w:rsidRPr="00F51636" w:rsidRDefault="00D81648" w:rsidP="00F51636">
            <w:pPr>
              <w:pStyle w:val="TableNText"/>
              <w:spacing w:before="0" w:after="0" w:line="240" w:lineRule="auto"/>
              <w:rPr>
                <w:sz w:val="16"/>
                <w:szCs w:val="16"/>
                <w:lang w:eastAsia="en-AU"/>
              </w:rPr>
            </w:pPr>
            <w:r w:rsidRPr="00F51636">
              <w:rPr>
                <w:sz w:val="16"/>
                <w:szCs w:val="16"/>
                <w:lang w:eastAsia="en-AU"/>
              </w:rPr>
              <w:t>Stephen Teulan</w:t>
            </w:r>
          </w:p>
        </w:tc>
        <w:tc>
          <w:tcPr>
            <w:tcW w:w="2694" w:type="dxa"/>
          </w:tcPr>
          <w:p w14:paraId="3D2031F7" w14:textId="3E5B7FF0" w:rsidR="00D81648" w:rsidRPr="00F51636" w:rsidRDefault="00D81648" w:rsidP="00F51636">
            <w:pPr>
              <w:pStyle w:val="TableNText"/>
              <w:spacing w:before="0" w:after="0" w:line="240" w:lineRule="auto"/>
              <w:rPr>
                <w:sz w:val="16"/>
                <w:szCs w:val="16"/>
                <w:lang w:eastAsia="en-AU"/>
              </w:rPr>
            </w:pPr>
            <w:r w:rsidRPr="00F51636">
              <w:rPr>
                <w:sz w:val="16"/>
                <w:szCs w:val="16"/>
                <w:lang w:eastAsia="en-AU"/>
              </w:rPr>
              <w:t>Principal</w:t>
            </w:r>
          </w:p>
        </w:tc>
        <w:tc>
          <w:tcPr>
            <w:tcW w:w="4053" w:type="dxa"/>
          </w:tcPr>
          <w:p w14:paraId="17299D76" w14:textId="5747DC93" w:rsidR="00D81648" w:rsidRPr="00F51636" w:rsidRDefault="00D81648" w:rsidP="00F51636">
            <w:pPr>
              <w:pStyle w:val="TableNText"/>
              <w:spacing w:before="0" w:after="0" w:line="240" w:lineRule="auto"/>
              <w:rPr>
                <w:sz w:val="16"/>
                <w:szCs w:val="16"/>
                <w:lang w:eastAsia="en-AU"/>
              </w:rPr>
            </w:pPr>
            <w:r w:rsidRPr="00F51636">
              <w:rPr>
                <w:sz w:val="16"/>
                <w:szCs w:val="16"/>
                <w:lang w:eastAsia="en-AU"/>
              </w:rPr>
              <w:t>Nous Group</w:t>
            </w:r>
          </w:p>
        </w:tc>
      </w:tr>
    </w:tbl>
    <w:p w14:paraId="0097809D" w14:textId="77777777" w:rsidR="006D4DE5" w:rsidRPr="00826800" w:rsidRDefault="006D4DE5" w:rsidP="006D4DE5">
      <w:pPr>
        <w:rPr>
          <w:lang w:eastAsia="en-AU"/>
        </w:rPr>
        <w:sectPr w:rsidR="006D4DE5" w:rsidRPr="00826800" w:rsidSect="001B2D75">
          <w:pgSz w:w="11907" w:h="16839" w:code="9"/>
          <w:pgMar w:top="1418" w:right="1418" w:bottom="1701" w:left="1559" w:header="720" w:footer="720" w:gutter="0"/>
          <w:cols w:space="720"/>
          <w:titlePg/>
          <w:docGrid w:linePitch="360"/>
        </w:sectPr>
      </w:pPr>
    </w:p>
    <w:p w14:paraId="001E88AA" w14:textId="31EA5891" w:rsidR="006D4DE5" w:rsidRDefault="006D4DE5" w:rsidP="006D4DE5">
      <w:pPr>
        <w:pStyle w:val="xAppendixLevel1"/>
      </w:pPr>
      <w:bookmarkStart w:id="83" w:name="_Ref57897481"/>
      <w:bookmarkStart w:id="84" w:name="_Ref61853001"/>
      <w:bookmarkStart w:id="85" w:name="_Ref61855098"/>
      <w:bookmarkStart w:id="86" w:name="_Toc82767231"/>
      <w:r>
        <w:lastRenderedPageBreak/>
        <w:t>Data collection tools</w:t>
      </w:r>
      <w:bookmarkEnd w:id="83"/>
      <w:bookmarkEnd w:id="84"/>
      <w:bookmarkEnd w:id="85"/>
      <w:bookmarkEnd w:id="86"/>
      <w:r>
        <w:t xml:space="preserve"> </w:t>
      </w:r>
    </w:p>
    <w:p w14:paraId="51CB1C78" w14:textId="77777777" w:rsidR="006D4DE5" w:rsidRDefault="006D4DE5" w:rsidP="006D4DE5">
      <w:bookmarkStart w:id="87" w:name="_Ref62130882"/>
      <w:r>
        <w:t>This appendix provides data collection tools for the collection of primary data. This includes the:</w:t>
      </w:r>
      <w:bookmarkEnd w:id="87"/>
      <w:r>
        <w:t xml:space="preserve"> </w:t>
      </w:r>
    </w:p>
    <w:p w14:paraId="080BB15F" w14:textId="7307B279" w:rsidR="006D4DE5" w:rsidRDefault="006D4DE5" w:rsidP="006D4DE5">
      <w:pPr>
        <w:pStyle w:val="Bullet"/>
      </w:pPr>
      <w:r>
        <w:t>RACF survey (</w:t>
      </w:r>
      <w:r>
        <w:fldChar w:fldCharType="begin"/>
      </w:r>
      <w:r>
        <w:instrText xml:space="preserve"> REF _Ref57908862 \r \h  \* MERGEFORMAT </w:instrText>
      </w:r>
      <w:r>
        <w:fldChar w:fldCharType="separate"/>
      </w:r>
      <w:r w:rsidR="00DF258C">
        <w:t>B.1</w:t>
      </w:r>
      <w:r>
        <w:fldChar w:fldCharType="end"/>
      </w:r>
      <w:r>
        <w:t xml:space="preserve">) </w:t>
      </w:r>
    </w:p>
    <w:p w14:paraId="745490F4" w14:textId="5DE9806C" w:rsidR="006D4DE5" w:rsidRPr="00DB2215" w:rsidRDefault="00116886" w:rsidP="006D4DE5">
      <w:pPr>
        <w:pStyle w:val="Bullet"/>
      </w:pPr>
      <w:r>
        <w:t>s</w:t>
      </w:r>
      <w:r w:rsidR="006D4DE5" w:rsidRPr="00A771A9">
        <w:t>tate</w:t>
      </w:r>
      <w:r w:rsidR="006D4DE5">
        <w:t xml:space="preserve">/territory biannual </w:t>
      </w:r>
      <w:r w:rsidR="006D4DE5" w:rsidRPr="00DB2215">
        <w:t>reporting template (</w:t>
      </w:r>
      <w:r w:rsidR="006D4DE5" w:rsidRPr="00DB2215">
        <w:fldChar w:fldCharType="begin"/>
      </w:r>
      <w:r w:rsidR="006D4DE5" w:rsidRPr="00DB2215">
        <w:instrText xml:space="preserve"> REF _Ref61517491 \r \h </w:instrText>
      </w:r>
      <w:r w:rsidR="006D4DE5">
        <w:instrText xml:space="preserve"> \* MERGEFORMAT </w:instrText>
      </w:r>
      <w:r w:rsidR="006D4DE5" w:rsidRPr="00DB2215">
        <w:fldChar w:fldCharType="separate"/>
      </w:r>
      <w:r w:rsidR="00DF258C">
        <w:t>B.2</w:t>
      </w:r>
      <w:r w:rsidR="006D4DE5" w:rsidRPr="00DB2215">
        <w:fldChar w:fldCharType="end"/>
      </w:r>
      <w:r w:rsidR="006D4DE5" w:rsidRPr="00DB2215">
        <w:t>)</w:t>
      </w:r>
    </w:p>
    <w:p w14:paraId="54091543" w14:textId="64E9C283" w:rsidR="006D4DE5" w:rsidRDefault="006D4DE5" w:rsidP="006D4DE5">
      <w:pPr>
        <w:pStyle w:val="Bullet"/>
      </w:pPr>
      <w:r>
        <w:t>PCA consumer representative interview guide (</w:t>
      </w:r>
      <w:r>
        <w:fldChar w:fldCharType="begin"/>
      </w:r>
      <w:r>
        <w:instrText xml:space="preserve"> REF _Ref61513506 \r \h </w:instrText>
      </w:r>
      <w:r>
        <w:fldChar w:fldCharType="separate"/>
      </w:r>
      <w:r w:rsidR="00DF258C">
        <w:t>B.3</w:t>
      </w:r>
      <w:r>
        <w:fldChar w:fldCharType="end"/>
      </w:r>
      <w:r>
        <w:t>)</w:t>
      </w:r>
    </w:p>
    <w:p w14:paraId="74956A2D" w14:textId="0D1E1E5F" w:rsidR="006D4DE5" w:rsidRDefault="006D4DE5" w:rsidP="006D4DE5">
      <w:pPr>
        <w:pStyle w:val="xAppendixLevel2"/>
      </w:pPr>
      <w:bookmarkStart w:id="88" w:name="_Ref57908862"/>
      <w:bookmarkStart w:id="89" w:name="_Toc82767232"/>
      <w:bookmarkStart w:id="90" w:name="_Ref54278189"/>
      <w:r>
        <w:t>RACF survey</w:t>
      </w:r>
      <w:bookmarkEnd w:id="88"/>
      <w:bookmarkEnd w:id="89"/>
    </w:p>
    <w:bookmarkEnd w:id="90"/>
    <w:p w14:paraId="2030F596" w14:textId="19990CB4" w:rsidR="006D4DE5" w:rsidRPr="00B05772" w:rsidRDefault="006D4DE5" w:rsidP="006D4DE5">
      <w:pPr>
        <w:rPr>
          <w:color w:val="00264D" w:themeColor="background2"/>
          <w:lang w:eastAsia="en-AU"/>
        </w:rPr>
      </w:pPr>
      <w:r w:rsidRPr="00B05772">
        <w:rPr>
          <w:lang w:eastAsia="en-AU"/>
        </w:rPr>
        <w:t xml:space="preserve">This </w:t>
      </w:r>
      <w:r w:rsidR="009253BF">
        <w:rPr>
          <w:lang w:eastAsia="en-AU"/>
        </w:rPr>
        <w:t>section</w:t>
      </w:r>
      <w:r w:rsidRPr="00B05772">
        <w:rPr>
          <w:lang w:eastAsia="en-AU"/>
        </w:rPr>
        <w:t xml:space="preserve"> provides a </w:t>
      </w:r>
      <w:r>
        <w:rPr>
          <w:lang w:eastAsia="en-AU"/>
        </w:rPr>
        <w:t>draft</w:t>
      </w:r>
      <w:r w:rsidRPr="00B05772">
        <w:rPr>
          <w:lang w:eastAsia="en-AU"/>
        </w:rPr>
        <w:t xml:space="preserve"> </w:t>
      </w:r>
      <w:r w:rsidR="006E1FDB">
        <w:rPr>
          <w:lang w:eastAsia="en-AU"/>
        </w:rPr>
        <w:t>survey</w:t>
      </w:r>
      <w:r w:rsidRPr="00B05772">
        <w:rPr>
          <w:lang w:eastAsia="en-AU"/>
        </w:rPr>
        <w:t xml:space="preserve"> for RACFs to </w:t>
      </w:r>
      <w:r>
        <w:rPr>
          <w:lang w:eastAsia="en-AU"/>
        </w:rPr>
        <w:t>collect data</w:t>
      </w:r>
      <w:r w:rsidRPr="00B05772">
        <w:rPr>
          <w:lang w:eastAsia="en-AU"/>
        </w:rPr>
        <w:t xml:space="preserve"> for the national evaluation of the Measure. </w:t>
      </w:r>
    </w:p>
    <w:p w14:paraId="45076A67" w14:textId="77777777" w:rsidR="00DF258C" w:rsidRPr="004136F1" w:rsidRDefault="006D4DE5" w:rsidP="00E0007A">
      <w:r>
        <w:rPr>
          <w:lang w:eastAsia="en-AU"/>
        </w:rPr>
        <w:t xml:space="preserve">The </w:t>
      </w:r>
      <w:r w:rsidR="0094765A">
        <w:rPr>
          <w:lang w:eastAsia="en-AU"/>
        </w:rPr>
        <w:t>survey (</w:t>
      </w:r>
      <w:r w:rsidR="0094765A">
        <w:rPr>
          <w:lang w:eastAsia="en-AU"/>
        </w:rPr>
        <w:fldChar w:fldCharType="begin"/>
      </w:r>
      <w:r w:rsidR="0094765A">
        <w:rPr>
          <w:lang w:eastAsia="en-AU"/>
        </w:rPr>
        <w:instrText xml:space="preserve"> REF _Ref62225054 \h </w:instrText>
      </w:r>
      <w:r w:rsidR="0094765A">
        <w:rPr>
          <w:lang w:eastAsia="en-AU"/>
        </w:rPr>
      </w:r>
      <w:r w:rsidR="0094765A">
        <w:rPr>
          <w:lang w:eastAsia="en-AU"/>
        </w:rPr>
        <w:fldChar w:fldCharType="separate"/>
      </w:r>
      <w:r w:rsidR="00DF258C">
        <w:t xml:space="preserve">All questions will be voluntary so if a respondent is unsure, RACFs will be able to leave the response blank. This reduces response burden and the level of inaccurate responses. </w:t>
      </w:r>
    </w:p>
    <w:p w14:paraId="114A2EBF" w14:textId="6C18F42F" w:rsidR="006D4DE5" w:rsidRDefault="00DF258C" w:rsidP="006D4DE5">
      <w:pPr>
        <w:rPr>
          <w:lang w:eastAsia="en-AU"/>
        </w:rPr>
      </w:pPr>
      <w:r>
        <w:t xml:space="preserve">Table </w:t>
      </w:r>
      <w:r>
        <w:rPr>
          <w:noProof/>
        </w:rPr>
        <w:t>8</w:t>
      </w:r>
      <w:r w:rsidR="0094765A">
        <w:rPr>
          <w:lang w:eastAsia="en-AU"/>
        </w:rPr>
        <w:fldChar w:fldCharType="end"/>
      </w:r>
      <w:r w:rsidR="0094765A">
        <w:rPr>
          <w:lang w:eastAsia="en-AU"/>
        </w:rPr>
        <w:t>)</w:t>
      </w:r>
      <w:r w:rsidR="006D4DE5">
        <w:rPr>
          <w:lang w:eastAsia="en-AU"/>
        </w:rPr>
        <w:t xml:space="preserve"> </w:t>
      </w:r>
      <w:r w:rsidR="006D4DE5" w:rsidRPr="00B05772">
        <w:rPr>
          <w:lang w:eastAsia="en-AU"/>
        </w:rPr>
        <w:t>capture</w:t>
      </w:r>
      <w:r w:rsidR="006D4DE5">
        <w:rPr>
          <w:lang w:eastAsia="en-AU"/>
        </w:rPr>
        <w:t>s</w:t>
      </w:r>
      <w:r w:rsidR="006D4DE5" w:rsidRPr="00B05772">
        <w:rPr>
          <w:lang w:eastAsia="en-AU"/>
        </w:rPr>
        <w:t xml:space="preserve"> information about </w:t>
      </w:r>
      <w:r w:rsidR="00DE5116">
        <w:rPr>
          <w:lang w:eastAsia="en-AU"/>
        </w:rPr>
        <w:t xml:space="preserve">the </w:t>
      </w:r>
      <w:r w:rsidR="006D4DE5" w:rsidRPr="00B05772">
        <w:rPr>
          <w:lang w:eastAsia="en-AU"/>
        </w:rPr>
        <w:t xml:space="preserve">delivery, </w:t>
      </w:r>
      <w:proofErr w:type="gramStart"/>
      <w:r w:rsidR="006D4DE5" w:rsidRPr="00B05772">
        <w:rPr>
          <w:lang w:eastAsia="en-AU"/>
        </w:rPr>
        <w:t>access</w:t>
      </w:r>
      <w:proofErr w:type="gramEnd"/>
      <w:r w:rsidR="006D4DE5" w:rsidRPr="00B05772">
        <w:rPr>
          <w:lang w:eastAsia="en-AU"/>
        </w:rPr>
        <w:t xml:space="preserve"> and quality </w:t>
      </w:r>
      <w:r w:rsidR="008F6FC1">
        <w:rPr>
          <w:lang w:eastAsia="en-AU"/>
        </w:rPr>
        <w:t xml:space="preserve">of palliative care </w:t>
      </w:r>
      <w:r w:rsidR="006D4DE5" w:rsidRPr="00B05772">
        <w:rPr>
          <w:lang w:eastAsia="en-AU"/>
        </w:rPr>
        <w:t>available in RACFs.</w:t>
      </w:r>
      <w:r w:rsidR="006D4DE5">
        <w:rPr>
          <w:lang w:eastAsia="en-AU"/>
        </w:rPr>
        <w:t xml:space="preserve"> The questions in the survey have been aligned with the aims of the Measure: </w:t>
      </w:r>
    </w:p>
    <w:p w14:paraId="46D3C8A6" w14:textId="77777777" w:rsidR="00875C08" w:rsidRDefault="00875C08" w:rsidP="001B5807">
      <w:pPr>
        <w:pStyle w:val="Listnumbered"/>
      </w:pPr>
      <w:r>
        <w:t xml:space="preserve">Support the delivery of projects that expand existing models of care or new approaches to the way care is delivered or commissioned, to improve palliative and end of life care coordination for older Australians living in RACFs. </w:t>
      </w:r>
    </w:p>
    <w:p w14:paraId="45F547EC" w14:textId="77777777" w:rsidR="006D4DE5" w:rsidRDefault="006D4DE5" w:rsidP="001B5807">
      <w:pPr>
        <w:pStyle w:val="Listnumbered"/>
      </w:pPr>
      <w:r>
        <w:t>Strengthen national efforts to improve access to quality palliative care as a key component of an integrated health-aged care system.</w:t>
      </w:r>
    </w:p>
    <w:p w14:paraId="6DD4F5D5" w14:textId="3A8FC7A2" w:rsidR="006D4DE5" w:rsidRDefault="006D4DE5" w:rsidP="006D4DE5">
      <w:r>
        <w:t xml:space="preserve">Nous intends that the </w:t>
      </w:r>
      <w:r w:rsidR="00D61CA4">
        <w:t>survey</w:t>
      </w:r>
      <w:r>
        <w:t xml:space="preserve"> is distributed at the start of the evaluation to provide </w:t>
      </w:r>
      <w:r w:rsidR="0052787C">
        <w:t>an</w:t>
      </w:r>
      <w:r>
        <w:t xml:space="preserve"> understanding of the delivery of palliative care in RACFs </w:t>
      </w:r>
      <w:r w:rsidR="00FB138B">
        <w:t xml:space="preserve">as the Measure is in </w:t>
      </w:r>
      <w:r w:rsidR="00DE3F7B">
        <w:t>the early stages of implementation</w:t>
      </w:r>
      <w:r>
        <w:t xml:space="preserve">. The </w:t>
      </w:r>
      <w:r w:rsidR="00D61CA4">
        <w:t>survey</w:t>
      </w:r>
      <w:r>
        <w:t xml:space="preserve"> will be re-administered at the end of the evaluation to assess the impact of the Measure. </w:t>
      </w:r>
    </w:p>
    <w:p w14:paraId="1DE7E910" w14:textId="3D024B67" w:rsidR="006D4DE5" w:rsidRDefault="006D4DE5" w:rsidP="006D4DE5">
      <w:r>
        <w:t xml:space="preserve">Distribution of the </w:t>
      </w:r>
      <w:r w:rsidR="009253BF">
        <w:t>survey</w:t>
      </w:r>
      <w:r>
        <w:t xml:space="preserve"> will involve </w:t>
      </w:r>
      <w:r w:rsidR="002D356B">
        <w:t>working</w:t>
      </w:r>
      <w:r>
        <w:t xml:space="preserve"> with the Australian </w:t>
      </w:r>
      <w:r w:rsidR="00305506">
        <w:t>G</w:t>
      </w:r>
      <w:r>
        <w:t xml:space="preserve">overnment and </w:t>
      </w:r>
      <w:r w:rsidRPr="00A771A9">
        <w:t>state</w:t>
      </w:r>
      <w:r>
        <w:t xml:space="preserve"> and </w:t>
      </w:r>
      <w:r w:rsidRPr="00A771A9">
        <w:t>territor</w:t>
      </w:r>
      <w:r w:rsidR="001317DD">
        <w:t>y</w:t>
      </w:r>
      <w:r w:rsidR="00305506">
        <w:t xml:space="preserve"> representatives</w:t>
      </w:r>
      <w:r>
        <w:t>.</w:t>
      </w:r>
      <w:r w:rsidR="004A4CD0">
        <w:t xml:space="preserve"> </w:t>
      </w:r>
      <w:r w:rsidR="006C48AB">
        <w:t>Please see definitions at the end of the survey before proceeding.</w:t>
      </w:r>
    </w:p>
    <w:p w14:paraId="36BA8ED1" w14:textId="089DD6CF" w:rsidR="00E0007A" w:rsidRPr="004136F1" w:rsidRDefault="00E0007A" w:rsidP="00E0007A">
      <w:bookmarkStart w:id="91" w:name="_Ref62225054"/>
      <w:r>
        <w:t xml:space="preserve">All questions will be voluntary so if a respondent is unsure, RACFs will be able to leave the response blank. This reduces response burden and the level of inaccurate responses. </w:t>
      </w:r>
    </w:p>
    <w:p w14:paraId="153DC7D1" w14:textId="3BFA1504" w:rsidR="006D4DE5" w:rsidRDefault="006D4DE5" w:rsidP="006D4DE5">
      <w:pPr>
        <w:pStyle w:val="Caption"/>
      </w:pPr>
      <w:r>
        <w:t xml:space="preserve">Table </w:t>
      </w:r>
      <w:r>
        <w:fldChar w:fldCharType="begin"/>
      </w:r>
      <w:r>
        <w:instrText xml:space="preserve"> SEQ Table \* ARABIC </w:instrText>
      </w:r>
      <w:r>
        <w:fldChar w:fldCharType="separate"/>
      </w:r>
      <w:r w:rsidR="00DF258C">
        <w:rPr>
          <w:noProof/>
        </w:rPr>
        <w:t>8</w:t>
      </w:r>
      <w:r>
        <w:fldChar w:fldCharType="end"/>
      </w:r>
      <w:bookmarkEnd w:id="91"/>
      <w:r>
        <w:t xml:space="preserve"> | Draft RACF </w:t>
      </w:r>
      <w:r w:rsidR="009253BF">
        <w:t>survey</w:t>
      </w:r>
      <w:r>
        <w:t xml:space="preserve"> items</w:t>
      </w:r>
    </w:p>
    <w:tbl>
      <w:tblPr>
        <w:tblStyle w:val="NOUSSideHeader1"/>
        <w:tblW w:w="8920" w:type="dxa"/>
        <w:tblLook w:val="0400" w:firstRow="0" w:lastRow="0" w:firstColumn="0" w:lastColumn="0" w:noHBand="0" w:noVBand="1"/>
        <w:tblCaption w:val="Draft RACF survey items"/>
        <w:tblDescription w:val="1. Does the RACF have routine processes in place to discuss and record the end-of-life care wishes of each resident? &#10;For example, running multidisciplinary case conferences, or discussions between a resident and their family/informal carer, RACF staff, specialist care services and General Practitioner (GP).&#10;2. Does the facility use an audit process to look at end of life care? For example, the End of Life Directions for Aged Care (ELDAC) After Death Audit.&#10;3. Does the facility use a digital dashboard or other digital tool to monitor palliative care within the RACF? For example, the ELDAC digital dashboard.&#10;4. Has the RACF implemented quality improvement initiatives to improve palliative care outcomes over the past 12 months?&#10;If yes, please provide a brief description of the activity&#10;5. Does the RACF have processes in place (e.g. clear steps for staff) that: Assist staff to recognise when a resident is close to end-of-life? Ensure residents’ emotional, spiritual and cultural needs are met at end-of-life? Ensure residents can access appropriate medication if their condition changes suddenly at end-of-life?&#10;6. Are residents at the RACF able to access palliative care provided by a state or territory health service? This could be nurses, specialist doctors, allied health or private services.&#10;If yes, please select modes through which specialist palliative care (from any provider) can be accessed: In person, Telephone and/or Video call.&#10;7. Does the RACF have access to palliative care services from General Practitioners (GPs)? If yes, please describe access from GPs to the RACF.&#10;8. How many Registered Nurses (or other staff if any) with specialised palliative care knowledge work at the RACF?&#10;9. What proportion of current residents have advance care planning documents (ACPDs)?&#10;For example, an Advance Care Plan or Advanced Care Directive. On entry to the RACF, within the first 3 months of entry and/or Currently&#10;10. Please describe any process used within the RACF for residents and their families and carers to update ACPDs&#10;11. How often are ACPDs reviewed to ensure that they are up to date and complete? &#10;12. Are ACPDs readily able to be accessed across the: RACF, Specialist palliative care services, Hospitals and/or GPs&#10;13. Does the RACF record preferred place of death for all residents?&#10;14. Does the facility have a policy or requirement in place, and monitored, to ensure that the following staff (including casuals) uptake available training/education opportunities to improve their understanding about palliative care:&#10;• Registered Nurses&#10;• Team Leaders/Enrolled Nurses&#10;• Allied Health&#10;• Direct care staff (e.g. Personal care worker)&#10;• Pastoral care staff&#10;• Other staff&#10;15. Does the facility use a preferred training/education package? If yes, please identify the preferred package.&#10;16. How regularly is palliative/end-of-life training and education taken up by those staff who are responsible for end-of-life discussions and care provision? &#10;17. Would you like to participate in a focus group conversation to discuss palliative care in RACFs?"/>
      </w:tblPr>
      <w:tblGrid>
        <w:gridCol w:w="343"/>
        <w:gridCol w:w="7165"/>
        <w:gridCol w:w="1412"/>
      </w:tblGrid>
      <w:tr w:rsidR="00937747" w:rsidRPr="00A82B01" w14:paraId="5FEC2EC7" w14:textId="77777777" w:rsidTr="00E0007A">
        <w:trPr>
          <w:cnfStyle w:val="000000100000" w:firstRow="0" w:lastRow="0" w:firstColumn="0" w:lastColumn="0" w:oddVBand="0" w:evenVBand="0" w:oddHBand="1" w:evenHBand="0" w:firstRowFirstColumn="0" w:firstRowLastColumn="0" w:lastRowFirstColumn="0" w:lastRowLastColumn="0"/>
          <w:trHeight w:val="20"/>
        </w:trPr>
        <w:tc>
          <w:tcPr>
            <w:tcW w:w="3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tcPr>
          <w:p w14:paraId="39ED07DF" w14:textId="77777777" w:rsidR="00937747" w:rsidRPr="00A82B01" w:rsidRDefault="00937747" w:rsidP="00B04998">
            <w:pPr>
              <w:pStyle w:val="TableNheader"/>
              <w:spacing w:before="0" w:after="0"/>
              <w:rPr>
                <w:color w:val="FFFFFF" w:themeColor="background1"/>
                <w:sz w:val="16"/>
                <w:szCs w:val="16"/>
                <w:lang w:val="en-US" w:eastAsia="en-AU"/>
              </w:rPr>
            </w:pPr>
            <w:r>
              <w:rPr>
                <w:color w:val="FFFFFF" w:themeColor="background1"/>
                <w:sz w:val="16"/>
                <w:szCs w:val="16"/>
                <w:lang w:val="en-US" w:eastAsia="en-AU"/>
              </w:rPr>
              <w:t>#</w:t>
            </w:r>
          </w:p>
        </w:tc>
        <w:tc>
          <w:tcPr>
            <w:tcW w:w="71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hideMark/>
          </w:tcPr>
          <w:p w14:paraId="5553BB78" w14:textId="77777777" w:rsidR="00937747" w:rsidRPr="00A82B01" w:rsidRDefault="00937747" w:rsidP="00B04998">
            <w:pPr>
              <w:pStyle w:val="TableNheader"/>
              <w:spacing w:before="0" w:after="0"/>
              <w:rPr>
                <w:color w:val="FFFFFF" w:themeColor="background1"/>
                <w:sz w:val="16"/>
                <w:szCs w:val="16"/>
                <w:lang w:val="en-US" w:eastAsia="en-AU"/>
              </w:rPr>
            </w:pPr>
            <w:r w:rsidRPr="00A82B01">
              <w:rPr>
                <w:color w:val="FFFFFF" w:themeColor="background1"/>
                <w:sz w:val="16"/>
                <w:szCs w:val="16"/>
                <w:lang w:val="en-US" w:eastAsia="en-AU"/>
              </w:rPr>
              <w:t>Question</w:t>
            </w:r>
          </w:p>
        </w:tc>
        <w:tc>
          <w:tcPr>
            <w:tcW w:w="1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hideMark/>
          </w:tcPr>
          <w:p w14:paraId="084BD30C" w14:textId="77777777" w:rsidR="00937747" w:rsidRPr="00A82B01" w:rsidRDefault="00937747" w:rsidP="00B04998">
            <w:pPr>
              <w:pStyle w:val="TableNheader"/>
              <w:spacing w:before="0" w:after="0"/>
              <w:rPr>
                <w:color w:val="FFFFFF" w:themeColor="background1"/>
                <w:sz w:val="16"/>
                <w:szCs w:val="16"/>
                <w:lang w:val="en-US" w:eastAsia="en-AU"/>
              </w:rPr>
            </w:pPr>
            <w:r w:rsidRPr="00A82B01">
              <w:rPr>
                <w:color w:val="FFFFFF" w:themeColor="background1"/>
                <w:sz w:val="16"/>
                <w:szCs w:val="16"/>
                <w:lang w:val="en-US" w:eastAsia="en-AU"/>
              </w:rPr>
              <w:t>Response type</w:t>
            </w:r>
          </w:p>
        </w:tc>
      </w:tr>
      <w:tr w:rsidR="00937747" w:rsidRPr="00A82B01" w14:paraId="4FBCE14F" w14:textId="77777777" w:rsidTr="00B04998">
        <w:trPr>
          <w:cnfStyle w:val="000000010000" w:firstRow="0" w:lastRow="0" w:firstColumn="0" w:lastColumn="0" w:oddVBand="0" w:evenVBand="0" w:oddHBand="0" w:evenHBand="1" w:firstRowFirstColumn="0" w:firstRowLastColumn="0" w:lastRowFirstColumn="0" w:lastRowLastColumn="0"/>
          <w:trHeight w:val="20"/>
        </w:trPr>
        <w:tc>
          <w:tcPr>
            <w:tcW w:w="8920" w:type="dxa"/>
            <w:gridSpan w:val="3"/>
            <w:tcBorders>
              <w:top w:val="single" w:sz="8" w:space="0" w:color="E6E6E1" w:themeColor="accent5"/>
              <w:left w:val="nil"/>
              <w:bottom w:val="single" w:sz="8" w:space="0" w:color="E6E6E1" w:themeColor="accent5"/>
              <w:right w:val="nil"/>
            </w:tcBorders>
            <w:shd w:val="clear" w:color="auto" w:fill="E6E6E1" w:themeFill="accent5"/>
          </w:tcPr>
          <w:p w14:paraId="02CB63B6" w14:textId="77777777" w:rsidR="00937747" w:rsidRDefault="00937747" w:rsidP="00B04998">
            <w:pPr>
              <w:pStyle w:val="TableNText"/>
              <w:spacing w:before="0" w:after="0"/>
              <w:rPr>
                <w:sz w:val="16"/>
                <w:szCs w:val="16"/>
                <w:lang w:val="en-US"/>
              </w:rPr>
            </w:pPr>
            <w:r>
              <w:rPr>
                <w:sz w:val="16"/>
                <w:szCs w:val="16"/>
                <w:lang w:val="en-US"/>
              </w:rPr>
              <w:t>RACF palliative care processes</w:t>
            </w:r>
          </w:p>
        </w:tc>
      </w:tr>
      <w:tr w:rsidR="00937747" w:rsidRPr="00A82B01" w14:paraId="524D2F0F" w14:textId="77777777" w:rsidTr="00E0007A">
        <w:trPr>
          <w:cnfStyle w:val="000000100000" w:firstRow="0" w:lastRow="0" w:firstColumn="0" w:lastColumn="0" w:oddVBand="0" w:evenVBand="0" w:oddHBand="1" w:evenHBand="0" w:firstRowFirstColumn="0" w:firstRowLastColumn="0" w:lastRowFirstColumn="0" w:lastRowLastColumn="0"/>
          <w:trHeight w:val="20"/>
        </w:trPr>
        <w:tc>
          <w:tcPr>
            <w:tcW w:w="343" w:type="dxa"/>
            <w:tcBorders>
              <w:top w:val="single" w:sz="8" w:space="0" w:color="E6E6E1" w:themeColor="accent5"/>
              <w:left w:val="nil"/>
              <w:bottom w:val="single" w:sz="4" w:space="0" w:color="E6E6E1" w:themeColor="accent5"/>
              <w:right w:val="nil"/>
            </w:tcBorders>
          </w:tcPr>
          <w:p w14:paraId="1C1C6347" w14:textId="77777777" w:rsidR="00937747" w:rsidRDefault="00937747" w:rsidP="00B04998">
            <w:pPr>
              <w:pStyle w:val="TableNText"/>
              <w:spacing w:before="0" w:after="0"/>
              <w:rPr>
                <w:sz w:val="16"/>
                <w:szCs w:val="16"/>
                <w:lang w:val="en-US"/>
              </w:rPr>
            </w:pPr>
            <w:r>
              <w:rPr>
                <w:sz w:val="16"/>
                <w:szCs w:val="16"/>
              </w:rPr>
              <w:t>1</w:t>
            </w:r>
          </w:p>
        </w:tc>
        <w:tc>
          <w:tcPr>
            <w:tcW w:w="7165" w:type="dxa"/>
            <w:tcBorders>
              <w:top w:val="single" w:sz="8" w:space="0" w:color="E6E6E1" w:themeColor="accent5"/>
              <w:left w:val="nil"/>
              <w:bottom w:val="single" w:sz="4" w:space="0" w:color="E6E6E1" w:themeColor="accent5"/>
              <w:right w:val="nil"/>
            </w:tcBorders>
          </w:tcPr>
          <w:p w14:paraId="08196187" w14:textId="77777777" w:rsidR="00937747" w:rsidRDefault="00937747" w:rsidP="00B04998">
            <w:pPr>
              <w:pStyle w:val="TableNText"/>
              <w:spacing w:before="0" w:after="0"/>
              <w:rPr>
                <w:sz w:val="16"/>
                <w:szCs w:val="16"/>
              </w:rPr>
            </w:pPr>
            <w:r w:rsidRPr="00A82B01">
              <w:rPr>
                <w:sz w:val="16"/>
                <w:szCs w:val="16"/>
              </w:rPr>
              <w:t xml:space="preserve">Does the RACF have </w:t>
            </w:r>
            <w:r>
              <w:rPr>
                <w:sz w:val="16"/>
                <w:szCs w:val="16"/>
              </w:rPr>
              <w:t>routine processes in place to discuss and record the end-of-life care wishes of each resident</w:t>
            </w:r>
            <w:r w:rsidRPr="00A82B01">
              <w:rPr>
                <w:sz w:val="16"/>
                <w:szCs w:val="16"/>
              </w:rPr>
              <w:t xml:space="preserve">? </w:t>
            </w:r>
          </w:p>
          <w:p w14:paraId="50BF3D80" w14:textId="77777777" w:rsidR="00937747" w:rsidRPr="00A82B01" w:rsidRDefault="00937747" w:rsidP="00B04998">
            <w:pPr>
              <w:pStyle w:val="TableNText"/>
              <w:spacing w:before="0" w:after="0"/>
              <w:rPr>
                <w:sz w:val="16"/>
                <w:szCs w:val="16"/>
                <w:lang w:val="en-US"/>
              </w:rPr>
            </w:pPr>
            <w:r w:rsidRPr="00A82B01">
              <w:rPr>
                <w:sz w:val="16"/>
                <w:szCs w:val="16"/>
              </w:rPr>
              <w:t xml:space="preserve">For example, running multidisciplinary case conferences, </w:t>
            </w:r>
            <w:r>
              <w:rPr>
                <w:sz w:val="16"/>
                <w:szCs w:val="16"/>
              </w:rPr>
              <w:t xml:space="preserve">or </w:t>
            </w:r>
            <w:r w:rsidRPr="00A82B01">
              <w:rPr>
                <w:sz w:val="16"/>
                <w:szCs w:val="16"/>
              </w:rPr>
              <w:t>discussions between a resident</w:t>
            </w:r>
            <w:r>
              <w:rPr>
                <w:sz w:val="16"/>
                <w:szCs w:val="16"/>
              </w:rPr>
              <w:t xml:space="preserve"> and</w:t>
            </w:r>
            <w:r w:rsidRPr="00A82B01">
              <w:rPr>
                <w:sz w:val="16"/>
                <w:szCs w:val="16"/>
              </w:rPr>
              <w:t xml:space="preserve"> their family/informal carer, RACF staff, specialist care services and General Practitioner (GP)</w:t>
            </w:r>
            <w:r>
              <w:rPr>
                <w:sz w:val="16"/>
                <w:szCs w:val="16"/>
              </w:rPr>
              <w:t>.</w:t>
            </w:r>
          </w:p>
        </w:tc>
        <w:tc>
          <w:tcPr>
            <w:tcW w:w="1412" w:type="dxa"/>
            <w:tcBorders>
              <w:top w:val="single" w:sz="8" w:space="0" w:color="E6E6E1" w:themeColor="accent5"/>
              <w:left w:val="nil"/>
              <w:bottom w:val="single" w:sz="4" w:space="0" w:color="E6E6E1" w:themeColor="accent5"/>
              <w:right w:val="nil"/>
            </w:tcBorders>
          </w:tcPr>
          <w:p w14:paraId="53A73FF3" w14:textId="77777777" w:rsidR="00937747" w:rsidRDefault="00937747" w:rsidP="00B04998">
            <w:pPr>
              <w:pStyle w:val="TableNText"/>
              <w:spacing w:before="0" w:after="0"/>
              <w:rPr>
                <w:sz w:val="16"/>
                <w:szCs w:val="16"/>
                <w:lang w:val="en-US"/>
              </w:rPr>
            </w:pPr>
            <w:r w:rsidRPr="00A82B01">
              <w:rPr>
                <w:sz w:val="16"/>
                <w:szCs w:val="16"/>
                <w:lang w:val="en-US"/>
              </w:rPr>
              <w:t>Yes/No</w:t>
            </w:r>
          </w:p>
        </w:tc>
      </w:tr>
      <w:tr w:rsidR="00937747" w:rsidRPr="00A82B01" w14:paraId="5D6A5D2C" w14:textId="77777777" w:rsidTr="00E0007A">
        <w:trPr>
          <w:cnfStyle w:val="000000010000" w:firstRow="0" w:lastRow="0" w:firstColumn="0" w:lastColumn="0" w:oddVBand="0" w:evenVBand="0" w:oddHBand="0" w:evenHBand="1" w:firstRowFirstColumn="0" w:firstRowLastColumn="0" w:lastRowFirstColumn="0" w:lastRowLastColumn="0"/>
          <w:trHeight w:val="20"/>
        </w:trPr>
        <w:tc>
          <w:tcPr>
            <w:tcW w:w="343" w:type="dxa"/>
            <w:tcBorders>
              <w:top w:val="single" w:sz="8" w:space="0" w:color="E6E6E1" w:themeColor="accent5"/>
              <w:left w:val="nil"/>
              <w:bottom w:val="single" w:sz="4" w:space="0" w:color="E6E6E1" w:themeColor="accent5"/>
              <w:right w:val="nil"/>
            </w:tcBorders>
          </w:tcPr>
          <w:p w14:paraId="76132DDC" w14:textId="77777777" w:rsidR="00937747" w:rsidRDefault="00937747" w:rsidP="00B04998">
            <w:pPr>
              <w:pStyle w:val="TableNText"/>
              <w:spacing w:before="0" w:after="0"/>
              <w:rPr>
                <w:sz w:val="16"/>
                <w:szCs w:val="16"/>
              </w:rPr>
            </w:pPr>
            <w:r>
              <w:rPr>
                <w:sz w:val="16"/>
                <w:szCs w:val="16"/>
              </w:rPr>
              <w:t>2</w:t>
            </w:r>
          </w:p>
        </w:tc>
        <w:tc>
          <w:tcPr>
            <w:tcW w:w="7165" w:type="dxa"/>
            <w:tcBorders>
              <w:top w:val="single" w:sz="8" w:space="0" w:color="E6E6E1" w:themeColor="accent5"/>
              <w:left w:val="nil"/>
              <w:bottom w:val="single" w:sz="4" w:space="0" w:color="E6E6E1" w:themeColor="accent5"/>
              <w:right w:val="nil"/>
            </w:tcBorders>
          </w:tcPr>
          <w:p w14:paraId="58D341D6" w14:textId="77777777" w:rsidR="00937747" w:rsidRPr="00A82B01" w:rsidRDefault="00937747" w:rsidP="00B04998">
            <w:pPr>
              <w:pStyle w:val="TableNText"/>
              <w:spacing w:before="0" w:after="0"/>
              <w:rPr>
                <w:sz w:val="16"/>
                <w:szCs w:val="16"/>
              </w:rPr>
            </w:pPr>
            <w:r w:rsidRPr="00272255">
              <w:rPr>
                <w:sz w:val="16"/>
                <w:szCs w:val="16"/>
              </w:rPr>
              <w:t xml:space="preserve">Does the facility use an audit process to look at end of life care? For example, the </w:t>
            </w:r>
            <w:proofErr w:type="gramStart"/>
            <w:r>
              <w:rPr>
                <w:sz w:val="16"/>
                <w:szCs w:val="16"/>
              </w:rPr>
              <w:t>End of Life</w:t>
            </w:r>
            <w:proofErr w:type="gramEnd"/>
            <w:r>
              <w:rPr>
                <w:sz w:val="16"/>
                <w:szCs w:val="16"/>
              </w:rPr>
              <w:t xml:space="preserve"> Directions for Aged Care (</w:t>
            </w:r>
            <w:r w:rsidRPr="00272255">
              <w:rPr>
                <w:sz w:val="16"/>
                <w:szCs w:val="16"/>
              </w:rPr>
              <w:t>ELDAC</w:t>
            </w:r>
            <w:r>
              <w:rPr>
                <w:sz w:val="16"/>
                <w:szCs w:val="16"/>
              </w:rPr>
              <w:t>)</w:t>
            </w:r>
            <w:r w:rsidRPr="00272255">
              <w:rPr>
                <w:sz w:val="16"/>
                <w:szCs w:val="16"/>
              </w:rPr>
              <w:t xml:space="preserve"> After Death Audit.</w:t>
            </w:r>
          </w:p>
        </w:tc>
        <w:tc>
          <w:tcPr>
            <w:tcW w:w="1412" w:type="dxa"/>
            <w:tcBorders>
              <w:top w:val="single" w:sz="8" w:space="0" w:color="E6E6E1" w:themeColor="accent5"/>
              <w:left w:val="nil"/>
              <w:bottom w:val="single" w:sz="4" w:space="0" w:color="E6E6E1" w:themeColor="accent5"/>
              <w:right w:val="nil"/>
            </w:tcBorders>
          </w:tcPr>
          <w:p w14:paraId="3B91A4C1" w14:textId="77777777" w:rsidR="00937747" w:rsidRPr="00A82B01" w:rsidRDefault="00937747" w:rsidP="00B04998">
            <w:pPr>
              <w:pStyle w:val="TableNText"/>
              <w:spacing w:before="0" w:after="0"/>
              <w:rPr>
                <w:sz w:val="16"/>
                <w:szCs w:val="16"/>
                <w:lang w:val="en-US"/>
              </w:rPr>
            </w:pPr>
            <w:r>
              <w:rPr>
                <w:sz w:val="16"/>
                <w:szCs w:val="16"/>
              </w:rPr>
              <w:t>Yes/No</w:t>
            </w:r>
          </w:p>
        </w:tc>
      </w:tr>
      <w:tr w:rsidR="00937747" w:rsidRPr="00A82B01" w14:paraId="63DD17C4" w14:textId="77777777" w:rsidTr="00E0007A">
        <w:trPr>
          <w:cnfStyle w:val="000000100000" w:firstRow="0" w:lastRow="0" w:firstColumn="0" w:lastColumn="0" w:oddVBand="0" w:evenVBand="0" w:oddHBand="1" w:evenHBand="0" w:firstRowFirstColumn="0" w:firstRowLastColumn="0" w:lastRowFirstColumn="0" w:lastRowLastColumn="0"/>
          <w:trHeight w:val="20"/>
        </w:trPr>
        <w:tc>
          <w:tcPr>
            <w:tcW w:w="343" w:type="dxa"/>
            <w:tcBorders>
              <w:top w:val="single" w:sz="8" w:space="0" w:color="E6E6E1" w:themeColor="accent5"/>
              <w:left w:val="nil"/>
              <w:bottom w:val="single" w:sz="4" w:space="0" w:color="E6E6E1" w:themeColor="accent5"/>
              <w:right w:val="nil"/>
            </w:tcBorders>
          </w:tcPr>
          <w:p w14:paraId="548551C0" w14:textId="77777777" w:rsidR="00937747" w:rsidRDefault="00937747" w:rsidP="00B04998">
            <w:pPr>
              <w:pStyle w:val="TableNText"/>
              <w:spacing w:before="0" w:after="0"/>
              <w:rPr>
                <w:sz w:val="16"/>
                <w:szCs w:val="16"/>
              </w:rPr>
            </w:pPr>
            <w:r>
              <w:rPr>
                <w:sz w:val="16"/>
                <w:szCs w:val="16"/>
              </w:rPr>
              <w:t>3</w:t>
            </w:r>
          </w:p>
        </w:tc>
        <w:tc>
          <w:tcPr>
            <w:tcW w:w="7165" w:type="dxa"/>
            <w:tcBorders>
              <w:top w:val="single" w:sz="8" w:space="0" w:color="E6E6E1" w:themeColor="accent5"/>
              <w:left w:val="nil"/>
              <w:bottom w:val="single" w:sz="4" w:space="0" w:color="E6E6E1" w:themeColor="accent5"/>
              <w:right w:val="nil"/>
            </w:tcBorders>
          </w:tcPr>
          <w:p w14:paraId="199E1AC1" w14:textId="77777777" w:rsidR="00937747" w:rsidRPr="00272255" w:rsidRDefault="00937747" w:rsidP="00B04998">
            <w:pPr>
              <w:pStyle w:val="TableNText"/>
              <w:spacing w:before="0" w:after="0"/>
              <w:rPr>
                <w:sz w:val="16"/>
                <w:szCs w:val="16"/>
              </w:rPr>
            </w:pPr>
            <w:r w:rsidRPr="002F189B">
              <w:rPr>
                <w:sz w:val="16"/>
                <w:szCs w:val="16"/>
              </w:rPr>
              <w:t>Does the facility use a digital dashboard or other digital tool to monitor palliative care within the RACF? For example, the ELDAC digital dashboard.</w:t>
            </w:r>
          </w:p>
        </w:tc>
        <w:tc>
          <w:tcPr>
            <w:tcW w:w="1412" w:type="dxa"/>
            <w:tcBorders>
              <w:top w:val="single" w:sz="8" w:space="0" w:color="E6E6E1" w:themeColor="accent5"/>
              <w:left w:val="nil"/>
              <w:bottom w:val="single" w:sz="4" w:space="0" w:color="E6E6E1" w:themeColor="accent5"/>
              <w:right w:val="nil"/>
            </w:tcBorders>
          </w:tcPr>
          <w:p w14:paraId="61751615" w14:textId="77777777" w:rsidR="00937747" w:rsidRDefault="00937747" w:rsidP="00B04998">
            <w:pPr>
              <w:pStyle w:val="TableNText"/>
              <w:spacing w:before="0" w:after="0"/>
              <w:rPr>
                <w:sz w:val="16"/>
                <w:szCs w:val="16"/>
              </w:rPr>
            </w:pPr>
            <w:r>
              <w:rPr>
                <w:sz w:val="16"/>
                <w:szCs w:val="16"/>
              </w:rPr>
              <w:t>Yes/No</w:t>
            </w:r>
          </w:p>
        </w:tc>
      </w:tr>
      <w:tr w:rsidR="00937747" w:rsidRPr="00A82B01" w14:paraId="1EDC7969" w14:textId="77777777" w:rsidTr="00E0007A">
        <w:trPr>
          <w:cnfStyle w:val="000000010000" w:firstRow="0" w:lastRow="0" w:firstColumn="0" w:lastColumn="0" w:oddVBand="0" w:evenVBand="0" w:oddHBand="0" w:evenHBand="1" w:firstRowFirstColumn="0" w:firstRowLastColumn="0" w:lastRowFirstColumn="0" w:lastRowLastColumn="0"/>
          <w:trHeight w:val="20"/>
        </w:trPr>
        <w:tc>
          <w:tcPr>
            <w:tcW w:w="343" w:type="dxa"/>
            <w:tcBorders>
              <w:top w:val="single" w:sz="8" w:space="0" w:color="E6E6E1" w:themeColor="accent5"/>
              <w:left w:val="nil"/>
              <w:bottom w:val="single" w:sz="4" w:space="0" w:color="E6E6E1" w:themeColor="accent5"/>
              <w:right w:val="nil"/>
            </w:tcBorders>
          </w:tcPr>
          <w:p w14:paraId="33E5A8E0" w14:textId="77777777" w:rsidR="00937747" w:rsidRDefault="00937747" w:rsidP="00B04998">
            <w:pPr>
              <w:pStyle w:val="TableNText"/>
              <w:spacing w:before="0" w:after="0"/>
              <w:rPr>
                <w:sz w:val="16"/>
                <w:szCs w:val="16"/>
                <w:lang w:val="en-US"/>
              </w:rPr>
            </w:pPr>
            <w:r>
              <w:rPr>
                <w:sz w:val="16"/>
                <w:szCs w:val="16"/>
                <w:lang w:val="en-US"/>
              </w:rPr>
              <w:t>4</w:t>
            </w:r>
          </w:p>
        </w:tc>
        <w:tc>
          <w:tcPr>
            <w:tcW w:w="7165" w:type="dxa"/>
            <w:tcBorders>
              <w:top w:val="single" w:sz="8" w:space="0" w:color="E6E6E1" w:themeColor="accent5"/>
              <w:left w:val="nil"/>
              <w:bottom w:val="single" w:sz="4" w:space="0" w:color="E6E6E1" w:themeColor="accent5"/>
              <w:right w:val="nil"/>
            </w:tcBorders>
          </w:tcPr>
          <w:p w14:paraId="0C8C57B8" w14:textId="77777777" w:rsidR="00937747" w:rsidRPr="00A82B01" w:rsidRDefault="00937747" w:rsidP="00B04998">
            <w:pPr>
              <w:pStyle w:val="TableNText"/>
              <w:spacing w:before="0" w:after="0"/>
              <w:rPr>
                <w:sz w:val="16"/>
                <w:szCs w:val="16"/>
                <w:lang w:val="en-US"/>
              </w:rPr>
            </w:pPr>
            <w:r w:rsidRPr="00A82B01">
              <w:rPr>
                <w:sz w:val="16"/>
                <w:szCs w:val="16"/>
                <w:lang w:val="en-US"/>
              </w:rPr>
              <w:t>Has the RACF implemented quality improvement initiatives to improve palliative care outcomes over the past 12 months?</w:t>
            </w:r>
          </w:p>
          <w:p w14:paraId="7F0DE61D" w14:textId="77777777" w:rsidR="00937747" w:rsidRPr="00A82B01" w:rsidRDefault="00937747" w:rsidP="00B04998">
            <w:pPr>
              <w:pStyle w:val="TableNText"/>
              <w:spacing w:before="0" w:after="0"/>
              <w:rPr>
                <w:sz w:val="16"/>
                <w:szCs w:val="16"/>
                <w:lang w:val="en-US"/>
              </w:rPr>
            </w:pPr>
            <w:r w:rsidRPr="00A82B01">
              <w:rPr>
                <w:sz w:val="16"/>
                <w:szCs w:val="16"/>
                <w:lang w:val="en-US"/>
              </w:rPr>
              <w:t>If yes, please provide a brief description of the activity</w:t>
            </w:r>
          </w:p>
        </w:tc>
        <w:tc>
          <w:tcPr>
            <w:tcW w:w="1412" w:type="dxa"/>
            <w:tcBorders>
              <w:top w:val="single" w:sz="8" w:space="0" w:color="E6E6E1" w:themeColor="accent5"/>
              <w:left w:val="nil"/>
              <w:bottom w:val="single" w:sz="4" w:space="0" w:color="E6E6E1" w:themeColor="accent5"/>
              <w:right w:val="nil"/>
            </w:tcBorders>
          </w:tcPr>
          <w:p w14:paraId="5341D02F" w14:textId="77777777" w:rsidR="00937747" w:rsidRDefault="00937747" w:rsidP="00B04998">
            <w:pPr>
              <w:pStyle w:val="TableNText"/>
              <w:spacing w:before="0" w:after="0"/>
              <w:rPr>
                <w:sz w:val="16"/>
                <w:szCs w:val="16"/>
                <w:lang w:val="en-US"/>
              </w:rPr>
            </w:pPr>
            <w:r w:rsidRPr="00A82B01">
              <w:rPr>
                <w:sz w:val="16"/>
                <w:szCs w:val="16"/>
                <w:lang w:val="en-US"/>
              </w:rPr>
              <w:t>Yes/No</w:t>
            </w:r>
          </w:p>
        </w:tc>
      </w:tr>
      <w:tr w:rsidR="00937747" w:rsidRPr="00A82B01" w14:paraId="70C681FC" w14:textId="77777777" w:rsidTr="00E0007A">
        <w:trPr>
          <w:cnfStyle w:val="000000100000" w:firstRow="0" w:lastRow="0" w:firstColumn="0" w:lastColumn="0" w:oddVBand="0" w:evenVBand="0" w:oddHBand="1" w:evenHBand="0" w:firstRowFirstColumn="0" w:firstRowLastColumn="0" w:lastRowFirstColumn="0" w:lastRowLastColumn="0"/>
          <w:trHeight w:val="20"/>
        </w:trPr>
        <w:tc>
          <w:tcPr>
            <w:tcW w:w="343" w:type="dxa"/>
            <w:tcBorders>
              <w:top w:val="single" w:sz="8" w:space="0" w:color="E6E6E1" w:themeColor="accent5"/>
              <w:left w:val="nil"/>
              <w:bottom w:val="single" w:sz="4" w:space="0" w:color="E6E6E1" w:themeColor="accent5"/>
              <w:right w:val="nil"/>
            </w:tcBorders>
          </w:tcPr>
          <w:p w14:paraId="0B2A7EEC" w14:textId="77777777" w:rsidR="00937747" w:rsidRPr="00A82B01" w:rsidRDefault="00937747" w:rsidP="00B04998">
            <w:pPr>
              <w:pStyle w:val="TableNText"/>
              <w:spacing w:before="0" w:after="0"/>
              <w:rPr>
                <w:sz w:val="16"/>
                <w:szCs w:val="16"/>
                <w:lang w:val="en-US"/>
              </w:rPr>
            </w:pPr>
            <w:r>
              <w:rPr>
                <w:sz w:val="16"/>
                <w:szCs w:val="16"/>
                <w:lang w:val="en-US"/>
              </w:rPr>
              <w:lastRenderedPageBreak/>
              <w:t>5</w:t>
            </w:r>
          </w:p>
        </w:tc>
        <w:tc>
          <w:tcPr>
            <w:tcW w:w="7165" w:type="dxa"/>
            <w:tcBorders>
              <w:top w:val="single" w:sz="8" w:space="0" w:color="E6E6E1" w:themeColor="accent5"/>
              <w:left w:val="nil"/>
              <w:bottom w:val="single" w:sz="4" w:space="0" w:color="E6E6E1" w:themeColor="accent5"/>
              <w:right w:val="nil"/>
            </w:tcBorders>
          </w:tcPr>
          <w:p w14:paraId="7853EC09" w14:textId="77777777" w:rsidR="00937747" w:rsidRPr="00A82B01" w:rsidRDefault="00937747" w:rsidP="00B04998">
            <w:pPr>
              <w:pStyle w:val="TableNText"/>
              <w:spacing w:before="0" w:after="0"/>
              <w:rPr>
                <w:sz w:val="16"/>
                <w:szCs w:val="16"/>
                <w:lang w:val="en-US"/>
              </w:rPr>
            </w:pPr>
            <w:r w:rsidRPr="00A82B01">
              <w:rPr>
                <w:sz w:val="16"/>
                <w:szCs w:val="16"/>
                <w:lang w:val="en-US"/>
              </w:rPr>
              <w:t xml:space="preserve">Does the RACF have processes in place </w:t>
            </w:r>
            <w:r>
              <w:rPr>
                <w:sz w:val="16"/>
                <w:szCs w:val="16"/>
                <w:lang w:val="en-US"/>
              </w:rPr>
              <w:t>(</w:t>
            </w:r>
            <w:proofErr w:type="gramStart"/>
            <w:r>
              <w:rPr>
                <w:sz w:val="16"/>
                <w:szCs w:val="16"/>
                <w:lang w:val="en-US"/>
              </w:rPr>
              <w:t>e.g.</w:t>
            </w:r>
            <w:proofErr w:type="gramEnd"/>
            <w:r>
              <w:rPr>
                <w:sz w:val="16"/>
                <w:szCs w:val="16"/>
                <w:lang w:val="en-US"/>
              </w:rPr>
              <w:t xml:space="preserve"> clear steps for staff)</w:t>
            </w:r>
            <w:r w:rsidRPr="00A82B01">
              <w:rPr>
                <w:sz w:val="16"/>
                <w:szCs w:val="16"/>
                <w:lang w:val="en-US"/>
              </w:rPr>
              <w:t xml:space="preserve"> </w:t>
            </w:r>
            <w:r>
              <w:rPr>
                <w:sz w:val="16"/>
                <w:szCs w:val="16"/>
                <w:lang w:val="en-US"/>
              </w:rPr>
              <w:t>that</w:t>
            </w:r>
            <w:r w:rsidRPr="00A82B01">
              <w:rPr>
                <w:sz w:val="16"/>
                <w:szCs w:val="16"/>
                <w:lang w:val="en-US"/>
              </w:rPr>
              <w:t>:</w:t>
            </w:r>
          </w:p>
          <w:p w14:paraId="46932056" w14:textId="77777777" w:rsidR="00937747" w:rsidRPr="00A82B01" w:rsidRDefault="00937747" w:rsidP="001B5807">
            <w:pPr>
              <w:pStyle w:val="TableExpbullet"/>
              <w:spacing w:line="240" w:lineRule="auto"/>
              <w:ind w:left="227" w:hanging="227"/>
              <w:rPr>
                <w:szCs w:val="16"/>
                <w:lang w:val="en-US"/>
              </w:rPr>
            </w:pPr>
            <w:r w:rsidRPr="00A82B01">
              <w:rPr>
                <w:szCs w:val="16"/>
                <w:lang w:val="en-US"/>
              </w:rPr>
              <w:t xml:space="preserve">Assist staff to </w:t>
            </w:r>
            <w:proofErr w:type="spellStart"/>
            <w:r w:rsidRPr="00A82B01">
              <w:rPr>
                <w:szCs w:val="16"/>
                <w:lang w:val="en-US"/>
              </w:rPr>
              <w:t>recogni</w:t>
            </w:r>
            <w:r>
              <w:rPr>
                <w:szCs w:val="16"/>
                <w:lang w:val="en-US"/>
              </w:rPr>
              <w:t>s</w:t>
            </w:r>
            <w:r w:rsidRPr="00A82B01">
              <w:rPr>
                <w:szCs w:val="16"/>
                <w:lang w:val="en-US"/>
              </w:rPr>
              <w:t>e</w:t>
            </w:r>
            <w:proofErr w:type="spellEnd"/>
            <w:r w:rsidRPr="00A82B01">
              <w:rPr>
                <w:szCs w:val="16"/>
                <w:lang w:val="en-US"/>
              </w:rPr>
              <w:t xml:space="preserve"> when a resident is close to end-of-life?</w:t>
            </w:r>
          </w:p>
          <w:p w14:paraId="154C61E1" w14:textId="77777777" w:rsidR="00937747" w:rsidRPr="00A82B01" w:rsidRDefault="00937747" w:rsidP="001B5807">
            <w:pPr>
              <w:pStyle w:val="TableExpbullet"/>
              <w:spacing w:line="240" w:lineRule="auto"/>
              <w:ind w:left="227" w:hanging="227"/>
              <w:rPr>
                <w:szCs w:val="16"/>
                <w:lang w:val="en-US"/>
              </w:rPr>
            </w:pPr>
            <w:r w:rsidRPr="00A82B01">
              <w:rPr>
                <w:szCs w:val="16"/>
                <w:lang w:val="en-US"/>
              </w:rPr>
              <w:t xml:space="preserve">Ensure residents’ </w:t>
            </w:r>
            <w:r>
              <w:rPr>
                <w:szCs w:val="16"/>
                <w:lang w:val="en-US"/>
              </w:rPr>
              <w:t xml:space="preserve">emotional, </w:t>
            </w:r>
            <w:proofErr w:type="gramStart"/>
            <w:r w:rsidRPr="00A82B01">
              <w:rPr>
                <w:szCs w:val="16"/>
                <w:lang w:val="en-US"/>
              </w:rPr>
              <w:t>spiritual</w:t>
            </w:r>
            <w:proofErr w:type="gramEnd"/>
            <w:r w:rsidRPr="00A82B01">
              <w:rPr>
                <w:szCs w:val="16"/>
                <w:lang w:val="en-US"/>
              </w:rPr>
              <w:t xml:space="preserve"> and cultural needs are met at end-of-life?</w:t>
            </w:r>
          </w:p>
          <w:p w14:paraId="2E53B806" w14:textId="77777777" w:rsidR="00937747" w:rsidRPr="00A82B01" w:rsidRDefault="00937747" w:rsidP="001B5807">
            <w:pPr>
              <w:pStyle w:val="TableExpbullet"/>
              <w:spacing w:line="240" w:lineRule="auto"/>
              <w:ind w:left="227" w:hanging="227"/>
              <w:rPr>
                <w:szCs w:val="16"/>
                <w:lang w:val="en-US"/>
              </w:rPr>
            </w:pPr>
            <w:r w:rsidRPr="00A82B01">
              <w:rPr>
                <w:szCs w:val="16"/>
                <w:lang w:val="en-US"/>
              </w:rPr>
              <w:t xml:space="preserve">Ensure residents can access </w:t>
            </w:r>
            <w:r>
              <w:rPr>
                <w:szCs w:val="16"/>
                <w:lang w:val="en-US"/>
              </w:rPr>
              <w:t xml:space="preserve">appropriate </w:t>
            </w:r>
            <w:r w:rsidRPr="00A82B01">
              <w:rPr>
                <w:szCs w:val="16"/>
                <w:lang w:val="en-US"/>
              </w:rPr>
              <w:t>medication if their condition changes suddenly at end-of-life?</w:t>
            </w:r>
          </w:p>
        </w:tc>
        <w:tc>
          <w:tcPr>
            <w:tcW w:w="1412" w:type="dxa"/>
            <w:tcBorders>
              <w:top w:val="single" w:sz="8" w:space="0" w:color="E6E6E1" w:themeColor="accent5"/>
              <w:left w:val="nil"/>
              <w:bottom w:val="single" w:sz="4" w:space="0" w:color="E6E6E1" w:themeColor="accent5"/>
              <w:right w:val="nil"/>
            </w:tcBorders>
          </w:tcPr>
          <w:p w14:paraId="5CC79C5D" w14:textId="77777777" w:rsidR="00937747" w:rsidRPr="00A82B01" w:rsidRDefault="00937747" w:rsidP="00B04998">
            <w:pPr>
              <w:pStyle w:val="TableNText"/>
              <w:spacing w:before="0" w:after="0"/>
              <w:rPr>
                <w:sz w:val="16"/>
                <w:szCs w:val="16"/>
                <w:lang w:val="en-US"/>
              </w:rPr>
            </w:pPr>
            <w:r>
              <w:rPr>
                <w:sz w:val="16"/>
                <w:szCs w:val="16"/>
                <w:lang w:val="en-US"/>
              </w:rPr>
              <w:t>Yes/No for each item</w:t>
            </w:r>
          </w:p>
        </w:tc>
      </w:tr>
      <w:tr w:rsidR="00937747" w:rsidRPr="00A82B01" w14:paraId="5C404788" w14:textId="77777777" w:rsidTr="00B04998">
        <w:trPr>
          <w:cnfStyle w:val="000000010000" w:firstRow="0" w:lastRow="0" w:firstColumn="0" w:lastColumn="0" w:oddVBand="0" w:evenVBand="0" w:oddHBand="0" w:evenHBand="1" w:firstRowFirstColumn="0" w:firstRowLastColumn="0" w:lastRowFirstColumn="0" w:lastRowLastColumn="0"/>
          <w:trHeight w:val="20"/>
        </w:trPr>
        <w:tc>
          <w:tcPr>
            <w:tcW w:w="8920" w:type="dxa"/>
            <w:gridSpan w:val="3"/>
            <w:tcBorders>
              <w:top w:val="single" w:sz="4" w:space="0" w:color="E6E6E1" w:themeColor="accent5"/>
              <w:left w:val="nil"/>
              <w:bottom w:val="single" w:sz="4" w:space="0" w:color="E6E6E1" w:themeColor="accent5"/>
              <w:right w:val="nil"/>
            </w:tcBorders>
            <w:shd w:val="clear" w:color="auto" w:fill="E6E6E1" w:themeFill="accent5"/>
          </w:tcPr>
          <w:p w14:paraId="0A759776" w14:textId="77777777" w:rsidR="00937747" w:rsidRDefault="00937747" w:rsidP="00B04998">
            <w:pPr>
              <w:pStyle w:val="TableNText"/>
              <w:spacing w:before="0" w:after="0"/>
              <w:rPr>
                <w:sz w:val="16"/>
                <w:szCs w:val="16"/>
              </w:rPr>
            </w:pPr>
            <w:r>
              <w:rPr>
                <w:sz w:val="16"/>
                <w:szCs w:val="16"/>
              </w:rPr>
              <w:t>Access to palliative care</w:t>
            </w:r>
          </w:p>
        </w:tc>
      </w:tr>
      <w:tr w:rsidR="00937747" w:rsidRPr="00A82B01" w14:paraId="13288D25" w14:textId="77777777" w:rsidTr="00E0007A">
        <w:trPr>
          <w:cnfStyle w:val="000000100000" w:firstRow="0" w:lastRow="0" w:firstColumn="0" w:lastColumn="0" w:oddVBand="0" w:evenVBand="0" w:oddHBand="1" w:evenHBand="0" w:firstRowFirstColumn="0" w:firstRowLastColumn="0" w:lastRowFirstColumn="0" w:lastRowLastColumn="0"/>
          <w:trHeight w:val="20"/>
        </w:trPr>
        <w:tc>
          <w:tcPr>
            <w:tcW w:w="343" w:type="dxa"/>
            <w:tcBorders>
              <w:top w:val="single" w:sz="4" w:space="0" w:color="E6E6E1" w:themeColor="accent5"/>
              <w:left w:val="nil"/>
              <w:bottom w:val="single" w:sz="4" w:space="0" w:color="E6E6E1" w:themeColor="accent5"/>
              <w:right w:val="nil"/>
            </w:tcBorders>
          </w:tcPr>
          <w:p w14:paraId="2905190E" w14:textId="77777777" w:rsidR="00937747" w:rsidRPr="00A82B01" w:rsidRDefault="00937747" w:rsidP="00B04998">
            <w:pPr>
              <w:pStyle w:val="TableNText"/>
              <w:rPr>
                <w:rStyle w:val="FootnoteReference"/>
                <w:sz w:val="16"/>
                <w:szCs w:val="16"/>
              </w:rPr>
            </w:pPr>
            <w:r>
              <w:t>6</w:t>
            </w:r>
          </w:p>
        </w:tc>
        <w:tc>
          <w:tcPr>
            <w:tcW w:w="7165" w:type="dxa"/>
            <w:tcBorders>
              <w:top w:val="single" w:sz="4" w:space="0" w:color="E6E6E1" w:themeColor="accent5"/>
              <w:left w:val="nil"/>
              <w:bottom w:val="single" w:sz="4" w:space="0" w:color="E6E6E1" w:themeColor="accent5"/>
              <w:right w:val="nil"/>
            </w:tcBorders>
            <w:hideMark/>
          </w:tcPr>
          <w:p w14:paraId="439EF019" w14:textId="77777777" w:rsidR="00937747" w:rsidRPr="00A82B01" w:rsidRDefault="00937747" w:rsidP="00B04998">
            <w:pPr>
              <w:pStyle w:val="TableNText"/>
              <w:rPr>
                <w:sz w:val="16"/>
                <w:szCs w:val="16"/>
              </w:rPr>
            </w:pPr>
            <w:r w:rsidRPr="00C729AE">
              <w:t>Are residents at the RACF able to access palliative care provided</w:t>
            </w:r>
            <w:r w:rsidRPr="00A82B01">
              <w:rPr>
                <w:sz w:val="16"/>
                <w:szCs w:val="16"/>
              </w:rPr>
              <w:t xml:space="preserve"> by</w:t>
            </w:r>
            <w:r w:rsidRPr="00A82B01">
              <w:rPr>
                <w:rStyle w:val="FootnoteReference"/>
                <w:sz w:val="16"/>
                <w:szCs w:val="16"/>
              </w:rPr>
              <w:t xml:space="preserve"> </w:t>
            </w:r>
            <w:r w:rsidRPr="00A82B01">
              <w:rPr>
                <w:sz w:val="16"/>
                <w:szCs w:val="16"/>
              </w:rPr>
              <w:t>a state or territory health service</w:t>
            </w:r>
            <w:r w:rsidRPr="00A82B01">
              <w:rPr>
                <w:rStyle w:val="FootnoteReference"/>
                <w:sz w:val="16"/>
                <w:szCs w:val="16"/>
              </w:rPr>
              <w:t>?</w:t>
            </w:r>
            <w:r w:rsidRPr="00A82B01">
              <w:rPr>
                <w:sz w:val="16"/>
                <w:szCs w:val="16"/>
              </w:rPr>
              <w:t xml:space="preserve"> This could be nurses, </w:t>
            </w:r>
            <w:r>
              <w:rPr>
                <w:sz w:val="16"/>
                <w:szCs w:val="16"/>
              </w:rPr>
              <w:t xml:space="preserve">specialist </w:t>
            </w:r>
            <w:r w:rsidRPr="00A82B01">
              <w:rPr>
                <w:sz w:val="16"/>
                <w:szCs w:val="16"/>
              </w:rPr>
              <w:t>doctors</w:t>
            </w:r>
            <w:r>
              <w:rPr>
                <w:sz w:val="16"/>
                <w:szCs w:val="16"/>
              </w:rPr>
              <w:t>,</w:t>
            </w:r>
            <w:r w:rsidRPr="00A82B01">
              <w:rPr>
                <w:sz w:val="16"/>
                <w:szCs w:val="16"/>
              </w:rPr>
              <w:t xml:space="preserve"> allied </w:t>
            </w:r>
            <w:proofErr w:type="gramStart"/>
            <w:r w:rsidRPr="00A82B01">
              <w:rPr>
                <w:sz w:val="16"/>
                <w:szCs w:val="16"/>
              </w:rPr>
              <w:t>health</w:t>
            </w:r>
            <w:proofErr w:type="gramEnd"/>
            <w:r>
              <w:rPr>
                <w:sz w:val="16"/>
                <w:szCs w:val="16"/>
              </w:rPr>
              <w:t xml:space="preserve"> or private services</w:t>
            </w:r>
            <w:r w:rsidRPr="00A82B01">
              <w:rPr>
                <w:sz w:val="16"/>
                <w:szCs w:val="16"/>
              </w:rPr>
              <w:t>.</w:t>
            </w:r>
          </w:p>
          <w:p w14:paraId="436DC9E5" w14:textId="77777777" w:rsidR="00937747" w:rsidRPr="00A82B01" w:rsidRDefault="00937747" w:rsidP="00B04998">
            <w:pPr>
              <w:pStyle w:val="TableNText"/>
              <w:rPr>
                <w:sz w:val="16"/>
                <w:szCs w:val="16"/>
              </w:rPr>
            </w:pPr>
            <w:r w:rsidRPr="00A82B01">
              <w:rPr>
                <w:sz w:val="16"/>
                <w:szCs w:val="16"/>
              </w:rPr>
              <w:t xml:space="preserve">If yes, </w:t>
            </w:r>
            <w:r>
              <w:rPr>
                <w:sz w:val="16"/>
                <w:szCs w:val="16"/>
              </w:rPr>
              <w:t>p</w:t>
            </w:r>
            <w:r w:rsidRPr="00E86CBF">
              <w:rPr>
                <w:sz w:val="16"/>
                <w:szCs w:val="16"/>
              </w:rPr>
              <w:t>lease select modes through which specialist palliative care (from any provider) can be accessed:</w:t>
            </w:r>
          </w:p>
          <w:p w14:paraId="65E735B9" w14:textId="77777777" w:rsidR="00937747" w:rsidRPr="00A82B01" w:rsidRDefault="00937747" w:rsidP="001B5807">
            <w:pPr>
              <w:pStyle w:val="TableNBullet"/>
              <w:rPr>
                <w:sz w:val="16"/>
                <w:szCs w:val="16"/>
              </w:rPr>
            </w:pPr>
            <w:r w:rsidRPr="00A82B01">
              <w:rPr>
                <w:sz w:val="16"/>
                <w:szCs w:val="16"/>
              </w:rPr>
              <w:t>In person</w:t>
            </w:r>
          </w:p>
          <w:p w14:paraId="7204EABF" w14:textId="2C957081" w:rsidR="00937747" w:rsidRDefault="00937747" w:rsidP="001B5807">
            <w:pPr>
              <w:pStyle w:val="TableNBullet"/>
              <w:rPr>
                <w:sz w:val="16"/>
                <w:szCs w:val="16"/>
              </w:rPr>
            </w:pPr>
            <w:r w:rsidRPr="00A82B01">
              <w:rPr>
                <w:sz w:val="16"/>
                <w:szCs w:val="16"/>
              </w:rPr>
              <w:t>Telephone</w:t>
            </w:r>
          </w:p>
          <w:p w14:paraId="41AE9AD9" w14:textId="16775077" w:rsidR="00937747" w:rsidRPr="0030232E" w:rsidRDefault="0030232E" w:rsidP="0030232E">
            <w:pPr>
              <w:pStyle w:val="TableNBullet"/>
              <w:rPr>
                <w:rStyle w:val="FootnoteReference"/>
                <w:sz w:val="16"/>
                <w:szCs w:val="16"/>
                <w:vertAlign w:val="baseline"/>
              </w:rPr>
            </w:pPr>
            <w:r>
              <w:rPr>
                <w:sz w:val="16"/>
                <w:szCs w:val="16"/>
              </w:rPr>
              <w:t xml:space="preserve">Video call </w:t>
            </w:r>
          </w:p>
        </w:tc>
        <w:tc>
          <w:tcPr>
            <w:tcW w:w="1412" w:type="dxa"/>
            <w:tcBorders>
              <w:top w:val="single" w:sz="4" w:space="0" w:color="E6E6E1" w:themeColor="accent5"/>
              <w:left w:val="nil"/>
              <w:bottom w:val="single" w:sz="4" w:space="0" w:color="E6E6E1" w:themeColor="accent5"/>
              <w:right w:val="nil"/>
            </w:tcBorders>
            <w:hideMark/>
          </w:tcPr>
          <w:p w14:paraId="62773B3D" w14:textId="77777777" w:rsidR="00937747" w:rsidRPr="00A82B01" w:rsidRDefault="00937747" w:rsidP="00B04998">
            <w:pPr>
              <w:pStyle w:val="TableNText"/>
              <w:spacing w:before="0" w:after="0"/>
              <w:rPr>
                <w:rStyle w:val="FootnoteReference"/>
                <w:sz w:val="16"/>
                <w:szCs w:val="16"/>
                <w:lang w:val="en-US"/>
              </w:rPr>
            </w:pPr>
            <w:r w:rsidRPr="00A82B01">
              <w:rPr>
                <w:sz w:val="16"/>
                <w:szCs w:val="16"/>
                <w:lang w:val="en-US"/>
              </w:rPr>
              <w:t>Yes/No</w:t>
            </w:r>
            <w:r>
              <w:rPr>
                <w:sz w:val="16"/>
                <w:szCs w:val="16"/>
                <w:lang w:val="en-US"/>
              </w:rPr>
              <w:t xml:space="preserve"> for overall and then checkbox for each item</w:t>
            </w:r>
          </w:p>
        </w:tc>
      </w:tr>
      <w:tr w:rsidR="00937747" w:rsidRPr="00A82B01" w14:paraId="43B934FF" w14:textId="77777777" w:rsidTr="00E0007A">
        <w:trPr>
          <w:cnfStyle w:val="000000010000" w:firstRow="0" w:lastRow="0" w:firstColumn="0" w:lastColumn="0" w:oddVBand="0" w:evenVBand="0" w:oddHBand="0" w:evenHBand="1" w:firstRowFirstColumn="0" w:firstRowLastColumn="0" w:lastRowFirstColumn="0" w:lastRowLastColumn="0"/>
          <w:trHeight w:val="20"/>
        </w:trPr>
        <w:tc>
          <w:tcPr>
            <w:tcW w:w="343" w:type="dxa"/>
            <w:tcBorders>
              <w:top w:val="single" w:sz="4" w:space="0" w:color="E6E6E1" w:themeColor="accent5"/>
              <w:left w:val="nil"/>
              <w:bottom w:val="single" w:sz="4" w:space="0" w:color="E6E6E1" w:themeColor="accent5"/>
              <w:right w:val="nil"/>
            </w:tcBorders>
          </w:tcPr>
          <w:p w14:paraId="15BB9332" w14:textId="77777777" w:rsidR="00937747" w:rsidRDefault="00937747" w:rsidP="00B04998">
            <w:pPr>
              <w:pStyle w:val="TableNText"/>
            </w:pPr>
            <w:r>
              <w:rPr>
                <w:sz w:val="16"/>
                <w:szCs w:val="16"/>
                <w:lang w:val="en-US"/>
              </w:rPr>
              <w:t>7</w:t>
            </w:r>
          </w:p>
        </w:tc>
        <w:tc>
          <w:tcPr>
            <w:tcW w:w="7165" w:type="dxa"/>
            <w:tcBorders>
              <w:top w:val="single" w:sz="4" w:space="0" w:color="E6E6E1" w:themeColor="accent5"/>
              <w:left w:val="nil"/>
              <w:bottom w:val="single" w:sz="4" w:space="0" w:color="E6E6E1" w:themeColor="accent5"/>
              <w:right w:val="nil"/>
            </w:tcBorders>
          </w:tcPr>
          <w:p w14:paraId="580A94F8" w14:textId="77777777" w:rsidR="00937747" w:rsidRPr="00A82B01" w:rsidRDefault="00937747" w:rsidP="00B04998">
            <w:pPr>
              <w:pStyle w:val="TableNText"/>
              <w:rPr>
                <w:rStyle w:val="FootnoteReference"/>
                <w:sz w:val="16"/>
                <w:szCs w:val="16"/>
              </w:rPr>
            </w:pPr>
            <w:r w:rsidRPr="007A5D36">
              <w:rPr>
                <w:sz w:val="16"/>
                <w:szCs w:val="16"/>
                <w:lang w:val="en-US"/>
              </w:rPr>
              <w:t>Does the RACF have access to palliative care services from General Practitioners (GPs)?</w:t>
            </w:r>
            <w:r>
              <w:rPr>
                <w:sz w:val="16"/>
                <w:szCs w:val="16"/>
                <w:lang w:val="en-US"/>
              </w:rPr>
              <w:t xml:space="preserve"> If yes,</w:t>
            </w:r>
            <w:r w:rsidRPr="008E0AA7">
              <w:rPr>
                <w:sz w:val="16"/>
                <w:szCs w:val="16"/>
                <w:lang w:val="en-US"/>
              </w:rPr>
              <w:t xml:space="preserve"> </w:t>
            </w:r>
            <w:r>
              <w:rPr>
                <w:sz w:val="16"/>
                <w:szCs w:val="16"/>
                <w:lang w:val="en-US"/>
              </w:rPr>
              <w:t>p</w:t>
            </w:r>
            <w:r w:rsidRPr="00622D6C">
              <w:rPr>
                <w:sz w:val="16"/>
                <w:szCs w:val="16"/>
                <w:lang w:val="en-US"/>
              </w:rPr>
              <w:t>lease describe access from GPs to the RACF</w:t>
            </w:r>
            <w:r>
              <w:rPr>
                <w:sz w:val="16"/>
                <w:szCs w:val="16"/>
                <w:lang w:val="en-US"/>
              </w:rPr>
              <w:t>.</w:t>
            </w:r>
          </w:p>
        </w:tc>
        <w:tc>
          <w:tcPr>
            <w:tcW w:w="1412" w:type="dxa"/>
            <w:tcBorders>
              <w:top w:val="single" w:sz="4" w:space="0" w:color="E6E6E1" w:themeColor="accent5"/>
              <w:left w:val="nil"/>
              <w:bottom w:val="single" w:sz="4" w:space="0" w:color="E6E6E1" w:themeColor="accent5"/>
              <w:right w:val="nil"/>
            </w:tcBorders>
          </w:tcPr>
          <w:p w14:paraId="2901C397" w14:textId="77777777" w:rsidR="00937747" w:rsidRPr="00A82B01" w:rsidRDefault="00937747" w:rsidP="00B04998">
            <w:pPr>
              <w:pStyle w:val="TableNText"/>
              <w:spacing w:before="0" w:after="0"/>
              <w:rPr>
                <w:sz w:val="16"/>
                <w:szCs w:val="16"/>
                <w:lang w:val="en-US"/>
              </w:rPr>
            </w:pPr>
            <w:r>
              <w:rPr>
                <w:sz w:val="16"/>
                <w:szCs w:val="16"/>
                <w:lang w:val="en-US"/>
              </w:rPr>
              <w:t xml:space="preserve">Yes/No. If yes, free text. </w:t>
            </w:r>
          </w:p>
        </w:tc>
      </w:tr>
      <w:tr w:rsidR="00937747" w:rsidRPr="00A82B01" w14:paraId="4F1C68B1" w14:textId="77777777" w:rsidTr="00E0007A">
        <w:trPr>
          <w:cnfStyle w:val="000000100000" w:firstRow="0" w:lastRow="0" w:firstColumn="0" w:lastColumn="0" w:oddVBand="0" w:evenVBand="0" w:oddHBand="1" w:evenHBand="0" w:firstRowFirstColumn="0" w:firstRowLastColumn="0" w:lastRowFirstColumn="0" w:lastRowLastColumn="0"/>
          <w:trHeight w:val="20"/>
        </w:trPr>
        <w:tc>
          <w:tcPr>
            <w:tcW w:w="343" w:type="dxa"/>
            <w:tcBorders>
              <w:top w:val="single" w:sz="4" w:space="0" w:color="E6E6E1" w:themeColor="accent5"/>
              <w:left w:val="nil"/>
              <w:bottom w:val="single" w:sz="4" w:space="0" w:color="E6E6E1" w:themeColor="accent5"/>
              <w:right w:val="nil"/>
            </w:tcBorders>
          </w:tcPr>
          <w:p w14:paraId="3332FCDE" w14:textId="77777777" w:rsidR="00937747" w:rsidRPr="00A82B01" w:rsidRDefault="00937747" w:rsidP="00B04998">
            <w:pPr>
              <w:pStyle w:val="TableNText"/>
              <w:rPr>
                <w:rStyle w:val="FootnoteReference"/>
                <w:sz w:val="16"/>
                <w:szCs w:val="16"/>
              </w:rPr>
            </w:pPr>
            <w:r>
              <w:t>8</w:t>
            </w:r>
          </w:p>
        </w:tc>
        <w:tc>
          <w:tcPr>
            <w:tcW w:w="7165" w:type="dxa"/>
            <w:tcBorders>
              <w:top w:val="single" w:sz="4" w:space="0" w:color="E6E6E1" w:themeColor="accent5"/>
              <w:left w:val="nil"/>
              <w:bottom w:val="single" w:sz="4" w:space="0" w:color="E6E6E1" w:themeColor="accent5"/>
              <w:right w:val="nil"/>
            </w:tcBorders>
            <w:hideMark/>
          </w:tcPr>
          <w:p w14:paraId="461BAF82" w14:textId="77777777" w:rsidR="00937747" w:rsidRPr="00C729AE" w:rsidRDefault="00937747" w:rsidP="00C729AE">
            <w:pPr>
              <w:pStyle w:val="TableNText"/>
              <w:rPr>
                <w:rStyle w:val="FootnoteReference"/>
                <w:vertAlign w:val="baseline"/>
              </w:rPr>
            </w:pPr>
            <w:r w:rsidRPr="00C729AE">
              <w:t>How many</w:t>
            </w:r>
            <w:r w:rsidRPr="00C729AE">
              <w:rPr>
                <w:rStyle w:val="FootnoteReference"/>
                <w:vertAlign w:val="baseline"/>
              </w:rPr>
              <w:t xml:space="preserve"> Registered Nurses (or other staff</w:t>
            </w:r>
            <w:r w:rsidRPr="00C729AE">
              <w:t xml:space="preserve"> if any</w:t>
            </w:r>
            <w:r w:rsidRPr="00C729AE">
              <w:rPr>
                <w:rStyle w:val="FootnoteReference"/>
                <w:vertAlign w:val="baseline"/>
              </w:rPr>
              <w:t>) with specialised palliative care knowledge work at the RACF?</w:t>
            </w:r>
          </w:p>
        </w:tc>
        <w:tc>
          <w:tcPr>
            <w:tcW w:w="1412" w:type="dxa"/>
            <w:tcBorders>
              <w:top w:val="single" w:sz="4" w:space="0" w:color="E6E6E1" w:themeColor="accent5"/>
              <w:left w:val="nil"/>
              <w:bottom w:val="single" w:sz="4" w:space="0" w:color="E6E6E1" w:themeColor="accent5"/>
              <w:right w:val="nil"/>
            </w:tcBorders>
            <w:hideMark/>
          </w:tcPr>
          <w:p w14:paraId="2F28E66B" w14:textId="77777777" w:rsidR="00937747" w:rsidRPr="00A82B01" w:rsidRDefault="00937747" w:rsidP="00B04998">
            <w:pPr>
              <w:pStyle w:val="TableNText"/>
              <w:spacing w:before="0" w:after="0"/>
              <w:rPr>
                <w:sz w:val="16"/>
                <w:szCs w:val="16"/>
              </w:rPr>
            </w:pPr>
            <w:r w:rsidRPr="00A82B01">
              <w:rPr>
                <w:sz w:val="16"/>
                <w:szCs w:val="16"/>
                <w:lang w:val="en-US"/>
              </w:rPr>
              <w:t>Number</w:t>
            </w:r>
          </w:p>
        </w:tc>
      </w:tr>
      <w:tr w:rsidR="00937747" w:rsidRPr="00A82B01" w14:paraId="00BB277A" w14:textId="77777777" w:rsidTr="00B04998">
        <w:trPr>
          <w:cnfStyle w:val="000000010000" w:firstRow="0" w:lastRow="0" w:firstColumn="0" w:lastColumn="0" w:oddVBand="0" w:evenVBand="0" w:oddHBand="0" w:evenHBand="1" w:firstRowFirstColumn="0" w:firstRowLastColumn="0" w:lastRowFirstColumn="0" w:lastRowLastColumn="0"/>
          <w:trHeight w:val="20"/>
        </w:trPr>
        <w:tc>
          <w:tcPr>
            <w:tcW w:w="8920" w:type="dxa"/>
            <w:gridSpan w:val="3"/>
            <w:tcBorders>
              <w:top w:val="single" w:sz="4" w:space="0" w:color="E6E6E1" w:themeColor="accent5"/>
              <w:left w:val="nil"/>
              <w:bottom w:val="single" w:sz="4" w:space="0" w:color="E6E6E1" w:themeColor="accent5"/>
              <w:right w:val="nil"/>
            </w:tcBorders>
            <w:shd w:val="clear" w:color="auto" w:fill="E6E6E1" w:themeFill="accent5"/>
          </w:tcPr>
          <w:p w14:paraId="0FE935A1" w14:textId="77777777" w:rsidR="00937747" w:rsidRPr="00A82B01" w:rsidRDefault="00937747" w:rsidP="00B04998">
            <w:pPr>
              <w:pStyle w:val="TableNText"/>
              <w:spacing w:before="0" w:after="0"/>
              <w:rPr>
                <w:sz w:val="16"/>
                <w:szCs w:val="16"/>
              </w:rPr>
            </w:pPr>
            <w:r>
              <w:rPr>
                <w:sz w:val="16"/>
                <w:szCs w:val="16"/>
              </w:rPr>
              <w:t>Advance care planning documents</w:t>
            </w:r>
          </w:p>
        </w:tc>
      </w:tr>
      <w:tr w:rsidR="00937747" w:rsidRPr="00A82B01" w14:paraId="5E859DA6" w14:textId="77777777" w:rsidTr="00E0007A">
        <w:trPr>
          <w:cnfStyle w:val="000000100000" w:firstRow="0" w:lastRow="0" w:firstColumn="0" w:lastColumn="0" w:oddVBand="0" w:evenVBand="0" w:oddHBand="1" w:evenHBand="0" w:firstRowFirstColumn="0" w:firstRowLastColumn="0" w:lastRowFirstColumn="0" w:lastRowLastColumn="0"/>
          <w:trHeight w:val="20"/>
        </w:trPr>
        <w:tc>
          <w:tcPr>
            <w:tcW w:w="343" w:type="dxa"/>
            <w:tcBorders>
              <w:top w:val="single" w:sz="4" w:space="0" w:color="E6E6E1" w:themeColor="accent5"/>
              <w:left w:val="nil"/>
              <w:bottom w:val="single" w:sz="4" w:space="0" w:color="E6E6E1" w:themeColor="accent5"/>
              <w:right w:val="nil"/>
            </w:tcBorders>
          </w:tcPr>
          <w:p w14:paraId="26E61976" w14:textId="77777777" w:rsidR="00937747" w:rsidRPr="00A82B01" w:rsidRDefault="00937747" w:rsidP="00B04998">
            <w:pPr>
              <w:pStyle w:val="TableNText"/>
              <w:spacing w:before="0" w:after="0"/>
              <w:rPr>
                <w:sz w:val="16"/>
                <w:szCs w:val="16"/>
              </w:rPr>
            </w:pPr>
            <w:r>
              <w:rPr>
                <w:sz w:val="16"/>
                <w:szCs w:val="16"/>
              </w:rPr>
              <w:t>9</w:t>
            </w:r>
          </w:p>
        </w:tc>
        <w:tc>
          <w:tcPr>
            <w:tcW w:w="7165" w:type="dxa"/>
            <w:tcBorders>
              <w:top w:val="single" w:sz="4" w:space="0" w:color="E6E6E1" w:themeColor="accent5"/>
              <w:left w:val="nil"/>
              <w:bottom w:val="single" w:sz="4" w:space="0" w:color="E6E6E1" w:themeColor="accent5"/>
              <w:right w:val="nil"/>
            </w:tcBorders>
            <w:hideMark/>
          </w:tcPr>
          <w:p w14:paraId="646B88CD" w14:textId="77777777" w:rsidR="00937747" w:rsidRPr="00612BB9" w:rsidRDefault="00937747" w:rsidP="00B04998">
            <w:pPr>
              <w:pStyle w:val="TableNText"/>
              <w:spacing w:after="0"/>
              <w:rPr>
                <w:sz w:val="16"/>
                <w:szCs w:val="16"/>
              </w:rPr>
            </w:pPr>
            <w:r w:rsidRPr="00612BB9">
              <w:rPr>
                <w:sz w:val="16"/>
                <w:szCs w:val="16"/>
              </w:rPr>
              <w:t>What proportion of current residents have advance care planning documents (ACPDs)?</w:t>
            </w:r>
          </w:p>
          <w:p w14:paraId="0C6C0A03" w14:textId="77777777" w:rsidR="00937747" w:rsidRDefault="00937747" w:rsidP="001B5807">
            <w:pPr>
              <w:pStyle w:val="TableNBullet"/>
              <w:numPr>
                <w:ilvl w:val="0"/>
                <w:numId w:val="4"/>
              </w:numPr>
              <w:spacing w:before="0" w:after="0" w:line="240" w:lineRule="auto"/>
              <w:rPr>
                <w:sz w:val="16"/>
                <w:szCs w:val="16"/>
              </w:rPr>
            </w:pPr>
            <w:r w:rsidRPr="00612BB9">
              <w:rPr>
                <w:sz w:val="16"/>
                <w:szCs w:val="16"/>
              </w:rPr>
              <w:t>For example, an Advance Care Plan or Advanced Care Directive.</w:t>
            </w:r>
          </w:p>
          <w:p w14:paraId="27C8D5AE" w14:textId="77777777" w:rsidR="00937747" w:rsidRPr="00A82B01" w:rsidRDefault="00937747" w:rsidP="001B5807">
            <w:pPr>
              <w:pStyle w:val="TableNBullet"/>
              <w:numPr>
                <w:ilvl w:val="0"/>
                <w:numId w:val="4"/>
              </w:numPr>
              <w:spacing w:before="0" w:after="0" w:line="240" w:lineRule="auto"/>
              <w:rPr>
                <w:sz w:val="16"/>
                <w:szCs w:val="16"/>
              </w:rPr>
            </w:pPr>
            <w:r>
              <w:rPr>
                <w:sz w:val="16"/>
                <w:szCs w:val="16"/>
              </w:rPr>
              <w:t>O</w:t>
            </w:r>
            <w:r w:rsidRPr="00A82B01">
              <w:rPr>
                <w:sz w:val="16"/>
                <w:szCs w:val="16"/>
              </w:rPr>
              <w:t>n entry</w:t>
            </w:r>
            <w:r>
              <w:rPr>
                <w:sz w:val="16"/>
                <w:szCs w:val="16"/>
              </w:rPr>
              <w:t xml:space="preserve"> to the RACF</w:t>
            </w:r>
            <w:r w:rsidRPr="00A82B01">
              <w:rPr>
                <w:sz w:val="16"/>
                <w:szCs w:val="16"/>
              </w:rPr>
              <w:t xml:space="preserve"> </w:t>
            </w:r>
          </w:p>
          <w:p w14:paraId="5EBA3DB7" w14:textId="77777777" w:rsidR="00937747" w:rsidRPr="00A82B01" w:rsidRDefault="00937747" w:rsidP="001B5807">
            <w:pPr>
              <w:pStyle w:val="TableNBullet"/>
              <w:numPr>
                <w:ilvl w:val="0"/>
                <w:numId w:val="4"/>
              </w:numPr>
              <w:spacing w:before="0" w:after="0" w:line="240" w:lineRule="auto"/>
              <w:rPr>
                <w:sz w:val="16"/>
                <w:szCs w:val="16"/>
              </w:rPr>
            </w:pPr>
            <w:r>
              <w:rPr>
                <w:sz w:val="16"/>
                <w:szCs w:val="16"/>
              </w:rPr>
              <w:t>W</w:t>
            </w:r>
            <w:r w:rsidRPr="00A82B01">
              <w:rPr>
                <w:sz w:val="16"/>
                <w:szCs w:val="16"/>
              </w:rPr>
              <w:t>ithin the first 3 months of entry</w:t>
            </w:r>
          </w:p>
          <w:p w14:paraId="29DE7697" w14:textId="77777777" w:rsidR="00937747" w:rsidRPr="00A82B01" w:rsidRDefault="00937747" w:rsidP="001B5807">
            <w:pPr>
              <w:pStyle w:val="TableNBullet"/>
              <w:numPr>
                <w:ilvl w:val="0"/>
                <w:numId w:val="4"/>
              </w:numPr>
              <w:spacing w:before="0" w:after="0" w:line="240" w:lineRule="auto"/>
              <w:rPr>
                <w:sz w:val="16"/>
                <w:szCs w:val="16"/>
                <w:lang w:val="en-US" w:eastAsia="en-US"/>
              </w:rPr>
            </w:pPr>
            <w:r>
              <w:rPr>
                <w:sz w:val="16"/>
                <w:szCs w:val="16"/>
              </w:rPr>
              <w:t>C</w:t>
            </w:r>
            <w:r w:rsidRPr="00A82B01">
              <w:rPr>
                <w:sz w:val="16"/>
                <w:szCs w:val="16"/>
              </w:rPr>
              <w:t>urrently</w:t>
            </w:r>
          </w:p>
        </w:tc>
        <w:tc>
          <w:tcPr>
            <w:tcW w:w="1412" w:type="dxa"/>
            <w:tcBorders>
              <w:top w:val="single" w:sz="4" w:space="0" w:color="E6E6E1" w:themeColor="accent5"/>
              <w:left w:val="nil"/>
              <w:bottom w:val="single" w:sz="4" w:space="0" w:color="E6E6E1" w:themeColor="accent5"/>
              <w:right w:val="nil"/>
            </w:tcBorders>
            <w:hideMark/>
          </w:tcPr>
          <w:p w14:paraId="567841EA" w14:textId="77777777" w:rsidR="00937747" w:rsidRPr="00A82B01" w:rsidRDefault="00937747" w:rsidP="00B04998">
            <w:pPr>
              <w:pStyle w:val="TableNText"/>
              <w:spacing w:before="0" w:after="0"/>
              <w:rPr>
                <w:sz w:val="16"/>
                <w:szCs w:val="16"/>
              </w:rPr>
            </w:pPr>
            <w:r w:rsidRPr="00A82B01">
              <w:rPr>
                <w:sz w:val="16"/>
                <w:szCs w:val="16"/>
              </w:rPr>
              <w:t>Proportion of residents</w:t>
            </w:r>
          </w:p>
        </w:tc>
      </w:tr>
      <w:tr w:rsidR="00937747" w:rsidRPr="00A82B01" w14:paraId="4D75563C" w14:textId="77777777" w:rsidTr="00E0007A">
        <w:trPr>
          <w:cnfStyle w:val="000000010000" w:firstRow="0" w:lastRow="0" w:firstColumn="0" w:lastColumn="0" w:oddVBand="0" w:evenVBand="0" w:oddHBand="0" w:evenHBand="1" w:firstRowFirstColumn="0" w:firstRowLastColumn="0" w:lastRowFirstColumn="0" w:lastRowLastColumn="0"/>
          <w:trHeight w:val="20"/>
        </w:trPr>
        <w:tc>
          <w:tcPr>
            <w:tcW w:w="343" w:type="dxa"/>
            <w:tcBorders>
              <w:top w:val="single" w:sz="4" w:space="0" w:color="E6E6E1" w:themeColor="accent5"/>
              <w:left w:val="nil"/>
              <w:bottom w:val="single" w:sz="4" w:space="0" w:color="E6E6E1" w:themeColor="accent5"/>
              <w:right w:val="nil"/>
            </w:tcBorders>
          </w:tcPr>
          <w:p w14:paraId="46FDDBDF" w14:textId="77777777" w:rsidR="00937747" w:rsidRPr="00A82B01" w:rsidRDefault="00937747" w:rsidP="00B04998">
            <w:pPr>
              <w:pStyle w:val="TableNText"/>
              <w:spacing w:before="0" w:after="0"/>
              <w:rPr>
                <w:sz w:val="16"/>
                <w:szCs w:val="16"/>
              </w:rPr>
            </w:pPr>
            <w:r>
              <w:rPr>
                <w:sz w:val="16"/>
                <w:szCs w:val="16"/>
              </w:rPr>
              <w:t>10</w:t>
            </w:r>
          </w:p>
        </w:tc>
        <w:tc>
          <w:tcPr>
            <w:tcW w:w="7165" w:type="dxa"/>
            <w:tcBorders>
              <w:top w:val="single" w:sz="4" w:space="0" w:color="E6E6E1" w:themeColor="accent5"/>
              <w:left w:val="nil"/>
              <w:bottom w:val="single" w:sz="4" w:space="0" w:color="E6E6E1" w:themeColor="accent5"/>
              <w:right w:val="nil"/>
            </w:tcBorders>
          </w:tcPr>
          <w:p w14:paraId="13E8C970" w14:textId="77777777" w:rsidR="00937747" w:rsidRPr="00A82B01" w:rsidRDefault="00937747" w:rsidP="00B04998">
            <w:pPr>
              <w:pStyle w:val="TableNText"/>
              <w:spacing w:before="0" w:after="0"/>
              <w:rPr>
                <w:sz w:val="16"/>
                <w:szCs w:val="16"/>
              </w:rPr>
            </w:pPr>
            <w:r>
              <w:rPr>
                <w:sz w:val="16"/>
                <w:szCs w:val="16"/>
              </w:rPr>
              <w:t>P</w:t>
            </w:r>
            <w:r w:rsidRPr="007A5C7E">
              <w:rPr>
                <w:sz w:val="16"/>
                <w:szCs w:val="16"/>
              </w:rPr>
              <w:t xml:space="preserve">lease describe any process used within the RACF for residents and </w:t>
            </w:r>
            <w:r>
              <w:rPr>
                <w:sz w:val="16"/>
                <w:szCs w:val="16"/>
              </w:rPr>
              <w:t>their families and carers</w:t>
            </w:r>
            <w:r w:rsidRPr="007A5C7E">
              <w:rPr>
                <w:sz w:val="16"/>
                <w:szCs w:val="16"/>
              </w:rPr>
              <w:t xml:space="preserve"> to update ACP</w:t>
            </w:r>
            <w:r>
              <w:rPr>
                <w:sz w:val="16"/>
                <w:szCs w:val="16"/>
              </w:rPr>
              <w:t>D</w:t>
            </w:r>
            <w:r w:rsidRPr="007A5C7E">
              <w:rPr>
                <w:sz w:val="16"/>
                <w:szCs w:val="16"/>
              </w:rPr>
              <w:t>s</w:t>
            </w:r>
          </w:p>
        </w:tc>
        <w:tc>
          <w:tcPr>
            <w:tcW w:w="1412" w:type="dxa"/>
            <w:tcBorders>
              <w:top w:val="single" w:sz="4" w:space="0" w:color="E6E6E1" w:themeColor="accent5"/>
              <w:left w:val="nil"/>
              <w:bottom w:val="single" w:sz="4" w:space="0" w:color="E6E6E1" w:themeColor="accent5"/>
              <w:right w:val="nil"/>
            </w:tcBorders>
          </w:tcPr>
          <w:p w14:paraId="648495D7" w14:textId="77777777" w:rsidR="00937747" w:rsidRPr="00A82B01" w:rsidRDefault="00937747" w:rsidP="00B04998">
            <w:pPr>
              <w:pStyle w:val="TableNText"/>
              <w:spacing w:before="0" w:after="0"/>
              <w:rPr>
                <w:sz w:val="16"/>
                <w:szCs w:val="16"/>
              </w:rPr>
            </w:pPr>
            <w:r>
              <w:rPr>
                <w:sz w:val="16"/>
                <w:szCs w:val="16"/>
                <w:lang w:val="en-US"/>
              </w:rPr>
              <w:t>Free text</w:t>
            </w:r>
          </w:p>
        </w:tc>
      </w:tr>
      <w:tr w:rsidR="00937747" w:rsidRPr="00A82B01" w14:paraId="3DAE8311" w14:textId="77777777" w:rsidTr="00E0007A">
        <w:trPr>
          <w:cnfStyle w:val="000000100000" w:firstRow="0" w:lastRow="0" w:firstColumn="0" w:lastColumn="0" w:oddVBand="0" w:evenVBand="0" w:oddHBand="1" w:evenHBand="0" w:firstRowFirstColumn="0" w:firstRowLastColumn="0" w:lastRowFirstColumn="0" w:lastRowLastColumn="0"/>
          <w:trHeight w:val="20"/>
        </w:trPr>
        <w:tc>
          <w:tcPr>
            <w:tcW w:w="343" w:type="dxa"/>
            <w:tcBorders>
              <w:top w:val="single" w:sz="4" w:space="0" w:color="E6E6E1" w:themeColor="accent5"/>
              <w:left w:val="nil"/>
              <w:bottom w:val="single" w:sz="4" w:space="0" w:color="E6E6E1" w:themeColor="accent5"/>
              <w:right w:val="nil"/>
            </w:tcBorders>
          </w:tcPr>
          <w:p w14:paraId="297A22AD" w14:textId="77777777" w:rsidR="00937747" w:rsidRPr="00A82B01" w:rsidRDefault="00937747" w:rsidP="00B04998">
            <w:pPr>
              <w:pStyle w:val="TableNText"/>
              <w:spacing w:before="0" w:after="0"/>
              <w:rPr>
                <w:sz w:val="16"/>
                <w:szCs w:val="16"/>
              </w:rPr>
            </w:pPr>
            <w:r>
              <w:rPr>
                <w:sz w:val="16"/>
                <w:szCs w:val="16"/>
              </w:rPr>
              <w:t>11</w:t>
            </w:r>
          </w:p>
        </w:tc>
        <w:tc>
          <w:tcPr>
            <w:tcW w:w="7165" w:type="dxa"/>
            <w:tcBorders>
              <w:top w:val="single" w:sz="4" w:space="0" w:color="E6E6E1" w:themeColor="accent5"/>
              <w:left w:val="nil"/>
              <w:bottom w:val="single" w:sz="4" w:space="0" w:color="E6E6E1" w:themeColor="accent5"/>
              <w:right w:val="nil"/>
            </w:tcBorders>
            <w:hideMark/>
          </w:tcPr>
          <w:p w14:paraId="4D910962" w14:textId="77777777" w:rsidR="00937747" w:rsidRPr="00A82B01" w:rsidRDefault="00937747" w:rsidP="00B04998">
            <w:pPr>
              <w:pStyle w:val="TableNText"/>
              <w:spacing w:before="0" w:after="0"/>
              <w:rPr>
                <w:sz w:val="16"/>
                <w:szCs w:val="16"/>
              </w:rPr>
            </w:pPr>
            <w:r w:rsidRPr="00A82B01">
              <w:rPr>
                <w:sz w:val="16"/>
                <w:szCs w:val="16"/>
              </w:rPr>
              <w:t>How often are ACPDs reviewed to ensure that they are</w:t>
            </w:r>
            <w:r w:rsidRPr="00A82B01" w:rsidDel="00CB3E06">
              <w:rPr>
                <w:sz w:val="16"/>
                <w:szCs w:val="16"/>
              </w:rPr>
              <w:t xml:space="preserve"> </w:t>
            </w:r>
            <w:r w:rsidRPr="00A82B01">
              <w:rPr>
                <w:sz w:val="16"/>
                <w:szCs w:val="16"/>
              </w:rPr>
              <w:t>up to date and complete?</w:t>
            </w:r>
            <w:r w:rsidRPr="00A82B01">
              <w:rPr>
                <w:rStyle w:val="FootnoteReference"/>
                <w:sz w:val="16"/>
                <w:szCs w:val="16"/>
              </w:rPr>
              <w:t xml:space="preserve"> </w:t>
            </w:r>
          </w:p>
        </w:tc>
        <w:tc>
          <w:tcPr>
            <w:tcW w:w="1412" w:type="dxa"/>
            <w:tcBorders>
              <w:top w:val="single" w:sz="4" w:space="0" w:color="E6E6E1" w:themeColor="accent5"/>
              <w:left w:val="nil"/>
              <w:bottom w:val="single" w:sz="4" w:space="0" w:color="E6E6E1" w:themeColor="accent5"/>
              <w:right w:val="nil"/>
            </w:tcBorders>
            <w:hideMark/>
          </w:tcPr>
          <w:p w14:paraId="5021D9D4" w14:textId="77777777" w:rsidR="00937747" w:rsidRPr="00A82B01" w:rsidRDefault="00937747" w:rsidP="00B04998">
            <w:pPr>
              <w:pStyle w:val="TableNText"/>
              <w:spacing w:before="0" w:after="0"/>
              <w:rPr>
                <w:sz w:val="16"/>
                <w:szCs w:val="16"/>
              </w:rPr>
            </w:pPr>
            <w:r w:rsidRPr="00A82B01">
              <w:rPr>
                <w:sz w:val="16"/>
                <w:szCs w:val="16"/>
              </w:rPr>
              <w:t xml:space="preserve">Likert scale response from 0 (Never) to 5 (more than once a month) </w:t>
            </w:r>
          </w:p>
        </w:tc>
      </w:tr>
      <w:tr w:rsidR="00937747" w:rsidRPr="00A82B01" w14:paraId="084FA21E" w14:textId="77777777" w:rsidTr="00E0007A">
        <w:trPr>
          <w:cnfStyle w:val="000000010000" w:firstRow="0" w:lastRow="0" w:firstColumn="0" w:lastColumn="0" w:oddVBand="0" w:evenVBand="0" w:oddHBand="0" w:evenHBand="1" w:firstRowFirstColumn="0" w:firstRowLastColumn="0" w:lastRowFirstColumn="0" w:lastRowLastColumn="0"/>
          <w:trHeight w:val="20"/>
        </w:trPr>
        <w:tc>
          <w:tcPr>
            <w:tcW w:w="343" w:type="dxa"/>
            <w:tcBorders>
              <w:top w:val="single" w:sz="4" w:space="0" w:color="E6E6E1" w:themeColor="accent5"/>
              <w:left w:val="nil"/>
              <w:bottom w:val="single" w:sz="4" w:space="0" w:color="E6E6E1" w:themeColor="accent5"/>
              <w:right w:val="nil"/>
            </w:tcBorders>
          </w:tcPr>
          <w:p w14:paraId="6AE6EFFA" w14:textId="77777777" w:rsidR="00937747" w:rsidRPr="00A82B01" w:rsidRDefault="00937747" w:rsidP="00B04998">
            <w:pPr>
              <w:pStyle w:val="TableNText"/>
              <w:spacing w:before="0" w:after="0"/>
              <w:rPr>
                <w:sz w:val="16"/>
                <w:szCs w:val="16"/>
                <w:lang w:val="en-US"/>
              </w:rPr>
            </w:pPr>
            <w:r>
              <w:rPr>
                <w:sz w:val="16"/>
                <w:szCs w:val="16"/>
                <w:lang w:val="en-US"/>
              </w:rPr>
              <w:t>12</w:t>
            </w:r>
          </w:p>
        </w:tc>
        <w:tc>
          <w:tcPr>
            <w:tcW w:w="7165" w:type="dxa"/>
            <w:tcBorders>
              <w:top w:val="single" w:sz="4" w:space="0" w:color="E6E6E1" w:themeColor="accent5"/>
              <w:left w:val="nil"/>
              <w:bottom w:val="single" w:sz="4" w:space="0" w:color="E6E6E1" w:themeColor="accent5"/>
              <w:right w:val="nil"/>
            </w:tcBorders>
            <w:hideMark/>
          </w:tcPr>
          <w:p w14:paraId="38912AA1" w14:textId="77777777" w:rsidR="00937747" w:rsidRPr="00A82B01" w:rsidRDefault="00937747" w:rsidP="00B04998">
            <w:pPr>
              <w:pStyle w:val="TableNText"/>
              <w:spacing w:before="0" w:after="0"/>
              <w:rPr>
                <w:sz w:val="16"/>
                <w:szCs w:val="16"/>
                <w:lang w:val="en-US"/>
              </w:rPr>
            </w:pPr>
            <w:r w:rsidRPr="00A82B01">
              <w:rPr>
                <w:sz w:val="16"/>
                <w:szCs w:val="16"/>
                <w:lang w:val="en-US"/>
              </w:rPr>
              <w:t xml:space="preserve">Are ACPDs readily able to be accessed across the: </w:t>
            </w:r>
          </w:p>
          <w:p w14:paraId="341D300A" w14:textId="77777777" w:rsidR="00937747" w:rsidRPr="00A82B01" w:rsidRDefault="00937747" w:rsidP="001B5807">
            <w:pPr>
              <w:pStyle w:val="TableNBullet"/>
              <w:numPr>
                <w:ilvl w:val="0"/>
                <w:numId w:val="4"/>
              </w:numPr>
              <w:spacing w:before="0" w:after="0" w:line="240" w:lineRule="auto"/>
              <w:rPr>
                <w:sz w:val="16"/>
                <w:szCs w:val="16"/>
              </w:rPr>
            </w:pPr>
            <w:r>
              <w:rPr>
                <w:sz w:val="16"/>
                <w:szCs w:val="16"/>
              </w:rPr>
              <w:t xml:space="preserve">The </w:t>
            </w:r>
            <w:r w:rsidRPr="00A82B01">
              <w:rPr>
                <w:sz w:val="16"/>
                <w:szCs w:val="16"/>
              </w:rPr>
              <w:t>RACF</w:t>
            </w:r>
          </w:p>
          <w:p w14:paraId="5EC8C965" w14:textId="77777777" w:rsidR="00937747" w:rsidRPr="00A82B01" w:rsidRDefault="00937747" w:rsidP="001B5807">
            <w:pPr>
              <w:pStyle w:val="TableNBullet"/>
              <w:numPr>
                <w:ilvl w:val="0"/>
                <w:numId w:val="4"/>
              </w:numPr>
              <w:spacing w:before="0" w:after="0" w:line="240" w:lineRule="auto"/>
              <w:rPr>
                <w:sz w:val="16"/>
                <w:szCs w:val="16"/>
              </w:rPr>
            </w:pPr>
            <w:r>
              <w:rPr>
                <w:sz w:val="16"/>
                <w:szCs w:val="16"/>
              </w:rPr>
              <w:t>S</w:t>
            </w:r>
            <w:r w:rsidRPr="00A82B01">
              <w:rPr>
                <w:sz w:val="16"/>
                <w:szCs w:val="16"/>
              </w:rPr>
              <w:t>pecialist palliative care services</w:t>
            </w:r>
          </w:p>
          <w:p w14:paraId="57E318C2" w14:textId="77777777" w:rsidR="00937747" w:rsidRPr="00A82B01" w:rsidRDefault="00937747" w:rsidP="001B5807">
            <w:pPr>
              <w:pStyle w:val="TableNBullet"/>
              <w:numPr>
                <w:ilvl w:val="0"/>
                <w:numId w:val="4"/>
              </w:numPr>
              <w:spacing w:before="0" w:after="0" w:line="240" w:lineRule="auto"/>
              <w:rPr>
                <w:sz w:val="16"/>
                <w:szCs w:val="16"/>
              </w:rPr>
            </w:pPr>
            <w:r w:rsidRPr="00A82B01">
              <w:rPr>
                <w:sz w:val="16"/>
                <w:szCs w:val="16"/>
              </w:rPr>
              <w:t>Hospital</w:t>
            </w:r>
            <w:r>
              <w:rPr>
                <w:sz w:val="16"/>
                <w:szCs w:val="16"/>
              </w:rPr>
              <w:t>s</w:t>
            </w:r>
          </w:p>
          <w:p w14:paraId="3E39A7FD" w14:textId="77777777" w:rsidR="00937747" w:rsidRPr="00A82B01" w:rsidRDefault="00937747" w:rsidP="001B5807">
            <w:pPr>
              <w:pStyle w:val="TableNBullet"/>
              <w:numPr>
                <w:ilvl w:val="0"/>
                <w:numId w:val="4"/>
              </w:numPr>
              <w:spacing w:before="0" w:after="0" w:line="240" w:lineRule="auto"/>
              <w:rPr>
                <w:sz w:val="16"/>
                <w:szCs w:val="16"/>
                <w:lang w:val="en-US" w:eastAsia="en-US"/>
              </w:rPr>
            </w:pPr>
            <w:r w:rsidRPr="00A82B01">
              <w:rPr>
                <w:sz w:val="16"/>
                <w:szCs w:val="16"/>
              </w:rPr>
              <w:t>GP</w:t>
            </w:r>
            <w:r>
              <w:rPr>
                <w:sz w:val="16"/>
                <w:szCs w:val="16"/>
              </w:rPr>
              <w:t>s</w:t>
            </w:r>
          </w:p>
        </w:tc>
        <w:tc>
          <w:tcPr>
            <w:tcW w:w="1412" w:type="dxa"/>
            <w:tcBorders>
              <w:top w:val="single" w:sz="4" w:space="0" w:color="E6E6E1" w:themeColor="accent5"/>
              <w:left w:val="nil"/>
              <w:bottom w:val="single" w:sz="4" w:space="0" w:color="E6E6E1" w:themeColor="accent5"/>
              <w:right w:val="nil"/>
            </w:tcBorders>
            <w:hideMark/>
          </w:tcPr>
          <w:p w14:paraId="44EE62C3" w14:textId="77777777" w:rsidR="00937747" w:rsidRPr="00A82B01" w:rsidRDefault="00937747" w:rsidP="00B04998">
            <w:pPr>
              <w:pStyle w:val="TableNText"/>
              <w:spacing w:before="0" w:after="0"/>
              <w:rPr>
                <w:sz w:val="16"/>
                <w:szCs w:val="16"/>
              </w:rPr>
            </w:pPr>
            <w:r w:rsidRPr="00A82B01">
              <w:rPr>
                <w:sz w:val="16"/>
                <w:szCs w:val="16"/>
              </w:rPr>
              <w:t>Yes/No for each item</w:t>
            </w:r>
          </w:p>
        </w:tc>
      </w:tr>
      <w:tr w:rsidR="00937747" w:rsidRPr="00A82B01" w14:paraId="0E03ABBA" w14:textId="77777777" w:rsidTr="00E0007A">
        <w:trPr>
          <w:cnfStyle w:val="000000100000" w:firstRow="0" w:lastRow="0" w:firstColumn="0" w:lastColumn="0" w:oddVBand="0" w:evenVBand="0" w:oddHBand="1" w:evenHBand="0" w:firstRowFirstColumn="0" w:firstRowLastColumn="0" w:lastRowFirstColumn="0" w:lastRowLastColumn="0"/>
          <w:trHeight w:val="20"/>
        </w:trPr>
        <w:tc>
          <w:tcPr>
            <w:tcW w:w="343" w:type="dxa"/>
            <w:tcBorders>
              <w:top w:val="single" w:sz="4" w:space="0" w:color="E6E6E1" w:themeColor="accent5"/>
              <w:left w:val="nil"/>
              <w:bottom w:val="single" w:sz="4" w:space="0" w:color="E6E6E1" w:themeColor="accent5"/>
              <w:right w:val="nil"/>
            </w:tcBorders>
          </w:tcPr>
          <w:p w14:paraId="720B131D" w14:textId="77777777" w:rsidR="00937747" w:rsidRPr="00A82B01" w:rsidRDefault="00937747" w:rsidP="00B04998">
            <w:pPr>
              <w:pStyle w:val="TableNText"/>
              <w:spacing w:before="0" w:after="0"/>
              <w:rPr>
                <w:sz w:val="16"/>
                <w:szCs w:val="16"/>
              </w:rPr>
            </w:pPr>
            <w:r>
              <w:rPr>
                <w:sz w:val="16"/>
                <w:szCs w:val="16"/>
              </w:rPr>
              <w:t>13</w:t>
            </w:r>
          </w:p>
        </w:tc>
        <w:tc>
          <w:tcPr>
            <w:tcW w:w="7165" w:type="dxa"/>
            <w:tcBorders>
              <w:top w:val="single" w:sz="4" w:space="0" w:color="E6E6E1" w:themeColor="accent5"/>
              <w:left w:val="nil"/>
              <w:bottom w:val="single" w:sz="4" w:space="0" w:color="E6E6E1" w:themeColor="accent5"/>
              <w:right w:val="nil"/>
            </w:tcBorders>
          </w:tcPr>
          <w:p w14:paraId="2DE944E9" w14:textId="77777777" w:rsidR="00937747" w:rsidRPr="00A82B01" w:rsidRDefault="00937747" w:rsidP="00B04998">
            <w:pPr>
              <w:pStyle w:val="TableNText"/>
              <w:spacing w:before="0" w:after="0"/>
              <w:rPr>
                <w:sz w:val="16"/>
                <w:szCs w:val="16"/>
                <w:lang w:val="en-US"/>
              </w:rPr>
            </w:pPr>
            <w:r w:rsidRPr="00A82B01">
              <w:rPr>
                <w:sz w:val="16"/>
                <w:szCs w:val="16"/>
              </w:rPr>
              <w:t>Does the RACF record preferred place of death for all residents?</w:t>
            </w:r>
          </w:p>
        </w:tc>
        <w:tc>
          <w:tcPr>
            <w:tcW w:w="1412" w:type="dxa"/>
            <w:tcBorders>
              <w:top w:val="single" w:sz="4" w:space="0" w:color="E6E6E1" w:themeColor="accent5"/>
              <w:left w:val="nil"/>
              <w:bottom w:val="single" w:sz="4" w:space="0" w:color="E6E6E1" w:themeColor="accent5"/>
              <w:right w:val="nil"/>
            </w:tcBorders>
          </w:tcPr>
          <w:p w14:paraId="69055E68" w14:textId="77777777" w:rsidR="00937747" w:rsidRPr="00A82B01" w:rsidRDefault="00937747" w:rsidP="00B04998">
            <w:pPr>
              <w:pStyle w:val="TableNText"/>
              <w:spacing w:before="0" w:after="0"/>
              <w:rPr>
                <w:sz w:val="16"/>
                <w:szCs w:val="16"/>
              </w:rPr>
            </w:pPr>
            <w:r w:rsidRPr="00A82B01">
              <w:rPr>
                <w:sz w:val="16"/>
                <w:szCs w:val="16"/>
              </w:rPr>
              <w:t>Yes/No</w:t>
            </w:r>
          </w:p>
        </w:tc>
      </w:tr>
      <w:tr w:rsidR="00937747" w:rsidRPr="00A82B01" w14:paraId="4BE06F75" w14:textId="77777777" w:rsidTr="00B04998">
        <w:trPr>
          <w:cnfStyle w:val="000000010000" w:firstRow="0" w:lastRow="0" w:firstColumn="0" w:lastColumn="0" w:oddVBand="0" w:evenVBand="0" w:oddHBand="0" w:evenHBand="1" w:firstRowFirstColumn="0" w:firstRowLastColumn="0" w:lastRowFirstColumn="0" w:lastRowLastColumn="0"/>
          <w:trHeight w:val="20"/>
        </w:trPr>
        <w:tc>
          <w:tcPr>
            <w:tcW w:w="8920" w:type="dxa"/>
            <w:gridSpan w:val="3"/>
            <w:tcBorders>
              <w:top w:val="single" w:sz="4" w:space="0" w:color="E6E6E1" w:themeColor="accent5"/>
              <w:left w:val="nil"/>
              <w:bottom w:val="single" w:sz="4" w:space="0" w:color="E6E6E1" w:themeColor="accent5"/>
              <w:right w:val="nil"/>
            </w:tcBorders>
            <w:shd w:val="clear" w:color="auto" w:fill="E6E6E1" w:themeFill="accent5"/>
          </w:tcPr>
          <w:p w14:paraId="3DDFC048" w14:textId="77777777" w:rsidR="00937747" w:rsidRPr="00A82B01" w:rsidRDefault="00937747" w:rsidP="00B04998">
            <w:pPr>
              <w:pStyle w:val="TableNText"/>
              <w:spacing w:before="0" w:after="0"/>
              <w:rPr>
                <w:sz w:val="16"/>
                <w:szCs w:val="16"/>
              </w:rPr>
            </w:pPr>
            <w:r>
              <w:rPr>
                <w:sz w:val="16"/>
                <w:szCs w:val="16"/>
              </w:rPr>
              <w:t>Education and training</w:t>
            </w:r>
          </w:p>
        </w:tc>
      </w:tr>
      <w:tr w:rsidR="00937747" w:rsidRPr="00A82B01" w14:paraId="379B6D07" w14:textId="77777777" w:rsidTr="00E0007A">
        <w:trPr>
          <w:cnfStyle w:val="000000100000" w:firstRow="0" w:lastRow="0" w:firstColumn="0" w:lastColumn="0" w:oddVBand="0" w:evenVBand="0" w:oddHBand="1" w:evenHBand="0" w:firstRowFirstColumn="0" w:firstRowLastColumn="0" w:lastRowFirstColumn="0" w:lastRowLastColumn="0"/>
          <w:trHeight w:val="20"/>
        </w:trPr>
        <w:tc>
          <w:tcPr>
            <w:tcW w:w="343" w:type="dxa"/>
            <w:tcBorders>
              <w:top w:val="single" w:sz="4" w:space="0" w:color="E6E6E1" w:themeColor="accent5"/>
              <w:left w:val="nil"/>
              <w:bottom w:val="single" w:sz="4" w:space="0" w:color="E6E6E1" w:themeColor="accent5"/>
              <w:right w:val="nil"/>
            </w:tcBorders>
          </w:tcPr>
          <w:p w14:paraId="7C20CB85" w14:textId="77777777" w:rsidR="00937747" w:rsidRPr="00A82B01" w:rsidRDefault="00937747" w:rsidP="00B04998">
            <w:pPr>
              <w:pStyle w:val="TableNText"/>
              <w:spacing w:before="0" w:after="0"/>
              <w:rPr>
                <w:sz w:val="16"/>
                <w:szCs w:val="16"/>
              </w:rPr>
            </w:pPr>
            <w:r>
              <w:rPr>
                <w:sz w:val="16"/>
                <w:szCs w:val="16"/>
              </w:rPr>
              <w:t>14</w:t>
            </w:r>
          </w:p>
        </w:tc>
        <w:tc>
          <w:tcPr>
            <w:tcW w:w="7165" w:type="dxa"/>
            <w:tcBorders>
              <w:top w:val="single" w:sz="4" w:space="0" w:color="E6E6E1" w:themeColor="accent5"/>
              <w:left w:val="nil"/>
              <w:bottom w:val="single" w:sz="4" w:space="0" w:color="E6E6E1" w:themeColor="accent5"/>
              <w:right w:val="nil"/>
            </w:tcBorders>
            <w:hideMark/>
          </w:tcPr>
          <w:p w14:paraId="112C9C5D" w14:textId="77777777" w:rsidR="00937747" w:rsidRPr="00A82B01" w:rsidRDefault="00937747" w:rsidP="00B04998">
            <w:pPr>
              <w:pStyle w:val="TableNText"/>
              <w:spacing w:before="0" w:after="0"/>
              <w:rPr>
                <w:sz w:val="16"/>
                <w:szCs w:val="16"/>
              </w:rPr>
            </w:pPr>
            <w:r w:rsidRPr="00A82B01">
              <w:rPr>
                <w:sz w:val="16"/>
                <w:szCs w:val="16"/>
              </w:rPr>
              <w:t xml:space="preserve">Does the facility have a policy </w:t>
            </w:r>
            <w:r>
              <w:rPr>
                <w:sz w:val="16"/>
                <w:szCs w:val="16"/>
              </w:rPr>
              <w:t xml:space="preserve">or requirement </w:t>
            </w:r>
            <w:r w:rsidRPr="00A82B01">
              <w:rPr>
                <w:sz w:val="16"/>
                <w:szCs w:val="16"/>
              </w:rPr>
              <w:t>in place, and monitored, to ensure that the following staff (including casuals) uptake available training/education opportunities to improve their understanding about palliative care:</w:t>
            </w:r>
          </w:p>
          <w:p w14:paraId="777756C0" w14:textId="77777777" w:rsidR="00937747" w:rsidRPr="00A82B01" w:rsidRDefault="00937747" w:rsidP="001B5807">
            <w:pPr>
              <w:pStyle w:val="TableNBullet"/>
              <w:numPr>
                <w:ilvl w:val="0"/>
                <w:numId w:val="4"/>
              </w:numPr>
              <w:spacing w:before="0" w:after="0" w:line="240" w:lineRule="auto"/>
              <w:rPr>
                <w:sz w:val="16"/>
                <w:szCs w:val="16"/>
                <w:lang w:val="en-US"/>
              </w:rPr>
            </w:pPr>
            <w:r w:rsidRPr="00A82B01">
              <w:rPr>
                <w:sz w:val="16"/>
                <w:szCs w:val="16"/>
                <w:lang w:val="en-US"/>
              </w:rPr>
              <w:t>Registered Nurses</w:t>
            </w:r>
          </w:p>
          <w:p w14:paraId="38480214" w14:textId="77777777" w:rsidR="00937747" w:rsidRPr="00A82B01" w:rsidRDefault="00937747" w:rsidP="001B5807">
            <w:pPr>
              <w:pStyle w:val="TableNBullet"/>
              <w:numPr>
                <w:ilvl w:val="0"/>
                <w:numId w:val="4"/>
              </w:numPr>
              <w:spacing w:before="0" w:after="0" w:line="240" w:lineRule="auto"/>
              <w:rPr>
                <w:sz w:val="16"/>
                <w:szCs w:val="16"/>
                <w:lang w:val="en-US"/>
              </w:rPr>
            </w:pPr>
            <w:r w:rsidRPr="00A82B01">
              <w:rPr>
                <w:sz w:val="16"/>
                <w:szCs w:val="16"/>
                <w:lang w:val="en-US"/>
              </w:rPr>
              <w:t>Team Leaders/Enrolled Nurses</w:t>
            </w:r>
          </w:p>
          <w:p w14:paraId="3D849CB2" w14:textId="77777777" w:rsidR="00937747" w:rsidRPr="00A82B01" w:rsidRDefault="00937747" w:rsidP="001B5807">
            <w:pPr>
              <w:pStyle w:val="TableNBullet"/>
              <w:numPr>
                <w:ilvl w:val="0"/>
                <w:numId w:val="4"/>
              </w:numPr>
              <w:spacing w:before="0" w:after="0" w:line="240" w:lineRule="auto"/>
              <w:rPr>
                <w:sz w:val="16"/>
                <w:szCs w:val="16"/>
                <w:lang w:val="en-US"/>
              </w:rPr>
            </w:pPr>
            <w:r w:rsidRPr="00A82B01">
              <w:rPr>
                <w:sz w:val="16"/>
                <w:szCs w:val="16"/>
                <w:lang w:val="en-US"/>
              </w:rPr>
              <w:t>Allied Health</w:t>
            </w:r>
          </w:p>
          <w:p w14:paraId="237C33EE" w14:textId="77777777" w:rsidR="00937747" w:rsidRPr="00A82B01" w:rsidRDefault="00937747" w:rsidP="001B5807">
            <w:pPr>
              <w:pStyle w:val="TableNBullet"/>
              <w:numPr>
                <w:ilvl w:val="0"/>
                <w:numId w:val="4"/>
              </w:numPr>
              <w:spacing w:before="0" w:after="0" w:line="240" w:lineRule="auto"/>
              <w:rPr>
                <w:sz w:val="16"/>
                <w:szCs w:val="16"/>
                <w:lang w:val="en-US"/>
              </w:rPr>
            </w:pPr>
            <w:r w:rsidRPr="00A82B01">
              <w:rPr>
                <w:sz w:val="16"/>
                <w:szCs w:val="16"/>
                <w:lang w:val="en-US"/>
              </w:rPr>
              <w:t>Direct care staff</w:t>
            </w:r>
            <w:r>
              <w:rPr>
                <w:sz w:val="16"/>
                <w:szCs w:val="16"/>
                <w:lang w:val="en-US"/>
              </w:rPr>
              <w:t xml:space="preserve"> (</w:t>
            </w:r>
            <w:proofErr w:type="gramStart"/>
            <w:r>
              <w:rPr>
                <w:sz w:val="16"/>
                <w:szCs w:val="16"/>
                <w:lang w:val="en-US"/>
              </w:rPr>
              <w:t>e.g.</w:t>
            </w:r>
            <w:proofErr w:type="gramEnd"/>
            <w:r>
              <w:rPr>
                <w:sz w:val="16"/>
                <w:szCs w:val="16"/>
                <w:lang w:val="en-US"/>
              </w:rPr>
              <w:t xml:space="preserve"> Personal care worker)</w:t>
            </w:r>
          </w:p>
          <w:p w14:paraId="6EE0EE13" w14:textId="77777777" w:rsidR="00937747" w:rsidRPr="00A82B01" w:rsidRDefault="00937747" w:rsidP="001B5807">
            <w:pPr>
              <w:pStyle w:val="TableNBullet"/>
              <w:numPr>
                <w:ilvl w:val="0"/>
                <w:numId w:val="4"/>
              </w:numPr>
              <w:spacing w:before="0" w:after="0" w:line="240" w:lineRule="auto"/>
              <w:rPr>
                <w:sz w:val="16"/>
                <w:szCs w:val="16"/>
                <w:lang w:val="en-US"/>
              </w:rPr>
            </w:pPr>
            <w:r w:rsidRPr="00A82B01">
              <w:rPr>
                <w:sz w:val="16"/>
                <w:szCs w:val="16"/>
                <w:lang w:val="en-US"/>
              </w:rPr>
              <w:t>Pastoral care staff</w:t>
            </w:r>
          </w:p>
          <w:p w14:paraId="461A4D15" w14:textId="77777777" w:rsidR="00937747" w:rsidRPr="00A82B01" w:rsidRDefault="00937747" w:rsidP="001B5807">
            <w:pPr>
              <w:pStyle w:val="TableNBullet"/>
              <w:numPr>
                <w:ilvl w:val="0"/>
                <w:numId w:val="4"/>
              </w:numPr>
              <w:spacing w:before="0" w:after="0" w:line="240" w:lineRule="auto"/>
              <w:rPr>
                <w:sz w:val="16"/>
                <w:szCs w:val="16"/>
                <w:lang w:val="en-US"/>
              </w:rPr>
            </w:pPr>
            <w:r w:rsidRPr="00A82B01">
              <w:rPr>
                <w:sz w:val="16"/>
                <w:szCs w:val="16"/>
                <w:lang w:val="en-US"/>
              </w:rPr>
              <w:t>Other staff</w:t>
            </w:r>
          </w:p>
        </w:tc>
        <w:tc>
          <w:tcPr>
            <w:tcW w:w="1412" w:type="dxa"/>
            <w:tcBorders>
              <w:top w:val="single" w:sz="4" w:space="0" w:color="E6E6E1" w:themeColor="accent5"/>
              <w:left w:val="nil"/>
              <w:bottom w:val="single" w:sz="4" w:space="0" w:color="E6E6E1" w:themeColor="accent5"/>
              <w:right w:val="nil"/>
            </w:tcBorders>
            <w:hideMark/>
          </w:tcPr>
          <w:p w14:paraId="7A0BF3F8" w14:textId="77777777" w:rsidR="00937747" w:rsidRPr="00A82B01" w:rsidRDefault="00937747" w:rsidP="00B04998">
            <w:pPr>
              <w:pStyle w:val="TableNText"/>
              <w:spacing w:before="0" w:after="0"/>
              <w:rPr>
                <w:sz w:val="16"/>
                <w:szCs w:val="16"/>
              </w:rPr>
            </w:pPr>
            <w:r w:rsidRPr="00A82B01">
              <w:rPr>
                <w:sz w:val="16"/>
                <w:szCs w:val="16"/>
              </w:rPr>
              <w:t>Yes/No for each staff group</w:t>
            </w:r>
          </w:p>
        </w:tc>
      </w:tr>
      <w:tr w:rsidR="00937747" w:rsidRPr="00A82B01" w14:paraId="3B9C716F" w14:textId="77777777" w:rsidTr="00E0007A">
        <w:trPr>
          <w:cnfStyle w:val="000000010000" w:firstRow="0" w:lastRow="0" w:firstColumn="0" w:lastColumn="0" w:oddVBand="0" w:evenVBand="0" w:oddHBand="0" w:evenHBand="1" w:firstRowFirstColumn="0" w:firstRowLastColumn="0" w:lastRowFirstColumn="0" w:lastRowLastColumn="0"/>
          <w:trHeight w:val="20"/>
        </w:trPr>
        <w:tc>
          <w:tcPr>
            <w:tcW w:w="343" w:type="dxa"/>
            <w:tcBorders>
              <w:top w:val="single" w:sz="4" w:space="0" w:color="E6E6E1" w:themeColor="accent5"/>
              <w:left w:val="nil"/>
              <w:bottom w:val="single" w:sz="4" w:space="0" w:color="E6E6E1" w:themeColor="accent5"/>
              <w:right w:val="nil"/>
            </w:tcBorders>
          </w:tcPr>
          <w:p w14:paraId="60B269CD" w14:textId="77777777" w:rsidR="00937747" w:rsidRDefault="00937747" w:rsidP="00B04998">
            <w:pPr>
              <w:pStyle w:val="TableNText"/>
              <w:spacing w:before="0" w:after="0"/>
              <w:rPr>
                <w:sz w:val="16"/>
                <w:szCs w:val="16"/>
              </w:rPr>
            </w:pPr>
            <w:r>
              <w:rPr>
                <w:sz w:val="16"/>
                <w:szCs w:val="16"/>
              </w:rPr>
              <w:lastRenderedPageBreak/>
              <w:t>15</w:t>
            </w:r>
          </w:p>
        </w:tc>
        <w:tc>
          <w:tcPr>
            <w:tcW w:w="7165" w:type="dxa"/>
            <w:tcBorders>
              <w:top w:val="single" w:sz="4" w:space="0" w:color="E6E6E1" w:themeColor="accent5"/>
              <w:left w:val="nil"/>
              <w:bottom w:val="single" w:sz="4" w:space="0" w:color="E6E6E1" w:themeColor="accent5"/>
              <w:right w:val="nil"/>
            </w:tcBorders>
          </w:tcPr>
          <w:p w14:paraId="3791C985" w14:textId="77777777" w:rsidR="00937747" w:rsidRPr="00A82B01" w:rsidRDefault="00937747" w:rsidP="00B04998">
            <w:pPr>
              <w:pStyle w:val="TableNText"/>
              <w:spacing w:before="0" w:after="0"/>
              <w:rPr>
                <w:sz w:val="16"/>
                <w:szCs w:val="16"/>
              </w:rPr>
            </w:pPr>
            <w:r w:rsidRPr="00786B1A">
              <w:rPr>
                <w:sz w:val="16"/>
                <w:szCs w:val="16"/>
              </w:rPr>
              <w:t>Does the facility use a preferred training/education package?</w:t>
            </w:r>
            <w:r>
              <w:rPr>
                <w:sz w:val="16"/>
                <w:szCs w:val="16"/>
              </w:rPr>
              <w:t xml:space="preserve"> If yes, please identify the preferred package.</w:t>
            </w:r>
          </w:p>
        </w:tc>
        <w:tc>
          <w:tcPr>
            <w:tcW w:w="1412" w:type="dxa"/>
            <w:tcBorders>
              <w:top w:val="single" w:sz="4" w:space="0" w:color="E6E6E1" w:themeColor="accent5"/>
              <w:left w:val="nil"/>
              <w:bottom w:val="single" w:sz="4" w:space="0" w:color="E6E6E1" w:themeColor="accent5"/>
              <w:right w:val="nil"/>
            </w:tcBorders>
          </w:tcPr>
          <w:p w14:paraId="6EECCA4E" w14:textId="77777777" w:rsidR="00937747" w:rsidRDefault="00937747" w:rsidP="00B04998">
            <w:pPr>
              <w:pStyle w:val="TableNText"/>
              <w:spacing w:before="0" w:after="0"/>
              <w:rPr>
                <w:sz w:val="16"/>
                <w:szCs w:val="16"/>
              </w:rPr>
            </w:pPr>
            <w:r>
              <w:rPr>
                <w:sz w:val="16"/>
                <w:szCs w:val="16"/>
              </w:rPr>
              <w:t>Yes/No</w:t>
            </w:r>
          </w:p>
          <w:p w14:paraId="0D1A0E1F" w14:textId="77777777" w:rsidR="00937747" w:rsidRPr="00A82B01" w:rsidRDefault="00937747" w:rsidP="00B04998">
            <w:pPr>
              <w:pStyle w:val="TableNText"/>
              <w:spacing w:before="0" w:after="0"/>
              <w:rPr>
                <w:sz w:val="16"/>
                <w:szCs w:val="16"/>
              </w:rPr>
            </w:pPr>
            <w:r>
              <w:rPr>
                <w:sz w:val="16"/>
                <w:szCs w:val="16"/>
              </w:rPr>
              <w:t>Free text</w:t>
            </w:r>
          </w:p>
        </w:tc>
      </w:tr>
      <w:tr w:rsidR="00937747" w:rsidRPr="00A82B01" w14:paraId="1859EB3B" w14:textId="77777777" w:rsidTr="00E0007A">
        <w:trPr>
          <w:cnfStyle w:val="000000100000" w:firstRow="0" w:lastRow="0" w:firstColumn="0" w:lastColumn="0" w:oddVBand="0" w:evenVBand="0" w:oddHBand="1" w:evenHBand="0" w:firstRowFirstColumn="0" w:firstRowLastColumn="0" w:lastRowFirstColumn="0" w:lastRowLastColumn="0"/>
          <w:trHeight w:val="20"/>
        </w:trPr>
        <w:tc>
          <w:tcPr>
            <w:tcW w:w="343" w:type="dxa"/>
            <w:tcBorders>
              <w:top w:val="single" w:sz="4" w:space="0" w:color="E6E6E1" w:themeColor="accent5"/>
              <w:left w:val="nil"/>
              <w:bottom w:val="single" w:sz="4" w:space="0" w:color="E6E6E1" w:themeColor="accent5"/>
              <w:right w:val="nil"/>
            </w:tcBorders>
          </w:tcPr>
          <w:p w14:paraId="7BB895AC" w14:textId="77777777" w:rsidR="00937747" w:rsidRPr="00A82B01" w:rsidRDefault="00937747" w:rsidP="00B04998">
            <w:pPr>
              <w:pStyle w:val="TableNText"/>
              <w:spacing w:before="0" w:after="0"/>
              <w:rPr>
                <w:sz w:val="16"/>
                <w:szCs w:val="16"/>
              </w:rPr>
            </w:pPr>
            <w:r>
              <w:rPr>
                <w:sz w:val="16"/>
                <w:szCs w:val="16"/>
              </w:rPr>
              <w:t>16</w:t>
            </w:r>
          </w:p>
        </w:tc>
        <w:tc>
          <w:tcPr>
            <w:tcW w:w="7165" w:type="dxa"/>
            <w:tcBorders>
              <w:top w:val="single" w:sz="4" w:space="0" w:color="E6E6E1" w:themeColor="accent5"/>
              <w:left w:val="nil"/>
              <w:bottom w:val="single" w:sz="4" w:space="0" w:color="E6E6E1" w:themeColor="accent5"/>
              <w:right w:val="nil"/>
            </w:tcBorders>
            <w:hideMark/>
          </w:tcPr>
          <w:p w14:paraId="7352EC54" w14:textId="77777777" w:rsidR="00937747" w:rsidRPr="00A82B01" w:rsidRDefault="00937747" w:rsidP="00B04998">
            <w:pPr>
              <w:pStyle w:val="TableNText"/>
              <w:spacing w:before="0" w:after="0"/>
              <w:rPr>
                <w:sz w:val="16"/>
                <w:szCs w:val="16"/>
              </w:rPr>
            </w:pPr>
            <w:r w:rsidRPr="00A82B01">
              <w:rPr>
                <w:sz w:val="16"/>
                <w:szCs w:val="16"/>
              </w:rPr>
              <w:t>How regularly is palliative/end-of-life training and education taken up by those staff who are responsible for end-of-life discussions</w:t>
            </w:r>
            <w:r>
              <w:rPr>
                <w:sz w:val="16"/>
                <w:szCs w:val="16"/>
              </w:rPr>
              <w:t xml:space="preserve"> and care provision</w:t>
            </w:r>
            <w:r w:rsidRPr="00A82B01">
              <w:rPr>
                <w:sz w:val="16"/>
                <w:szCs w:val="16"/>
              </w:rPr>
              <w:t xml:space="preserve">? </w:t>
            </w:r>
          </w:p>
        </w:tc>
        <w:tc>
          <w:tcPr>
            <w:tcW w:w="1412" w:type="dxa"/>
            <w:tcBorders>
              <w:top w:val="single" w:sz="4" w:space="0" w:color="E6E6E1" w:themeColor="accent5"/>
              <w:left w:val="nil"/>
              <w:bottom w:val="single" w:sz="4" w:space="0" w:color="E6E6E1" w:themeColor="accent5"/>
              <w:right w:val="nil"/>
            </w:tcBorders>
            <w:hideMark/>
          </w:tcPr>
          <w:p w14:paraId="4F4154AA" w14:textId="77777777" w:rsidR="00937747" w:rsidRPr="00A82B01" w:rsidRDefault="00937747" w:rsidP="00B04998">
            <w:pPr>
              <w:pStyle w:val="TableNText"/>
              <w:spacing w:before="0" w:after="0"/>
              <w:rPr>
                <w:sz w:val="16"/>
                <w:szCs w:val="16"/>
              </w:rPr>
            </w:pPr>
            <w:r w:rsidRPr="00A82B01">
              <w:rPr>
                <w:sz w:val="16"/>
                <w:szCs w:val="16"/>
              </w:rPr>
              <w:t>Likert scale response from 0 (Never), 3 (Once a year) and 5 (More than twice a year)</w:t>
            </w:r>
          </w:p>
        </w:tc>
      </w:tr>
      <w:tr w:rsidR="00937747" w:rsidRPr="00A82B01" w14:paraId="7CC2285A" w14:textId="77777777" w:rsidTr="00B04998">
        <w:trPr>
          <w:cnfStyle w:val="000000010000" w:firstRow="0" w:lastRow="0" w:firstColumn="0" w:lastColumn="0" w:oddVBand="0" w:evenVBand="0" w:oddHBand="0" w:evenHBand="1" w:firstRowFirstColumn="0" w:firstRowLastColumn="0" w:lastRowFirstColumn="0" w:lastRowLastColumn="0"/>
          <w:trHeight w:val="20"/>
        </w:trPr>
        <w:tc>
          <w:tcPr>
            <w:tcW w:w="8920" w:type="dxa"/>
            <w:gridSpan w:val="3"/>
            <w:tcBorders>
              <w:top w:val="single" w:sz="4" w:space="0" w:color="E6E6E1" w:themeColor="accent5"/>
              <w:left w:val="nil"/>
              <w:bottom w:val="single" w:sz="4" w:space="0" w:color="E6E6E1" w:themeColor="accent5"/>
              <w:right w:val="nil"/>
            </w:tcBorders>
            <w:shd w:val="clear" w:color="auto" w:fill="E6E6E1" w:themeFill="accent5"/>
          </w:tcPr>
          <w:p w14:paraId="4CA1F85F" w14:textId="77777777" w:rsidR="00937747" w:rsidRPr="00A82B01" w:rsidRDefault="00937747" w:rsidP="00B04998">
            <w:pPr>
              <w:pStyle w:val="TableNText"/>
              <w:spacing w:before="0" w:after="0"/>
              <w:rPr>
                <w:sz w:val="16"/>
                <w:szCs w:val="16"/>
              </w:rPr>
            </w:pPr>
            <w:r>
              <w:rPr>
                <w:sz w:val="16"/>
                <w:szCs w:val="16"/>
              </w:rPr>
              <w:t>Focus group participation</w:t>
            </w:r>
          </w:p>
        </w:tc>
      </w:tr>
      <w:tr w:rsidR="00937747" w:rsidRPr="00A82B01" w14:paraId="4E0BE26F" w14:textId="77777777" w:rsidTr="00E0007A">
        <w:trPr>
          <w:cnfStyle w:val="000000100000" w:firstRow="0" w:lastRow="0" w:firstColumn="0" w:lastColumn="0" w:oddVBand="0" w:evenVBand="0" w:oddHBand="1" w:evenHBand="0" w:firstRowFirstColumn="0" w:firstRowLastColumn="0" w:lastRowFirstColumn="0" w:lastRowLastColumn="0"/>
          <w:trHeight w:val="20"/>
        </w:trPr>
        <w:tc>
          <w:tcPr>
            <w:tcW w:w="343" w:type="dxa"/>
            <w:tcBorders>
              <w:top w:val="single" w:sz="4" w:space="0" w:color="E6E6E1" w:themeColor="accent5"/>
              <w:left w:val="nil"/>
              <w:bottom w:val="single" w:sz="8" w:space="0" w:color="E6E6E1" w:themeColor="accent5"/>
              <w:right w:val="nil"/>
            </w:tcBorders>
          </w:tcPr>
          <w:p w14:paraId="3F930EB7" w14:textId="77777777" w:rsidR="00937747" w:rsidRDefault="00937747" w:rsidP="00B04998">
            <w:pPr>
              <w:pStyle w:val="TableNText"/>
              <w:spacing w:before="0" w:after="0"/>
              <w:rPr>
                <w:sz w:val="16"/>
                <w:szCs w:val="16"/>
              </w:rPr>
            </w:pPr>
            <w:r>
              <w:rPr>
                <w:sz w:val="16"/>
                <w:szCs w:val="16"/>
              </w:rPr>
              <w:t>17</w:t>
            </w:r>
          </w:p>
        </w:tc>
        <w:tc>
          <w:tcPr>
            <w:tcW w:w="7165" w:type="dxa"/>
            <w:tcBorders>
              <w:top w:val="single" w:sz="4" w:space="0" w:color="E6E6E1" w:themeColor="accent5"/>
              <w:left w:val="nil"/>
              <w:bottom w:val="single" w:sz="8" w:space="0" w:color="E6E6E1" w:themeColor="accent5"/>
              <w:right w:val="nil"/>
            </w:tcBorders>
          </w:tcPr>
          <w:p w14:paraId="07A84C70" w14:textId="77777777" w:rsidR="00937747" w:rsidRPr="00A82B01" w:rsidRDefault="00937747" w:rsidP="00B04998">
            <w:pPr>
              <w:pStyle w:val="TableNText"/>
              <w:spacing w:before="0" w:after="0"/>
              <w:rPr>
                <w:sz w:val="16"/>
                <w:szCs w:val="16"/>
              </w:rPr>
            </w:pPr>
            <w:r w:rsidRPr="00E91ADE">
              <w:rPr>
                <w:sz w:val="16"/>
                <w:szCs w:val="16"/>
              </w:rPr>
              <w:t>Would you like to participate in a focus group conversation to discuss palliative care in RACF</w:t>
            </w:r>
            <w:r>
              <w:rPr>
                <w:sz w:val="16"/>
                <w:szCs w:val="16"/>
              </w:rPr>
              <w:t>s</w:t>
            </w:r>
            <w:r w:rsidRPr="00E91ADE">
              <w:rPr>
                <w:sz w:val="16"/>
                <w:szCs w:val="16"/>
              </w:rPr>
              <w:t>?</w:t>
            </w:r>
          </w:p>
        </w:tc>
        <w:tc>
          <w:tcPr>
            <w:tcW w:w="1412" w:type="dxa"/>
            <w:tcBorders>
              <w:top w:val="single" w:sz="4" w:space="0" w:color="E6E6E1" w:themeColor="accent5"/>
              <w:left w:val="nil"/>
              <w:bottom w:val="single" w:sz="8" w:space="0" w:color="E6E6E1" w:themeColor="accent5"/>
              <w:right w:val="nil"/>
            </w:tcBorders>
          </w:tcPr>
          <w:p w14:paraId="5E8922E0" w14:textId="77777777" w:rsidR="00937747" w:rsidRPr="00A82B01" w:rsidRDefault="00937747" w:rsidP="00B04998">
            <w:pPr>
              <w:pStyle w:val="TableNText"/>
              <w:spacing w:before="0" w:after="0"/>
              <w:rPr>
                <w:sz w:val="16"/>
                <w:szCs w:val="16"/>
              </w:rPr>
            </w:pPr>
            <w:r>
              <w:rPr>
                <w:sz w:val="16"/>
                <w:szCs w:val="16"/>
              </w:rPr>
              <w:t>Yes/No</w:t>
            </w:r>
          </w:p>
        </w:tc>
      </w:tr>
    </w:tbl>
    <w:p w14:paraId="5EAF4BB3" w14:textId="77777777" w:rsidR="006D4DE5" w:rsidRDefault="006D4DE5" w:rsidP="00C478BC">
      <w:pPr>
        <w:pStyle w:val="Heading5"/>
      </w:pPr>
      <w:r w:rsidRPr="00C478BC">
        <w:rPr>
          <w:rStyle w:val="Heading5Char"/>
          <w:rFonts w:eastAsiaTheme="minorEastAsia"/>
          <w:b/>
        </w:rPr>
        <w:t>Glossary of terminology and acronyms</w:t>
      </w:r>
    </w:p>
    <w:tbl>
      <w:tblPr>
        <w:tblStyle w:val="TableGrid"/>
        <w:tblW w:w="0" w:type="auto"/>
        <w:tblLook w:val="04A0" w:firstRow="1" w:lastRow="0" w:firstColumn="1" w:lastColumn="0" w:noHBand="0" w:noVBand="1"/>
        <w:tblCaption w:val="Table of glossary of terminology and acronyms"/>
        <w:tblDescription w:val="Advance Care Directives is a catch-all term to refer to the instruments which are recognised in each jurisdiction under advance care directive legislation or common law. They are voluntary, person-led documents completed and signed by a competent person that focus on an individual’s values and preferences for future care decisions, including their preferred outcomes and care. Advance Care Directives are recognised by specific legislation (statutory) or under common law (non-statutory). They come into effect when an individual loses decision-making capacity. Advance Care Directives can also appoint substitute decision-makers who can make decisions about health or personal care on the individual’s behalf. Advance Care Directives are focused on the future care of a person, not on the management of his or her assets.&#10;&#10;Advance care plan (ACP) are documents that capture an individual’s beliefs, values and preferences in relation to future care decisions, but which do not meet the requirements for statutory or common law recognition due to the person’s lack of competency, insufficient decision-making capacity or lack of formalities (such as inadequate person identification, signature and date). An Advance Care Plan for a non-competent person are often very helpful in providing information for substitute decision-makers and health practitioners and may guide care decisions but are not legally binding. An Advance Care Plan may be oral or written, with written being preferred. A substitute decision-maker named in an Advance Care Plan is not a statutory appointment.&#10;&#10;Advance care planning is a process of planning for future health and personal care whereby the person’s values, beliefs and preferences are made known to guide decision-making at a future time when that person cannot make or communicate their decisions. Registered and non-registered health practitioners have a role in advance care planning and require capability to facilitate these conversations effectively. The National Quality Standards for aged care, general practice and health services all promote advance care planning. Individuals can also choose to engage in advance care planning with other non-health practitioners, such as friends or family.&#10;&#10;Advance health directive (AHD) is a document that records possible treatment decisions for a competent adult. Treatment includes medical, surgical and dental treatment and other health care. These decisions must be followed in the event that the adult can no longer communicate or make decisions themselves.&#10;&#10;Advance care planning documents (ACPDs) is a catch all term to include documents that result from advance care planning. This includes Advance Care Directives and Advance Care Plans.&#10;&#10;End-of-life care is care delivered to a patient who is living with a fatal condition, even if the exact trajectory is unknown. The end-of-life period may be days, months, or years depending on the diagnosis or disease. The Aged Care Funding Instrument (ACFI) definition for end of life is more specific as follows: ACFI 12 item 14 enables a claim for a palliative care program involving end of life care.&#10;&#10;A specialist palliative care provider is a health professional who has had extra training to provide specialist care to those with a life-limiting illness, including in residential aged care facilities. These providers can provide that care in many settings including hospices. Specialist palliative care providers can include:&#10;• cancer doctors (oncologists)&#10;• palliative care nurses, including Nurse Practitioners&#10;• clinical nurse specialists/consultants&#10;counsellors&#10;&#10;Specialist palliative care knowledge includes expert knowledge on the pathophysiology of diseases, advanced pain and symptom assessment and management, counselling and communication skills, and advance care planning. It includes advanced knowledge about caring for individuals with serious, life-threatening illness, as well as those who are imminently dying."/>
      </w:tblPr>
      <w:tblGrid>
        <w:gridCol w:w="2405"/>
        <w:gridCol w:w="6502"/>
        <w:gridCol w:w="23"/>
      </w:tblGrid>
      <w:tr w:rsidR="006D4DE5" w:rsidRPr="008C6251" w14:paraId="41C15E5E" w14:textId="77777777" w:rsidTr="002718C1">
        <w:trPr>
          <w:gridAfter w:val="1"/>
          <w:cnfStyle w:val="100000000000" w:firstRow="1" w:lastRow="0" w:firstColumn="0" w:lastColumn="0" w:oddVBand="0" w:evenVBand="0" w:oddHBand="0" w:evenHBand="0" w:firstRowFirstColumn="0" w:firstRowLastColumn="0" w:lastRowFirstColumn="0" w:lastRowLastColumn="0"/>
          <w:wAfter w:w="23" w:type="dxa"/>
          <w:trHeight w:val="296"/>
        </w:trPr>
        <w:tc>
          <w:tcPr>
            <w:tcW w:w="2405" w:type="dxa"/>
          </w:tcPr>
          <w:p w14:paraId="05F7EA5F" w14:textId="77777777" w:rsidR="006D4DE5" w:rsidRPr="00A771A9" w:rsidRDefault="006D4DE5" w:rsidP="00C478BC">
            <w:pPr>
              <w:pStyle w:val="TableNheader"/>
            </w:pPr>
            <w:r w:rsidRPr="00A771A9">
              <w:t>Term</w:t>
            </w:r>
          </w:p>
        </w:tc>
        <w:tc>
          <w:tcPr>
            <w:tcW w:w="6502" w:type="dxa"/>
          </w:tcPr>
          <w:p w14:paraId="12E6F7E9" w14:textId="77777777" w:rsidR="006D4DE5" w:rsidRPr="00A771A9" w:rsidRDefault="006D4DE5" w:rsidP="00C478BC">
            <w:pPr>
              <w:pStyle w:val="TableNheader"/>
            </w:pPr>
            <w:r w:rsidRPr="00A771A9">
              <w:t>Definition</w:t>
            </w:r>
          </w:p>
        </w:tc>
      </w:tr>
      <w:tr w:rsidR="006D4DE5" w:rsidRPr="008C6251" w14:paraId="7BFF1F65" w14:textId="77777777" w:rsidTr="002718C1">
        <w:trPr>
          <w:cnfStyle w:val="000000100000" w:firstRow="0" w:lastRow="0" w:firstColumn="0" w:lastColumn="0" w:oddVBand="0" w:evenVBand="0" w:oddHBand="1" w:evenHBand="0" w:firstRowFirstColumn="0" w:firstRowLastColumn="0" w:lastRowFirstColumn="0" w:lastRowLastColumn="0"/>
        </w:trPr>
        <w:tc>
          <w:tcPr>
            <w:tcW w:w="2405" w:type="dxa"/>
          </w:tcPr>
          <w:p w14:paraId="324E02E2" w14:textId="6C59E4A7" w:rsidR="006D4DE5" w:rsidRPr="008C6251" w:rsidRDefault="006D4DE5" w:rsidP="00C478BC">
            <w:pPr>
              <w:pStyle w:val="TableNText"/>
              <w:rPr>
                <w:sz w:val="16"/>
                <w:szCs w:val="16"/>
              </w:rPr>
            </w:pPr>
            <w:r>
              <w:rPr>
                <w:szCs w:val="17"/>
                <w:lang w:val="en-US"/>
              </w:rPr>
              <w:t xml:space="preserve">Advance </w:t>
            </w:r>
            <w:r w:rsidR="002718C1">
              <w:rPr>
                <w:szCs w:val="17"/>
                <w:lang w:val="en-US"/>
              </w:rPr>
              <w:t>care directive</w:t>
            </w:r>
            <w:r>
              <w:rPr>
                <w:szCs w:val="17"/>
                <w:lang w:val="en-US"/>
              </w:rPr>
              <w:t xml:space="preserve"> (ACD)</w:t>
            </w:r>
            <w:r>
              <w:rPr>
                <w:rStyle w:val="FootnoteReference"/>
                <w:szCs w:val="17"/>
                <w:lang w:val="en-US"/>
              </w:rPr>
              <w:footnoteReference w:id="12"/>
            </w:r>
          </w:p>
        </w:tc>
        <w:tc>
          <w:tcPr>
            <w:tcW w:w="6525" w:type="dxa"/>
            <w:gridSpan w:val="2"/>
          </w:tcPr>
          <w:p w14:paraId="75D15D8F" w14:textId="6BF5E699" w:rsidR="006D4DE5" w:rsidRPr="008C6251" w:rsidRDefault="006D4DE5" w:rsidP="00C478BC">
            <w:pPr>
              <w:pStyle w:val="TableNText"/>
              <w:rPr>
                <w:sz w:val="16"/>
                <w:szCs w:val="16"/>
              </w:rPr>
            </w:pPr>
            <w:r>
              <w:rPr>
                <w:szCs w:val="17"/>
                <w:lang w:val="en-US"/>
              </w:rPr>
              <w:t xml:space="preserve">Advance Care Directives is a catch-all term to refer to the instruments which are </w:t>
            </w:r>
            <w:proofErr w:type="spellStart"/>
            <w:r>
              <w:rPr>
                <w:szCs w:val="17"/>
                <w:lang w:val="en-US"/>
              </w:rPr>
              <w:t>recognised</w:t>
            </w:r>
            <w:proofErr w:type="spellEnd"/>
            <w:r>
              <w:rPr>
                <w:szCs w:val="17"/>
                <w:lang w:val="en-US"/>
              </w:rPr>
              <w:t xml:space="preserve"> in each jurisdiction under </w:t>
            </w:r>
            <w:r w:rsidR="002718C1">
              <w:rPr>
                <w:szCs w:val="17"/>
                <w:lang w:val="en-US"/>
              </w:rPr>
              <w:t>advance care directive</w:t>
            </w:r>
            <w:r>
              <w:rPr>
                <w:szCs w:val="17"/>
                <w:lang w:val="en-US"/>
              </w:rPr>
              <w:t xml:space="preserve"> legislation or common law. They are voluntary, person-led documents completed and signed by a competent person that focus on an individual’s values and preferences for future care decisions, including their preferred outcomes and care. Advance Care Directives are </w:t>
            </w:r>
            <w:proofErr w:type="spellStart"/>
            <w:r>
              <w:rPr>
                <w:szCs w:val="17"/>
                <w:lang w:val="en-US"/>
              </w:rPr>
              <w:t>recognised</w:t>
            </w:r>
            <w:proofErr w:type="spellEnd"/>
            <w:r>
              <w:rPr>
                <w:szCs w:val="17"/>
                <w:lang w:val="en-US"/>
              </w:rPr>
              <w:t xml:space="preserve"> by specific legislation (statutory) or under common law (non-statutory). They come into effect when an individual loses decision-making capacity. Advance Care Directives can also appoint substitute decision-makers who can make decisions about health or personal care on the individual’s behalf. Advance Care Directives are focused on the future care of a person, not on the management of his or her assets.</w:t>
            </w:r>
          </w:p>
        </w:tc>
      </w:tr>
      <w:tr w:rsidR="006D4DE5" w:rsidRPr="008C6251" w14:paraId="35752ABD" w14:textId="77777777" w:rsidTr="002718C1">
        <w:trPr>
          <w:cnfStyle w:val="000000010000" w:firstRow="0" w:lastRow="0" w:firstColumn="0" w:lastColumn="0" w:oddVBand="0" w:evenVBand="0" w:oddHBand="0" w:evenHBand="1" w:firstRowFirstColumn="0" w:firstRowLastColumn="0" w:lastRowFirstColumn="0" w:lastRowLastColumn="0"/>
        </w:trPr>
        <w:tc>
          <w:tcPr>
            <w:tcW w:w="2405" w:type="dxa"/>
          </w:tcPr>
          <w:p w14:paraId="05646DFD" w14:textId="3476A914" w:rsidR="006D4DE5" w:rsidRPr="008C6251" w:rsidRDefault="006D4DE5" w:rsidP="00C478BC">
            <w:pPr>
              <w:pStyle w:val="TableNText"/>
              <w:rPr>
                <w:sz w:val="16"/>
                <w:szCs w:val="16"/>
              </w:rPr>
            </w:pPr>
            <w:r>
              <w:rPr>
                <w:szCs w:val="17"/>
                <w:lang w:val="en-US"/>
              </w:rPr>
              <w:t xml:space="preserve">Advance </w:t>
            </w:r>
            <w:r w:rsidR="002718C1">
              <w:rPr>
                <w:szCs w:val="17"/>
                <w:lang w:val="en-US"/>
              </w:rPr>
              <w:t>care plan</w:t>
            </w:r>
            <w:r>
              <w:rPr>
                <w:szCs w:val="17"/>
                <w:lang w:val="en-US"/>
              </w:rPr>
              <w:t xml:space="preserve"> (ACP)</w:t>
            </w:r>
            <w:r>
              <w:rPr>
                <w:rStyle w:val="FootnoteReference"/>
                <w:szCs w:val="17"/>
                <w:lang w:val="en-US"/>
              </w:rPr>
              <w:footnoteReference w:id="13"/>
            </w:r>
          </w:p>
        </w:tc>
        <w:tc>
          <w:tcPr>
            <w:tcW w:w="6525" w:type="dxa"/>
            <w:gridSpan w:val="2"/>
          </w:tcPr>
          <w:p w14:paraId="78DC45F8" w14:textId="3492FA6E" w:rsidR="006D4DE5" w:rsidRPr="008C6251" w:rsidRDefault="006D4DE5" w:rsidP="00B25FA6">
            <w:pPr>
              <w:pStyle w:val="TableNText"/>
              <w:rPr>
                <w:sz w:val="16"/>
                <w:szCs w:val="16"/>
              </w:rPr>
            </w:pPr>
            <w:r>
              <w:rPr>
                <w:shd w:val="clear" w:color="auto" w:fill="FFFFFF"/>
                <w:lang w:val="en-US"/>
              </w:rPr>
              <w:t xml:space="preserve">Documents that capture an individual’s beliefs, values and preferences in relation to future care decisions, but which do not meet the requirements for statutory or common law recognition due to the person’s lack of competency, insufficient decision-making capacity or lack of formalities (such as inadequate person identification, signature and date).An Advance Care Plan for a non-competent person </w:t>
            </w:r>
            <w:r w:rsidR="002718C1">
              <w:rPr>
                <w:shd w:val="clear" w:color="auto" w:fill="FFFFFF"/>
                <w:lang w:val="en-US"/>
              </w:rPr>
              <w:t>are</w:t>
            </w:r>
            <w:r>
              <w:rPr>
                <w:shd w:val="clear" w:color="auto" w:fill="FFFFFF"/>
                <w:lang w:val="en-US"/>
              </w:rPr>
              <w:t xml:space="preserve"> often very helpful in providing information for substitute decision-makers and health practitioners and may guide care decisions but are not legally binding. An Advance Care Plan may be oral or written, with written being preferred. A substitute decision-maker named in an Advance Care Plan is not a statutory appointment.</w:t>
            </w:r>
          </w:p>
        </w:tc>
      </w:tr>
      <w:tr w:rsidR="006D4DE5" w:rsidRPr="008C6251" w14:paraId="6B1A5B34" w14:textId="77777777" w:rsidTr="002718C1">
        <w:trPr>
          <w:cnfStyle w:val="000000100000" w:firstRow="0" w:lastRow="0" w:firstColumn="0" w:lastColumn="0" w:oddVBand="0" w:evenVBand="0" w:oddHBand="1" w:evenHBand="0" w:firstRowFirstColumn="0" w:firstRowLastColumn="0" w:lastRowFirstColumn="0" w:lastRowLastColumn="0"/>
        </w:trPr>
        <w:tc>
          <w:tcPr>
            <w:tcW w:w="2405" w:type="dxa"/>
          </w:tcPr>
          <w:p w14:paraId="6AF56103" w14:textId="20ABA6AA" w:rsidR="006D4DE5" w:rsidRPr="008C6251" w:rsidRDefault="006D4DE5" w:rsidP="00C478BC">
            <w:pPr>
              <w:pStyle w:val="TableNText"/>
              <w:rPr>
                <w:sz w:val="16"/>
                <w:szCs w:val="16"/>
              </w:rPr>
            </w:pPr>
            <w:r>
              <w:rPr>
                <w:szCs w:val="17"/>
                <w:lang w:val="en-US"/>
              </w:rPr>
              <w:t>Advance care planning</w:t>
            </w:r>
            <w:r>
              <w:rPr>
                <w:rStyle w:val="FootnoteReference"/>
                <w:szCs w:val="17"/>
                <w:lang w:val="en-US"/>
              </w:rPr>
              <w:footnoteReference w:id="14"/>
            </w:r>
          </w:p>
        </w:tc>
        <w:tc>
          <w:tcPr>
            <w:tcW w:w="6525" w:type="dxa"/>
            <w:gridSpan w:val="2"/>
          </w:tcPr>
          <w:p w14:paraId="62978D73" w14:textId="56F48163" w:rsidR="006D4DE5" w:rsidRPr="008C6251" w:rsidRDefault="006D4DE5" w:rsidP="00B25FA6">
            <w:pPr>
              <w:pStyle w:val="TableNText"/>
              <w:rPr>
                <w:sz w:val="16"/>
                <w:szCs w:val="16"/>
              </w:rPr>
            </w:pPr>
            <w:r>
              <w:rPr>
                <w:shd w:val="clear" w:color="auto" w:fill="FFFFFF"/>
                <w:lang w:val="en-US"/>
              </w:rPr>
              <w:t>A process of planning for future health and personal care whereby the person’s values, beliefs and preferences are made known to guide decision-making at a future time when that person cannot make or communicate their decisions. Registered and non-registered health practitioners have a role in advance care planning and require capability to facilitate these conversations effectively. The National Quality Standards for aged care, general practice and health services all promote advance care planning. Individuals can also choose to engage in advance care planning with other non-health practitioners, such as friends or family.</w:t>
            </w:r>
          </w:p>
        </w:tc>
      </w:tr>
      <w:tr w:rsidR="00D33682" w:rsidRPr="008C6251" w14:paraId="1956A8A4" w14:textId="77777777" w:rsidTr="002718C1">
        <w:trPr>
          <w:cnfStyle w:val="000000010000" w:firstRow="0" w:lastRow="0" w:firstColumn="0" w:lastColumn="0" w:oddVBand="0" w:evenVBand="0" w:oddHBand="0" w:evenHBand="1" w:firstRowFirstColumn="0" w:firstRowLastColumn="0" w:lastRowFirstColumn="0" w:lastRowLastColumn="0"/>
        </w:trPr>
        <w:tc>
          <w:tcPr>
            <w:tcW w:w="2405" w:type="dxa"/>
          </w:tcPr>
          <w:p w14:paraId="1A7FBB1D" w14:textId="4DEF4497" w:rsidR="00D33682" w:rsidRDefault="00D33682" w:rsidP="00D33682">
            <w:pPr>
              <w:pStyle w:val="TableNText"/>
              <w:rPr>
                <w:szCs w:val="17"/>
                <w:lang w:val="en-US"/>
              </w:rPr>
            </w:pPr>
            <w:r>
              <w:rPr>
                <w:szCs w:val="17"/>
              </w:rPr>
              <w:t>Advance health directive (AHD)</w:t>
            </w:r>
            <w:r>
              <w:rPr>
                <w:rStyle w:val="FootnoteReference"/>
                <w:szCs w:val="17"/>
              </w:rPr>
              <w:footnoteReference w:id="15"/>
            </w:r>
          </w:p>
        </w:tc>
        <w:tc>
          <w:tcPr>
            <w:tcW w:w="6525" w:type="dxa"/>
            <w:gridSpan w:val="2"/>
          </w:tcPr>
          <w:p w14:paraId="313A0175" w14:textId="4F5F1B81" w:rsidR="00D33682" w:rsidRDefault="00D33682" w:rsidP="00D33682">
            <w:pPr>
              <w:pStyle w:val="TableNText"/>
              <w:rPr>
                <w:szCs w:val="17"/>
                <w:lang w:val="en-US"/>
              </w:rPr>
            </w:pPr>
            <w:r>
              <w:rPr>
                <w:szCs w:val="17"/>
              </w:rPr>
              <w:t xml:space="preserve">A document that records possible treatment decisions for a </w:t>
            </w:r>
            <w:r w:rsidRPr="00631168">
              <w:rPr>
                <w:szCs w:val="17"/>
              </w:rPr>
              <w:t>competent adult</w:t>
            </w:r>
            <w:r>
              <w:rPr>
                <w:szCs w:val="17"/>
              </w:rPr>
              <w:t xml:space="preserve">. Treatment includes medical, </w:t>
            </w:r>
            <w:proofErr w:type="gramStart"/>
            <w:r>
              <w:rPr>
                <w:szCs w:val="17"/>
              </w:rPr>
              <w:t>surgical</w:t>
            </w:r>
            <w:proofErr w:type="gramEnd"/>
            <w:r>
              <w:rPr>
                <w:szCs w:val="17"/>
              </w:rPr>
              <w:t xml:space="preserve"> and dental treatment and other health care. </w:t>
            </w:r>
            <w:r>
              <w:rPr>
                <w:szCs w:val="17"/>
              </w:rPr>
              <w:lastRenderedPageBreak/>
              <w:t xml:space="preserve">These decisions must be followed </w:t>
            </w:r>
            <w:proofErr w:type="gramStart"/>
            <w:r>
              <w:rPr>
                <w:szCs w:val="17"/>
              </w:rPr>
              <w:t>in the event that</w:t>
            </w:r>
            <w:proofErr w:type="gramEnd"/>
            <w:r>
              <w:rPr>
                <w:szCs w:val="17"/>
              </w:rPr>
              <w:t xml:space="preserve"> the adult can no longer communicate or make decisions themselves.</w:t>
            </w:r>
          </w:p>
        </w:tc>
      </w:tr>
      <w:tr w:rsidR="006D4DE5" w:rsidRPr="008C6251" w14:paraId="59709691" w14:textId="77777777" w:rsidTr="002718C1">
        <w:trPr>
          <w:cnfStyle w:val="000000100000" w:firstRow="0" w:lastRow="0" w:firstColumn="0" w:lastColumn="0" w:oddVBand="0" w:evenVBand="0" w:oddHBand="1" w:evenHBand="0" w:firstRowFirstColumn="0" w:firstRowLastColumn="0" w:lastRowFirstColumn="0" w:lastRowLastColumn="0"/>
        </w:trPr>
        <w:tc>
          <w:tcPr>
            <w:tcW w:w="2405" w:type="dxa"/>
          </w:tcPr>
          <w:p w14:paraId="6D29BF57" w14:textId="1B308C91" w:rsidR="006D4DE5" w:rsidRPr="008C6251" w:rsidRDefault="006D4DE5" w:rsidP="00C478BC">
            <w:pPr>
              <w:pStyle w:val="TableNText"/>
              <w:rPr>
                <w:sz w:val="16"/>
                <w:szCs w:val="16"/>
              </w:rPr>
            </w:pPr>
            <w:r>
              <w:rPr>
                <w:szCs w:val="17"/>
                <w:lang w:val="en-US"/>
              </w:rPr>
              <w:lastRenderedPageBreak/>
              <w:t>Advance care planning documents (ACPDs)</w:t>
            </w:r>
            <w:r>
              <w:rPr>
                <w:rStyle w:val="FootnoteReference"/>
                <w:szCs w:val="17"/>
                <w:lang w:val="en-US"/>
              </w:rPr>
              <w:footnoteReference w:id="16"/>
            </w:r>
          </w:p>
        </w:tc>
        <w:tc>
          <w:tcPr>
            <w:tcW w:w="6525" w:type="dxa"/>
            <w:gridSpan w:val="2"/>
          </w:tcPr>
          <w:p w14:paraId="759E6AB5" w14:textId="26F85AE9" w:rsidR="006D4DE5" w:rsidRPr="008C6251" w:rsidRDefault="006D4DE5" w:rsidP="00C478BC">
            <w:pPr>
              <w:pStyle w:val="TableNText"/>
              <w:rPr>
                <w:sz w:val="16"/>
                <w:szCs w:val="16"/>
              </w:rPr>
            </w:pPr>
            <w:r>
              <w:rPr>
                <w:szCs w:val="17"/>
                <w:lang w:val="en-US"/>
              </w:rPr>
              <w:t>A catch all term to include documents that result from advance care planning. This includes Advance Care Directives and Advance Care Plans.</w:t>
            </w:r>
          </w:p>
        </w:tc>
      </w:tr>
      <w:tr w:rsidR="006D4DE5" w:rsidRPr="008C6251" w14:paraId="7FC71499" w14:textId="77777777" w:rsidTr="002718C1">
        <w:trPr>
          <w:cnfStyle w:val="000000010000" w:firstRow="0" w:lastRow="0" w:firstColumn="0" w:lastColumn="0" w:oddVBand="0" w:evenVBand="0" w:oddHBand="0" w:evenHBand="1" w:firstRowFirstColumn="0" w:firstRowLastColumn="0" w:lastRowFirstColumn="0" w:lastRowLastColumn="0"/>
        </w:trPr>
        <w:tc>
          <w:tcPr>
            <w:tcW w:w="2405" w:type="dxa"/>
          </w:tcPr>
          <w:p w14:paraId="4F4D1968" w14:textId="2BE865E2" w:rsidR="006D4DE5" w:rsidRPr="008C6251" w:rsidRDefault="00AE070D" w:rsidP="00C478BC">
            <w:pPr>
              <w:pStyle w:val="TableNText"/>
              <w:rPr>
                <w:sz w:val="16"/>
                <w:szCs w:val="16"/>
              </w:rPr>
            </w:pPr>
            <w:r>
              <w:rPr>
                <w:szCs w:val="17"/>
                <w:lang w:val="en-US"/>
              </w:rPr>
              <w:t>End</w:t>
            </w:r>
            <w:r w:rsidR="002718C1">
              <w:rPr>
                <w:szCs w:val="17"/>
                <w:lang w:val="en-US"/>
              </w:rPr>
              <w:t xml:space="preserve"> </w:t>
            </w:r>
            <w:r>
              <w:rPr>
                <w:szCs w:val="17"/>
                <w:lang w:val="en-US"/>
              </w:rPr>
              <w:t>of</w:t>
            </w:r>
            <w:r w:rsidR="002718C1">
              <w:rPr>
                <w:szCs w:val="17"/>
                <w:lang w:val="en-US"/>
              </w:rPr>
              <w:t xml:space="preserve"> Life</w:t>
            </w:r>
            <w:r w:rsidR="0085696B">
              <w:rPr>
                <w:szCs w:val="17"/>
                <w:lang w:val="en-US"/>
              </w:rPr>
              <w:t xml:space="preserve"> Care</w:t>
            </w:r>
          </w:p>
        </w:tc>
        <w:tc>
          <w:tcPr>
            <w:tcW w:w="6525" w:type="dxa"/>
            <w:gridSpan w:val="2"/>
          </w:tcPr>
          <w:p w14:paraId="3500EE69" w14:textId="51199A32" w:rsidR="006D4DE5" w:rsidRPr="004D12AC" w:rsidRDefault="0085696B" w:rsidP="004D12AC">
            <w:pPr>
              <w:pStyle w:val="TableNText"/>
            </w:pPr>
            <w:r>
              <w:rPr>
                <w:sz w:val="16"/>
                <w:szCs w:val="16"/>
                <w:lang w:val="en-US"/>
              </w:rPr>
              <w:t xml:space="preserve">End-of-life care is care delivered to a patient who is living with a fatal condition, even if the exact trajectory is unknown. The end-of-life period may be days, months, or years depending on the diagnosis or disease. The Aged Care Funding Instrument (ACFI) definition for </w:t>
            </w:r>
            <w:r w:rsidR="00AE070D">
              <w:rPr>
                <w:sz w:val="16"/>
                <w:szCs w:val="16"/>
                <w:lang w:val="en-US"/>
              </w:rPr>
              <w:t>end</w:t>
            </w:r>
            <w:r w:rsidR="002718C1">
              <w:rPr>
                <w:sz w:val="16"/>
                <w:szCs w:val="16"/>
                <w:lang w:val="en-US"/>
              </w:rPr>
              <w:t xml:space="preserve"> </w:t>
            </w:r>
            <w:r w:rsidR="00AE070D">
              <w:rPr>
                <w:sz w:val="16"/>
                <w:szCs w:val="16"/>
                <w:lang w:val="en-US"/>
              </w:rPr>
              <w:t>of</w:t>
            </w:r>
            <w:r w:rsidR="002718C1">
              <w:rPr>
                <w:sz w:val="16"/>
                <w:szCs w:val="16"/>
                <w:lang w:val="en-US"/>
              </w:rPr>
              <w:t xml:space="preserve"> </w:t>
            </w:r>
            <w:r w:rsidR="00AE070D">
              <w:rPr>
                <w:sz w:val="16"/>
                <w:szCs w:val="16"/>
                <w:lang w:val="en-US"/>
              </w:rPr>
              <w:t>life</w:t>
            </w:r>
            <w:r>
              <w:rPr>
                <w:sz w:val="16"/>
                <w:szCs w:val="16"/>
                <w:lang w:val="en-US"/>
              </w:rPr>
              <w:t xml:space="preserve"> is more specific as follows: ACFI 12 item 14 enables a claim for a palliative care program involving </w:t>
            </w:r>
            <w:r w:rsidR="00AE070D">
              <w:rPr>
                <w:sz w:val="16"/>
                <w:szCs w:val="16"/>
                <w:lang w:val="en-US"/>
              </w:rPr>
              <w:t>end</w:t>
            </w:r>
            <w:r w:rsidR="002718C1">
              <w:rPr>
                <w:sz w:val="16"/>
                <w:szCs w:val="16"/>
                <w:lang w:val="en-US"/>
              </w:rPr>
              <w:t xml:space="preserve"> </w:t>
            </w:r>
            <w:r w:rsidR="00AE070D">
              <w:rPr>
                <w:sz w:val="16"/>
                <w:szCs w:val="16"/>
                <w:lang w:val="en-US"/>
              </w:rPr>
              <w:t>of</w:t>
            </w:r>
            <w:r w:rsidR="002718C1">
              <w:rPr>
                <w:sz w:val="16"/>
                <w:szCs w:val="16"/>
                <w:lang w:val="en-US"/>
              </w:rPr>
              <w:t xml:space="preserve"> </w:t>
            </w:r>
            <w:r w:rsidR="00AE070D">
              <w:rPr>
                <w:sz w:val="16"/>
                <w:szCs w:val="16"/>
                <w:lang w:val="en-US"/>
              </w:rPr>
              <w:t>life</w:t>
            </w:r>
            <w:r>
              <w:rPr>
                <w:sz w:val="16"/>
                <w:szCs w:val="16"/>
                <w:lang w:val="en-US"/>
              </w:rPr>
              <w:t xml:space="preserve"> care.</w:t>
            </w:r>
          </w:p>
        </w:tc>
      </w:tr>
      <w:tr w:rsidR="006D4DE5" w:rsidRPr="008C6251" w14:paraId="026C3EB7" w14:textId="77777777" w:rsidTr="002718C1">
        <w:trPr>
          <w:cnfStyle w:val="000000100000" w:firstRow="0" w:lastRow="0" w:firstColumn="0" w:lastColumn="0" w:oddVBand="0" w:evenVBand="0" w:oddHBand="1" w:evenHBand="0" w:firstRowFirstColumn="0" w:firstRowLastColumn="0" w:lastRowFirstColumn="0" w:lastRowLastColumn="0"/>
        </w:trPr>
        <w:tc>
          <w:tcPr>
            <w:tcW w:w="2405" w:type="dxa"/>
          </w:tcPr>
          <w:p w14:paraId="136E2559" w14:textId="72F05BA4" w:rsidR="006D4DE5" w:rsidRPr="008C6251" w:rsidRDefault="006D4DE5" w:rsidP="00C478BC">
            <w:pPr>
              <w:pStyle w:val="TableNText"/>
              <w:rPr>
                <w:sz w:val="16"/>
                <w:szCs w:val="16"/>
              </w:rPr>
            </w:pPr>
            <w:r>
              <w:rPr>
                <w:szCs w:val="17"/>
                <w:lang w:val="en-US"/>
              </w:rPr>
              <w:t>Specialist palliative care</w:t>
            </w:r>
            <w:r>
              <w:rPr>
                <w:rStyle w:val="FootnoteReference"/>
                <w:szCs w:val="17"/>
                <w:lang w:val="en-US"/>
              </w:rPr>
              <w:footnoteReference w:id="17"/>
            </w:r>
          </w:p>
        </w:tc>
        <w:tc>
          <w:tcPr>
            <w:tcW w:w="6525" w:type="dxa"/>
            <w:gridSpan w:val="2"/>
          </w:tcPr>
          <w:p w14:paraId="2769D43B" w14:textId="77777777" w:rsidR="002718C1" w:rsidRDefault="002718C1" w:rsidP="002718C1">
            <w:pPr>
              <w:spacing w:after="165"/>
              <w:rPr>
                <w:sz w:val="17"/>
                <w:szCs w:val="17"/>
                <w:lang w:val="en-US"/>
              </w:rPr>
            </w:pPr>
            <w:r>
              <w:rPr>
                <w:sz w:val="17"/>
                <w:szCs w:val="17"/>
                <w:lang w:val="en-US"/>
              </w:rPr>
              <w:t>A specialist palliative care provider is a health professional who has had extra training to provide specialist care to those with a life-limiting illness, including in residential aged care facilities. These providers can provide that care in many settings including hospices. Specialist palliative care providers can include:</w:t>
            </w:r>
          </w:p>
          <w:p w14:paraId="21FF9EF2" w14:textId="77777777" w:rsidR="002718C1" w:rsidRDefault="002718C1" w:rsidP="001B5807">
            <w:pPr>
              <w:pStyle w:val="TableNBullet"/>
              <w:numPr>
                <w:ilvl w:val="0"/>
                <w:numId w:val="4"/>
              </w:numPr>
              <w:spacing w:line="254" w:lineRule="auto"/>
              <w:rPr>
                <w:lang w:val="en-US" w:eastAsia="en-US"/>
              </w:rPr>
            </w:pPr>
            <w:r>
              <w:rPr>
                <w:lang w:val="en-US" w:eastAsia="en-US"/>
              </w:rPr>
              <w:t>cancer doctors (oncologists)</w:t>
            </w:r>
          </w:p>
          <w:p w14:paraId="668176A3" w14:textId="77777777" w:rsidR="002718C1" w:rsidRDefault="002718C1" w:rsidP="001B5807">
            <w:pPr>
              <w:pStyle w:val="TableNBullet"/>
              <w:numPr>
                <w:ilvl w:val="0"/>
                <w:numId w:val="4"/>
              </w:numPr>
              <w:spacing w:line="254" w:lineRule="auto"/>
              <w:rPr>
                <w:lang w:val="en-US" w:eastAsia="en-US"/>
              </w:rPr>
            </w:pPr>
            <w:r>
              <w:rPr>
                <w:lang w:val="en-US" w:eastAsia="en-US"/>
              </w:rPr>
              <w:t>palliative care nurses, including Nurse Practitioners</w:t>
            </w:r>
          </w:p>
          <w:p w14:paraId="0FB14B6C" w14:textId="77777777" w:rsidR="002718C1" w:rsidRDefault="002718C1" w:rsidP="001B5807">
            <w:pPr>
              <w:pStyle w:val="TableNBullet"/>
              <w:numPr>
                <w:ilvl w:val="0"/>
                <w:numId w:val="4"/>
              </w:numPr>
              <w:spacing w:line="254" w:lineRule="auto"/>
              <w:rPr>
                <w:lang w:val="en-US" w:eastAsia="en-US"/>
              </w:rPr>
            </w:pPr>
            <w:r>
              <w:rPr>
                <w:lang w:val="en-US" w:eastAsia="en-US"/>
              </w:rPr>
              <w:t>clinical nurse specialists/consultants</w:t>
            </w:r>
          </w:p>
          <w:p w14:paraId="039B933D" w14:textId="1FA7198C" w:rsidR="006D4DE5" w:rsidRPr="00E43CD2" w:rsidRDefault="002718C1" w:rsidP="00C478BC">
            <w:pPr>
              <w:pStyle w:val="TableNText"/>
            </w:pPr>
            <w:r>
              <w:rPr>
                <w:lang w:val="en-US"/>
              </w:rPr>
              <w:t>counsellors</w:t>
            </w:r>
          </w:p>
        </w:tc>
      </w:tr>
      <w:tr w:rsidR="006D4DE5" w:rsidRPr="008C6251" w14:paraId="1FDA5671" w14:textId="77777777" w:rsidTr="002718C1">
        <w:trPr>
          <w:cnfStyle w:val="000000010000" w:firstRow="0" w:lastRow="0" w:firstColumn="0" w:lastColumn="0" w:oddVBand="0" w:evenVBand="0" w:oddHBand="0" w:evenHBand="1" w:firstRowFirstColumn="0" w:firstRowLastColumn="0" w:lastRowFirstColumn="0" w:lastRowLastColumn="0"/>
        </w:trPr>
        <w:tc>
          <w:tcPr>
            <w:tcW w:w="2405" w:type="dxa"/>
          </w:tcPr>
          <w:p w14:paraId="0DAEA4C3" w14:textId="54C04CB0" w:rsidR="006D4DE5" w:rsidRPr="008C6251" w:rsidRDefault="0085696B" w:rsidP="00C478BC">
            <w:pPr>
              <w:pStyle w:val="TableNText"/>
              <w:rPr>
                <w:sz w:val="16"/>
                <w:szCs w:val="16"/>
              </w:rPr>
            </w:pPr>
            <w:r>
              <w:rPr>
                <w:szCs w:val="17"/>
                <w:lang w:val="en-US"/>
              </w:rPr>
              <w:t>Specialist palliative care knowledge</w:t>
            </w:r>
            <w:r>
              <w:rPr>
                <w:rStyle w:val="FootnoteReference"/>
                <w:szCs w:val="17"/>
                <w:lang w:val="en-US"/>
              </w:rPr>
              <w:footnoteReference w:id="18"/>
            </w:r>
          </w:p>
        </w:tc>
        <w:tc>
          <w:tcPr>
            <w:tcW w:w="6525" w:type="dxa"/>
            <w:gridSpan w:val="2"/>
          </w:tcPr>
          <w:p w14:paraId="3ADF33FD" w14:textId="340155D8" w:rsidR="006D4DE5" w:rsidRPr="008C6251" w:rsidRDefault="0085696B" w:rsidP="00B25FA6">
            <w:pPr>
              <w:pStyle w:val="TableNText"/>
              <w:rPr>
                <w:sz w:val="16"/>
                <w:szCs w:val="16"/>
              </w:rPr>
            </w:pPr>
            <w:r>
              <w:rPr>
                <w:szCs w:val="17"/>
                <w:lang w:val="en-US"/>
              </w:rPr>
              <w:t>Specialist palliative care knowledge includes expert knowledge on the pathophysiology of diseases, advanced pain and symptom assessment and management, counselling and communication skills, and advance care planning. It includes advanced knowledge about caring for individuals with serious, life-threatening illness, as well as those who are imminently dying.</w:t>
            </w:r>
          </w:p>
        </w:tc>
      </w:tr>
    </w:tbl>
    <w:p w14:paraId="69CF7A7C" w14:textId="77777777" w:rsidR="006D4DE5" w:rsidRDefault="006D4DE5" w:rsidP="006D4DE5"/>
    <w:p w14:paraId="5B31954C" w14:textId="1E479494" w:rsidR="006D4DE5" w:rsidRPr="002857EC" w:rsidRDefault="006D4DE5" w:rsidP="006D4DE5">
      <w:pPr>
        <w:pStyle w:val="xAppendixLevel2"/>
      </w:pPr>
      <w:bookmarkStart w:id="92" w:name="_Ref61517491"/>
      <w:bookmarkStart w:id="93" w:name="_Toc82767233"/>
      <w:r>
        <w:t>State and territory biannual reporting template</w:t>
      </w:r>
      <w:bookmarkEnd w:id="92"/>
      <w:bookmarkEnd w:id="93"/>
      <w:r>
        <w:t xml:space="preserve"> </w:t>
      </w:r>
    </w:p>
    <w:p w14:paraId="74C1BB0E" w14:textId="555C0F9F" w:rsidR="005D2DA0" w:rsidRDefault="006D4DE5" w:rsidP="006D4DE5">
      <w:pPr>
        <w:rPr>
          <w:lang w:eastAsia="en-AU"/>
        </w:rPr>
      </w:pPr>
      <w:r w:rsidRPr="00B05772">
        <w:rPr>
          <w:lang w:eastAsia="en-AU"/>
        </w:rPr>
        <w:t xml:space="preserve">This </w:t>
      </w:r>
      <w:r w:rsidR="009253BF">
        <w:rPr>
          <w:lang w:eastAsia="en-AU"/>
        </w:rPr>
        <w:t>section</w:t>
      </w:r>
      <w:r w:rsidRPr="00B05772">
        <w:rPr>
          <w:lang w:eastAsia="en-AU"/>
        </w:rPr>
        <w:t xml:space="preserve"> provides a </w:t>
      </w:r>
      <w:r>
        <w:rPr>
          <w:lang w:eastAsia="en-AU"/>
        </w:rPr>
        <w:t>draft reporting</w:t>
      </w:r>
      <w:r w:rsidRPr="00B05772">
        <w:rPr>
          <w:lang w:eastAsia="en-AU"/>
        </w:rPr>
        <w:t xml:space="preserve"> </w:t>
      </w:r>
      <w:r>
        <w:rPr>
          <w:lang w:eastAsia="en-AU"/>
        </w:rPr>
        <w:t>template for states and territories to provide information at six-month intervals</w:t>
      </w:r>
      <w:r w:rsidRPr="00B05772">
        <w:rPr>
          <w:lang w:eastAsia="en-AU"/>
        </w:rPr>
        <w:t xml:space="preserve"> for the national evaluation of the Measure. </w:t>
      </w:r>
    </w:p>
    <w:p w14:paraId="174480DF" w14:textId="3E8D8DEA" w:rsidR="006D4DE5" w:rsidRDefault="009253BF" w:rsidP="006D4DE5">
      <w:r>
        <w:rPr>
          <w:lang w:eastAsia="en-AU"/>
        </w:rPr>
        <w:t xml:space="preserve">Nous designed </w:t>
      </w:r>
      <w:r w:rsidR="006D4DE5" w:rsidRPr="00B05772">
        <w:rPr>
          <w:lang w:eastAsia="en-AU"/>
        </w:rPr>
        <w:t xml:space="preserve">the </w:t>
      </w:r>
      <w:r w:rsidR="006D4DE5">
        <w:rPr>
          <w:lang w:eastAsia="en-AU"/>
        </w:rPr>
        <w:t>template</w:t>
      </w:r>
      <w:r w:rsidR="005D2DA0">
        <w:rPr>
          <w:lang w:eastAsia="en-AU"/>
        </w:rPr>
        <w:t>, shown in Table 9,</w:t>
      </w:r>
      <w:r>
        <w:rPr>
          <w:lang w:eastAsia="en-AU"/>
        </w:rPr>
        <w:t xml:space="preserve"> based</w:t>
      </w:r>
      <w:r w:rsidR="006D4DE5">
        <w:rPr>
          <w:lang w:eastAsia="en-AU"/>
        </w:rPr>
        <w:t xml:space="preserve"> on the service mapping exercise conduc</w:t>
      </w:r>
      <w:r>
        <w:rPr>
          <w:lang w:eastAsia="en-AU"/>
        </w:rPr>
        <w:t>t</w:t>
      </w:r>
      <w:r w:rsidR="006D4DE5">
        <w:rPr>
          <w:lang w:eastAsia="en-AU"/>
        </w:rPr>
        <w:t>ed in October 2020</w:t>
      </w:r>
      <w:r w:rsidR="005D2DA0">
        <w:rPr>
          <w:lang w:eastAsia="en-AU"/>
        </w:rPr>
        <w:t>. It groups</w:t>
      </w:r>
      <w:r w:rsidR="006D4DE5">
        <w:rPr>
          <w:lang w:eastAsia="en-AU"/>
        </w:rPr>
        <w:t xml:space="preserve"> activities </w:t>
      </w:r>
      <w:r w:rsidR="005D2DA0">
        <w:rPr>
          <w:lang w:eastAsia="en-AU"/>
        </w:rPr>
        <w:t xml:space="preserve">in line with the Project Agreement </w:t>
      </w:r>
      <w:proofErr w:type="gramStart"/>
      <w:r w:rsidR="005D2DA0">
        <w:rPr>
          <w:lang w:eastAsia="en-AU"/>
        </w:rPr>
        <w:t>i.e.</w:t>
      </w:r>
      <w:proofErr w:type="gramEnd"/>
      <w:r w:rsidR="005D2DA0">
        <w:rPr>
          <w:lang w:eastAsia="en-AU"/>
        </w:rPr>
        <w:t xml:space="preserve"> </w:t>
      </w:r>
      <w:r w:rsidR="006D4DE5">
        <w:rPr>
          <w:lang w:eastAsia="en-AU"/>
        </w:rPr>
        <w:t>by in-reach/out-reach, education and training, and end-of-life decision making.</w:t>
      </w:r>
      <w:r w:rsidR="006D4DE5">
        <w:t xml:space="preserve"> </w:t>
      </w:r>
    </w:p>
    <w:p w14:paraId="2CA419F8" w14:textId="34B63F91" w:rsidR="006D4DE5" w:rsidRDefault="006D4DE5" w:rsidP="006D4DE5">
      <w:pPr>
        <w:rPr>
          <w:rFonts w:eastAsia="Segoe UI" w:cs="Segoe UI"/>
          <w:szCs w:val="19"/>
        </w:rPr>
      </w:pPr>
      <w:r>
        <w:rPr>
          <w:lang w:eastAsia="en-AU"/>
        </w:rPr>
        <w:t>Jurisdictional-level evaluations are out-of-scope for the evaluation, but states and territories may provide some additional information to the national evaluation.</w:t>
      </w:r>
      <w:r w:rsidR="007B5694">
        <w:rPr>
          <w:lang w:eastAsia="en-AU"/>
        </w:rPr>
        <w:t xml:space="preserve"> </w:t>
      </w:r>
      <w:r w:rsidR="5985E9FE" w:rsidRPr="06382AFB">
        <w:rPr>
          <w:lang w:eastAsia="en-AU"/>
        </w:rPr>
        <w:t xml:space="preserve">Jurisdictions will be asked to provide a detailed report </w:t>
      </w:r>
      <w:r w:rsidR="005425FA">
        <w:rPr>
          <w:lang w:eastAsia="en-AU"/>
        </w:rPr>
        <w:t>(</w:t>
      </w:r>
      <w:r w:rsidR="5985E9FE" w:rsidRPr="06382AFB">
        <w:rPr>
          <w:rFonts w:eastAsia="Segoe UI" w:cs="Segoe UI"/>
          <w:szCs w:val="19"/>
        </w:rPr>
        <w:t>due</w:t>
      </w:r>
      <w:r w:rsidR="5985E9FE" w:rsidRPr="33A8D935">
        <w:rPr>
          <w:rFonts w:eastAsia="Segoe UI" w:cs="Segoe UI"/>
          <w:szCs w:val="19"/>
        </w:rPr>
        <w:t xml:space="preserve"> April </w:t>
      </w:r>
      <w:r w:rsidR="5985E9FE" w:rsidRPr="06382AFB">
        <w:rPr>
          <w:rFonts w:eastAsia="Segoe UI" w:cs="Segoe UI"/>
          <w:szCs w:val="19"/>
        </w:rPr>
        <w:t>each</w:t>
      </w:r>
      <w:r w:rsidR="5985E9FE" w:rsidRPr="33A8D935">
        <w:rPr>
          <w:rFonts w:eastAsia="Segoe UI" w:cs="Segoe UI"/>
          <w:szCs w:val="19"/>
        </w:rPr>
        <w:t xml:space="preserve"> year) and minor update (due October</w:t>
      </w:r>
      <w:r w:rsidR="5985E9FE" w:rsidRPr="12CF5934">
        <w:rPr>
          <w:rFonts w:eastAsia="Segoe UI" w:cs="Segoe UI"/>
          <w:szCs w:val="19"/>
        </w:rPr>
        <w:t xml:space="preserve"> each year</w:t>
      </w:r>
      <w:r w:rsidR="5985E9FE" w:rsidRPr="33A8D935">
        <w:rPr>
          <w:rFonts w:eastAsia="Segoe UI" w:cs="Segoe UI"/>
          <w:szCs w:val="19"/>
        </w:rPr>
        <w:t xml:space="preserve">). Jurisdictions will also participate in a </w:t>
      </w:r>
      <w:r w:rsidR="000965E3">
        <w:rPr>
          <w:rFonts w:eastAsia="Segoe UI" w:cs="Segoe UI"/>
          <w:szCs w:val="19"/>
        </w:rPr>
        <w:t xml:space="preserve">subsequent </w:t>
      </w:r>
      <w:r w:rsidR="5985E9FE" w:rsidRPr="33A8D935">
        <w:rPr>
          <w:rFonts w:eastAsia="Segoe UI" w:cs="Segoe UI"/>
          <w:szCs w:val="19"/>
        </w:rPr>
        <w:t>one</w:t>
      </w:r>
      <w:r w:rsidR="005425FA" w:rsidRPr="33A8D935">
        <w:rPr>
          <w:rFonts w:eastAsia="Segoe UI" w:cs="Segoe UI"/>
          <w:szCs w:val="19"/>
        </w:rPr>
        <w:t>-</w:t>
      </w:r>
      <w:r w:rsidR="5985E9FE" w:rsidRPr="33A8D935">
        <w:rPr>
          <w:rFonts w:eastAsia="Segoe UI" w:cs="Segoe UI"/>
          <w:szCs w:val="19"/>
        </w:rPr>
        <w:t xml:space="preserve">hour consultation </w:t>
      </w:r>
      <w:r w:rsidR="000965E3">
        <w:rPr>
          <w:rFonts w:eastAsia="Segoe UI" w:cs="Segoe UI"/>
          <w:szCs w:val="19"/>
        </w:rPr>
        <w:t xml:space="preserve">with Nous </w:t>
      </w:r>
      <w:r w:rsidR="5985E9FE" w:rsidRPr="33A8D935">
        <w:rPr>
          <w:rFonts w:eastAsia="Segoe UI" w:cs="Segoe UI"/>
          <w:szCs w:val="19"/>
        </w:rPr>
        <w:t>to discuss responses.</w:t>
      </w:r>
    </w:p>
    <w:p w14:paraId="2BB3C68A" w14:textId="55EC6A6B" w:rsidR="006D4DE5" w:rsidRDefault="006D4DE5" w:rsidP="006D4DE5">
      <w:r>
        <w:t xml:space="preserve">All responses will be free text. </w:t>
      </w:r>
      <w:r w:rsidR="1AF29757">
        <w:t xml:space="preserve">Maximum word count is </w:t>
      </w:r>
      <w:r w:rsidR="00F26901">
        <w:t>5</w:t>
      </w:r>
      <w:r w:rsidR="1AF29757">
        <w:t>00 words per question.</w:t>
      </w:r>
    </w:p>
    <w:p w14:paraId="771CE50C" w14:textId="19B6FE39" w:rsidR="005D2DA0" w:rsidRDefault="005D2DA0" w:rsidP="006D4DE5">
      <w:r>
        <w:t xml:space="preserve">Nous has tested the draft template with states and territories during January 2021 consultations. </w:t>
      </w:r>
    </w:p>
    <w:p w14:paraId="2AD4656A" w14:textId="01195A23" w:rsidR="006D4DE5" w:rsidRDefault="006D4DE5" w:rsidP="006D4DE5">
      <w:pPr>
        <w:pStyle w:val="Caption"/>
      </w:pPr>
      <w:bookmarkStart w:id="94" w:name="_Ref60837023"/>
      <w:r>
        <w:lastRenderedPageBreak/>
        <w:t xml:space="preserve">Table </w:t>
      </w:r>
      <w:r>
        <w:fldChar w:fldCharType="begin"/>
      </w:r>
      <w:r>
        <w:instrText xml:space="preserve"> SEQ Table \* ARABIC </w:instrText>
      </w:r>
      <w:r>
        <w:fldChar w:fldCharType="separate"/>
      </w:r>
      <w:r w:rsidR="00DF258C">
        <w:rPr>
          <w:noProof/>
        </w:rPr>
        <w:t>9</w:t>
      </w:r>
      <w:r>
        <w:fldChar w:fldCharType="end"/>
      </w:r>
      <w:bookmarkEnd w:id="94"/>
      <w:r>
        <w:t xml:space="preserve"> | Proposed questions for state/territory reporting</w:t>
      </w:r>
      <w:r w:rsidR="00EA1B0D">
        <w:rPr>
          <w:rStyle w:val="FootnoteReference"/>
        </w:rPr>
        <w:footnoteReference w:id="19"/>
      </w:r>
    </w:p>
    <w:tbl>
      <w:tblPr>
        <w:tblStyle w:val="NOUSSideHeader1"/>
        <w:tblW w:w="8874" w:type="dxa"/>
        <w:tblLook w:val="0400" w:firstRow="0" w:lastRow="0" w:firstColumn="0" w:lastColumn="0" w:noHBand="0" w:noVBand="1"/>
        <w:tblCaption w:val="Proposed questions for state/territory reporting"/>
        <w:tblDescription w:val="1 Approximately how many RACFs are impacted by the Measure or its components as at date?&#10;2 Have your implementation plans changed over the six months to date? If yes, please describe.&#10;3 What progress has your jurisdiction made in implementing the Measure in the six months to date?&#10;4 In the six months to date, has your state/territory delivered in-reach or out-reach models of care? If yes, please describe.&#10;5 In the six months to date, has your state/territory facilitated or delivered education and training initiatives? If yes, please describe.&#10;6 In the six months to date, what other initiatives have you undertaken, that are not covered above, that enhance end-of-life decision-making?&#10;7 What other activities have been implemented under the Measure in the six months to date?&#10;8 To what extent have activities under the Measure supported RACFs, GPs and state/territory palliative care providers/clinicians to work together to meet the palliative care needs of residents? (incl. reducing silos) Please provide specific examples or evidence. &#10;9 To what extent has the combination of Commonwealth and state/territory funding in a single pool helped to address challenges at the interface of health/aged care? Please provide specific examples or evidence. &#10;10 What are the other key learnings from the six months to date?&#10;11 Have any barriers to implementation become apparent in the six months to date?&#10;12 Do you have any internal outputs and/or data to share with the national evaluation? &#10;"/>
      </w:tblPr>
      <w:tblGrid>
        <w:gridCol w:w="354"/>
        <w:gridCol w:w="8520"/>
      </w:tblGrid>
      <w:tr w:rsidR="006D4DE5" w:rsidRPr="00A82B01" w14:paraId="37D7D4A7" w14:textId="77777777" w:rsidTr="00F6408B">
        <w:trPr>
          <w:cnfStyle w:val="000000100000" w:firstRow="0" w:lastRow="0" w:firstColumn="0" w:lastColumn="0" w:oddVBand="0" w:evenVBand="0" w:oddHBand="1" w:evenHBand="0" w:firstRowFirstColumn="0" w:firstRowLastColumn="0" w:lastRowFirstColumn="0" w:lastRowLastColumn="0"/>
          <w:trHeight w:val="20"/>
        </w:trPr>
        <w:tc>
          <w:tcPr>
            <w:tcW w:w="354" w:type="dxa"/>
            <w:tcBorders>
              <w:top w:val="single" w:sz="4" w:space="0" w:color="FFFFFF" w:themeColor="background1"/>
              <w:left w:val="single" w:sz="4" w:space="0" w:color="FFFFFF" w:themeColor="background1"/>
              <w:bottom w:val="single" w:sz="8" w:space="0" w:color="E6E6E1" w:themeColor="accent5"/>
              <w:right w:val="single" w:sz="4" w:space="0" w:color="FFFFFF" w:themeColor="background1"/>
            </w:tcBorders>
            <w:shd w:val="clear" w:color="auto" w:fill="00264D" w:themeFill="background2"/>
          </w:tcPr>
          <w:p w14:paraId="31435FB6" w14:textId="77777777" w:rsidR="006D4DE5" w:rsidRPr="00C478BC" w:rsidRDefault="006D4DE5" w:rsidP="00C478BC">
            <w:pPr>
              <w:pStyle w:val="TableNheader"/>
              <w:rPr>
                <w:color w:val="FFFFFF" w:themeColor="background1"/>
              </w:rPr>
            </w:pPr>
            <w:r w:rsidRPr="00C478BC">
              <w:rPr>
                <w:color w:val="FFFFFF" w:themeColor="background1"/>
              </w:rPr>
              <w:t>#</w:t>
            </w:r>
          </w:p>
        </w:tc>
        <w:tc>
          <w:tcPr>
            <w:tcW w:w="8520" w:type="dxa"/>
            <w:tcBorders>
              <w:top w:val="single" w:sz="4" w:space="0" w:color="FFFFFF" w:themeColor="background1"/>
              <w:left w:val="single" w:sz="4" w:space="0" w:color="FFFFFF" w:themeColor="background1"/>
              <w:bottom w:val="single" w:sz="8" w:space="0" w:color="E6E6E1" w:themeColor="accent5"/>
              <w:right w:val="single" w:sz="4" w:space="0" w:color="FFFFFF" w:themeColor="background1"/>
            </w:tcBorders>
            <w:shd w:val="clear" w:color="auto" w:fill="00264D" w:themeFill="background2"/>
            <w:hideMark/>
          </w:tcPr>
          <w:p w14:paraId="00BB988C" w14:textId="77777777" w:rsidR="006D4DE5" w:rsidRPr="00C478BC" w:rsidRDefault="006D4DE5" w:rsidP="00C478BC">
            <w:pPr>
              <w:pStyle w:val="TableNheader"/>
              <w:rPr>
                <w:color w:val="FFFFFF" w:themeColor="background1"/>
              </w:rPr>
            </w:pPr>
            <w:r w:rsidRPr="00C478BC">
              <w:rPr>
                <w:color w:val="FFFFFF" w:themeColor="background1"/>
              </w:rPr>
              <w:t>Question</w:t>
            </w:r>
          </w:p>
        </w:tc>
      </w:tr>
      <w:tr w:rsidR="006D4DE5" w:rsidRPr="00A82B01" w14:paraId="7197C7CA" w14:textId="77777777" w:rsidTr="00F6408B">
        <w:trPr>
          <w:cnfStyle w:val="000000010000" w:firstRow="0" w:lastRow="0" w:firstColumn="0" w:lastColumn="0" w:oddVBand="0" w:evenVBand="0" w:oddHBand="0" w:evenHBand="1" w:firstRowFirstColumn="0" w:firstRowLastColumn="0" w:lastRowFirstColumn="0" w:lastRowLastColumn="0"/>
          <w:trHeight w:val="20"/>
        </w:trPr>
        <w:tc>
          <w:tcPr>
            <w:tcW w:w="354" w:type="dxa"/>
            <w:tcBorders>
              <w:top w:val="single" w:sz="8" w:space="0" w:color="E6E6E1" w:themeColor="accent5"/>
              <w:left w:val="nil"/>
              <w:bottom w:val="single" w:sz="12" w:space="0" w:color="00264D" w:themeColor="background2"/>
              <w:right w:val="nil"/>
            </w:tcBorders>
          </w:tcPr>
          <w:p w14:paraId="6E05E16F" w14:textId="77777777" w:rsidR="006D4DE5" w:rsidRPr="00A771A9" w:rsidRDefault="006D4DE5" w:rsidP="00C478BC">
            <w:pPr>
              <w:pStyle w:val="TableNText"/>
            </w:pPr>
            <w:r w:rsidRPr="00A771A9">
              <w:t>1</w:t>
            </w:r>
          </w:p>
        </w:tc>
        <w:tc>
          <w:tcPr>
            <w:tcW w:w="8520" w:type="dxa"/>
            <w:tcBorders>
              <w:top w:val="single" w:sz="8" w:space="0" w:color="E6E6E1" w:themeColor="accent5"/>
              <w:left w:val="nil"/>
              <w:bottom w:val="single" w:sz="12" w:space="0" w:color="00264D" w:themeColor="background2"/>
              <w:right w:val="nil"/>
            </w:tcBorders>
          </w:tcPr>
          <w:p w14:paraId="72A651A9" w14:textId="60E0085D" w:rsidR="006D4DE5" w:rsidRPr="00A771A9" w:rsidRDefault="006D4DE5" w:rsidP="00C478BC">
            <w:pPr>
              <w:pStyle w:val="TableNText"/>
            </w:pPr>
            <w:r w:rsidRPr="00A771A9">
              <w:t xml:space="preserve">Approximately how many </w:t>
            </w:r>
            <w:r w:rsidR="004A57CC" w:rsidRPr="00A771A9">
              <w:t>RACFs</w:t>
            </w:r>
            <w:r w:rsidRPr="00A771A9">
              <w:t xml:space="preserve"> are impacted by the Measure or its components as at </w:t>
            </w:r>
            <w:r w:rsidRPr="00A771A9">
              <w:rPr>
                <w:highlight w:val="yellow"/>
              </w:rPr>
              <w:t>date</w:t>
            </w:r>
            <w:r w:rsidRPr="00A771A9">
              <w:t>?</w:t>
            </w:r>
          </w:p>
        </w:tc>
      </w:tr>
      <w:tr w:rsidR="006D4DE5" w:rsidRPr="00A82B01" w14:paraId="319DE3D1" w14:textId="77777777" w:rsidTr="00F6408B">
        <w:trPr>
          <w:cnfStyle w:val="000000100000" w:firstRow="0" w:lastRow="0" w:firstColumn="0" w:lastColumn="0" w:oddVBand="0" w:evenVBand="0" w:oddHBand="1" w:evenHBand="0" w:firstRowFirstColumn="0" w:firstRowLastColumn="0" w:lastRowFirstColumn="0" w:lastRowLastColumn="0"/>
          <w:trHeight w:val="20"/>
        </w:trPr>
        <w:tc>
          <w:tcPr>
            <w:tcW w:w="354" w:type="dxa"/>
            <w:tcBorders>
              <w:top w:val="single" w:sz="12" w:space="0" w:color="00264D" w:themeColor="background2"/>
              <w:left w:val="nil"/>
              <w:bottom w:val="single" w:sz="8" w:space="0" w:color="E6E6E1" w:themeColor="accent5"/>
              <w:right w:val="nil"/>
            </w:tcBorders>
          </w:tcPr>
          <w:p w14:paraId="66D872E9" w14:textId="77777777" w:rsidR="006D4DE5" w:rsidRPr="00A771A9" w:rsidRDefault="006D4DE5" w:rsidP="00B25FA6">
            <w:pPr>
              <w:pStyle w:val="TableNText"/>
            </w:pPr>
            <w:r w:rsidRPr="00A771A9">
              <w:t>2</w:t>
            </w:r>
          </w:p>
        </w:tc>
        <w:tc>
          <w:tcPr>
            <w:tcW w:w="8520" w:type="dxa"/>
            <w:tcBorders>
              <w:top w:val="single" w:sz="12" w:space="0" w:color="00264D" w:themeColor="background2"/>
              <w:left w:val="nil"/>
              <w:bottom w:val="single" w:sz="8" w:space="0" w:color="E6E6E1" w:themeColor="accent5"/>
              <w:right w:val="nil"/>
            </w:tcBorders>
          </w:tcPr>
          <w:p w14:paraId="18BD4F74" w14:textId="77777777" w:rsidR="006D4DE5" w:rsidRPr="00D42553" w:rsidRDefault="006D4DE5" w:rsidP="00B25FA6">
            <w:pPr>
              <w:pStyle w:val="TableNText"/>
            </w:pPr>
            <w:r w:rsidRPr="00E808D4">
              <w:t>Have your implementation plans changed over the six months</w:t>
            </w:r>
            <w:r>
              <w:t xml:space="preserve"> to </w:t>
            </w:r>
            <w:r w:rsidRPr="001100F7">
              <w:rPr>
                <w:highlight w:val="yellow"/>
              </w:rPr>
              <w:t>date?</w:t>
            </w:r>
            <w:r w:rsidRPr="00E808D4">
              <w:t xml:space="preserve"> </w:t>
            </w:r>
            <w:r w:rsidRPr="00D42553">
              <w:t>If yes, please describe.</w:t>
            </w:r>
          </w:p>
        </w:tc>
      </w:tr>
      <w:tr w:rsidR="006D4DE5" w:rsidRPr="00A82B01" w14:paraId="026D504B" w14:textId="77777777" w:rsidTr="0035771C">
        <w:trPr>
          <w:cnfStyle w:val="000000010000" w:firstRow="0" w:lastRow="0" w:firstColumn="0" w:lastColumn="0" w:oddVBand="0" w:evenVBand="0" w:oddHBand="0" w:evenHBand="1" w:firstRowFirstColumn="0" w:firstRowLastColumn="0" w:lastRowFirstColumn="0" w:lastRowLastColumn="0"/>
          <w:trHeight w:val="20"/>
        </w:trPr>
        <w:tc>
          <w:tcPr>
            <w:tcW w:w="354" w:type="dxa"/>
            <w:tcBorders>
              <w:top w:val="single" w:sz="8" w:space="0" w:color="E6E6E1" w:themeColor="accent5"/>
              <w:left w:val="nil"/>
              <w:bottom w:val="single" w:sz="8" w:space="0" w:color="E6E6E1" w:themeColor="accent5"/>
              <w:right w:val="nil"/>
            </w:tcBorders>
          </w:tcPr>
          <w:p w14:paraId="11399821" w14:textId="77777777" w:rsidR="006D4DE5" w:rsidRPr="00A771A9" w:rsidRDefault="006D4DE5" w:rsidP="00B25FA6">
            <w:pPr>
              <w:pStyle w:val="TableNText"/>
            </w:pPr>
            <w:r w:rsidRPr="00A771A9">
              <w:t>3</w:t>
            </w:r>
          </w:p>
        </w:tc>
        <w:tc>
          <w:tcPr>
            <w:tcW w:w="8520" w:type="dxa"/>
            <w:tcBorders>
              <w:top w:val="single" w:sz="8" w:space="0" w:color="E6E6E1" w:themeColor="accent5"/>
              <w:left w:val="nil"/>
              <w:bottom w:val="single" w:sz="8" w:space="0" w:color="E6E6E1" w:themeColor="accent5"/>
              <w:right w:val="nil"/>
            </w:tcBorders>
          </w:tcPr>
          <w:p w14:paraId="698DDD3D" w14:textId="77777777" w:rsidR="006D4DE5" w:rsidRPr="00E808D4" w:rsidRDefault="006D4DE5" w:rsidP="00B25FA6">
            <w:pPr>
              <w:pStyle w:val="TableNText"/>
            </w:pPr>
            <w:r w:rsidRPr="00E808D4">
              <w:t xml:space="preserve">What progress has your jurisdiction made in implementing the Measure in the six months to </w:t>
            </w:r>
            <w:r w:rsidRPr="001100F7">
              <w:rPr>
                <w:highlight w:val="yellow"/>
              </w:rPr>
              <w:t>date</w:t>
            </w:r>
            <w:r w:rsidRPr="00E808D4">
              <w:t>?</w:t>
            </w:r>
          </w:p>
        </w:tc>
      </w:tr>
      <w:tr w:rsidR="006D4DE5" w:rsidRPr="00A82B01" w14:paraId="5FBE8EBF" w14:textId="77777777" w:rsidTr="0035771C">
        <w:trPr>
          <w:cnfStyle w:val="000000100000" w:firstRow="0" w:lastRow="0" w:firstColumn="0" w:lastColumn="0" w:oddVBand="0" w:evenVBand="0" w:oddHBand="1" w:evenHBand="0" w:firstRowFirstColumn="0" w:firstRowLastColumn="0" w:lastRowFirstColumn="0" w:lastRowLastColumn="0"/>
          <w:trHeight w:val="20"/>
        </w:trPr>
        <w:tc>
          <w:tcPr>
            <w:tcW w:w="354" w:type="dxa"/>
            <w:tcBorders>
              <w:top w:val="single" w:sz="8" w:space="0" w:color="E6E6E1" w:themeColor="accent5"/>
              <w:left w:val="nil"/>
              <w:bottom w:val="single" w:sz="8" w:space="0" w:color="E6E6E1" w:themeColor="accent5"/>
              <w:right w:val="nil"/>
            </w:tcBorders>
          </w:tcPr>
          <w:p w14:paraId="36AE0CA3" w14:textId="77777777" w:rsidR="006D4DE5" w:rsidRPr="00A771A9" w:rsidRDefault="006D4DE5" w:rsidP="00B25FA6">
            <w:pPr>
              <w:pStyle w:val="TableNText"/>
            </w:pPr>
            <w:r w:rsidRPr="00A771A9">
              <w:t>4</w:t>
            </w:r>
          </w:p>
        </w:tc>
        <w:tc>
          <w:tcPr>
            <w:tcW w:w="8520" w:type="dxa"/>
            <w:tcBorders>
              <w:top w:val="single" w:sz="8" w:space="0" w:color="E6E6E1" w:themeColor="accent5"/>
              <w:left w:val="nil"/>
              <w:bottom w:val="single" w:sz="8" w:space="0" w:color="E6E6E1" w:themeColor="accent5"/>
              <w:right w:val="nil"/>
            </w:tcBorders>
            <w:hideMark/>
          </w:tcPr>
          <w:p w14:paraId="4E279651" w14:textId="77777777" w:rsidR="006D4DE5" w:rsidRPr="00D42553" w:rsidRDefault="006D4DE5" w:rsidP="00B25FA6">
            <w:pPr>
              <w:pStyle w:val="TableNText"/>
              <w:rPr>
                <w:rStyle w:val="FootnoteReference"/>
                <w:sz w:val="16"/>
                <w:szCs w:val="16"/>
              </w:rPr>
            </w:pPr>
            <w:r w:rsidRPr="00E808D4">
              <w:t xml:space="preserve">In the six months to </w:t>
            </w:r>
            <w:r w:rsidRPr="001100F7">
              <w:rPr>
                <w:highlight w:val="yellow"/>
              </w:rPr>
              <w:t>date</w:t>
            </w:r>
            <w:r w:rsidRPr="00E808D4">
              <w:t>, has your state/territory delivered in-reach or out-reach models of care? If yes, please describe.</w:t>
            </w:r>
          </w:p>
        </w:tc>
      </w:tr>
      <w:tr w:rsidR="006D4DE5" w:rsidRPr="00A82B01" w14:paraId="27C038A6" w14:textId="77777777" w:rsidTr="0035771C">
        <w:trPr>
          <w:cnfStyle w:val="000000010000" w:firstRow="0" w:lastRow="0" w:firstColumn="0" w:lastColumn="0" w:oddVBand="0" w:evenVBand="0" w:oddHBand="0" w:evenHBand="1" w:firstRowFirstColumn="0" w:firstRowLastColumn="0" w:lastRowFirstColumn="0" w:lastRowLastColumn="0"/>
          <w:trHeight w:val="20"/>
        </w:trPr>
        <w:tc>
          <w:tcPr>
            <w:tcW w:w="354" w:type="dxa"/>
            <w:tcBorders>
              <w:top w:val="single" w:sz="8" w:space="0" w:color="E6E6E1" w:themeColor="accent5"/>
              <w:left w:val="nil"/>
              <w:bottom w:val="single" w:sz="8" w:space="0" w:color="E6E6E1" w:themeColor="accent5"/>
              <w:right w:val="nil"/>
            </w:tcBorders>
          </w:tcPr>
          <w:p w14:paraId="2C770FC0" w14:textId="77777777" w:rsidR="006D4DE5" w:rsidRPr="00A771A9" w:rsidRDefault="006D4DE5" w:rsidP="00B25FA6">
            <w:pPr>
              <w:pStyle w:val="TableNText"/>
            </w:pPr>
            <w:r w:rsidRPr="00A771A9">
              <w:t>5</w:t>
            </w:r>
          </w:p>
        </w:tc>
        <w:tc>
          <w:tcPr>
            <w:tcW w:w="8520" w:type="dxa"/>
            <w:tcBorders>
              <w:top w:val="single" w:sz="8" w:space="0" w:color="E6E6E1" w:themeColor="accent5"/>
              <w:left w:val="nil"/>
              <w:bottom w:val="single" w:sz="8" w:space="0" w:color="E6E6E1" w:themeColor="accent5"/>
              <w:right w:val="nil"/>
            </w:tcBorders>
          </w:tcPr>
          <w:p w14:paraId="6EA414D6" w14:textId="77777777" w:rsidR="006D4DE5" w:rsidRDefault="006D4DE5" w:rsidP="00B25FA6">
            <w:pPr>
              <w:pStyle w:val="TableNText"/>
            </w:pPr>
            <w:r>
              <w:t xml:space="preserve">In the six months to </w:t>
            </w:r>
            <w:r w:rsidRPr="001100F7">
              <w:rPr>
                <w:highlight w:val="yellow"/>
              </w:rPr>
              <w:t>date</w:t>
            </w:r>
            <w:r>
              <w:t>, h</w:t>
            </w:r>
            <w:r w:rsidRPr="00F7777A">
              <w:t>a</w:t>
            </w:r>
            <w:r>
              <w:t>s your state/territory facilitated or delivered</w:t>
            </w:r>
            <w:r w:rsidRPr="00F7777A">
              <w:t xml:space="preserve"> education and training initiatives?</w:t>
            </w:r>
            <w:r>
              <w:t xml:space="preserve"> If yes, please describe.</w:t>
            </w:r>
          </w:p>
        </w:tc>
      </w:tr>
      <w:tr w:rsidR="006D4DE5" w:rsidRPr="00A82B01" w14:paraId="04FB7A0D" w14:textId="77777777" w:rsidTr="00F6408B">
        <w:trPr>
          <w:cnfStyle w:val="000000100000" w:firstRow="0" w:lastRow="0" w:firstColumn="0" w:lastColumn="0" w:oddVBand="0" w:evenVBand="0" w:oddHBand="1" w:evenHBand="0" w:firstRowFirstColumn="0" w:firstRowLastColumn="0" w:lastRowFirstColumn="0" w:lastRowLastColumn="0"/>
          <w:trHeight w:val="20"/>
        </w:trPr>
        <w:tc>
          <w:tcPr>
            <w:tcW w:w="354" w:type="dxa"/>
            <w:tcBorders>
              <w:top w:val="single" w:sz="8" w:space="0" w:color="E6E6E1" w:themeColor="accent5"/>
              <w:left w:val="nil"/>
              <w:bottom w:val="single" w:sz="8" w:space="0" w:color="E6E6E1" w:themeColor="accent5"/>
              <w:right w:val="nil"/>
            </w:tcBorders>
          </w:tcPr>
          <w:p w14:paraId="144A0928" w14:textId="77777777" w:rsidR="006D4DE5" w:rsidRPr="00C478BC" w:rsidRDefault="006D4DE5" w:rsidP="00B25FA6">
            <w:pPr>
              <w:pStyle w:val="TableNText"/>
            </w:pPr>
            <w:r w:rsidRPr="00C478BC">
              <w:t>6</w:t>
            </w:r>
          </w:p>
        </w:tc>
        <w:tc>
          <w:tcPr>
            <w:tcW w:w="8520" w:type="dxa"/>
            <w:tcBorders>
              <w:top w:val="single" w:sz="8" w:space="0" w:color="E6E6E1" w:themeColor="accent5"/>
              <w:left w:val="nil"/>
              <w:bottom w:val="single" w:sz="8" w:space="0" w:color="E6E6E1" w:themeColor="accent5"/>
              <w:right w:val="nil"/>
            </w:tcBorders>
          </w:tcPr>
          <w:p w14:paraId="774DF6A1" w14:textId="77777777" w:rsidR="006D4DE5" w:rsidRPr="00F7777A" w:rsidRDefault="006D4DE5" w:rsidP="00B25FA6">
            <w:pPr>
              <w:pStyle w:val="TableNText"/>
            </w:pPr>
            <w:r>
              <w:t xml:space="preserve">In the six months to </w:t>
            </w:r>
            <w:r w:rsidRPr="001100F7">
              <w:rPr>
                <w:highlight w:val="yellow"/>
              </w:rPr>
              <w:t>date</w:t>
            </w:r>
            <w:r>
              <w:t>, w</w:t>
            </w:r>
            <w:r w:rsidRPr="00D42553">
              <w:t>hat other initiatives have you undertaken, that are not covered above, that enhance end-of-life decision-</w:t>
            </w:r>
            <w:r>
              <w:t>making?</w:t>
            </w:r>
          </w:p>
        </w:tc>
      </w:tr>
      <w:tr w:rsidR="006D4DE5" w:rsidRPr="00A82B01" w14:paraId="43BEFA60" w14:textId="77777777" w:rsidTr="00F6408B">
        <w:trPr>
          <w:cnfStyle w:val="000000010000" w:firstRow="0" w:lastRow="0" w:firstColumn="0" w:lastColumn="0" w:oddVBand="0" w:evenVBand="0" w:oddHBand="0" w:evenHBand="1" w:firstRowFirstColumn="0" w:firstRowLastColumn="0" w:lastRowFirstColumn="0" w:lastRowLastColumn="0"/>
          <w:trHeight w:val="20"/>
        </w:trPr>
        <w:tc>
          <w:tcPr>
            <w:tcW w:w="354" w:type="dxa"/>
            <w:tcBorders>
              <w:top w:val="single" w:sz="8" w:space="0" w:color="E6E6E1" w:themeColor="accent5"/>
              <w:left w:val="nil"/>
              <w:bottom w:val="single" w:sz="12" w:space="0" w:color="00264D" w:themeColor="background2"/>
              <w:right w:val="nil"/>
            </w:tcBorders>
          </w:tcPr>
          <w:p w14:paraId="3E85E611" w14:textId="77777777" w:rsidR="006D4DE5" w:rsidRPr="00C478BC" w:rsidRDefault="006D4DE5" w:rsidP="00B25FA6">
            <w:pPr>
              <w:pStyle w:val="TableNText"/>
            </w:pPr>
            <w:r w:rsidRPr="00C478BC">
              <w:t>7</w:t>
            </w:r>
          </w:p>
        </w:tc>
        <w:tc>
          <w:tcPr>
            <w:tcW w:w="8520" w:type="dxa"/>
            <w:tcBorders>
              <w:top w:val="single" w:sz="8" w:space="0" w:color="E6E6E1" w:themeColor="accent5"/>
              <w:left w:val="nil"/>
              <w:bottom w:val="single" w:sz="12" w:space="0" w:color="00264D" w:themeColor="background2"/>
              <w:right w:val="nil"/>
            </w:tcBorders>
          </w:tcPr>
          <w:p w14:paraId="31D7ED7F" w14:textId="06059921" w:rsidR="006D4DE5" w:rsidRPr="00F7777A" w:rsidRDefault="006D4DE5" w:rsidP="00B25FA6">
            <w:pPr>
              <w:pStyle w:val="TableNText"/>
            </w:pPr>
            <w:r>
              <w:t xml:space="preserve">What other activities have been implemented under the Measure in the six months to </w:t>
            </w:r>
            <w:r w:rsidRPr="001100F7">
              <w:rPr>
                <w:highlight w:val="yellow"/>
              </w:rPr>
              <w:t>date?</w:t>
            </w:r>
          </w:p>
        </w:tc>
      </w:tr>
      <w:tr w:rsidR="0035771C" w:rsidRPr="00A82B01" w14:paraId="374B590E" w14:textId="77777777" w:rsidTr="00F6408B">
        <w:trPr>
          <w:cnfStyle w:val="000000100000" w:firstRow="0" w:lastRow="0" w:firstColumn="0" w:lastColumn="0" w:oddVBand="0" w:evenVBand="0" w:oddHBand="1" w:evenHBand="0" w:firstRowFirstColumn="0" w:firstRowLastColumn="0" w:lastRowFirstColumn="0" w:lastRowLastColumn="0"/>
          <w:trHeight w:val="20"/>
        </w:trPr>
        <w:tc>
          <w:tcPr>
            <w:tcW w:w="354" w:type="dxa"/>
            <w:tcBorders>
              <w:top w:val="single" w:sz="12" w:space="0" w:color="00264D" w:themeColor="background2"/>
              <w:left w:val="nil"/>
              <w:bottom w:val="single" w:sz="8" w:space="0" w:color="E6E6E1" w:themeColor="accent5"/>
              <w:right w:val="nil"/>
            </w:tcBorders>
          </w:tcPr>
          <w:p w14:paraId="3DC627C8" w14:textId="2441E095" w:rsidR="0035771C" w:rsidRPr="00C478BC" w:rsidRDefault="0035771C" w:rsidP="0035771C">
            <w:pPr>
              <w:pStyle w:val="TableNText"/>
            </w:pPr>
            <w:r w:rsidRPr="00C478BC">
              <w:t>8</w:t>
            </w:r>
          </w:p>
        </w:tc>
        <w:tc>
          <w:tcPr>
            <w:tcW w:w="8520" w:type="dxa"/>
            <w:tcBorders>
              <w:top w:val="single" w:sz="12" w:space="0" w:color="00264D" w:themeColor="background2"/>
              <w:left w:val="nil"/>
              <w:bottom w:val="single" w:sz="8" w:space="0" w:color="E6E6E1" w:themeColor="accent5"/>
              <w:right w:val="nil"/>
            </w:tcBorders>
          </w:tcPr>
          <w:p w14:paraId="75F0F09B" w14:textId="18D72A0D" w:rsidR="0035771C" w:rsidRDefault="00F6408B" w:rsidP="0035771C">
            <w:pPr>
              <w:pStyle w:val="TableNText"/>
            </w:pPr>
            <w:r>
              <w:t>To what extent have activities under the Measure supported RACFs</w:t>
            </w:r>
            <w:r w:rsidR="000C7CD5">
              <w:t>, GPs and state/territory palliative care providers/clinicians to work together to meet the palliative care needs of residents? (incl. reducing silos) Please provide specific examples or evidence</w:t>
            </w:r>
            <w:r w:rsidR="00215F34">
              <w:t xml:space="preserve">. </w:t>
            </w:r>
          </w:p>
        </w:tc>
      </w:tr>
      <w:tr w:rsidR="0035771C" w:rsidRPr="00A82B01" w14:paraId="409E8DD2" w14:textId="77777777" w:rsidTr="0035771C">
        <w:trPr>
          <w:cnfStyle w:val="000000010000" w:firstRow="0" w:lastRow="0" w:firstColumn="0" w:lastColumn="0" w:oddVBand="0" w:evenVBand="0" w:oddHBand="0" w:evenHBand="1" w:firstRowFirstColumn="0" w:firstRowLastColumn="0" w:lastRowFirstColumn="0" w:lastRowLastColumn="0"/>
          <w:trHeight w:val="20"/>
        </w:trPr>
        <w:tc>
          <w:tcPr>
            <w:tcW w:w="354" w:type="dxa"/>
            <w:tcBorders>
              <w:top w:val="single" w:sz="8" w:space="0" w:color="E6E6E1" w:themeColor="accent5"/>
              <w:left w:val="nil"/>
              <w:bottom w:val="single" w:sz="8" w:space="0" w:color="E6E6E1" w:themeColor="accent5"/>
              <w:right w:val="nil"/>
            </w:tcBorders>
          </w:tcPr>
          <w:p w14:paraId="1FED7CB3" w14:textId="0E516B0E" w:rsidR="0035771C" w:rsidRPr="00C478BC" w:rsidRDefault="0035771C" w:rsidP="0035771C">
            <w:pPr>
              <w:pStyle w:val="TableNText"/>
            </w:pPr>
            <w:r w:rsidRPr="00C478BC">
              <w:t>9</w:t>
            </w:r>
          </w:p>
        </w:tc>
        <w:tc>
          <w:tcPr>
            <w:tcW w:w="8520" w:type="dxa"/>
            <w:tcBorders>
              <w:top w:val="single" w:sz="8" w:space="0" w:color="E6E6E1" w:themeColor="accent5"/>
              <w:left w:val="nil"/>
              <w:bottom w:val="single" w:sz="8" w:space="0" w:color="E6E6E1" w:themeColor="accent5"/>
              <w:right w:val="nil"/>
            </w:tcBorders>
          </w:tcPr>
          <w:p w14:paraId="74D59413" w14:textId="23C9BEF9" w:rsidR="0035771C" w:rsidRDefault="00215F34" w:rsidP="0035771C">
            <w:pPr>
              <w:pStyle w:val="TableNText"/>
            </w:pPr>
            <w:r>
              <w:t xml:space="preserve">To what extent has the combination of Commonwealth and state/territory funding in a single pool helped to address challenges at the interface of health/aged care? Please provide specific examples or evidence. </w:t>
            </w:r>
          </w:p>
        </w:tc>
      </w:tr>
      <w:tr w:rsidR="0035771C" w:rsidRPr="00A82B01" w14:paraId="56A6F0DC" w14:textId="77777777" w:rsidTr="00F6408B">
        <w:trPr>
          <w:cnfStyle w:val="000000100000" w:firstRow="0" w:lastRow="0" w:firstColumn="0" w:lastColumn="0" w:oddVBand="0" w:evenVBand="0" w:oddHBand="1" w:evenHBand="0" w:firstRowFirstColumn="0" w:firstRowLastColumn="0" w:lastRowFirstColumn="0" w:lastRowLastColumn="0"/>
          <w:trHeight w:val="20"/>
        </w:trPr>
        <w:tc>
          <w:tcPr>
            <w:tcW w:w="354" w:type="dxa"/>
            <w:tcBorders>
              <w:top w:val="single" w:sz="8" w:space="0" w:color="E6E6E1" w:themeColor="accent5"/>
              <w:left w:val="nil"/>
              <w:bottom w:val="single" w:sz="8" w:space="0" w:color="E6E6E1" w:themeColor="accent5"/>
              <w:right w:val="nil"/>
            </w:tcBorders>
          </w:tcPr>
          <w:p w14:paraId="10981B88" w14:textId="6484B108" w:rsidR="0035771C" w:rsidRPr="00C478BC" w:rsidRDefault="0035771C" w:rsidP="0035771C">
            <w:pPr>
              <w:pStyle w:val="TableNText"/>
            </w:pPr>
            <w:r w:rsidRPr="00C478BC">
              <w:t>10</w:t>
            </w:r>
          </w:p>
        </w:tc>
        <w:tc>
          <w:tcPr>
            <w:tcW w:w="8520" w:type="dxa"/>
            <w:tcBorders>
              <w:top w:val="single" w:sz="8" w:space="0" w:color="E6E6E1" w:themeColor="accent5"/>
              <w:left w:val="nil"/>
              <w:bottom w:val="single" w:sz="8" w:space="0" w:color="E6E6E1" w:themeColor="accent5"/>
              <w:right w:val="nil"/>
            </w:tcBorders>
          </w:tcPr>
          <w:p w14:paraId="3664DE0A" w14:textId="3592EEE5" w:rsidR="0035771C" w:rsidRPr="00F7777A" w:rsidRDefault="0035771C" w:rsidP="0035771C">
            <w:pPr>
              <w:pStyle w:val="TableNText"/>
            </w:pPr>
            <w:r w:rsidRPr="00BF4FCD">
              <w:t>What are the</w:t>
            </w:r>
            <w:r>
              <w:t xml:space="preserve"> other</w:t>
            </w:r>
            <w:r w:rsidRPr="00BF4FCD">
              <w:t xml:space="preserve"> key learnings </w:t>
            </w:r>
            <w:r>
              <w:t xml:space="preserve">from the six months to </w:t>
            </w:r>
            <w:r w:rsidRPr="00F7686F">
              <w:rPr>
                <w:highlight w:val="yellow"/>
              </w:rPr>
              <w:t>date</w:t>
            </w:r>
            <w:r w:rsidRPr="00BF4FCD">
              <w:t>?</w:t>
            </w:r>
          </w:p>
        </w:tc>
      </w:tr>
      <w:tr w:rsidR="0035771C" w:rsidRPr="00A82B01" w14:paraId="38A0A96D" w14:textId="77777777" w:rsidTr="00F6408B">
        <w:trPr>
          <w:cnfStyle w:val="000000010000" w:firstRow="0" w:lastRow="0" w:firstColumn="0" w:lastColumn="0" w:oddVBand="0" w:evenVBand="0" w:oddHBand="0" w:evenHBand="1" w:firstRowFirstColumn="0" w:firstRowLastColumn="0" w:lastRowFirstColumn="0" w:lastRowLastColumn="0"/>
          <w:trHeight w:val="20"/>
        </w:trPr>
        <w:tc>
          <w:tcPr>
            <w:tcW w:w="354" w:type="dxa"/>
            <w:tcBorders>
              <w:top w:val="single" w:sz="8" w:space="0" w:color="E6E6E1" w:themeColor="accent5"/>
              <w:left w:val="nil"/>
              <w:bottom w:val="single" w:sz="12" w:space="0" w:color="00264D" w:themeColor="background2"/>
              <w:right w:val="nil"/>
            </w:tcBorders>
          </w:tcPr>
          <w:p w14:paraId="5D730FD9" w14:textId="51885B8B" w:rsidR="0035771C" w:rsidRPr="00C478BC" w:rsidRDefault="0035771C" w:rsidP="0035771C">
            <w:pPr>
              <w:pStyle w:val="TableNText"/>
            </w:pPr>
            <w:r w:rsidRPr="00C478BC">
              <w:t>11</w:t>
            </w:r>
          </w:p>
        </w:tc>
        <w:tc>
          <w:tcPr>
            <w:tcW w:w="8520" w:type="dxa"/>
            <w:tcBorders>
              <w:top w:val="single" w:sz="8" w:space="0" w:color="E6E6E1" w:themeColor="accent5"/>
              <w:left w:val="nil"/>
              <w:bottom w:val="single" w:sz="12" w:space="0" w:color="00264D" w:themeColor="background2"/>
              <w:right w:val="nil"/>
            </w:tcBorders>
          </w:tcPr>
          <w:p w14:paraId="2233CF33" w14:textId="77777777" w:rsidR="0035771C" w:rsidRPr="00F7777A" w:rsidRDefault="0035771C" w:rsidP="0035771C">
            <w:pPr>
              <w:pStyle w:val="TableNText"/>
            </w:pPr>
            <w:r>
              <w:t>Have any</w:t>
            </w:r>
            <w:r w:rsidRPr="00BF4FCD">
              <w:t xml:space="preserve"> barriers </w:t>
            </w:r>
            <w:r>
              <w:t xml:space="preserve">to implementation become apparent in the six months to </w:t>
            </w:r>
            <w:r w:rsidRPr="00F7686F">
              <w:rPr>
                <w:highlight w:val="yellow"/>
              </w:rPr>
              <w:t>date</w:t>
            </w:r>
            <w:r w:rsidRPr="00BF4FCD">
              <w:t>?</w:t>
            </w:r>
          </w:p>
        </w:tc>
      </w:tr>
      <w:tr w:rsidR="0035771C" w:rsidRPr="00A82B01" w14:paraId="36C2ECF2" w14:textId="77777777" w:rsidTr="00F6408B">
        <w:trPr>
          <w:cnfStyle w:val="000000100000" w:firstRow="0" w:lastRow="0" w:firstColumn="0" w:lastColumn="0" w:oddVBand="0" w:evenVBand="0" w:oddHBand="1" w:evenHBand="0" w:firstRowFirstColumn="0" w:firstRowLastColumn="0" w:lastRowFirstColumn="0" w:lastRowLastColumn="0"/>
          <w:trHeight w:val="20"/>
        </w:trPr>
        <w:tc>
          <w:tcPr>
            <w:tcW w:w="354" w:type="dxa"/>
            <w:tcBorders>
              <w:top w:val="single" w:sz="12" w:space="0" w:color="00264D" w:themeColor="background2"/>
              <w:left w:val="nil"/>
              <w:bottom w:val="single" w:sz="12" w:space="0" w:color="00264D" w:themeColor="background2"/>
              <w:right w:val="nil"/>
            </w:tcBorders>
          </w:tcPr>
          <w:p w14:paraId="06908288" w14:textId="009ABA26" w:rsidR="0035771C" w:rsidRPr="00C478BC" w:rsidRDefault="0035771C" w:rsidP="0035771C">
            <w:pPr>
              <w:pStyle w:val="TableNText"/>
            </w:pPr>
            <w:r>
              <w:t>12</w:t>
            </w:r>
          </w:p>
        </w:tc>
        <w:tc>
          <w:tcPr>
            <w:tcW w:w="8520" w:type="dxa"/>
            <w:tcBorders>
              <w:top w:val="single" w:sz="12" w:space="0" w:color="00264D" w:themeColor="background2"/>
              <w:left w:val="nil"/>
              <w:bottom w:val="single" w:sz="12" w:space="0" w:color="00264D" w:themeColor="background2"/>
              <w:right w:val="nil"/>
            </w:tcBorders>
          </w:tcPr>
          <w:p w14:paraId="70EC5D44" w14:textId="77777777" w:rsidR="0035771C" w:rsidRPr="00F7777A" w:rsidRDefault="0035771C" w:rsidP="0035771C">
            <w:pPr>
              <w:pStyle w:val="TableNText"/>
            </w:pPr>
            <w:r>
              <w:t xml:space="preserve">Do you have </w:t>
            </w:r>
            <w:r w:rsidRPr="00BF4FCD">
              <w:t>any internal outputs and/or data to share</w:t>
            </w:r>
            <w:r>
              <w:t xml:space="preserve"> with the national evaluation? </w:t>
            </w:r>
          </w:p>
        </w:tc>
      </w:tr>
      <w:tr w:rsidR="0035771C" w:rsidRPr="00A82B01" w14:paraId="376BFDFC" w14:textId="77777777" w:rsidTr="00F6408B">
        <w:trPr>
          <w:cnfStyle w:val="000000010000" w:firstRow="0" w:lastRow="0" w:firstColumn="0" w:lastColumn="0" w:oddVBand="0" w:evenVBand="0" w:oddHBand="0" w:evenHBand="1" w:firstRowFirstColumn="0" w:firstRowLastColumn="0" w:lastRowFirstColumn="0" w:lastRowLastColumn="0"/>
          <w:trHeight w:val="20"/>
        </w:trPr>
        <w:tc>
          <w:tcPr>
            <w:tcW w:w="8874" w:type="dxa"/>
            <w:gridSpan w:val="2"/>
            <w:tcBorders>
              <w:top w:val="single" w:sz="12" w:space="0" w:color="00264D" w:themeColor="background2"/>
              <w:left w:val="nil"/>
              <w:bottom w:val="single" w:sz="8" w:space="0" w:color="E6E6E1" w:themeColor="accent5"/>
              <w:right w:val="nil"/>
            </w:tcBorders>
          </w:tcPr>
          <w:p w14:paraId="3DF33CB0" w14:textId="7D05D97B" w:rsidR="0035771C" w:rsidRPr="00F7777A" w:rsidRDefault="0035771C" w:rsidP="0035771C">
            <w:pPr>
              <w:pStyle w:val="TableNText"/>
            </w:pPr>
            <w:r>
              <w:rPr>
                <w:i/>
                <w:iCs/>
              </w:rPr>
              <w:t xml:space="preserve">If not already provided: </w:t>
            </w:r>
            <w:r>
              <w:t xml:space="preserve">Nous would like to speak with a mix of clinicians from various jurisdictions during the evaluation to understand their perspectives. </w:t>
            </w:r>
            <w:r w:rsidRPr="00BF4FCD">
              <w:t xml:space="preserve">Can you nominate </w:t>
            </w:r>
            <w:r>
              <w:t>one or two</w:t>
            </w:r>
            <w:r w:rsidRPr="00BF4FCD">
              <w:t xml:space="preserve"> clinician</w:t>
            </w:r>
            <w:r>
              <w:t>s (</w:t>
            </w:r>
            <w:proofErr w:type="gramStart"/>
            <w:r>
              <w:t>e.g.</w:t>
            </w:r>
            <w:proofErr w:type="gramEnd"/>
            <w:r>
              <w:t xml:space="preserve"> GP, nurse, nurse practitioner, hospital outreach staff)</w:t>
            </w:r>
            <w:r w:rsidRPr="00BF4FCD">
              <w:t xml:space="preserve"> </w:t>
            </w:r>
            <w:r>
              <w:t>who would be willing to have a 30 min interview with Nous</w:t>
            </w:r>
            <w:r w:rsidRPr="00BF4FCD">
              <w:t>?</w:t>
            </w:r>
          </w:p>
        </w:tc>
      </w:tr>
    </w:tbl>
    <w:p w14:paraId="76E3F7C8" w14:textId="3BDC9152" w:rsidR="006D4DE5" w:rsidRDefault="006D4DE5" w:rsidP="006D4DE5">
      <w:pPr>
        <w:pStyle w:val="xAppendixLevel2"/>
      </w:pPr>
      <w:bookmarkStart w:id="95" w:name="_Ref61513506"/>
      <w:bookmarkStart w:id="96" w:name="_Toc82767234"/>
      <w:r>
        <w:t>PCA consumer representative group interview guide</w:t>
      </w:r>
      <w:bookmarkEnd w:id="95"/>
      <w:bookmarkEnd w:id="96"/>
    </w:p>
    <w:p w14:paraId="62AB0B19" w14:textId="77777777" w:rsidR="006D4DE5" w:rsidRPr="007F0B40" w:rsidRDefault="006D4DE5" w:rsidP="00825E58">
      <w:pPr>
        <w:pStyle w:val="Heading5"/>
      </w:pPr>
      <w:r w:rsidRPr="007F0B40">
        <w:t>Background and context</w:t>
      </w:r>
    </w:p>
    <w:p w14:paraId="56D5B5E4" w14:textId="77777777" w:rsidR="006D4DE5" w:rsidRPr="000C291D" w:rsidRDefault="006D4DE5" w:rsidP="006D4DE5">
      <w:r w:rsidRPr="000C291D">
        <w:t>Nous Group has been engaged by the Australian Government Department of Health to conduct an evaluation of the Comprehensive Palliative Care in Aged Care Measure (the Measure). The Measure is funded by the Australian and state/territory governments and seeks to improve palliative care in RACFs with each jurisdiction implementing their own initiatives. The aims of the Measure are to:</w:t>
      </w:r>
    </w:p>
    <w:p w14:paraId="5FAFD6AD" w14:textId="514BDD13" w:rsidR="006D4DE5" w:rsidRPr="000C291D" w:rsidRDefault="006D4DE5" w:rsidP="006D4DE5">
      <w:pPr>
        <w:pStyle w:val="Bullet"/>
      </w:pPr>
      <w:r w:rsidRPr="000C291D">
        <w:t xml:space="preserve">Support the delivery of projects that expand existing models of care or new approaches to the way care is delivered or commissioned, to improve palliative and </w:t>
      </w:r>
      <w:r w:rsidR="00AE070D">
        <w:t>end-of-life</w:t>
      </w:r>
      <w:r w:rsidRPr="000C291D">
        <w:t xml:space="preserve"> care coordination for older Australians living in Residential Aged Care Facilities (RACFs). </w:t>
      </w:r>
    </w:p>
    <w:p w14:paraId="77CB856F" w14:textId="746BA114" w:rsidR="006D4DE5" w:rsidRDefault="006D4DE5" w:rsidP="006D4DE5">
      <w:pPr>
        <w:pStyle w:val="Bullet"/>
      </w:pPr>
      <w:r w:rsidRPr="000C291D">
        <w:lastRenderedPageBreak/>
        <w:t>Strengthen national efforts to improve access to quality palliative care as a key component of an integrated health-aged care system.</w:t>
      </w:r>
    </w:p>
    <w:p w14:paraId="2293DD09" w14:textId="3FC739D1" w:rsidR="00044AA7" w:rsidRPr="000C291D" w:rsidRDefault="00044AA7" w:rsidP="00AE070D">
      <w:pPr>
        <w:pStyle w:val="Bullet"/>
        <w:ind w:left="0" w:firstLine="0"/>
      </w:pPr>
      <w:r>
        <w:t xml:space="preserve">Under the Measure, states and territories can choose to undertake activities suited to local needs. It may include activities such as in-reach from specialist palliative provides into RACFs, education and training and </w:t>
      </w:r>
      <w:r w:rsidR="00AE070D">
        <w:t xml:space="preserve">activities to improve end-of-life care decision making. </w:t>
      </w:r>
    </w:p>
    <w:p w14:paraId="55CAE451" w14:textId="4E8A647A" w:rsidR="006D4DE5" w:rsidRDefault="006D4DE5" w:rsidP="006D4DE5">
      <w:r w:rsidRPr="000C291D">
        <w:t xml:space="preserve">As part of the evaluation, Nous </w:t>
      </w:r>
      <w:r>
        <w:t xml:space="preserve">is seeking input </w:t>
      </w:r>
      <w:r w:rsidR="008A7CBD">
        <w:t xml:space="preserve">from </w:t>
      </w:r>
      <w:r>
        <w:t>families</w:t>
      </w:r>
      <w:r w:rsidR="00E40B2E">
        <w:t xml:space="preserve"> </w:t>
      </w:r>
      <w:r>
        <w:t>and carers to</w:t>
      </w:r>
      <w:r w:rsidRPr="000C291D">
        <w:t xml:space="preserve"> understand delivery of palliative care in RACFs. </w:t>
      </w:r>
      <w:r w:rsidR="00E40B2E">
        <w:t>We plan to do these interviews in</w:t>
      </w:r>
      <w:r w:rsidRPr="000C291D">
        <w:t xml:space="preserve"> early 2021 and again at the end of the evaluation in 2023. </w:t>
      </w:r>
    </w:p>
    <w:p w14:paraId="63A5CDF7" w14:textId="77777777" w:rsidR="006D4DE5" w:rsidRPr="007F0B40" w:rsidRDefault="006D4DE5" w:rsidP="00825E58">
      <w:pPr>
        <w:pStyle w:val="Heading5"/>
      </w:pPr>
      <w:r w:rsidRPr="007F0B40">
        <w:t xml:space="preserve">Purpose of this </w:t>
      </w:r>
      <w:r>
        <w:t>focus group</w:t>
      </w:r>
    </w:p>
    <w:p w14:paraId="6DD5A914" w14:textId="1A7A99C6" w:rsidR="006D4DE5" w:rsidRDefault="006D4DE5" w:rsidP="006D4DE5">
      <w:r>
        <w:rPr>
          <w:lang w:eastAsia="en-AU"/>
        </w:rPr>
        <w:t>The purpose of this group interview is to</w:t>
      </w:r>
      <w:r w:rsidR="00825E58">
        <w:rPr>
          <w:lang w:eastAsia="en-AU"/>
        </w:rPr>
        <w:t xml:space="preserve"> e</w:t>
      </w:r>
      <w:r>
        <w:t>xplore consumer, family, and carer perspectives on the delivery of palliative care in RACFs</w:t>
      </w:r>
      <w:r w:rsidR="008A7CBD">
        <w:t xml:space="preserve">. </w:t>
      </w:r>
      <w:r>
        <w:t xml:space="preserve">The interview will take 60 minutes. </w:t>
      </w:r>
    </w:p>
    <w:p w14:paraId="38C45EDA" w14:textId="4DF9612E" w:rsidR="006D4DE5" w:rsidRDefault="006D4DE5" w:rsidP="006D4DE5">
      <w:r>
        <w:t>If you have any questions, please contact Simone Schulz, Project Manager for the project on (0</w:t>
      </w:r>
      <w:r w:rsidRPr="00E80A7B">
        <w:t>2</w:t>
      </w:r>
      <w:r>
        <w:t>)</w:t>
      </w:r>
      <w:r w:rsidRPr="00E80A7B">
        <w:t xml:space="preserve"> 8281 803</w:t>
      </w:r>
      <w:r>
        <w:t xml:space="preserve">0 or </w:t>
      </w:r>
      <w:hyperlink r:id="rId41" w:history="1">
        <w:r w:rsidR="005B09ED" w:rsidRPr="002B3E63">
          <w:rPr>
            <w:rStyle w:val="Hyperlink"/>
          </w:rPr>
          <w:t>simone.schulz@nousgroup.com.au</w:t>
        </w:r>
      </w:hyperlink>
      <w:r>
        <w:t xml:space="preserve">. </w:t>
      </w:r>
    </w:p>
    <w:p w14:paraId="7F331062" w14:textId="77777777" w:rsidR="00AE070D" w:rsidRDefault="00AE070D">
      <w:pPr>
        <w:spacing w:after="165" w:line="259" w:lineRule="auto"/>
        <w:rPr>
          <w:rFonts w:eastAsia="Times New Roman" w:cs="Times New Roman"/>
          <w:b/>
          <w:color w:val="000000" w:themeColor="text1"/>
          <w:sz w:val="20"/>
          <w:szCs w:val="24"/>
          <w:lang w:eastAsia="en-AU"/>
        </w:rPr>
      </w:pPr>
      <w:r>
        <w:br w:type="page"/>
      </w:r>
    </w:p>
    <w:p w14:paraId="6742E876" w14:textId="31AAC422" w:rsidR="006D4DE5" w:rsidRPr="00A8000F" w:rsidRDefault="006D4DE5" w:rsidP="00825E58">
      <w:pPr>
        <w:pStyle w:val="Heading5"/>
      </w:pPr>
      <w:r>
        <w:lastRenderedPageBreak/>
        <w:t xml:space="preserve">Discussion questions </w:t>
      </w:r>
    </w:p>
    <w:tbl>
      <w:tblPr>
        <w:tblStyle w:val="TableGrid"/>
        <w:tblW w:w="0" w:type="auto"/>
        <w:tblLayout w:type="fixed"/>
        <w:tblLook w:val="04A0" w:firstRow="1" w:lastRow="0" w:firstColumn="1" w:lastColumn="0" w:noHBand="0" w:noVBand="1"/>
        <w:tblCaption w:val="This table provides a list of discussion questions for focus groups"/>
        <w:tblDescription w:val="1 What processes are in place to involve families and carers in treatment and end of life care decisions? &#10;Prompt participants to comment on the use and effectiveness of Advance Care Plans or Directives and family/carer/resident access to information.&#10;2 How responsive/attentive are RACF staff and other palliative care providers to the needs of residents of RACFs? Palliative care providers include General Practitioners, palliative care nurses and other specialist providers.&#10;3 How do RACFs meet the spiritual, cultural, and psychological needs of residents? How well are they met? &#10;4 Do RACFs strive to understand and achieve residents’ preferred place of death?&#10;5 Are complaints to RACFs typically met promptly?&#10;6 What emotional support and/or bereavement procedures are in place in RACFs?&#10;7 Do you have any questions for Nous regarding the national evaluation of the Measure?&#10;"/>
      </w:tblPr>
      <w:tblGrid>
        <w:gridCol w:w="567"/>
        <w:gridCol w:w="8363"/>
      </w:tblGrid>
      <w:tr w:rsidR="006D4DE5" w:rsidRPr="00E40B2E" w14:paraId="293104F7" w14:textId="77777777" w:rsidTr="002F7A90">
        <w:trPr>
          <w:cnfStyle w:val="100000000000" w:firstRow="1" w:lastRow="0" w:firstColumn="0" w:lastColumn="0" w:oddVBand="0" w:evenVBand="0" w:oddHBand="0" w:evenHBand="0" w:firstRowFirstColumn="0" w:firstRowLastColumn="0" w:lastRowFirstColumn="0" w:lastRowLastColumn="0"/>
          <w:trHeight w:val="340"/>
        </w:trPr>
        <w:tc>
          <w:tcPr>
            <w:tcW w:w="567" w:type="dxa"/>
            <w:tcBorders>
              <w:top w:val="single" w:sz="4" w:space="0" w:color="auto"/>
            </w:tcBorders>
            <w:shd w:val="clear" w:color="auto" w:fill="00264D" w:themeFill="background2"/>
          </w:tcPr>
          <w:p w14:paraId="0CDCDDBF" w14:textId="77777777" w:rsidR="006D4DE5" w:rsidRPr="00C478BC" w:rsidRDefault="006D4DE5" w:rsidP="00C478BC">
            <w:pPr>
              <w:pStyle w:val="TableNheader"/>
              <w:rPr>
                <w:color w:val="FFFFFF" w:themeColor="background1"/>
              </w:rPr>
            </w:pPr>
            <w:r w:rsidRPr="00C478BC">
              <w:rPr>
                <w:color w:val="FFFFFF" w:themeColor="background1"/>
              </w:rPr>
              <w:t>#</w:t>
            </w:r>
          </w:p>
        </w:tc>
        <w:tc>
          <w:tcPr>
            <w:tcW w:w="8363" w:type="dxa"/>
            <w:tcBorders>
              <w:top w:val="single" w:sz="4" w:space="0" w:color="auto"/>
            </w:tcBorders>
            <w:shd w:val="clear" w:color="auto" w:fill="00264D" w:themeFill="background2"/>
          </w:tcPr>
          <w:p w14:paraId="1033AAED" w14:textId="77777777" w:rsidR="006D4DE5" w:rsidRPr="00C478BC" w:rsidRDefault="006D4DE5" w:rsidP="00C478BC">
            <w:pPr>
              <w:pStyle w:val="TableNheader"/>
              <w:rPr>
                <w:color w:val="FFFFFF" w:themeColor="background1"/>
              </w:rPr>
            </w:pPr>
            <w:r w:rsidRPr="00C478BC">
              <w:rPr>
                <w:color w:val="FFFFFF" w:themeColor="background1"/>
              </w:rPr>
              <w:t xml:space="preserve">Question </w:t>
            </w:r>
          </w:p>
        </w:tc>
      </w:tr>
      <w:tr w:rsidR="006D4DE5" w:rsidRPr="00E40B2E" w14:paraId="7495924A" w14:textId="77777777" w:rsidTr="002F7A90">
        <w:trPr>
          <w:cnfStyle w:val="000000100000" w:firstRow="0" w:lastRow="0" w:firstColumn="0" w:lastColumn="0" w:oddVBand="0" w:evenVBand="0" w:oddHBand="1" w:evenHBand="0" w:firstRowFirstColumn="0" w:firstRowLastColumn="0" w:lastRowFirstColumn="0" w:lastRowLastColumn="0"/>
          <w:trHeight w:val="340"/>
        </w:trPr>
        <w:tc>
          <w:tcPr>
            <w:tcW w:w="567" w:type="dxa"/>
          </w:tcPr>
          <w:p w14:paraId="58983A6A" w14:textId="77777777" w:rsidR="006D4DE5" w:rsidRPr="00C478BC" w:rsidRDefault="006D4DE5" w:rsidP="00C478BC">
            <w:pPr>
              <w:pStyle w:val="TableNText"/>
            </w:pPr>
            <w:r w:rsidRPr="00C478BC">
              <w:t>1</w:t>
            </w:r>
          </w:p>
        </w:tc>
        <w:tc>
          <w:tcPr>
            <w:tcW w:w="8363" w:type="dxa"/>
          </w:tcPr>
          <w:p w14:paraId="1A5E7BF5" w14:textId="77777777" w:rsidR="006D4DE5" w:rsidRDefault="006D4DE5" w:rsidP="00C478BC">
            <w:pPr>
              <w:pStyle w:val="TableNText"/>
            </w:pPr>
            <w:r w:rsidRPr="00C478BC">
              <w:t xml:space="preserve">What processes are in place to involve families and carers in treatment </w:t>
            </w:r>
            <w:r w:rsidR="00920868">
              <w:t xml:space="preserve">and end of life care </w:t>
            </w:r>
            <w:r w:rsidRPr="00C478BC">
              <w:t xml:space="preserve">decisions? </w:t>
            </w:r>
          </w:p>
          <w:p w14:paraId="6305E7AC" w14:textId="3C1A191F" w:rsidR="00094DAD" w:rsidRPr="00094DAD" w:rsidRDefault="004B2284" w:rsidP="00C478BC">
            <w:pPr>
              <w:pStyle w:val="TableNText"/>
              <w:rPr>
                <w:i/>
                <w:iCs/>
              </w:rPr>
            </w:pPr>
            <w:r>
              <w:rPr>
                <w:i/>
                <w:iCs/>
              </w:rPr>
              <w:t>Prompt participants to comment on the use and effectiveness of Advance Care Plans or Directives and family/carer/resident access to information.</w:t>
            </w:r>
          </w:p>
        </w:tc>
      </w:tr>
      <w:tr w:rsidR="006D4DE5" w:rsidRPr="00E40B2E" w14:paraId="5E16CEF3" w14:textId="77777777" w:rsidTr="002F7A90">
        <w:trPr>
          <w:cnfStyle w:val="000000010000" w:firstRow="0" w:lastRow="0" w:firstColumn="0" w:lastColumn="0" w:oddVBand="0" w:evenVBand="0" w:oddHBand="0" w:evenHBand="1" w:firstRowFirstColumn="0" w:firstRowLastColumn="0" w:lastRowFirstColumn="0" w:lastRowLastColumn="0"/>
          <w:trHeight w:val="340"/>
        </w:trPr>
        <w:tc>
          <w:tcPr>
            <w:tcW w:w="567" w:type="dxa"/>
          </w:tcPr>
          <w:p w14:paraId="291A14CC" w14:textId="77777777" w:rsidR="006D4DE5" w:rsidRPr="00C478BC" w:rsidRDefault="006D4DE5" w:rsidP="00C478BC">
            <w:pPr>
              <w:pStyle w:val="TableNText"/>
            </w:pPr>
            <w:r w:rsidRPr="00C478BC">
              <w:t>2</w:t>
            </w:r>
          </w:p>
        </w:tc>
        <w:tc>
          <w:tcPr>
            <w:tcW w:w="8363" w:type="dxa"/>
          </w:tcPr>
          <w:p w14:paraId="689CAFF2" w14:textId="0F7CFCCE" w:rsidR="006D4DE5" w:rsidRPr="00C478BC" w:rsidRDefault="006D4DE5" w:rsidP="00C478BC">
            <w:pPr>
              <w:pStyle w:val="TableNText"/>
            </w:pPr>
            <w:r w:rsidRPr="00C478BC">
              <w:t>How respons</w:t>
            </w:r>
            <w:r w:rsidR="00C064A1">
              <w:t>ive</w:t>
            </w:r>
            <w:r w:rsidRPr="00C478BC">
              <w:t xml:space="preserve">/attentive are </w:t>
            </w:r>
            <w:r w:rsidR="00F320C4">
              <w:t xml:space="preserve">RACF staff and other </w:t>
            </w:r>
            <w:r w:rsidRPr="00C478BC">
              <w:t>palliative care providers to the needs of residents of RACFs? Palliative care providers include G</w:t>
            </w:r>
            <w:r w:rsidR="005B09ED" w:rsidRPr="00C478BC">
              <w:t>eneral Practitioner</w:t>
            </w:r>
            <w:r w:rsidRPr="00C478BC">
              <w:t>s, palliative care nurses and other specialist providers.</w:t>
            </w:r>
          </w:p>
        </w:tc>
      </w:tr>
      <w:tr w:rsidR="006D4DE5" w:rsidRPr="00E40B2E" w14:paraId="52EAB915" w14:textId="77777777" w:rsidTr="002F7A90">
        <w:trPr>
          <w:cnfStyle w:val="000000100000" w:firstRow="0" w:lastRow="0" w:firstColumn="0" w:lastColumn="0" w:oddVBand="0" w:evenVBand="0" w:oddHBand="1" w:evenHBand="0" w:firstRowFirstColumn="0" w:firstRowLastColumn="0" w:lastRowFirstColumn="0" w:lastRowLastColumn="0"/>
          <w:trHeight w:val="340"/>
        </w:trPr>
        <w:tc>
          <w:tcPr>
            <w:tcW w:w="567" w:type="dxa"/>
          </w:tcPr>
          <w:p w14:paraId="2C0E19AB" w14:textId="77777777" w:rsidR="006D4DE5" w:rsidRPr="00C478BC" w:rsidRDefault="006D4DE5" w:rsidP="00C478BC">
            <w:pPr>
              <w:pStyle w:val="TableNText"/>
            </w:pPr>
            <w:r w:rsidRPr="00C478BC">
              <w:t>3</w:t>
            </w:r>
          </w:p>
        </w:tc>
        <w:tc>
          <w:tcPr>
            <w:tcW w:w="8363" w:type="dxa"/>
          </w:tcPr>
          <w:p w14:paraId="33FB8359" w14:textId="2023ED5B" w:rsidR="006D4DE5" w:rsidRPr="00C478BC" w:rsidRDefault="006D4DE5" w:rsidP="00C478BC">
            <w:pPr>
              <w:pStyle w:val="TableNText"/>
            </w:pPr>
            <w:r w:rsidRPr="00C478BC">
              <w:t>How do RACFs meet the spiritual, cultural, and psychological needs of residents?</w:t>
            </w:r>
            <w:r w:rsidR="004B2284">
              <w:t xml:space="preserve"> How well are they met? </w:t>
            </w:r>
          </w:p>
        </w:tc>
      </w:tr>
      <w:tr w:rsidR="006D4DE5" w:rsidRPr="00E40B2E" w14:paraId="2D969957" w14:textId="77777777" w:rsidTr="002F7A90">
        <w:trPr>
          <w:cnfStyle w:val="000000010000" w:firstRow="0" w:lastRow="0" w:firstColumn="0" w:lastColumn="0" w:oddVBand="0" w:evenVBand="0" w:oddHBand="0" w:evenHBand="1" w:firstRowFirstColumn="0" w:firstRowLastColumn="0" w:lastRowFirstColumn="0" w:lastRowLastColumn="0"/>
          <w:trHeight w:val="340"/>
        </w:trPr>
        <w:tc>
          <w:tcPr>
            <w:tcW w:w="567" w:type="dxa"/>
          </w:tcPr>
          <w:p w14:paraId="11CB4CF9" w14:textId="77777777" w:rsidR="006D4DE5" w:rsidRPr="00C478BC" w:rsidRDefault="006D4DE5" w:rsidP="00C478BC">
            <w:pPr>
              <w:pStyle w:val="TableNText"/>
            </w:pPr>
            <w:r w:rsidRPr="00C478BC">
              <w:t>4</w:t>
            </w:r>
          </w:p>
        </w:tc>
        <w:tc>
          <w:tcPr>
            <w:tcW w:w="8363" w:type="dxa"/>
          </w:tcPr>
          <w:p w14:paraId="3F54A6FA" w14:textId="77777777" w:rsidR="006D4DE5" w:rsidRPr="00C478BC" w:rsidRDefault="006D4DE5" w:rsidP="00C478BC">
            <w:pPr>
              <w:pStyle w:val="TableNText"/>
            </w:pPr>
            <w:r w:rsidRPr="00C478BC">
              <w:t>Do RACFs strive to understand and achieve residents’ preferred place of death?</w:t>
            </w:r>
          </w:p>
        </w:tc>
      </w:tr>
      <w:tr w:rsidR="006D4DE5" w:rsidRPr="00E40B2E" w14:paraId="2D331E82" w14:textId="77777777" w:rsidTr="002F7A90">
        <w:trPr>
          <w:cnfStyle w:val="000000100000" w:firstRow="0" w:lastRow="0" w:firstColumn="0" w:lastColumn="0" w:oddVBand="0" w:evenVBand="0" w:oddHBand="1" w:evenHBand="0" w:firstRowFirstColumn="0" w:firstRowLastColumn="0" w:lastRowFirstColumn="0" w:lastRowLastColumn="0"/>
          <w:trHeight w:val="340"/>
        </w:trPr>
        <w:tc>
          <w:tcPr>
            <w:tcW w:w="567" w:type="dxa"/>
          </w:tcPr>
          <w:p w14:paraId="05857441" w14:textId="77777777" w:rsidR="006D4DE5" w:rsidRPr="00C478BC" w:rsidRDefault="006D4DE5" w:rsidP="00C478BC">
            <w:pPr>
              <w:pStyle w:val="TableNText"/>
            </w:pPr>
            <w:r w:rsidRPr="00C478BC">
              <w:t>5</w:t>
            </w:r>
          </w:p>
        </w:tc>
        <w:tc>
          <w:tcPr>
            <w:tcW w:w="8363" w:type="dxa"/>
          </w:tcPr>
          <w:p w14:paraId="6BC98653" w14:textId="77777777" w:rsidR="006D4DE5" w:rsidRPr="00C478BC" w:rsidRDefault="006D4DE5" w:rsidP="00C478BC">
            <w:pPr>
              <w:pStyle w:val="TableNText"/>
            </w:pPr>
            <w:r w:rsidRPr="00C478BC">
              <w:t>Are complaints to RACFs typically met promptly?</w:t>
            </w:r>
          </w:p>
        </w:tc>
      </w:tr>
      <w:tr w:rsidR="006D4DE5" w:rsidRPr="00E40B2E" w14:paraId="65C3F5AC" w14:textId="77777777" w:rsidTr="002F7A90">
        <w:trPr>
          <w:cnfStyle w:val="000000010000" w:firstRow="0" w:lastRow="0" w:firstColumn="0" w:lastColumn="0" w:oddVBand="0" w:evenVBand="0" w:oddHBand="0" w:evenHBand="1" w:firstRowFirstColumn="0" w:firstRowLastColumn="0" w:lastRowFirstColumn="0" w:lastRowLastColumn="0"/>
          <w:trHeight w:val="340"/>
        </w:trPr>
        <w:tc>
          <w:tcPr>
            <w:tcW w:w="567" w:type="dxa"/>
          </w:tcPr>
          <w:p w14:paraId="1D261A8D" w14:textId="77777777" w:rsidR="006D4DE5" w:rsidRPr="00C478BC" w:rsidRDefault="006D4DE5" w:rsidP="00C478BC">
            <w:pPr>
              <w:pStyle w:val="TableNText"/>
            </w:pPr>
            <w:r w:rsidRPr="00C478BC">
              <w:t>6</w:t>
            </w:r>
          </w:p>
        </w:tc>
        <w:tc>
          <w:tcPr>
            <w:tcW w:w="8363" w:type="dxa"/>
          </w:tcPr>
          <w:p w14:paraId="59D544F9" w14:textId="77777777" w:rsidR="006D4DE5" w:rsidRPr="00C478BC" w:rsidRDefault="006D4DE5" w:rsidP="00C478BC">
            <w:pPr>
              <w:pStyle w:val="TableNText"/>
            </w:pPr>
            <w:r w:rsidRPr="00C478BC">
              <w:t>What emotional support and/or bereavement procedures are in place in RACFs?</w:t>
            </w:r>
          </w:p>
        </w:tc>
      </w:tr>
      <w:tr w:rsidR="006D4DE5" w:rsidRPr="00E40B2E" w14:paraId="2651B259" w14:textId="77777777" w:rsidTr="002F7A90">
        <w:trPr>
          <w:cnfStyle w:val="000000100000" w:firstRow="0" w:lastRow="0" w:firstColumn="0" w:lastColumn="0" w:oddVBand="0" w:evenVBand="0" w:oddHBand="1" w:evenHBand="0" w:firstRowFirstColumn="0" w:firstRowLastColumn="0" w:lastRowFirstColumn="0" w:lastRowLastColumn="0"/>
          <w:trHeight w:val="340"/>
        </w:trPr>
        <w:tc>
          <w:tcPr>
            <w:tcW w:w="567" w:type="dxa"/>
          </w:tcPr>
          <w:p w14:paraId="29B4B2EF" w14:textId="77777777" w:rsidR="006D4DE5" w:rsidRPr="00C478BC" w:rsidRDefault="006D4DE5" w:rsidP="00C478BC">
            <w:pPr>
              <w:pStyle w:val="TableNText"/>
            </w:pPr>
            <w:r w:rsidRPr="00C478BC">
              <w:t>7</w:t>
            </w:r>
          </w:p>
        </w:tc>
        <w:tc>
          <w:tcPr>
            <w:tcW w:w="8363" w:type="dxa"/>
          </w:tcPr>
          <w:p w14:paraId="14414070" w14:textId="77777777" w:rsidR="006D4DE5" w:rsidRPr="00C478BC" w:rsidRDefault="006D4DE5" w:rsidP="00C478BC">
            <w:pPr>
              <w:pStyle w:val="TableNText"/>
            </w:pPr>
            <w:r w:rsidRPr="00C478BC">
              <w:t>Do you have any questions for Nous regarding the national evaluation of the Measure?</w:t>
            </w:r>
          </w:p>
        </w:tc>
      </w:tr>
    </w:tbl>
    <w:p w14:paraId="17BFB97A" w14:textId="4A976812" w:rsidR="006D4DE5" w:rsidRDefault="006D4DE5" w:rsidP="006D4DE5">
      <w:pPr>
        <w:rPr>
          <w:lang w:eastAsia="en-AU"/>
        </w:rPr>
      </w:pPr>
    </w:p>
    <w:p w14:paraId="2C7E29BB" w14:textId="347520BC" w:rsidR="00D23B3B" w:rsidRDefault="00B77220" w:rsidP="00D23B3B">
      <w:pPr>
        <w:pStyle w:val="xAppendixLevel1"/>
      </w:pPr>
      <w:bookmarkStart w:id="97" w:name="_Toc82767235"/>
      <w:r>
        <w:lastRenderedPageBreak/>
        <w:t>Evaluation indicators</w:t>
      </w:r>
      <w:bookmarkEnd w:id="97"/>
    </w:p>
    <w:p w14:paraId="27323E75" w14:textId="5C4D464D" w:rsidR="000F52DD" w:rsidRDefault="000F52DD" w:rsidP="000F52DD">
      <w:pPr>
        <w:rPr>
          <w:rFonts w:asciiTheme="minorHAnsi" w:hAnsiTheme="minorHAnsi" w:cstheme="minorHAnsi"/>
          <w:color w:val="000000" w:themeColor="text1"/>
          <w:lang w:eastAsia="en-AU"/>
        </w:rPr>
      </w:pPr>
      <w:r>
        <w:rPr>
          <w:rFonts w:asciiTheme="minorHAnsi" w:hAnsiTheme="minorHAnsi" w:cstheme="minorHAnsi"/>
          <w:color w:val="000000" w:themeColor="text1"/>
          <w:highlight w:val="yellow"/>
          <w:lang w:eastAsia="en-AU"/>
        </w:rPr>
        <w:fldChar w:fldCharType="begin"/>
      </w:r>
      <w:r>
        <w:rPr>
          <w:rFonts w:asciiTheme="minorHAnsi" w:hAnsiTheme="minorHAnsi" w:cstheme="minorHAnsi"/>
          <w:color w:val="000000" w:themeColor="text1"/>
          <w:highlight w:val="yellow"/>
          <w:lang w:eastAsia="en-AU"/>
        </w:rPr>
        <w:instrText xml:space="preserve"> REF _Ref61955757 \h </w:instrText>
      </w:r>
      <w:r>
        <w:rPr>
          <w:rFonts w:asciiTheme="minorHAnsi" w:hAnsiTheme="minorHAnsi" w:cstheme="minorHAnsi"/>
          <w:color w:val="000000" w:themeColor="text1"/>
          <w:highlight w:val="yellow"/>
          <w:lang w:eastAsia="en-AU"/>
        </w:rPr>
      </w:r>
      <w:r>
        <w:rPr>
          <w:rFonts w:asciiTheme="minorHAnsi" w:hAnsiTheme="minorHAnsi" w:cstheme="minorHAnsi"/>
          <w:color w:val="000000" w:themeColor="text1"/>
          <w:highlight w:val="yellow"/>
          <w:lang w:eastAsia="en-AU"/>
        </w:rPr>
        <w:fldChar w:fldCharType="separate"/>
      </w:r>
      <w:r w:rsidR="00DF258C">
        <w:t xml:space="preserve">Table </w:t>
      </w:r>
      <w:r w:rsidR="00DF258C">
        <w:rPr>
          <w:noProof/>
        </w:rPr>
        <w:t>10</w:t>
      </w:r>
      <w:r>
        <w:rPr>
          <w:rFonts w:asciiTheme="minorHAnsi" w:hAnsiTheme="minorHAnsi" w:cstheme="minorHAnsi"/>
          <w:color w:val="000000" w:themeColor="text1"/>
          <w:highlight w:val="yellow"/>
          <w:lang w:eastAsia="en-AU"/>
        </w:rPr>
        <w:fldChar w:fldCharType="end"/>
      </w:r>
      <w:r>
        <w:rPr>
          <w:rFonts w:asciiTheme="minorHAnsi" w:hAnsiTheme="minorHAnsi" w:cstheme="minorHAnsi"/>
          <w:color w:val="000000" w:themeColor="text1"/>
          <w:lang w:eastAsia="en-AU"/>
        </w:rPr>
        <w:t xml:space="preserve"> </w:t>
      </w:r>
      <w:r w:rsidRPr="00B74347">
        <w:rPr>
          <w:rFonts w:asciiTheme="minorHAnsi" w:hAnsiTheme="minorHAnsi" w:cstheme="minorHAnsi"/>
          <w:color w:val="000000" w:themeColor="text1"/>
          <w:lang w:eastAsia="en-AU"/>
        </w:rPr>
        <w:t xml:space="preserve">presents the potential indicators to measure </w:t>
      </w:r>
      <w:r>
        <w:rPr>
          <w:rFonts w:asciiTheme="minorHAnsi" w:hAnsiTheme="minorHAnsi" w:cstheme="minorHAnsi"/>
          <w:color w:val="000000" w:themeColor="text1"/>
          <w:lang w:eastAsia="en-AU"/>
        </w:rPr>
        <w:t>national</w:t>
      </w:r>
      <w:r w:rsidRPr="00B74347">
        <w:rPr>
          <w:rFonts w:asciiTheme="minorHAnsi" w:hAnsiTheme="minorHAnsi" w:cstheme="minorHAnsi"/>
          <w:color w:val="000000" w:themeColor="text1"/>
          <w:lang w:eastAsia="en-AU"/>
        </w:rPr>
        <w:t xml:space="preserve"> outcomes</w:t>
      </w:r>
      <w:r>
        <w:rPr>
          <w:rFonts w:asciiTheme="minorHAnsi" w:hAnsiTheme="minorHAnsi" w:cstheme="minorHAnsi"/>
          <w:color w:val="000000" w:themeColor="text1"/>
          <w:lang w:eastAsia="en-AU"/>
        </w:rPr>
        <w:t xml:space="preserve">. It outlines the feasibility, limitations, data source and outcomes each indicator measures. The table is ordered by feasibility: </w:t>
      </w:r>
    </w:p>
    <w:p w14:paraId="4D92E1E6" w14:textId="77777777" w:rsidR="000F52DD" w:rsidRDefault="000F52DD" w:rsidP="000F52DD">
      <w:pPr>
        <w:pStyle w:val="Bullet"/>
      </w:pPr>
      <w:r>
        <w:t>“</w:t>
      </w:r>
      <w:r w:rsidRPr="00EB5005">
        <w:rPr>
          <w:color w:val="00B050"/>
        </w:rPr>
        <w:t>Good</w:t>
      </w:r>
      <w:r>
        <w:t xml:space="preserve">” indicates that data is expected to be available and will cover all jurisdictions. </w:t>
      </w:r>
    </w:p>
    <w:p w14:paraId="16F114C4" w14:textId="77777777" w:rsidR="000F52DD" w:rsidRDefault="000F52DD" w:rsidP="000F52DD">
      <w:pPr>
        <w:pStyle w:val="Bullet"/>
      </w:pPr>
      <w:r>
        <w:t>“</w:t>
      </w:r>
      <w:r w:rsidRPr="00EB5005">
        <w:rPr>
          <w:color w:val="F25E21" w:themeColor="accent2"/>
        </w:rPr>
        <w:t>Intermediate</w:t>
      </w:r>
      <w:r>
        <w:t xml:space="preserve">” indicates that data is expected to be available but will only cover some jurisdictions or time periods. </w:t>
      </w:r>
    </w:p>
    <w:p w14:paraId="39B65F5F" w14:textId="77777777" w:rsidR="000F52DD" w:rsidRDefault="000F52DD" w:rsidP="000F52DD">
      <w:pPr>
        <w:pStyle w:val="Bullet"/>
      </w:pPr>
      <w:r>
        <w:t>“</w:t>
      </w:r>
      <w:r w:rsidRPr="00EB5005">
        <w:rPr>
          <w:color w:val="FF3A40" w:themeColor="accent1"/>
        </w:rPr>
        <w:t>Poor</w:t>
      </w:r>
      <w:r w:rsidRPr="00EB5005">
        <w:t xml:space="preserve">” </w:t>
      </w:r>
      <w:r>
        <w:t xml:space="preserve">indicates that it is unlikely that a substantial amount of data will be available. </w:t>
      </w:r>
    </w:p>
    <w:p w14:paraId="4DB70CCF" w14:textId="38B65C04" w:rsidR="000F52DD" w:rsidRDefault="000F52DD" w:rsidP="000F52DD">
      <w:pPr>
        <w:pStyle w:val="Caption"/>
      </w:pPr>
      <w:bookmarkStart w:id="98" w:name="_Ref61955757"/>
      <w:bookmarkStart w:id="99" w:name="_Ref61955749"/>
      <w:r>
        <w:t xml:space="preserve">Table </w:t>
      </w:r>
      <w:r>
        <w:fldChar w:fldCharType="begin"/>
      </w:r>
      <w:r>
        <w:instrText xml:space="preserve"> SEQ Table \* ARABIC </w:instrText>
      </w:r>
      <w:r>
        <w:fldChar w:fldCharType="separate"/>
      </w:r>
      <w:r w:rsidR="00DF258C">
        <w:rPr>
          <w:noProof/>
        </w:rPr>
        <w:t>10</w:t>
      </w:r>
      <w:r>
        <w:fldChar w:fldCharType="end"/>
      </w:r>
      <w:bookmarkEnd w:id="98"/>
      <w:r>
        <w:t xml:space="preserve"> | Potential indicators to assess progress against national outcomes</w:t>
      </w:r>
      <w:bookmarkEnd w:id="99"/>
    </w:p>
    <w:tbl>
      <w:tblPr>
        <w:tblStyle w:val="NOUSSideHeader1"/>
        <w:tblW w:w="9776" w:type="dxa"/>
        <w:tblLayout w:type="fixed"/>
        <w:tblLook w:val="0400" w:firstRow="0" w:lastRow="0" w:firstColumn="0" w:lastColumn="0" w:noHBand="0" w:noVBand="1"/>
        <w:tblCaption w:val="Table 10 presents potential indicators to assess progress against national outcomes, as well as the feasability and limtations of these indicators"/>
        <w:tblDescription w:val="- Increased proportion of RACF residents with advance care planning documents (Good). However there are many RACFs facilitate residents with Advance Care Plans and so there may be little change in this indicator. Needs to be considered alongside qualitative assessment of Advance Care Plans.&#10;- Increased effectiveness and use of advance care planning documents within RACFs (Good). The sample of RACFs will be relatively small. Care will be taken to ensure that it is representative of the RACFs across the country who receive support through the Measure. &#10;- Increased number of RACFs that implement quality improvement activities to improve palliative care (Good). This measure will be self-reported by RACFs and will allow identification of the improvement activities.&#10;- Increased number of providers/RACFs participating in the Palliative Care Outcomes Collaboration (PCOC)(Good)&#10;- Increased number of RACF residents who receive palliative care through a service participating in the Palliative Care Outcomes Collaboration (PCOC) (Good). PCOC currently has limited collection of data related to RACFs. (see section 0). This is expected to expand as more services participate in PCOC and engage with RACFs to provide palliative care.&#10;- Increased resident, family and carer access to information on end-of-life care (Good). Will not involve direct measures of access from residents, families or carers. &#10;- Decreased number of complaints received by the Aged Care Quality and Safety Commission from residents and families related to palliative care (Good). Complaints data will need to be interpreted with caution due because of the potential for a skewed sample.&#10;- Increased number of RACFs that have a policy in place and monitored to ensure that all staff (including casuals) uptake available training/education opportunities to improve their understanding about palliative care (Good) &#10;- Increased number of RACFs that access palliative care provided by states/territory specialist services (Good/Intermediate) The extent of state/territory data on the location of specialist palliative care services is still unclear. &#10;- Improved resident experience of dying reported by family/carers (Intermediate). PCA consumer representative group may not contain all perspectives regarding resident experience of dying. &#10;- Increased number of Multidisciplinary Case Conferences by Medical Practitioners (Other Than Specialist or Consultant Physician) - (MBS items 735 to 758) in RACFs (Intermediate). NIHSI-AA is not available in all jurisdictions and has a time-lag of approximate 1 year (i.e. 2018-19 will be released in 2020-21). Standalone MBS data may provide an alternative where NIHSI-AA is not available.&#10;- Decreased number of RACF residents dying in an acute care setting (Intermediate). NIHSI-AA is not available in all jurisdictions and has a time-lag of approximate 1 year (i.e. 2018-19 will be released in 2020-21).&#10;- Increased number of residents who receive subcutaneous medicines associated with palliative care in RACFs (Intermediate). NIHSI-AA is not available in all jurisdictions and has a time-lag of approximate 1 year (i.e. 2018-19 will be released in 2020-21). Expert clinical advice will be needed to identify medicines associated with palliative care from the PBS.&#10;- Increased number of individuals accessing palliative care in RACFs (Intermediate). NIHSI-AA is not available in all jurisdictions and has a time-lag of approximate 1 year (i.e. 2018-19 will be released in 2020-21). Expert guidance will be needed to develop a marker of palliative care from the treatment information included in NIHSI-AA. ACFI assessments involving palliative care are inherently lower than the total number of residential aged care requiring palliative care.&#10;- Decreased number of transfers from RACFs to acute care facilities (Intermediate). NIHSI-AA is not available in all jurisdictions and has a time-lag of approximate 1 year (i.e. 2018-19 will be released in 2020-21). Ambulance data will be a pilot of one jurisdiction (likely Tasmania).&#10;- Decreased number of RACF residents admitted to an acute care facility for palliative care (Intermediate feasability). NIHSI-AA is not available in all jurisdictions and has a time-lag of approximate 1 year (i.e. 2018-19 will be released in 2020-21). Expert clinical advice will be needed to develop a market of admissions related to palliative care within the NIHSI-AA data set. &#10;- Decreased number of inpatient bed days related to palliative care for residents of RACF  has intermediate feasability. The NIHSI-AA is not available in all jurisdictions and has a time-lag of approximate 1 year (i.e. 2018-19 will be released in 2020-21). Expert clinical advice will be needed to develop a market of inpatient bed days related to palliative care within the NIHSI-AA data set.&#10;- Increased completions of accredited courses related to palliative care has intermediate/Poor feasability. There are limited Vocational Education and Training courses focussed on palliative care. AHHA will have data on the number of participants on their Palliative Care Online Training Courses. ELDAC may also be able to provide relevant data."/>
      </w:tblPr>
      <w:tblGrid>
        <w:gridCol w:w="2689"/>
        <w:gridCol w:w="1701"/>
        <w:gridCol w:w="992"/>
        <w:gridCol w:w="3544"/>
        <w:gridCol w:w="850"/>
      </w:tblGrid>
      <w:tr w:rsidR="00441447" w:rsidRPr="00234FF1" w14:paraId="0FE134EA" w14:textId="77777777" w:rsidTr="00441447">
        <w:trPr>
          <w:cnfStyle w:val="000000100000" w:firstRow="0" w:lastRow="0" w:firstColumn="0" w:lastColumn="0" w:oddVBand="0" w:evenVBand="0" w:oddHBand="1" w:evenHBand="0" w:firstRowFirstColumn="0" w:firstRowLastColumn="0" w:lastRowFirstColumn="0" w:lastRowLastColumn="0"/>
          <w:trHeight w:val="20"/>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tcPr>
          <w:p w14:paraId="02733486" w14:textId="77777777" w:rsidR="000F52DD" w:rsidRPr="00925E10" w:rsidRDefault="000F52DD" w:rsidP="00925E10">
            <w:pPr>
              <w:pStyle w:val="TableNheader"/>
              <w:spacing w:before="0" w:after="0"/>
              <w:rPr>
                <w:color w:val="FFFFFF" w:themeColor="background1"/>
                <w:sz w:val="16"/>
                <w:szCs w:val="16"/>
              </w:rPr>
            </w:pPr>
            <w:r w:rsidRPr="00925E10">
              <w:rPr>
                <w:color w:val="FFFFFF" w:themeColor="background1"/>
                <w:sz w:val="16"/>
                <w:szCs w:val="16"/>
              </w:rPr>
              <w:t>Potential indicator(s)</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tcPr>
          <w:p w14:paraId="18B2AB8F" w14:textId="77777777" w:rsidR="000F52DD" w:rsidRPr="00925E10" w:rsidRDefault="000F52DD" w:rsidP="00925E10">
            <w:pPr>
              <w:pStyle w:val="TableNheader"/>
              <w:spacing w:before="0" w:after="0"/>
              <w:rPr>
                <w:color w:val="FFFFFF" w:themeColor="background1"/>
                <w:sz w:val="16"/>
                <w:szCs w:val="16"/>
              </w:rPr>
            </w:pPr>
            <w:r w:rsidRPr="00925E10">
              <w:rPr>
                <w:color w:val="FFFFFF" w:themeColor="background1"/>
                <w:sz w:val="16"/>
                <w:szCs w:val="16"/>
              </w:rPr>
              <w:t>Data source(s)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tcPr>
          <w:p w14:paraId="196C4D3E" w14:textId="77777777" w:rsidR="000F52DD" w:rsidRPr="00441447" w:rsidRDefault="000F52DD" w:rsidP="00925E10">
            <w:pPr>
              <w:pStyle w:val="TableNheader"/>
              <w:spacing w:before="0" w:after="0"/>
              <w:rPr>
                <w:color w:val="FFFFFF" w:themeColor="background1"/>
                <w:sz w:val="16"/>
                <w:szCs w:val="16"/>
              </w:rPr>
            </w:pPr>
            <w:r w:rsidRPr="00441447">
              <w:rPr>
                <w:color w:val="FFFFFF" w:themeColor="background1"/>
                <w:sz w:val="16"/>
                <w:szCs w:val="16"/>
              </w:rPr>
              <w:t>Feasibility</w:t>
            </w:r>
          </w:p>
        </w:tc>
        <w:tc>
          <w:tcPr>
            <w:tcW w:w="35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tcPr>
          <w:p w14:paraId="6ADC0828" w14:textId="77777777" w:rsidR="000F52DD" w:rsidRPr="00925E10" w:rsidRDefault="000F52DD" w:rsidP="00925E10">
            <w:pPr>
              <w:pStyle w:val="TableNheader"/>
              <w:spacing w:before="0" w:after="0"/>
              <w:rPr>
                <w:color w:val="FFFFFF" w:themeColor="background1"/>
                <w:sz w:val="16"/>
                <w:szCs w:val="16"/>
              </w:rPr>
            </w:pPr>
            <w:r w:rsidRPr="00925E10">
              <w:rPr>
                <w:color w:val="FFFFFF" w:themeColor="background1"/>
                <w:sz w:val="16"/>
                <w:szCs w:val="16"/>
              </w:rPr>
              <w:t>Limitations</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64D" w:themeFill="background2"/>
          </w:tcPr>
          <w:p w14:paraId="1631CF0F" w14:textId="77777777" w:rsidR="000F52DD" w:rsidRPr="00925E10" w:rsidRDefault="000F52DD" w:rsidP="00925E10">
            <w:pPr>
              <w:pStyle w:val="TableNheader"/>
              <w:spacing w:before="0" w:after="0"/>
              <w:rPr>
                <w:color w:val="FFFFFF" w:themeColor="background1"/>
                <w:sz w:val="16"/>
                <w:szCs w:val="16"/>
              </w:rPr>
            </w:pPr>
            <w:r w:rsidRPr="00925E10">
              <w:rPr>
                <w:color w:val="FFFFFF" w:themeColor="background1"/>
                <w:sz w:val="16"/>
                <w:szCs w:val="16"/>
              </w:rPr>
              <w:t>Outcome</w:t>
            </w:r>
          </w:p>
        </w:tc>
      </w:tr>
      <w:tr w:rsidR="000F52DD" w:rsidRPr="00234FF1" w14:paraId="5FFA4B27" w14:textId="77777777" w:rsidTr="00441447">
        <w:trPr>
          <w:cnfStyle w:val="000000010000" w:firstRow="0" w:lastRow="0" w:firstColumn="0" w:lastColumn="0" w:oddVBand="0" w:evenVBand="0" w:oddHBand="0" w:evenHBand="1" w:firstRowFirstColumn="0" w:firstRowLastColumn="0" w:lastRowFirstColumn="0" w:lastRowLastColumn="0"/>
          <w:trHeight w:val="20"/>
        </w:trPr>
        <w:tc>
          <w:tcPr>
            <w:tcW w:w="2689" w:type="dxa"/>
          </w:tcPr>
          <w:p w14:paraId="4DB7ACE7" w14:textId="37068C78" w:rsidR="000F52DD" w:rsidRPr="00925E10" w:rsidRDefault="000F52DD" w:rsidP="00925E10">
            <w:pPr>
              <w:pStyle w:val="TableNText"/>
              <w:spacing w:before="0" w:after="0" w:line="240" w:lineRule="auto"/>
              <w:rPr>
                <w:sz w:val="16"/>
                <w:szCs w:val="16"/>
              </w:rPr>
            </w:pPr>
            <w:r w:rsidRPr="00925E10">
              <w:rPr>
                <w:sz w:val="16"/>
                <w:szCs w:val="16"/>
              </w:rPr>
              <w:t>Increased proportion of RACF residents with advance care planning documents (</w:t>
            </w:r>
            <w:proofErr w:type="gramStart"/>
            <w:r w:rsidRPr="00925E10">
              <w:rPr>
                <w:sz w:val="16"/>
                <w:szCs w:val="16"/>
              </w:rPr>
              <w:t>e.g.</w:t>
            </w:r>
            <w:proofErr w:type="gramEnd"/>
            <w:r w:rsidRPr="00925E10">
              <w:rPr>
                <w:sz w:val="16"/>
                <w:szCs w:val="16"/>
              </w:rPr>
              <w:t xml:space="preserve"> Advance Care Plans or Advance Care Directives) </w:t>
            </w:r>
          </w:p>
        </w:tc>
        <w:tc>
          <w:tcPr>
            <w:tcW w:w="1701" w:type="dxa"/>
          </w:tcPr>
          <w:p w14:paraId="1A710717" w14:textId="634B085F" w:rsidR="000F52DD" w:rsidRPr="00925E10" w:rsidRDefault="000F52DD" w:rsidP="00925E10">
            <w:pPr>
              <w:pStyle w:val="TableNBullet"/>
              <w:numPr>
                <w:ilvl w:val="0"/>
                <w:numId w:val="4"/>
              </w:numPr>
              <w:spacing w:before="0" w:after="0"/>
              <w:rPr>
                <w:sz w:val="16"/>
                <w:szCs w:val="16"/>
              </w:rPr>
            </w:pPr>
            <w:r w:rsidRPr="00925E10">
              <w:rPr>
                <w:sz w:val="16"/>
                <w:szCs w:val="16"/>
              </w:rPr>
              <w:t>Survey of sample of RACFs</w:t>
            </w:r>
          </w:p>
        </w:tc>
        <w:tc>
          <w:tcPr>
            <w:tcW w:w="992" w:type="dxa"/>
          </w:tcPr>
          <w:p w14:paraId="7D29C9C7" w14:textId="508D0BB0" w:rsidR="000F52DD" w:rsidRPr="00441447" w:rsidRDefault="000F52DD" w:rsidP="00925E10">
            <w:pPr>
              <w:pStyle w:val="TableNText"/>
              <w:spacing w:before="0" w:after="0" w:line="240" w:lineRule="auto"/>
              <w:rPr>
                <w:sz w:val="14"/>
                <w:szCs w:val="14"/>
              </w:rPr>
            </w:pPr>
            <w:r w:rsidRPr="00441447">
              <w:rPr>
                <w:color w:val="00B050"/>
                <w:sz w:val="14"/>
                <w:szCs w:val="14"/>
              </w:rPr>
              <w:t>Good</w:t>
            </w:r>
          </w:p>
        </w:tc>
        <w:tc>
          <w:tcPr>
            <w:tcW w:w="3544" w:type="dxa"/>
          </w:tcPr>
          <w:p w14:paraId="472EE1FC" w14:textId="59CCBAF6" w:rsidR="000F52DD" w:rsidRPr="00925E10" w:rsidRDefault="000F52DD" w:rsidP="00925E10">
            <w:pPr>
              <w:pStyle w:val="TableNText"/>
              <w:spacing w:before="0" w:after="0" w:line="240" w:lineRule="auto"/>
              <w:rPr>
                <w:sz w:val="16"/>
                <w:szCs w:val="16"/>
              </w:rPr>
            </w:pPr>
            <w:r w:rsidRPr="00925E10">
              <w:rPr>
                <w:sz w:val="16"/>
                <w:szCs w:val="16"/>
              </w:rPr>
              <w:t xml:space="preserve">Many RACFs facilitate residents having </w:t>
            </w:r>
            <w:r w:rsidR="001E7E57" w:rsidRPr="00925E10">
              <w:rPr>
                <w:sz w:val="16"/>
                <w:szCs w:val="16"/>
              </w:rPr>
              <w:t>Advance Care Plans</w:t>
            </w:r>
            <w:r w:rsidRPr="00925E10">
              <w:rPr>
                <w:sz w:val="16"/>
                <w:szCs w:val="16"/>
              </w:rPr>
              <w:t xml:space="preserve"> and so there may be little change in this indicator. Needs to be considered alongside qualitative assessment of Advance Care Plans.</w:t>
            </w:r>
          </w:p>
        </w:tc>
        <w:tc>
          <w:tcPr>
            <w:tcW w:w="850" w:type="dxa"/>
          </w:tcPr>
          <w:p w14:paraId="6CA062C7" w14:textId="606C5413" w:rsidR="000F52DD" w:rsidRPr="00925E10" w:rsidRDefault="000F52DD" w:rsidP="00925E10">
            <w:pPr>
              <w:pStyle w:val="TableNText"/>
              <w:spacing w:before="0" w:after="0" w:line="240" w:lineRule="auto"/>
              <w:rPr>
                <w:sz w:val="16"/>
                <w:szCs w:val="16"/>
              </w:rPr>
            </w:pPr>
            <w:r w:rsidRPr="00925E10">
              <w:rPr>
                <w:sz w:val="16"/>
                <w:szCs w:val="16"/>
              </w:rPr>
              <w:t xml:space="preserve">1,6 </w:t>
            </w:r>
          </w:p>
        </w:tc>
      </w:tr>
      <w:tr w:rsidR="000F52DD" w:rsidRPr="00234FF1" w14:paraId="332451CE" w14:textId="77777777" w:rsidTr="00441447">
        <w:trPr>
          <w:cnfStyle w:val="000000100000" w:firstRow="0" w:lastRow="0" w:firstColumn="0" w:lastColumn="0" w:oddVBand="0" w:evenVBand="0" w:oddHBand="1" w:evenHBand="0" w:firstRowFirstColumn="0" w:firstRowLastColumn="0" w:lastRowFirstColumn="0" w:lastRowLastColumn="0"/>
          <w:trHeight w:val="20"/>
        </w:trPr>
        <w:tc>
          <w:tcPr>
            <w:tcW w:w="2689" w:type="dxa"/>
          </w:tcPr>
          <w:p w14:paraId="2021EF83" w14:textId="36E24774" w:rsidR="000F52DD" w:rsidRPr="00925E10" w:rsidRDefault="000F52DD" w:rsidP="00925E10">
            <w:pPr>
              <w:pStyle w:val="TableNText"/>
              <w:spacing w:before="0" w:after="0" w:line="240" w:lineRule="auto"/>
              <w:rPr>
                <w:sz w:val="16"/>
                <w:szCs w:val="16"/>
              </w:rPr>
            </w:pPr>
            <w:r w:rsidRPr="00925E10">
              <w:rPr>
                <w:sz w:val="16"/>
                <w:szCs w:val="16"/>
              </w:rPr>
              <w:t>Increased effectiveness and use of advance care planning documents (</w:t>
            </w:r>
            <w:proofErr w:type="gramStart"/>
            <w:r w:rsidRPr="00925E10">
              <w:rPr>
                <w:sz w:val="16"/>
                <w:szCs w:val="16"/>
              </w:rPr>
              <w:t>e.g.</w:t>
            </w:r>
            <w:proofErr w:type="gramEnd"/>
            <w:r w:rsidRPr="00925E10">
              <w:rPr>
                <w:sz w:val="16"/>
                <w:szCs w:val="16"/>
              </w:rPr>
              <w:t xml:space="preserve"> Advance Care Plans or Advance Care Directives) within RACFs</w:t>
            </w:r>
          </w:p>
        </w:tc>
        <w:tc>
          <w:tcPr>
            <w:tcW w:w="1701" w:type="dxa"/>
          </w:tcPr>
          <w:p w14:paraId="50EE2DFC" w14:textId="52B935DC" w:rsidR="000F52DD" w:rsidRPr="00925E10" w:rsidRDefault="000F52DD" w:rsidP="00925E10">
            <w:pPr>
              <w:pStyle w:val="TableNBullet"/>
              <w:spacing w:before="0" w:after="0"/>
              <w:rPr>
                <w:sz w:val="16"/>
                <w:szCs w:val="16"/>
              </w:rPr>
            </w:pPr>
            <w:r w:rsidRPr="00925E10">
              <w:rPr>
                <w:sz w:val="16"/>
                <w:szCs w:val="16"/>
              </w:rPr>
              <w:t>Qualitative assessment through consultation with sample of RACFs</w:t>
            </w:r>
          </w:p>
        </w:tc>
        <w:tc>
          <w:tcPr>
            <w:tcW w:w="992" w:type="dxa"/>
          </w:tcPr>
          <w:p w14:paraId="5C66FBA1" w14:textId="0CF40BAD" w:rsidR="000F52DD" w:rsidRPr="00441447" w:rsidRDefault="000F52DD" w:rsidP="00925E10">
            <w:pPr>
              <w:pStyle w:val="TableNText"/>
              <w:spacing w:before="0" w:after="0" w:line="240" w:lineRule="auto"/>
              <w:rPr>
                <w:color w:val="00B050"/>
                <w:sz w:val="14"/>
                <w:szCs w:val="14"/>
              </w:rPr>
            </w:pPr>
            <w:r w:rsidRPr="00441447">
              <w:rPr>
                <w:color w:val="00B050"/>
                <w:sz w:val="14"/>
                <w:szCs w:val="14"/>
              </w:rPr>
              <w:t>Good</w:t>
            </w:r>
          </w:p>
        </w:tc>
        <w:tc>
          <w:tcPr>
            <w:tcW w:w="3544" w:type="dxa"/>
          </w:tcPr>
          <w:p w14:paraId="75D03C95" w14:textId="09709A88" w:rsidR="000F52DD" w:rsidRPr="00925E10" w:rsidRDefault="000F52DD" w:rsidP="00925E10">
            <w:pPr>
              <w:pStyle w:val="TableNText"/>
              <w:spacing w:before="0" w:after="0" w:line="240" w:lineRule="auto"/>
              <w:rPr>
                <w:sz w:val="16"/>
                <w:szCs w:val="16"/>
              </w:rPr>
            </w:pPr>
            <w:r w:rsidRPr="00925E10">
              <w:rPr>
                <w:sz w:val="16"/>
                <w:szCs w:val="16"/>
              </w:rPr>
              <w:t xml:space="preserve">Sample of RACFs will be relatively small. Care will be taken to ensure that it is representative of the RACFs across the country who receive support through the Measure. </w:t>
            </w:r>
          </w:p>
        </w:tc>
        <w:tc>
          <w:tcPr>
            <w:tcW w:w="850" w:type="dxa"/>
          </w:tcPr>
          <w:p w14:paraId="50B10BF3" w14:textId="3FE50D1A" w:rsidR="000F52DD" w:rsidRPr="00925E10" w:rsidRDefault="000F52DD" w:rsidP="00925E10">
            <w:pPr>
              <w:pStyle w:val="TableNText"/>
              <w:spacing w:before="0" w:after="0" w:line="240" w:lineRule="auto"/>
              <w:rPr>
                <w:sz w:val="16"/>
                <w:szCs w:val="16"/>
              </w:rPr>
            </w:pPr>
            <w:r w:rsidRPr="00925E10">
              <w:rPr>
                <w:sz w:val="16"/>
                <w:szCs w:val="16"/>
              </w:rPr>
              <w:t>1, 6</w:t>
            </w:r>
          </w:p>
        </w:tc>
      </w:tr>
      <w:tr w:rsidR="000F52DD" w:rsidRPr="00234FF1" w14:paraId="7E85E654" w14:textId="77777777" w:rsidTr="00441447">
        <w:trPr>
          <w:cnfStyle w:val="000000010000" w:firstRow="0" w:lastRow="0" w:firstColumn="0" w:lastColumn="0" w:oddVBand="0" w:evenVBand="0" w:oddHBand="0" w:evenHBand="1" w:firstRowFirstColumn="0" w:firstRowLastColumn="0" w:lastRowFirstColumn="0" w:lastRowLastColumn="0"/>
          <w:trHeight w:val="20"/>
        </w:trPr>
        <w:tc>
          <w:tcPr>
            <w:tcW w:w="2689" w:type="dxa"/>
          </w:tcPr>
          <w:p w14:paraId="11A055CD" w14:textId="3E34FD77" w:rsidR="000F52DD" w:rsidRPr="00925E10" w:rsidRDefault="000F52DD" w:rsidP="00925E10">
            <w:pPr>
              <w:pStyle w:val="TableNText"/>
              <w:spacing w:before="0" w:after="0" w:line="240" w:lineRule="auto"/>
              <w:rPr>
                <w:sz w:val="16"/>
                <w:szCs w:val="16"/>
              </w:rPr>
            </w:pPr>
            <w:r w:rsidRPr="00925E10">
              <w:rPr>
                <w:sz w:val="16"/>
                <w:szCs w:val="16"/>
              </w:rPr>
              <w:t>Increased number of RACFs that implement quality improvement activities to improve palliative care</w:t>
            </w:r>
          </w:p>
        </w:tc>
        <w:tc>
          <w:tcPr>
            <w:tcW w:w="1701" w:type="dxa"/>
          </w:tcPr>
          <w:p w14:paraId="4F0851AB" w14:textId="11ECA124" w:rsidR="000F52DD" w:rsidRPr="00925E10" w:rsidRDefault="000F52DD" w:rsidP="00925E10">
            <w:pPr>
              <w:pStyle w:val="TableNBullet"/>
              <w:spacing w:before="0" w:after="0"/>
              <w:rPr>
                <w:sz w:val="16"/>
                <w:szCs w:val="16"/>
              </w:rPr>
            </w:pPr>
            <w:r w:rsidRPr="00925E10">
              <w:rPr>
                <w:sz w:val="16"/>
                <w:szCs w:val="16"/>
              </w:rPr>
              <w:t>Survey of sample of RACFs</w:t>
            </w:r>
          </w:p>
        </w:tc>
        <w:tc>
          <w:tcPr>
            <w:tcW w:w="992" w:type="dxa"/>
          </w:tcPr>
          <w:p w14:paraId="0D31EFCE" w14:textId="3DEE8C90" w:rsidR="000F52DD" w:rsidRPr="00441447" w:rsidRDefault="000F52DD" w:rsidP="00925E10">
            <w:pPr>
              <w:pStyle w:val="TableNText"/>
              <w:spacing w:before="0" w:after="0" w:line="240" w:lineRule="auto"/>
              <w:rPr>
                <w:sz w:val="14"/>
                <w:szCs w:val="14"/>
              </w:rPr>
            </w:pPr>
            <w:r w:rsidRPr="00441447">
              <w:rPr>
                <w:color w:val="00B050"/>
                <w:sz w:val="14"/>
                <w:szCs w:val="14"/>
              </w:rPr>
              <w:t>Good</w:t>
            </w:r>
          </w:p>
        </w:tc>
        <w:tc>
          <w:tcPr>
            <w:tcW w:w="3544" w:type="dxa"/>
          </w:tcPr>
          <w:p w14:paraId="4FC96DC7" w14:textId="039349C8" w:rsidR="000F52DD" w:rsidRPr="00925E10" w:rsidRDefault="000F52DD" w:rsidP="00925E10">
            <w:pPr>
              <w:pStyle w:val="TableNText"/>
              <w:spacing w:before="0" w:after="0" w:line="240" w:lineRule="auto"/>
              <w:rPr>
                <w:sz w:val="16"/>
                <w:szCs w:val="16"/>
              </w:rPr>
            </w:pPr>
            <w:r w:rsidRPr="00925E10">
              <w:rPr>
                <w:sz w:val="16"/>
                <w:szCs w:val="16"/>
              </w:rPr>
              <w:t>This measure will be self-reported by RACFs and will allow identification of the improvement activities</w:t>
            </w:r>
          </w:p>
        </w:tc>
        <w:tc>
          <w:tcPr>
            <w:tcW w:w="850" w:type="dxa"/>
          </w:tcPr>
          <w:p w14:paraId="7D85511E" w14:textId="44822C7D" w:rsidR="000F52DD" w:rsidRPr="00925E10" w:rsidRDefault="000F52DD" w:rsidP="00925E10">
            <w:pPr>
              <w:pStyle w:val="TableNText"/>
              <w:spacing w:before="0" w:after="0" w:line="240" w:lineRule="auto"/>
              <w:rPr>
                <w:sz w:val="16"/>
                <w:szCs w:val="16"/>
              </w:rPr>
            </w:pPr>
            <w:r w:rsidRPr="00925E10">
              <w:rPr>
                <w:sz w:val="16"/>
                <w:szCs w:val="16"/>
              </w:rPr>
              <w:t>10</w:t>
            </w:r>
          </w:p>
        </w:tc>
      </w:tr>
      <w:tr w:rsidR="000F52DD" w:rsidRPr="00234FF1" w14:paraId="7742290A" w14:textId="77777777" w:rsidTr="00441447">
        <w:trPr>
          <w:cnfStyle w:val="000000100000" w:firstRow="0" w:lastRow="0" w:firstColumn="0" w:lastColumn="0" w:oddVBand="0" w:evenVBand="0" w:oddHBand="1" w:evenHBand="0" w:firstRowFirstColumn="0" w:firstRowLastColumn="0" w:lastRowFirstColumn="0" w:lastRowLastColumn="0"/>
          <w:trHeight w:val="20"/>
        </w:trPr>
        <w:tc>
          <w:tcPr>
            <w:tcW w:w="2689" w:type="dxa"/>
          </w:tcPr>
          <w:p w14:paraId="71E21D39" w14:textId="57ED63F5" w:rsidR="000F52DD" w:rsidRPr="00925E10" w:rsidRDefault="00410BAF" w:rsidP="00925E10">
            <w:pPr>
              <w:pStyle w:val="TableNText"/>
              <w:spacing w:before="0" w:after="0" w:line="240" w:lineRule="auto"/>
              <w:rPr>
                <w:sz w:val="16"/>
                <w:szCs w:val="16"/>
              </w:rPr>
            </w:pPr>
            <w:r w:rsidRPr="00925E10">
              <w:rPr>
                <w:sz w:val="16"/>
                <w:szCs w:val="16"/>
              </w:rPr>
              <w:t>Increased number of providers/RACFs participating in</w:t>
            </w:r>
            <w:r w:rsidR="000F52DD" w:rsidRPr="00925E10">
              <w:rPr>
                <w:sz w:val="16"/>
                <w:szCs w:val="16"/>
              </w:rPr>
              <w:t xml:space="preserve"> the Palliative Care Outcomes Collaboration (PCOC)</w:t>
            </w:r>
          </w:p>
          <w:p w14:paraId="0A880587" w14:textId="77777777" w:rsidR="000F52DD" w:rsidRPr="00925E10" w:rsidRDefault="000F52DD" w:rsidP="00925E10">
            <w:pPr>
              <w:pStyle w:val="TableNText"/>
              <w:spacing w:before="0" w:after="0" w:line="240" w:lineRule="auto"/>
              <w:rPr>
                <w:sz w:val="16"/>
                <w:szCs w:val="16"/>
              </w:rPr>
            </w:pPr>
          </w:p>
        </w:tc>
        <w:tc>
          <w:tcPr>
            <w:tcW w:w="1701" w:type="dxa"/>
          </w:tcPr>
          <w:p w14:paraId="1F48BC39" w14:textId="50F17F0A" w:rsidR="000F52DD" w:rsidRPr="00925E10" w:rsidRDefault="000F52DD" w:rsidP="00925E10">
            <w:pPr>
              <w:pStyle w:val="TableNBullet"/>
              <w:spacing w:before="0" w:after="0"/>
              <w:rPr>
                <w:sz w:val="16"/>
                <w:szCs w:val="16"/>
              </w:rPr>
            </w:pPr>
            <w:r w:rsidRPr="00925E10">
              <w:rPr>
                <w:sz w:val="16"/>
                <w:szCs w:val="16"/>
              </w:rPr>
              <w:t>PCOC</w:t>
            </w:r>
          </w:p>
        </w:tc>
        <w:tc>
          <w:tcPr>
            <w:tcW w:w="992" w:type="dxa"/>
          </w:tcPr>
          <w:p w14:paraId="4469A8AE" w14:textId="5BA39559" w:rsidR="000F52DD" w:rsidRPr="00441447" w:rsidRDefault="000F52DD" w:rsidP="00925E10">
            <w:pPr>
              <w:pStyle w:val="TableNText"/>
              <w:spacing w:before="0" w:after="0" w:line="240" w:lineRule="auto"/>
              <w:rPr>
                <w:color w:val="00B050"/>
                <w:sz w:val="14"/>
                <w:szCs w:val="14"/>
              </w:rPr>
            </w:pPr>
            <w:r w:rsidRPr="00441447">
              <w:rPr>
                <w:color w:val="00B050"/>
                <w:sz w:val="14"/>
                <w:szCs w:val="14"/>
              </w:rPr>
              <w:t>Good</w:t>
            </w:r>
          </w:p>
        </w:tc>
        <w:tc>
          <w:tcPr>
            <w:tcW w:w="3544" w:type="dxa"/>
          </w:tcPr>
          <w:p w14:paraId="2478EA1D" w14:textId="77777777" w:rsidR="000F52DD" w:rsidRPr="00925E10" w:rsidRDefault="000F52DD" w:rsidP="00925E10">
            <w:pPr>
              <w:pStyle w:val="TableNText"/>
              <w:spacing w:before="0" w:after="0" w:line="240" w:lineRule="auto"/>
              <w:rPr>
                <w:sz w:val="16"/>
                <w:szCs w:val="16"/>
              </w:rPr>
            </w:pPr>
          </w:p>
        </w:tc>
        <w:tc>
          <w:tcPr>
            <w:tcW w:w="850" w:type="dxa"/>
          </w:tcPr>
          <w:p w14:paraId="4DBA1847" w14:textId="2DA554B2" w:rsidR="000F52DD" w:rsidRPr="00925E10" w:rsidRDefault="000F52DD" w:rsidP="00925E10">
            <w:pPr>
              <w:pStyle w:val="TableNText"/>
              <w:spacing w:before="0" w:after="0" w:line="240" w:lineRule="auto"/>
              <w:rPr>
                <w:sz w:val="16"/>
                <w:szCs w:val="16"/>
              </w:rPr>
            </w:pPr>
            <w:r w:rsidRPr="00925E10">
              <w:rPr>
                <w:sz w:val="16"/>
                <w:szCs w:val="16"/>
              </w:rPr>
              <w:t>5, 9</w:t>
            </w:r>
          </w:p>
        </w:tc>
      </w:tr>
      <w:tr w:rsidR="00ED7658" w:rsidRPr="00925E10" w14:paraId="66F66308" w14:textId="77777777" w:rsidTr="00441447">
        <w:trPr>
          <w:cnfStyle w:val="000000010000" w:firstRow="0" w:lastRow="0" w:firstColumn="0" w:lastColumn="0" w:oddVBand="0" w:evenVBand="0" w:oddHBand="0" w:evenHBand="1" w:firstRowFirstColumn="0" w:firstRowLastColumn="0" w:lastRowFirstColumn="0" w:lastRowLastColumn="0"/>
          <w:trHeight w:val="20"/>
        </w:trPr>
        <w:tc>
          <w:tcPr>
            <w:tcW w:w="2689" w:type="dxa"/>
          </w:tcPr>
          <w:p w14:paraId="4EC5F895" w14:textId="783C6162" w:rsidR="00ED7658" w:rsidRPr="00925E10" w:rsidRDefault="00ED7658" w:rsidP="00925E10">
            <w:pPr>
              <w:pStyle w:val="TableNText"/>
              <w:spacing w:before="0" w:after="0" w:line="240" w:lineRule="auto"/>
              <w:rPr>
                <w:sz w:val="16"/>
                <w:szCs w:val="16"/>
              </w:rPr>
            </w:pPr>
            <w:r w:rsidRPr="00925E10">
              <w:rPr>
                <w:sz w:val="16"/>
                <w:szCs w:val="16"/>
              </w:rPr>
              <w:t>Increase</w:t>
            </w:r>
            <w:r w:rsidR="005774AE" w:rsidRPr="00925E10">
              <w:rPr>
                <w:sz w:val="16"/>
                <w:szCs w:val="16"/>
              </w:rPr>
              <w:t>d</w:t>
            </w:r>
            <w:r w:rsidRPr="00925E10">
              <w:rPr>
                <w:sz w:val="16"/>
                <w:szCs w:val="16"/>
              </w:rPr>
              <w:t xml:space="preserve"> number of </w:t>
            </w:r>
            <w:r w:rsidR="00CC6AC2" w:rsidRPr="00925E10">
              <w:rPr>
                <w:sz w:val="16"/>
                <w:szCs w:val="16"/>
              </w:rPr>
              <w:t xml:space="preserve">RACF residents who receive palliative care through a service </w:t>
            </w:r>
            <w:r w:rsidR="00C248D7" w:rsidRPr="00925E10">
              <w:rPr>
                <w:sz w:val="16"/>
                <w:szCs w:val="16"/>
              </w:rPr>
              <w:t>participating in the Palliative Care Outcomes Collaboration (PCOC)</w:t>
            </w:r>
          </w:p>
        </w:tc>
        <w:tc>
          <w:tcPr>
            <w:tcW w:w="1701" w:type="dxa"/>
          </w:tcPr>
          <w:p w14:paraId="1BDE4931" w14:textId="3FB696E5" w:rsidR="00ED7658" w:rsidRPr="00925E10" w:rsidRDefault="00C248D7" w:rsidP="00925E10">
            <w:pPr>
              <w:pStyle w:val="TableNBullet"/>
              <w:spacing w:before="0" w:after="0"/>
              <w:rPr>
                <w:sz w:val="16"/>
                <w:szCs w:val="16"/>
              </w:rPr>
            </w:pPr>
            <w:r w:rsidRPr="00925E10">
              <w:rPr>
                <w:sz w:val="16"/>
                <w:szCs w:val="16"/>
              </w:rPr>
              <w:t>PCOC</w:t>
            </w:r>
          </w:p>
        </w:tc>
        <w:tc>
          <w:tcPr>
            <w:tcW w:w="992" w:type="dxa"/>
          </w:tcPr>
          <w:p w14:paraId="39AAA735" w14:textId="3097B6F4" w:rsidR="00ED7658" w:rsidRPr="00441447" w:rsidRDefault="00C248D7" w:rsidP="00925E10">
            <w:pPr>
              <w:pStyle w:val="TableNText"/>
              <w:spacing w:before="0" w:after="0" w:line="240" w:lineRule="auto"/>
              <w:rPr>
                <w:color w:val="00B050"/>
                <w:sz w:val="14"/>
                <w:szCs w:val="14"/>
              </w:rPr>
            </w:pPr>
            <w:r w:rsidRPr="00441447">
              <w:rPr>
                <w:color w:val="00B050"/>
                <w:sz w:val="14"/>
                <w:szCs w:val="14"/>
              </w:rPr>
              <w:t>Good</w:t>
            </w:r>
          </w:p>
        </w:tc>
        <w:tc>
          <w:tcPr>
            <w:tcW w:w="3544" w:type="dxa"/>
          </w:tcPr>
          <w:p w14:paraId="62DD5DE4" w14:textId="501F49B5" w:rsidR="00ED7658" w:rsidRPr="00925E10" w:rsidRDefault="00C248D7" w:rsidP="00925E10">
            <w:pPr>
              <w:pStyle w:val="TableNText"/>
              <w:spacing w:before="0" w:after="0" w:line="240" w:lineRule="auto"/>
              <w:rPr>
                <w:sz w:val="16"/>
                <w:szCs w:val="16"/>
              </w:rPr>
            </w:pPr>
            <w:r w:rsidRPr="00925E10">
              <w:rPr>
                <w:sz w:val="16"/>
                <w:szCs w:val="16"/>
              </w:rPr>
              <w:t xml:space="preserve">PCOC </w:t>
            </w:r>
            <w:r w:rsidR="00283D12" w:rsidRPr="00925E10">
              <w:rPr>
                <w:sz w:val="16"/>
                <w:szCs w:val="16"/>
              </w:rPr>
              <w:t xml:space="preserve">currently </w:t>
            </w:r>
            <w:r w:rsidRPr="00925E10">
              <w:rPr>
                <w:sz w:val="16"/>
                <w:szCs w:val="16"/>
              </w:rPr>
              <w:t xml:space="preserve">has limited collection of </w:t>
            </w:r>
            <w:r w:rsidR="00727519" w:rsidRPr="00925E10">
              <w:rPr>
                <w:sz w:val="16"/>
                <w:szCs w:val="16"/>
              </w:rPr>
              <w:t>data related to RACFs.</w:t>
            </w:r>
            <w:r w:rsidR="00283D12" w:rsidRPr="00925E10">
              <w:rPr>
                <w:sz w:val="16"/>
                <w:szCs w:val="16"/>
              </w:rPr>
              <w:t xml:space="preserve"> (</w:t>
            </w:r>
            <w:proofErr w:type="gramStart"/>
            <w:r w:rsidR="00283D12" w:rsidRPr="00925E10">
              <w:rPr>
                <w:sz w:val="16"/>
                <w:szCs w:val="16"/>
              </w:rPr>
              <w:t>see</w:t>
            </w:r>
            <w:proofErr w:type="gramEnd"/>
            <w:r w:rsidR="00283D12" w:rsidRPr="00925E10">
              <w:rPr>
                <w:sz w:val="16"/>
                <w:szCs w:val="16"/>
              </w:rPr>
              <w:t xml:space="preserve"> section </w:t>
            </w:r>
            <w:r w:rsidR="00283D12" w:rsidRPr="00925E10">
              <w:rPr>
                <w:sz w:val="16"/>
                <w:szCs w:val="16"/>
              </w:rPr>
              <w:fldChar w:fldCharType="begin"/>
            </w:r>
            <w:r w:rsidR="00283D12" w:rsidRPr="00925E10">
              <w:rPr>
                <w:sz w:val="16"/>
                <w:szCs w:val="16"/>
              </w:rPr>
              <w:instrText xml:space="preserve"> REF _Ref62134577 \r \h </w:instrText>
            </w:r>
            <w:r w:rsidR="00C478BC" w:rsidRPr="00925E10">
              <w:rPr>
                <w:sz w:val="16"/>
                <w:szCs w:val="16"/>
              </w:rPr>
              <w:instrText xml:space="preserve"> \* MERGEFORMAT </w:instrText>
            </w:r>
            <w:r w:rsidR="00283D12" w:rsidRPr="00925E10">
              <w:rPr>
                <w:sz w:val="16"/>
                <w:szCs w:val="16"/>
              </w:rPr>
            </w:r>
            <w:r w:rsidR="00283D12" w:rsidRPr="00925E10">
              <w:rPr>
                <w:sz w:val="16"/>
                <w:szCs w:val="16"/>
              </w:rPr>
              <w:fldChar w:fldCharType="separate"/>
            </w:r>
            <w:r w:rsidR="00DF258C">
              <w:rPr>
                <w:sz w:val="16"/>
                <w:szCs w:val="16"/>
              </w:rPr>
              <w:t>0</w:t>
            </w:r>
            <w:r w:rsidR="00283D12" w:rsidRPr="00925E10">
              <w:rPr>
                <w:sz w:val="16"/>
                <w:szCs w:val="16"/>
              </w:rPr>
              <w:fldChar w:fldCharType="end"/>
            </w:r>
            <w:r w:rsidR="00283D12" w:rsidRPr="00925E10">
              <w:rPr>
                <w:sz w:val="16"/>
                <w:szCs w:val="16"/>
              </w:rPr>
              <w:t>). This is expected to expand as more services participate in PCOC and engage</w:t>
            </w:r>
            <w:r w:rsidR="00071CB8" w:rsidRPr="00925E10">
              <w:rPr>
                <w:sz w:val="16"/>
                <w:szCs w:val="16"/>
              </w:rPr>
              <w:t xml:space="preserve"> with RACFs to provide </w:t>
            </w:r>
            <w:r w:rsidR="005A122A" w:rsidRPr="00925E10">
              <w:rPr>
                <w:sz w:val="16"/>
                <w:szCs w:val="16"/>
              </w:rPr>
              <w:t xml:space="preserve">palliative care. </w:t>
            </w:r>
          </w:p>
        </w:tc>
        <w:tc>
          <w:tcPr>
            <w:tcW w:w="850" w:type="dxa"/>
          </w:tcPr>
          <w:p w14:paraId="6167D229" w14:textId="1EC36611" w:rsidR="00ED7658" w:rsidRPr="00925E10" w:rsidRDefault="00283D12" w:rsidP="00925E10">
            <w:pPr>
              <w:pStyle w:val="TableNText"/>
              <w:spacing w:before="0" w:after="0" w:line="240" w:lineRule="auto"/>
              <w:rPr>
                <w:sz w:val="16"/>
                <w:szCs w:val="16"/>
              </w:rPr>
            </w:pPr>
            <w:r w:rsidRPr="00925E10">
              <w:rPr>
                <w:sz w:val="16"/>
                <w:szCs w:val="16"/>
              </w:rPr>
              <w:t>4, 5</w:t>
            </w:r>
          </w:p>
        </w:tc>
      </w:tr>
      <w:tr w:rsidR="000F52DD" w:rsidRPr="00234FF1" w14:paraId="226E9C81" w14:textId="77777777" w:rsidTr="00441447">
        <w:trPr>
          <w:cnfStyle w:val="000000100000" w:firstRow="0" w:lastRow="0" w:firstColumn="0" w:lastColumn="0" w:oddVBand="0" w:evenVBand="0" w:oddHBand="1" w:evenHBand="0" w:firstRowFirstColumn="0" w:firstRowLastColumn="0" w:lastRowFirstColumn="0" w:lastRowLastColumn="0"/>
          <w:trHeight w:val="20"/>
        </w:trPr>
        <w:tc>
          <w:tcPr>
            <w:tcW w:w="2689" w:type="dxa"/>
          </w:tcPr>
          <w:p w14:paraId="402D6F40" w14:textId="3AAEF094" w:rsidR="000F52DD" w:rsidRPr="00925E10" w:rsidRDefault="000F52DD" w:rsidP="00925E10">
            <w:pPr>
              <w:pStyle w:val="TableNText"/>
              <w:spacing w:before="0" w:after="0" w:line="240" w:lineRule="auto"/>
              <w:rPr>
                <w:sz w:val="16"/>
                <w:szCs w:val="16"/>
              </w:rPr>
            </w:pPr>
            <w:r w:rsidRPr="00925E10">
              <w:rPr>
                <w:sz w:val="16"/>
                <w:szCs w:val="16"/>
              </w:rPr>
              <w:t xml:space="preserve">Increased resident, </w:t>
            </w:r>
            <w:proofErr w:type="gramStart"/>
            <w:r w:rsidRPr="00925E10">
              <w:rPr>
                <w:sz w:val="16"/>
                <w:szCs w:val="16"/>
              </w:rPr>
              <w:t>family</w:t>
            </w:r>
            <w:proofErr w:type="gramEnd"/>
            <w:r w:rsidRPr="00925E10">
              <w:rPr>
                <w:sz w:val="16"/>
                <w:szCs w:val="16"/>
              </w:rPr>
              <w:t xml:space="preserve"> and carer access to information on end-of-life care</w:t>
            </w:r>
          </w:p>
        </w:tc>
        <w:tc>
          <w:tcPr>
            <w:tcW w:w="1701" w:type="dxa"/>
          </w:tcPr>
          <w:p w14:paraId="2A11C597" w14:textId="77777777" w:rsidR="000F52DD" w:rsidRPr="00925E10" w:rsidRDefault="000F52DD" w:rsidP="00925E10">
            <w:pPr>
              <w:pStyle w:val="TableNBullet"/>
              <w:numPr>
                <w:ilvl w:val="0"/>
                <w:numId w:val="4"/>
              </w:numPr>
              <w:spacing w:before="0" w:after="0"/>
              <w:rPr>
                <w:sz w:val="16"/>
                <w:szCs w:val="16"/>
              </w:rPr>
            </w:pPr>
            <w:r w:rsidRPr="00925E10">
              <w:rPr>
                <w:sz w:val="16"/>
                <w:szCs w:val="16"/>
              </w:rPr>
              <w:t>Qualitative assessment through consultation (PCA</w:t>
            </w:r>
            <w:r w:rsidRPr="00925E10">
              <w:rPr>
                <w:rStyle w:val="FootnoteReference"/>
                <w:sz w:val="16"/>
                <w:szCs w:val="16"/>
              </w:rPr>
              <w:footnoteReference w:id="20"/>
            </w:r>
            <w:r w:rsidRPr="00925E10">
              <w:rPr>
                <w:sz w:val="16"/>
                <w:szCs w:val="16"/>
                <w:vertAlign w:val="superscript"/>
              </w:rPr>
              <w:t xml:space="preserve"> </w:t>
            </w:r>
            <w:r w:rsidRPr="00925E10">
              <w:rPr>
                <w:sz w:val="16"/>
                <w:szCs w:val="16"/>
              </w:rPr>
              <w:t>and state/territory health departments)</w:t>
            </w:r>
          </w:p>
          <w:p w14:paraId="06D5F572" w14:textId="64503548" w:rsidR="000F52DD" w:rsidRPr="00925E10" w:rsidRDefault="000F52DD" w:rsidP="00925E10">
            <w:pPr>
              <w:pStyle w:val="TableNBullet"/>
              <w:spacing w:before="0" w:after="0"/>
              <w:rPr>
                <w:sz w:val="16"/>
                <w:szCs w:val="16"/>
              </w:rPr>
            </w:pPr>
            <w:r w:rsidRPr="00925E10">
              <w:rPr>
                <w:sz w:val="16"/>
                <w:szCs w:val="16"/>
              </w:rPr>
              <w:t>Desktop research</w:t>
            </w:r>
          </w:p>
        </w:tc>
        <w:tc>
          <w:tcPr>
            <w:tcW w:w="992" w:type="dxa"/>
          </w:tcPr>
          <w:p w14:paraId="5935C3BF" w14:textId="7418EAFD" w:rsidR="000F52DD" w:rsidRPr="00441447" w:rsidRDefault="000F52DD" w:rsidP="00925E10">
            <w:pPr>
              <w:pStyle w:val="TableNText"/>
              <w:spacing w:before="0" w:after="0" w:line="240" w:lineRule="auto"/>
              <w:rPr>
                <w:color w:val="00B050"/>
                <w:sz w:val="14"/>
                <w:szCs w:val="14"/>
              </w:rPr>
            </w:pPr>
            <w:r w:rsidRPr="00441447">
              <w:rPr>
                <w:color w:val="00B050"/>
                <w:sz w:val="14"/>
                <w:szCs w:val="14"/>
              </w:rPr>
              <w:t>Good</w:t>
            </w:r>
          </w:p>
        </w:tc>
        <w:tc>
          <w:tcPr>
            <w:tcW w:w="3544" w:type="dxa"/>
          </w:tcPr>
          <w:p w14:paraId="7EA34C1A" w14:textId="7AFBD1F6" w:rsidR="000F52DD" w:rsidRPr="00925E10" w:rsidRDefault="000F52DD" w:rsidP="00925E10">
            <w:pPr>
              <w:pStyle w:val="TableNText"/>
              <w:spacing w:before="0" w:after="0" w:line="240" w:lineRule="auto"/>
              <w:rPr>
                <w:sz w:val="16"/>
                <w:szCs w:val="16"/>
              </w:rPr>
            </w:pPr>
            <w:r w:rsidRPr="00925E10">
              <w:rPr>
                <w:sz w:val="16"/>
                <w:szCs w:val="16"/>
              </w:rPr>
              <w:t xml:space="preserve">Will not involve direct measures of access from residents, </w:t>
            </w:r>
            <w:proofErr w:type="gramStart"/>
            <w:r w:rsidRPr="00925E10">
              <w:rPr>
                <w:sz w:val="16"/>
                <w:szCs w:val="16"/>
              </w:rPr>
              <w:t>families</w:t>
            </w:r>
            <w:proofErr w:type="gramEnd"/>
            <w:r w:rsidRPr="00925E10">
              <w:rPr>
                <w:sz w:val="16"/>
                <w:szCs w:val="16"/>
              </w:rPr>
              <w:t xml:space="preserve"> or carers. </w:t>
            </w:r>
          </w:p>
        </w:tc>
        <w:tc>
          <w:tcPr>
            <w:tcW w:w="850" w:type="dxa"/>
          </w:tcPr>
          <w:p w14:paraId="59AB79DB" w14:textId="29B2B37E" w:rsidR="000F52DD" w:rsidRPr="00925E10" w:rsidRDefault="000F52DD" w:rsidP="00925E10">
            <w:pPr>
              <w:pStyle w:val="TableNText"/>
              <w:spacing w:before="0" w:after="0" w:line="240" w:lineRule="auto"/>
              <w:rPr>
                <w:sz w:val="16"/>
                <w:szCs w:val="16"/>
              </w:rPr>
            </w:pPr>
            <w:r w:rsidRPr="00925E10">
              <w:rPr>
                <w:sz w:val="16"/>
                <w:szCs w:val="16"/>
              </w:rPr>
              <w:t>2</w:t>
            </w:r>
          </w:p>
        </w:tc>
      </w:tr>
      <w:tr w:rsidR="000F52DD" w:rsidRPr="00234FF1" w14:paraId="07BA8A2E" w14:textId="77777777" w:rsidTr="00441447">
        <w:trPr>
          <w:cnfStyle w:val="000000010000" w:firstRow="0" w:lastRow="0" w:firstColumn="0" w:lastColumn="0" w:oddVBand="0" w:evenVBand="0" w:oddHBand="0" w:evenHBand="1" w:firstRowFirstColumn="0" w:firstRowLastColumn="0" w:lastRowFirstColumn="0" w:lastRowLastColumn="0"/>
          <w:trHeight w:val="20"/>
        </w:trPr>
        <w:tc>
          <w:tcPr>
            <w:tcW w:w="2689" w:type="dxa"/>
          </w:tcPr>
          <w:p w14:paraId="0876C175" w14:textId="479CBC9E" w:rsidR="000F52DD" w:rsidRPr="00925E10" w:rsidRDefault="000F52DD" w:rsidP="00925E10">
            <w:pPr>
              <w:pStyle w:val="TableNText"/>
              <w:spacing w:before="0" w:after="0" w:line="240" w:lineRule="auto"/>
              <w:rPr>
                <w:sz w:val="16"/>
                <w:szCs w:val="16"/>
              </w:rPr>
            </w:pPr>
            <w:r w:rsidRPr="00925E10">
              <w:rPr>
                <w:sz w:val="16"/>
                <w:szCs w:val="16"/>
              </w:rPr>
              <w:t>Decreased number of complaints received by the Aged Care Quality and Safety Commission from residents and families related to palliative care</w:t>
            </w:r>
          </w:p>
        </w:tc>
        <w:tc>
          <w:tcPr>
            <w:tcW w:w="1701" w:type="dxa"/>
          </w:tcPr>
          <w:p w14:paraId="4EE848A5" w14:textId="62FCDD0D" w:rsidR="000F52DD" w:rsidRPr="00925E10" w:rsidRDefault="000F52DD" w:rsidP="00925E10">
            <w:pPr>
              <w:pStyle w:val="TableNBullet"/>
              <w:spacing w:before="0" w:after="0"/>
              <w:rPr>
                <w:sz w:val="16"/>
                <w:szCs w:val="16"/>
              </w:rPr>
            </w:pPr>
            <w:r w:rsidRPr="00925E10">
              <w:rPr>
                <w:sz w:val="16"/>
                <w:szCs w:val="16"/>
              </w:rPr>
              <w:t xml:space="preserve">Aged Care Quality and Safety Commission </w:t>
            </w:r>
            <w:r w:rsidRPr="00925E10">
              <w:rPr>
                <w:sz w:val="16"/>
                <w:szCs w:val="16"/>
              </w:rPr>
              <w:lastRenderedPageBreak/>
              <w:t>through the Department</w:t>
            </w:r>
          </w:p>
        </w:tc>
        <w:tc>
          <w:tcPr>
            <w:tcW w:w="992" w:type="dxa"/>
          </w:tcPr>
          <w:p w14:paraId="4037C30C" w14:textId="19B92BE5" w:rsidR="000F52DD" w:rsidRPr="00441447" w:rsidRDefault="000F52DD" w:rsidP="00925E10">
            <w:pPr>
              <w:pStyle w:val="TableNText"/>
              <w:spacing w:before="0" w:after="0" w:line="240" w:lineRule="auto"/>
              <w:rPr>
                <w:color w:val="00B050"/>
                <w:sz w:val="14"/>
                <w:szCs w:val="14"/>
              </w:rPr>
            </w:pPr>
            <w:r w:rsidRPr="00441447">
              <w:rPr>
                <w:color w:val="00B050"/>
                <w:sz w:val="14"/>
                <w:szCs w:val="14"/>
              </w:rPr>
              <w:lastRenderedPageBreak/>
              <w:t>Good</w:t>
            </w:r>
          </w:p>
        </w:tc>
        <w:tc>
          <w:tcPr>
            <w:tcW w:w="3544" w:type="dxa"/>
          </w:tcPr>
          <w:p w14:paraId="36428CC9" w14:textId="6FD5A071" w:rsidR="000F52DD" w:rsidRPr="00925E10" w:rsidRDefault="000F52DD" w:rsidP="00925E10">
            <w:pPr>
              <w:pStyle w:val="TableNText"/>
              <w:spacing w:before="0" w:after="0" w:line="240" w:lineRule="auto"/>
              <w:rPr>
                <w:sz w:val="16"/>
                <w:szCs w:val="16"/>
              </w:rPr>
            </w:pPr>
            <w:proofErr w:type="gramStart"/>
            <w:r w:rsidRPr="00925E10">
              <w:rPr>
                <w:sz w:val="16"/>
                <w:szCs w:val="16"/>
              </w:rPr>
              <w:t>Complaints</w:t>
            </w:r>
            <w:proofErr w:type="gramEnd"/>
            <w:r w:rsidRPr="00925E10">
              <w:rPr>
                <w:sz w:val="16"/>
                <w:szCs w:val="16"/>
              </w:rPr>
              <w:t xml:space="preserve"> data will need to be interpreted with caution due because of the potential for a skewed sample. </w:t>
            </w:r>
          </w:p>
        </w:tc>
        <w:tc>
          <w:tcPr>
            <w:tcW w:w="850" w:type="dxa"/>
          </w:tcPr>
          <w:p w14:paraId="321FC44D" w14:textId="71790E5A" w:rsidR="000F52DD" w:rsidRPr="00925E10" w:rsidRDefault="000F52DD" w:rsidP="00925E10">
            <w:pPr>
              <w:pStyle w:val="TableNText"/>
              <w:spacing w:before="0" w:after="0" w:line="240" w:lineRule="auto"/>
              <w:rPr>
                <w:sz w:val="16"/>
                <w:szCs w:val="16"/>
              </w:rPr>
            </w:pPr>
            <w:r w:rsidRPr="00925E10">
              <w:rPr>
                <w:sz w:val="16"/>
                <w:szCs w:val="16"/>
              </w:rPr>
              <w:t>10</w:t>
            </w:r>
          </w:p>
        </w:tc>
      </w:tr>
      <w:tr w:rsidR="000F52DD" w:rsidRPr="00234FF1" w14:paraId="26B43F73" w14:textId="77777777" w:rsidTr="00441447">
        <w:trPr>
          <w:cnfStyle w:val="000000100000" w:firstRow="0" w:lastRow="0" w:firstColumn="0" w:lastColumn="0" w:oddVBand="0" w:evenVBand="0" w:oddHBand="1" w:evenHBand="0" w:firstRowFirstColumn="0" w:firstRowLastColumn="0" w:lastRowFirstColumn="0" w:lastRowLastColumn="0"/>
          <w:trHeight w:val="20"/>
        </w:trPr>
        <w:tc>
          <w:tcPr>
            <w:tcW w:w="2689" w:type="dxa"/>
          </w:tcPr>
          <w:p w14:paraId="1A53AFC6" w14:textId="4C2883E9" w:rsidR="000F52DD" w:rsidRPr="00925E10" w:rsidRDefault="000F52DD" w:rsidP="00925E10">
            <w:pPr>
              <w:pStyle w:val="TableNText"/>
              <w:spacing w:before="0" w:after="0" w:line="240" w:lineRule="auto"/>
              <w:rPr>
                <w:sz w:val="16"/>
                <w:szCs w:val="16"/>
              </w:rPr>
            </w:pPr>
            <w:r w:rsidRPr="00925E10">
              <w:rPr>
                <w:sz w:val="16"/>
                <w:szCs w:val="16"/>
              </w:rPr>
              <w:t>Increased number of RACFs that have a policy in place and monitored to ensure that all staff (including casuals) uptake available training/education opportunities to improve their understanding about palliative care</w:t>
            </w:r>
          </w:p>
        </w:tc>
        <w:tc>
          <w:tcPr>
            <w:tcW w:w="1701" w:type="dxa"/>
          </w:tcPr>
          <w:p w14:paraId="178B0717" w14:textId="49596D2B" w:rsidR="000F52DD" w:rsidRPr="00925E10" w:rsidRDefault="000F52DD" w:rsidP="00925E10">
            <w:pPr>
              <w:pStyle w:val="TableNBullet"/>
              <w:spacing w:before="0" w:after="0"/>
              <w:rPr>
                <w:sz w:val="16"/>
                <w:szCs w:val="16"/>
              </w:rPr>
            </w:pPr>
            <w:r w:rsidRPr="00925E10">
              <w:rPr>
                <w:sz w:val="16"/>
                <w:szCs w:val="16"/>
              </w:rPr>
              <w:t>Survey of sample of RACFs</w:t>
            </w:r>
          </w:p>
        </w:tc>
        <w:tc>
          <w:tcPr>
            <w:tcW w:w="992" w:type="dxa"/>
          </w:tcPr>
          <w:p w14:paraId="4B9BADC2" w14:textId="06BDD734" w:rsidR="000F52DD" w:rsidRPr="00441447" w:rsidRDefault="000F52DD" w:rsidP="00925E10">
            <w:pPr>
              <w:pStyle w:val="TableNText"/>
              <w:spacing w:before="0" w:after="0" w:line="240" w:lineRule="auto"/>
              <w:rPr>
                <w:color w:val="00B050"/>
                <w:sz w:val="14"/>
                <w:szCs w:val="14"/>
              </w:rPr>
            </w:pPr>
            <w:r w:rsidRPr="00441447">
              <w:rPr>
                <w:color w:val="00B050"/>
                <w:sz w:val="14"/>
                <w:szCs w:val="14"/>
              </w:rPr>
              <w:t>Good</w:t>
            </w:r>
          </w:p>
        </w:tc>
        <w:tc>
          <w:tcPr>
            <w:tcW w:w="3544" w:type="dxa"/>
          </w:tcPr>
          <w:p w14:paraId="2E65D25B" w14:textId="77777777" w:rsidR="000F52DD" w:rsidRPr="00925E10" w:rsidRDefault="000F52DD" w:rsidP="00925E10">
            <w:pPr>
              <w:pStyle w:val="TableNText"/>
              <w:spacing w:before="0" w:after="0" w:line="240" w:lineRule="auto"/>
              <w:rPr>
                <w:sz w:val="16"/>
                <w:szCs w:val="16"/>
              </w:rPr>
            </w:pPr>
          </w:p>
        </w:tc>
        <w:tc>
          <w:tcPr>
            <w:tcW w:w="850" w:type="dxa"/>
          </w:tcPr>
          <w:p w14:paraId="1343AF99" w14:textId="3BF58B6E" w:rsidR="000F52DD" w:rsidRPr="00925E10" w:rsidRDefault="000F52DD" w:rsidP="00925E10">
            <w:pPr>
              <w:pStyle w:val="TableNText"/>
              <w:spacing w:before="0" w:after="0" w:line="240" w:lineRule="auto"/>
              <w:rPr>
                <w:sz w:val="16"/>
                <w:szCs w:val="16"/>
              </w:rPr>
            </w:pPr>
            <w:r w:rsidRPr="00925E10">
              <w:rPr>
                <w:sz w:val="16"/>
                <w:szCs w:val="16"/>
              </w:rPr>
              <w:t>3</w:t>
            </w:r>
          </w:p>
        </w:tc>
      </w:tr>
      <w:tr w:rsidR="000F52DD" w:rsidRPr="00234FF1" w14:paraId="29389752" w14:textId="77777777" w:rsidTr="00441447">
        <w:trPr>
          <w:cnfStyle w:val="000000010000" w:firstRow="0" w:lastRow="0" w:firstColumn="0" w:lastColumn="0" w:oddVBand="0" w:evenVBand="0" w:oddHBand="0" w:evenHBand="1" w:firstRowFirstColumn="0" w:firstRowLastColumn="0" w:lastRowFirstColumn="0" w:lastRowLastColumn="0"/>
          <w:trHeight w:val="20"/>
        </w:trPr>
        <w:tc>
          <w:tcPr>
            <w:tcW w:w="2689" w:type="dxa"/>
          </w:tcPr>
          <w:p w14:paraId="6BF2E176" w14:textId="55F2D4E0" w:rsidR="000F52DD" w:rsidRPr="00925E10" w:rsidRDefault="000F52DD" w:rsidP="00925E10">
            <w:pPr>
              <w:pStyle w:val="TableNText"/>
              <w:spacing w:before="0" w:after="0" w:line="240" w:lineRule="auto"/>
              <w:rPr>
                <w:sz w:val="16"/>
                <w:szCs w:val="16"/>
              </w:rPr>
            </w:pPr>
            <w:r w:rsidRPr="00925E10">
              <w:rPr>
                <w:sz w:val="16"/>
                <w:szCs w:val="16"/>
              </w:rPr>
              <w:t>Increased number of RACFs that access palliative care provided by states/territory specialist services</w:t>
            </w:r>
          </w:p>
        </w:tc>
        <w:tc>
          <w:tcPr>
            <w:tcW w:w="1701" w:type="dxa"/>
          </w:tcPr>
          <w:p w14:paraId="5FC05F08" w14:textId="77777777" w:rsidR="000F52DD" w:rsidRPr="00925E10" w:rsidRDefault="000F52DD" w:rsidP="00925E10">
            <w:pPr>
              <w:pStyle w:val="TableNBullet"/>
              <w:spacing w:before="0" w:after="0"/>
              <w:rPr>
                <w:sz w:val="16"/>
                <w:szCs w:val="16"/>
              </w:rPr>
            </w:pPr>
            <w:r w:rsidRPr="00925E10">
              <w:rPr>
                <w:sz w:val="16"/>
                <w:szCs w:val="16"/>
              </w:rPr>
              <w:t>Survey of sample of RACFs</w:t>
            </w:r>
          </w:p>
          <w:p w14:paraId="720A96C9" w14:textId="5FDD6E03" w:rsidR="000F52DD" w:rsidRPr="00925E10" w:rsidRDefault="000F52DD" w:rsidP="00925E10">
            <w:pPr>
              <w:pStyle w:val="TableNBullet"/>
              <w:spacing w:before="0" w:after="0"/>
              <w:rPr>
                <w:sz w:val="16"/>
                <w:szCs w:val="16"/>
              </w:rPr>
            </w:pPr>
            <w:r w:rsidRPr="00925E10">
              <w:rPr>
                <w:sz w:val="16"/>
                <w:szCs w:val="16"/>
              </w:rPr>
              <w:t>State/territory government data</w:t>
            </w:r>
          </w:p>
        </w:tc>
        <w:tc>
          <w:tcPr>
            <w:tcW w:w="992" w:type="dxa"/>
          </w:tcPr>
          <w:p w14:paraId="1B4797E8" w14:textId="4CD264B9" w:rsidR="000F52DD" w:rsidRPr="00441447" w:rsidRDefault="000F52DD" w:rsidP="00925E10">
            <w:pPr>
              <w:pStyle w:val="TableNText"/>
              <w:spacing w:before="0" w:after="0" w:line="240" w:lineRule="auto"/>
              <w:rPr>
                <w:sz w:val="14"/>
                <w:szCs w:val="14"/>
              </w:rPr>
            </w:pPr>
            <w:r w:rsidRPr="00441447">
              <w:rPr>
                <w:color w:val="00B050"/>
                <w:sz w:val="14"/>
                <w:szCs w:val="14"/>
              </w:rPr>
              <w:t>Good</w:t>
            </w:r>
            <w:r w:rsidRPr="00441447">
              <w:rPr>
                <w:color w:val="000000" w:themeColor="text1"/>
                <w:sz w:val="14"/>
                <w:szCs w:val="14"/>
              </w:rPr>
              <w:t>/</w:t>
            </w:r>
            <w:r w:rsidRPr="00441447">
              <w:rPr>
                <w:color w:val="F25E21" w:themeColor="accent2"/>
                <w:sz w:val="14"/>
                <w:szCs w:val="14"/>
              </w:rPr>
              <w:t>Intermediate</w:t>
            </w:r>
          </w:p>
        </w:tc>
        <w:tc>
          <w:tcPr>
            <w:tcW w:w="3544" w:type="dxa"/>
          </w:tcPr>
          <w:p w14:paraId="249B4E90" w14:textId="3E6EDBCF" w:rsidR="000F52DD" w:rsidRPr="00925E10" w:rsidRDefault="000F52DD" w:rsidP="00925E10">
            <w:pPr>
              <w:pStyle w:val="TableNText"/>
              <w:spacing w:before="0" w:after="0" w:line="240" w:lineRule="auto"/>
              <w:rPr>
                <w:sz w:val="16"/>
                <w:szCs w:val="16"/>
              </w:rPr>
            </w:pPr>
            <w:r w:rsidRPr="00925E10">
              <w:rPr>
                <w:sz w:val="16"/>
                <w:szCs w:val="16"/>
              </w:rPr>
              <w:t xml:space="preserve">The extent of state/territory data on the location of specialist palliative care services is still unclear. </w:t>
            </w:r>
          </w:p>
        </w:tc>
        <w:tc>
          <w:tcPr>
            <w:tcW w:w="850" w:type="dxa"/>
          </w:tcPr>
          <w:p w14:paraId="7521B563" w14:textId="3DF35C6E" w:rsidR="000F52DD" w:rsidRPr="00925E10" w:rsidRDefault="000F52DD" w:rsidP="00925E10">
            <w:pPr>
              <w:pStyle w:val="TableNText"/>
              <w:spacing w:before="0" w:after="0" w:line="240" w:lineRule="auto"/>
              <w:rPr>
                <w:sz w:val="16"/>
                <w:szCs w:val="16"/>
              </w:rPr>
            </w:pPr>
            <w:r w:rsidRPr="00925E10">
              <w:rPr>
                <w:sz w:val="16"/>
                <w:szCs w:val="16"/>
              </w:rPr>
              <w:t>4, 6</w:t>
            </w:r>
          </w:p>
        </w:tc>
      </w:tr>
      <w:tr w:rsidR="006B3465" w:rsidRPr="00925E10" w14:paraId="0F65AB0B" w14:textId="77777777" w:rsidTr="00441447">
        <w:trPr>
          <w:cnfStyle w:val="000000100000" w:firstRow="0" w:lastRow="0" w:firstColumn="0" w:lastColumn="0" w:oddVBand="0" w:evenVBand="0" w:oddHBand="1" w:evenHBand="0" w:firstRowFirstColumn="0" w:firstRowLastColumn="0" w:lastRowFirstColumn="0" w:lastRowLastColumn="0"/>
          <w:trHeight w:val="20"/>
        </w:trPr>
        <w:tc>
          <w:tcPr>
            <w:tcW w:w="2689" w:type="dxa"/>
          </w:tcPr>
          <w:p w14:paraId="547840F5" w14:textId="73933177" w:rsidR="006B3465" w:rsidRPr="00925E10" w:rsidRDefault="006B3465" w:rsidP="00925E10">
            <w:pPr>
              <w:pStyle w:val="TableNText"/>
              <w:spacing w:before="0" w:after="0" w:line="240" w:lineRule="auto"/>
              <w:rPr>
                <w:sz w:val="16"/>
                <w:szCs w:val="16"/>
              </w:rPr>
            </w:pPr>
            <w:r w:rsidRPr="00925E10">
              <w:rPr>
                <w:sz w:val="16"/>
                <w:szCs w:val="16"/>
              </w:rPr>
              <w:t>Improved resident experience of dying reported by family/carers</w:t>
            </w:r>
          </w:p>
        </w:tc>
        <w:tc>
          <w:tcPr>
            <w:tcW w:w="1701" w:type="dxa"/>
          </w:tcPr>
          <w:p w14:paraId="2460E24E" w14:textId="70DDA7D3" w:rsidR="006B3465" w:rsidRPr="00925E10" w:rsidRDefault="006B3465" w:rsidP="00925E10">
            <w:pPr>
              <w:pStyle w:val="TableNBullet"/>
              <w:spacing w:before="0" w:after="0"/>
              <w:rPr>
                <w:sz w:val="16"/>
                <w:szCs w:val="16"/>
              </w:rPr>
            </w:pPr>
            <w:r w:rsidRPr="00925E10">
              <w:rPr>
                <w:sz w:val="16"/>
                <w:szCs w:val="16"/>
              </w:rPr>
              <w:t>PCA consumer representative group</w:t>
            </w:r>
          </w:p>
        </w:tc>
        <w:tc>
          <w:tcPr>
            <w:tcW w:w="992" w:type="dxa"/>
          </w:tcPr>
          <w:p w14:paraId="33D68D79" w14:textId="48A9DFDA" w:rsidR="006B3465" w:rsidRPr="00441447" w:rsidRDefault="006B3465" w:rsidP="00925E10">
            <w:pPr>
              <w:pStyle w:val="TableNText"/>
              <w:spacing w:before="0" w:after="0" w:line="240" w:lineRule="auto"/>
              <w:rPr>
                <w:color w:val="F25E21" w:themeColor="accent2"/>
                <w:sz w:val="14"/>
                <w:szCs w:val="14"/>
              </w:rPr>
            </w:pPr>
            <w:r w:rsidRPr="00441447">
              <w:rPr>
                <w:color w:val="F25E21" w:themeColor="accent2"/>
                <w:sz w:val="14"/>
                <w:szCs w:val="14"/>
              </w:rPr>
              <w:t>Intermediate</w:t>
            </w:r>
          </w:p>
        </w:tc>
        <w:tc>
          <w:tcPr>
            <w:tcW w:w="3544" w:type="dxa"/>
          </w:tcPr>
          <w:p w14:paraId="48FE2B34" w14:textId="7CCEB8F1" w:rsidR="006B3465" w:rsidRPr="00925E10" w:rsidRDefault="006B3465" w:rsidP="00925E10">
            <w:pPr>
              <w:pStyle w:val="TableNText"/>
              <w:spacing w:before="0" w:after="0" w:line="240" w:lineRule="auto"/>
              <w:rPr>
                <w:sz w:val="16"/>
                <w:szCs w:val="16"/>
              </w:rPr>
            </w:pPr>
            <w:r w:rsidRPr="00925E10">
              <w:rPr>
                <w:sz w:val="16"/>
                <w:szCs w:val="16"/>
              </w:rPr>
              <w:t xml:space="preserve">PCA consumer representative group </w:t>
            </w:r>
            <w:r w:rsidR="00FA3E4B" w:rsidRPr="00925E10">
              <w:rPr>
                <w:sz w:val="16"/>
                <w:szCs w:val="16"/>
              </w:rPr>
              <w:t xml:space="preserve">may not contain all perspectives </w:t>
            </w:r>
            <w:r w:rsidR="003642A1" w:rsidRPr="00925E10">
              <w:rPr>
                <w:sz w:val="16"/>
                <w:szCs w:val="16"/>
              </w:rPr>
              <w:t xml:space="preserve">regarding resident experience of dying. </w:t>
            </w:r>
          </w:p>
        </w:tc>
        <w:tc>
          <w:tcPr>
            <w:tcW w:w="850" w:type="dxa"/>
          </w:tcPr>
          <w:p w14:paraId="59CC5855" w14:textId="7466B119" w:rsidR="006B3465" w:rsidRPr="00925E10" w:rsidRDefault="006B3465" w:rsidP="00925E10">
            <w:pPr>
              <w:pStyle w:val="TableNText"/>
              <w:spacing w:before="0" w:after="0" w:line="240" w:lineRule="auto"/>
              <w:rPr>
                <w:sz w:val="16"/>
                <w:szCs w:val="16"/>
              </w:rPr>
            </w:pPr>
            <w:r w:rsidRPr="00925E10">
              <w:rPr>
                <w:sz w:val="16"/>
                <w:szCs w:val="16"/>
              </w:rPr>
              <w:t>5</w:t>
            </w:r>
          </w:p>
        </w:tc>
      </w:tr>
      <w:tr w:rsidR="006B3465" w:rsidRPr="00234FF1" w14:paraId="2D81AD07" w14:textId="77777777" w:rsidTr="00441447">
        <w:trPr>
          <w:cnfStyle w:val="000000010000" w:firstRow="0" w:lastRow="0" w:firstColumn="0" w:lastColumn="0" w:oddVBand="0" w:evenVBand="0" w:oddHBand="0" w:evenHBand="1" w:firstRowFirstColumn="0" w:firstRowLastColumn="0" w:lastRowFirstColumn="0" w:lastRowLastColumn="0"/>
          <w:trHeight w:val="20"/>
        </w:trPr>
        <w:tc>
          <w:tcPr>
            <w:tcW w:w="2689" w:type="dxa"/>
          </w:tcPr>
          <w:p w14:paraId="7B11DE1B" w14:textId="3C2DC5B2" w:rsidR="006B3465" w:rsidRPr="00925E10" w:rsidRDefault="006B3465" w:rsidP="00925E10">
            <w:pPr>
              <w:pStyle w:val="TableNText"/>
              <w:spacing w:before="0" w:after="0" w:line="240" w:lineRule="auto"/>
              <w:rPr>
                <w:sz w:val="16"/>
                <w:szCs w:val="16"/>
              </w:rPr>
            </w:pPr>
            <w:r w:rsidRPr="00925E10">
              <w:rPr>
                <w:sz w:val="16"/>
                <w:szCs w:val="16"/>
              </w:rPr>
              <w:t>Increased number of Multidisciplinary Case Conferences by Medical Practitioners (Other Than Specialist or Consultant Physician) - (MBS items 735 to 758) in RACFs</w:t>
            </w:r>
          </w:p>
        </w:tc>
        <w:tc>
          <w:tcPr>
            <w:tcW w:w="1701" w:type="dxa"/>
          </w:tcPr>
          <w:p w14:paraId="7782B049" w14:textId="77777777" w:rsidR="006B3465" w:rsidRPr="00925E10" w:rsidRDefault="006B3465" w:rsidP="00925E10">
            <w:pPr>
              <w:pStyle w:val="TableNBullet"/>
              <w:spacing w:before="0" w:after="0"/>
              <w:rPr>
                <w:sz w:val="16"/>
                <w:szCs w:val="16"/>
              </w:rPr>
            </w:pPr>
            <w:r w:rsidRPr="00925E10">
              <w:rPr>
                <w:sz w:val="16"/>
                <w:szCs w:val="16"/>
              </w:rPr>
              <w:t>NIHSI-AA</w:t>
            </w:r>
            <w:r w:rsidRPr="00925E10">
              <w:rPr>
                <w:rStyle w:val="FootnoteReference"/>
                <w:sz w:val="16"/>
                <w:szCs w:val="16"/>
              </w:rPr>
              <w:footnoteReference w:id="21"/>
            </w:r>
          </w:p>
          <w:p w14:paraId="6BB1D1BC" w14:textId="77777777" w:rsidR="006B3465" w:rsidRPr="00925E10" w:rsidRDefault="006B3465" w:rsidP="00925E10">
            <w:pPr>
              <w:pStyle w:val="TableNBullet"/>
              <w:spacing w:before="0" w:after="0"/>
              <w:rPr>
                <w:sz w:val="16"/>
                <w:szCs w:val="16"/>
              </w:rPr>
            </w:pPr>
            <w:r w:rsidRPr="00925E10">
              <w:rPr>
                <w:sz w:val="16"/>
                <w:szCs w:val="16"/>
              </w:rPr>
              <w:t>MBS</w:t>
            </w:r>
            <w:r w:rsidRPr="00925E10">
              <w:rPr>
                <w:rStyle w:val="FootnoteReference"/>
                <w:sz w:val="16"/>
                <w:szCs w:val="16"/>
              </w:rPr>
              <w:footnoteReference w:id="22"/>
            </w:r>
          </w:p>
        </w:tc>
        <w:tc>
          <w:tcPr>
            <w:tcW w:w="992" w:type="dxa"/>
          </w:tcPr>
          <w:p w14:paraId="1FC804D2" w14:textId="4306206B" w:rsidR="006B3465" w:rsidRPr="00441447" w:rsidRDefault="006B3465" w:rsidP="00925E10">
            <w:pPr>
              <w:pStyle w:val="TableNText"/>
              <w:spacing w:before="0" w:after="0" w:line="240" w:lineRule="auto"/>
              <w:rPr>
                <w:sz w:val="14"/>
                <w:szCs w:val="14"/>
              </w:rPr>
            </w:pPr>
            <w:r w:rsidRPr="00441447">
              <w:rPr>
                <w:color w:val="F25E21" w:themeColor="accent2"/>
                <w:sz w:val="14"/>
                <w:szCs w:val="14"/>
              </w:rPr>
              <w:t>Intermediate</w:t>
            </w:r>
          </w:p>
        </w:tc>
        <w:tc>
          <w:tcPr>
            <w:tcW w:w="3544" w:type="dxa"/>
          </w:tcPr>
          <w:p w14:paraId="576DB8F1" w14:textId="5D169225" w:rsidR="006B3465" w:rsidRPr="00925E10" w:rsidRDefault="006B3465" w:rsidP="00925E10">
            <w:pPr>
              <w:pStyle w:val="TableNText"/>
              <w:spacing w:before="0" w:after="0" w:line="240" w:lineRule="auto"/>
              <w:rPr>
                <w:sz w:val="16"/>
                <w:szCs w:val="16"/>
              </w:rPr>
            </w:pPr>
            <w:r w:rsidRPr="00925E10">
              <w:rPr>
                <w:sz w:val="16"/>
                <w:szCs w:val="16"/>
              </w:rPr>
              <w:t>NIHSI-AA is not available in all jurisdictions and has a time-lag of approximate 1 year (</w:t>
            </w:r>
            <w:proofErr w:type="gramStart"/>
            <w:r w:rsidRPr="00925E10">
              <w:rPr>
                <w:sz w:val="16"/>
                <w:szCs w:val="16"/>
              </w:rPr>
              <w:t>i.e.</w:t>
            </w:r>
            <w:proofErr w:type="gramEnd"/>
            <w:r w:rsidRPr="00925E10">
              <w:rPr>
                <w:sz w:val="16"/>
                <w:szCs w:val="16"/>
              </w:rPr>
              <w:t xml:space="preserve"> 2018-19 will be released in 2020-21). Standalone MBS data may provide an alternative where NIHSI-AA is not available.</w:t>
            </w:r>
          </w:p>
        </w:tc>
        <w:tc>
          <w:tcPr>
            <w:tcW w:w="850" w:type="dxa"/>
          </w:tcPr>
          <w:p w14:paraId="275CC86C" w14:textId="45F17726" w:rsidR="006B3465" w:rsidRPr="00925E10" w:rsidRDefault="006B3465" w:rsidP="00925E10">
            <w:pPr>
              <w:pStyle w:val="TableNText"/>
              <w:spacing w:before="0" w:after="0" w:line="240" w:lineRule="auto"/>
              <w:rPr>
                <w:sz w:val="16"/>
                <w:szCs w:val="16"/>
              </w:rPr>
            </w:pPr>
            <w:r w:rsidRPr="00925E10">
              <w:rPr>
                <w:sz w:val="16"/>
                <w:szCs w:val="16"/>
              </w:rPr>
              <w:t>1, 4, 7</w:t>
            </w:r>
          </w:p>
        </w:tc>
      </w:tr>
      <w:tr w:rsidR="006B3465" w:rsidRPr="00234FF1" w14:paraId="29DB3AC3" w14:textId="77777777" w:rsidTr="00441447">
        <w:trPr>
          <w:cnfStyle w:val="000000100000" w:firstRow="0" w:lastRow="0" w:firstColumn="0" w:lastColumn="0" w:oddVBand="0" w:evenVBand="0" w:oddHBand="1" w:evenHBand="0" w:firstRowFirstColumn="0" w:firstRowLastColumn="0" w:lastRowFirstColumn="0" w:lastRowLastColumn="0"/>
          <w:trHeight w:val="20"/>
        </w:trPr>
        <w:tc>
          <w:tcPr>
            <w:tcW w:w="2689" w:type="dxa"/>
          </w:tcPr>
          <w:p w14:paraId="62D7BE8E" w14:textId="5299282A" w:rsidR="006B3465" w:rsidRPr="00925E10" w:rsidRDefault="006B3465" w:rsidP="00925E10">
            <w:pPr>
              <w:pStyle w:val="TableNText"/>
              <w:spacing w:before="0" w:after="0" w:line="240" w:lineRule="auto"/>
              <w:rPr>
                <w:sz w:val="16"/>
                <w:szCs w:val="16"/>
              </w:rPr>
            </w:pPr>
            <w:r w:rsidRPr="00925E10">
              <w:rPr>
                <w:sz w:val="16"/>
                <w:szCs w:val="16"/>
              </w:rPr>
              <w:t>Decreased number of RACF residents dying in an acute care setting (</w:t>
            </w:r>
            <w:proofErr w:type="gramStart"/>
            <w:r w:rsidRPr="00925E10">
              <w:rPr>
                <w:sz w:val="16"/>
                <w:szCs w:val="16"/>
              </w:rPr>
              <w:t>e.g.</w:t>
            </w:r>
            <w:proofErr w:type="gramEnd"/>
            <w:r w:rsidRPr="00925E10">
              <w:rPr>
                <w:sz w:val="16"/>
                <w:szCs w:val="16"/>
              </w:rPr>
              <w:t xml:space="preserve"> hospital)</w:t>
            </w:r>
          </w:p>
        </w:tc>
        <w:tc>
          <w:tcPr>
            <w:tcW w:w="1701" w:type="dxa"/>
          </w:tcPr>
          <w:p w14:paraId="09B645B3" w14:textId="292682ED" w:rsidR="006B3465" w:rsidRPr="00925E10" w:rsidRDefault="006B3465" w:rsidP="00925E10">
            <w:pPr>
              <w:pStyle w:val="TableNBullet"/>
              <w:spacing w:before="0" w:after="0"/>
              <w:rPr>
                <w:sz w:val="16"/>
                <w:szCs w:val="16"/>
              </w:rPr>
            </w:pPr>
            <w:r w:rsidRPr="00925E10">
              <w:rPr>
                <w:sz w:val="16"/>
                <w:szCs w:val="16"/>
              </w:rPr>
              <w:t>NIHSI-AA</w:t>
            </w:r>
          </w:p>
        </w:tc>
        <w:tc>
          <w:tcPr>
            <w:tcW w:w="992" w:type="dxa"/>
          </w:tcPr>
          <w:p w14:paraId="309C9E06" w14:textId="45798D4C" w:rsidR="006B3465" w:rsidRPr="00441447" w:rsidRDefault="006B3465" w:rsidP="00925E10">
            <w:pPr>
              <w:pStyle w:val="TableNText"/>
              <w:spacing w:before="0" w:after="0" w:line="240" w:lineRule="auto"/>
              <w:rPr>
                <w:sz w:val="14"/>
                <w:szCs w:val="14"/>
              </w:rPr>
            </w:pPr>
            <w:r w:rsidRPr="00441447">
              <w:rPr>
                <w:color w:val="F25E21" w:themeColor="accent2"/>
                <w:sz w:val="14"/>
                <w:szCs w:val="14"/>
              </w:rPr>
              <w:t>Intermediate</w:t>
            </w:r>
          </w:p>
        </w:tc>
        <w:tc>
          <w:tcPr>
            <w:tcW w:w="3544" w:type="dxa"/>
          </w:tcPr>
          <w:p w14:paraId="0367164A" w14:textId="632E7639" w:rsidR="006B3465" w:rsidRPr="00925E10" w:rsidRDefault="006B3465" w:rsidP="00925E10">
            <w:pPr>
              <w:pStyle w:val="TableNText"/>
              <w:spacing w:before="0" w:after="0" w:line="240" w:lineRule="auto"/>
              <w:rPr>
                <w:sz w:val="16"/>
                <w:szCs w:val="16"/>
              </w:rPr>
            </w:pPr>
            <w:r w:rsidRPr="00925E10">
              <w:rPr>
                <w:sz w:val="16"/>
                <w:szCs w:val="16"/>
              </w:rPr>
              <w:t>NIHSI-AA is not available in all jurisdictions and has a time-lag of approximate 1 year (</w:t>
            </w:r>
            <w:proofErr w:type="gramStart"/>
            <w:r w:rsidRPr="00925E10">
              <w:rPr>
                <w:sz w:val="16"/>
                <w:szCs w:val="16"/>
              </w:rPr>
              <w:t>i.e.</w:t>
            </w:r>
            <w:proofErr w:type="gramEnd"/>
            <w:r w:rsidRPr="00925E10">
              <w:rPr>
                <w:sz w:val="16"/>
                <w:szCs w:val="16"/>
              </w:rPr>
              <w:t xml:space="preserve"> 2018-19 will be released in 2020-21). </w:t>
            </w:r>
          </w:p>
        </w:tc>
        <w:tc>
          <w:tcPr>
            <w:tcW w:w="850" w:type="dxa"/>
          </w:tcPr>
          <w:p w14:paraId="24CEBAA6" w14:textId="087A4BD7" w:rsidR="006B3465" w:rsidRPr="00925E10" w:rsidRDefault="006B3465" w:rsidP="00925E10">
            <w:pPr>
              <w:pStyle w:val="TableNText"/>
              <w:spacing w:before="0" w:after="0" w:line="240" w:lineRule="auto"/>
              <w:rPr>
                <w:sz w:val="16"/>
                <w:szCs w:val="16"/>
              </w:rPr>
            </w:pPr>
            <w:r w:rsidRPr="00925E10">
              <w:rPr>
                <w:sz w:val="16"/>
                <w:szCs w:val="16"/>
              </w:rPr>
              <w:t>6</w:t>
            </w:r>
          </w:p>
        </w:tc>
      </w:tr>
      <w:tr w:rsidR="006B3465" w:rsidRPr="00234FF1" w14:paraId="5CFE8B2C" w14:textId="77777777" w:rsidTr="00441447">
        <w:trPr>
          <w:cnfStyle w:val="000000010000" w:firstRow="0" w:lastRow="0" w:firstColumn="0" w:lastColumn="0" w:oddVBand="0" w:evenVBand="0" w:oddHBand="0" w:evenHBand="1" w:firstRowFirstColumn="0" w:firstRowLastColumn="0" w:lastRowFirstColumn="0" w:lastRowLastColumn="0"/>
          <w:trHeight w:val="20"/>
        </w:trPr>
        <w:tc>
          <w:tcPr>
            <w:tcW w:w="2689" w:type="dxa"/>
          </w:tcPr>
          <w:p w14:paraId="5A6A171E" w14:textId="56BC367E" w:rsidR="006B3465" w:rsidRPr="00925E10" w:rsidRDefault="006B3465" w:rsidP="00925E10">
            <w:pPr>
              <w:pStyle w:val="TableNText"/>
              <w:spacing w:before="0" w:after="0" w:line="240" w:lineRule="auto"/>
              <w:rPr>
                <w:sz w:val="16"/>
                <w:szCs w:val="16"/>
              </w:rPr>
            </w:pPr>
            <w:r w:rsidRPr="00925E10">
              <w:rPr>
                <w:sz w:val="16"/>
                <w:szCs w:val="16"/>
              </w:rPr>
              <w:t>Increased number of residents who receive subcutaneous medicines associated with palliative care in RACFs</w:t>
            </w:r>
          </w:p>
        </w:tc>
        <w:tc>
          <w:tcPr>
            <w:tcW w:w="1701" w:type="dxa"/>
          </w:tcPr>
          <w:p w14:paraId="3305B04B" w14:textId="0D83733E" w:rsidR="006B3465" w:rsidRPr="00925E10" w:rsidRDefault="006B3465" w:rsidP="00925E10">
            <w:pPr>
              <w:pStyle w:val="TableNBullet"/>
              <w:spacing w:before="0" w:after="0"/>
              <w:rPr>
                <w:sz w:val="16"/>
                <w:szCs w:val="16"/>
              </w:rPr>
            </w:pPr>
            <w:r w:rsidRPr="00925E10">
              <w:rPr>
                <w:sz w:val="16"/>
                <w:szCs w:val="16"/>
              </w:rPr>
              <w:t>NIHSI-AA</w:t>
            </w:r>
          </w:p>
        </w:tc>
        <w:tc>
          <w:tcPr>
            <w:tcW w:w="992" w:type="dxa"/>
          </w:tcPr>
          <w:p w14:paraId="7C48F147" w14:textId="06E8C17B" w:rsidR="006B3465" w:rsidRPr="00441447" w:rsidRDefault="006B3465" w:rsidP="00925E10">
            <w:pPr>
              <w:pStyle w:val="TableNText"/>
              <w:spacing w:before="0" w:after="0" w:line="240" w:lineRule="auto"/>
              <w:rPr>
                <w:sz w:val="14"/>
                <w:szCs w:val="14"/>
              </w:rPr>
            </w:pPr>
            <w:r w:rsidRPr="00441447">
              <w:rPr>
                <w:color w:val="F25E21" w:themeColor="accent2"/>
                <w:sz w:val="14"/>
                <w:szCs w:val="14"/>
              </w:rPr>
              <w:t>Intermediate</w:t>
            </w:r>
          </w:p>
        </w:tc>
        <w:tc>
          <w:tcPr>
            <w:tcW w:w="3544" w:type="dxa"/>
          </w:tcPr>
          <w:p w14:paraId="155D2E4D" w14:textId="77777777" w:rsidR="006B3465" w:rsidRPr="00925E10" w:rsidRDefault="006B3465" w:rsidP="00925E10">
            <w:pPr>
              <w:pStyle w:val="TableNText"/>
              <w:spacing w:before="0" w:after="0" w:line="240" w:lineRule="auto"/>
              <w:rPr>
                <w:sz w:val="16"/>
                <w:szCs w:val="16"/>
              </w:rPr>
            </w:pPr>
            <w:r w:rsidRPr="00925E10">
              <w:rPr>
                <w:sz w:val="16"/>
                <w:szCs w:val="16"/>
              </w:rPr>
              <w:t>NIHSI-AA is not available in all jurisdictions and has a time-lag of approximate 1 year (</w:t>
            </w:r>
            <w:proofErr w:type="gramStart"/>
            <w:r w:rsidRPr="00925E10">
              <w:rPr>
                <w:sz w:val="16"/>
                <w:szCs w:val="16"/>
              </w:rPr>
              <w:t>i.e.</w:t>
            </w:r>
            <w:proofErr w:type="gramEnd"/>
            <w:r w:rsidRPr="00925E10">
              <w:rPr>
                <w:sz w:val="16"/>
                <w:szCs w:val="16"/>
              </w:rPr>
              <w:t xml:space="preserve"> 2018-19 will be released in 2020-21).</w:t>
            </w:r>
          </w:p>
          <w:p w14:paraId="32C5FD0A" w14:textId="2A5348C0" w:rsidR="006B3465" w:rsidRPr="00925E10" w:rsidRDefault="006B3465" w:rsidP="00925E10">
            <w:pPr>
              <w:pStyle w:val="TableNText"/>
              <w:spacing w:before="0" w:after="0" w:line="240" w:lineRule="auto"/>
              <w:rPr>
                <w:sz w:val="16"/>
                <w:szCs w:val="16"/>
              </w:rPr>
            </w:pPr>
            <w:r w:rsidRPr="00925E10">
              <w:rPr>
                <w:sz w:val="16"/>
                <w:szCs w:val="16"/>
              </w:rPr>
              <w:t>Expert clinical advice will be needed to identify medicines associated with palliative care from the PBS.</w:t>
            </w:r>
          </w:p>
        </w:tc>
        <w:tc>
          <w:tcPr>
            <w:tcW w:w="850" w:type="dxa"/>
          </w:tcPr>
          <w:p w14:paraId="708943E5" w14:textId="581AC903" w:rsidR="006B3465" w:rsidRPr="00925E10" w:rsidRDefault="006B3465" w:rsidP="00925E10">
            <w:pPr>
              <w:pStyle w:val="TableNText"/>
              <w:spacing w:before="0" w:after="0" w:line="240" w:lineRule="auto"/>
              <w:rPr>
                <w:sz w:val="16"/>
                <w:szCs w:val="16"/>
              </w:rPr>
            </w:pPr>
            <w:r w:rsidRPr="00925E10">
              <w:rPr>
                <w:sz w:val="16"/>
                <w:szCs w:val="16"/>
              </w:rPr>
              <w:t>3, 4</w:t>
            </w:r>
          </w:p>
        </w:tc>
      </w:tr>
      <w:tr w:rsidR="006B3465" w:rsidRPr="00234FF1" w14:paraId="14CAC90A" w14:textId="77777777" w:rsidTr="00441447">
        <w:trPr>
          <w:cnfStyle w:val="000000100000" w:firstRow="0" w:lastRow="0" w:firstColumn="0" w:lastColumn="0" w:oddVBand="0" w:evenVBand="0" w:oddHBand="1" w:evenHBand="0" w:firstRowFirstColumn="0" w:firstRowLastColumn="0" w:lastRowFirstColumn="0" w:lastRowLastColumn="0"/>
          <w:trHeight w:val="20"/>
        </w:trPr>
        <w:tc>
          <w:tcPr>
            <w:tcW w:w="2689" w:type="dxa"/>
          </w:tcPr>
          <w:p w14:paraId="2C2DEEE0" w14:textId="169E5B13" w:rsidR="006B3465" w:rsidRPr="00925E10" w:rsidRDefault="006B3465" w:rsidP="00925E10">
            <w:pPr>
              <w:pStyle w:val="TableNText"/>
              <w:spacing w:before="0" w:after="0" w:line="240" w:lineRule="auto"/>
              <w:rPr>
                <w:sz w:val="16"/>
                <w:szCs w:val="16"/>
              </w:rPr>
            </w:pPr>
            <w:r w:rsidRPr="00925E10">
              <w:rPr>
                <w:sz w:val="16"/>
                <w:szCs w:val="16"/>
              </w:rPr>
              <w:t>Increased number of individuals accessing palliative care in RACFs</w:t>
            </w:r>
          </w:p>
        </w:tc>
        <w:tc>
          <w:tcPr>
            <w:tcW w:w="1701" w:type="dxa"/>
          </w:tcPr>
          <w:p w14:paraId="09F8A863" w14:textId="1EDA205B" w:rsidR="006B3465" w:rsidRPr="00925E10" w:rsidRDefault="006B3465" w:rsidP="00925E10">
            <w:pPr>
              <w:pStyle w:val="TableNBullet"/>
              <w:spacing w:before="0" w:after="0"/>
              <w:rPr>
                <w:sz w:val="16"/>
                <w:szCs w:val="16"/>
              </w:rPr>
            </w:pPr>
            <w:r w:rsidRPr="00925E10">
              <w:rPr>
                <w:sz w:val="16"/>
                <w:szCs w:val="16"/>
              </w:rPr>
              <w:t>NIHSI-AA</w:t>
            </w:r>
          </w:p>
        </w:tc>
        <w:tc>
          <w:tcPr>
            <w:tcW w:w="992" w:type="dxa"/>
          </w:tcPr>
          <w:p w14:paraId="2360A287" w14:textId="4EC00D67" w:rsidR="006B3465" w:rsidRPr="00441447" w:rsidRDefault="006B3465" w:rsidP="00925E10">
            <w:pPr>
              <w:pStyle w:val="TableNText"/>
              <w:spacing w:before="0" w:after="0" w:line="240" w:lineRule="auto"/>
              <w:rPr>
                <w:color w:val="F25E21" w:themeColor="accent2"/>
                <w:sz w:val="14"/>
                <w:szCs w:val="14"/>
              </w:rPr>
            </w:pPr>
            <w:r w:rsidRPr="00441447">
              <w:rPr>
                <w:color w:val="F25E21" w:themeColor="accent2"/>
                <w:sz w:val="14"/>
                <w:szCs w:val="14"/>
              </w:rPr>
              <w:t>Intermediate</w:t>
            </w:r>
          </w:p>
        </w:tc>
        <w:tc>
          <w:tcPr>
            <w:tcW w:w="3544" w:type="dxa"/>
          </w:tcPr>
          <w:p w14:paraId="4D47D03C" w14:textId="38CEFDFD" w:rsidR="006B3465" w:rsidRPr="00925E10" w:rsidRDefault="006B3465" w:rsidP="00925E10">
            <w:pPr>
              <w:pStyle w:val="TableNText"/>
              <w:spacing w:before="0" w:after="0" w:line="240" w:lineRule="auto"/>
              <w:rPr>
                <w:sz w:val="16"/>
                <w:szCs w:val="16"/>
              </w:rPr>
            </w:pPr>
            <w:r w:rsidRPr="00925E10">
              <w:rPr>
                <w:sz w:val="16"/>
                <w:szCs w:val="16"/>
              </w:rPr>
              <w:t>NIHSI-AA is not available in all jurisdictions and has a time-lag of approximate 1 year (</w:t>
            </w:r>
            <w:proofErr w:type="gramStart"/>
            <w:r w:rsidRPr="00925E10">
              <w:rPr>
                <w:sz w:val="16"/>
                <w:szCs w:val="16"/>
              </w:rPr>
              <w:t>i.e.</w:t>
            </w:r>
            <w:proofErr w:type="gramEnd"/>
            <w:r w:rsidRPr="00925E10">
              <w:rPr>
                <w:sz w:val="16"/>
                <w:szCs w:val="16"/>
              </w:rPr>
              <w:t xml:space="preserve"> 2018-19 will be released in 2020-21). Expert guidance will be needed to develop a marker of palliative care from the treatment information included in NIHSI-AA. ACFI assessments involving palliative care are inherently lower than the total number of residential aged care requiring palliative care.</w:t>
            </w:r>
            <w:r w:rsidRPr="00925E10">
              <w:rPr>
                <w:rStyle w:val="FootnoteReference"/>
                <w:sz w:val="16"/>
                <w:szCs w:val="16"/>
              </w:rPr>
              <w:footnoteReference w:id="23"/>
            </w:r>
            <w:r w:rsidRPr="00925E10">
              <w:rPr>
                <w:sz w:val="16"/>
                <w:szCs w:val="16"/>
              </w:rPr>
              <w:t xml:space="preserve"> </w:t>
            </w:r>
          </w:p>
        </w:tc>
        <w:tc>
          <w:tcPr>
            <w:tcW w:w="850" w:type="dxa"/>
          </w:tcPr>
          <w:p w14:paraId="570C7AAB" w14:textId="77F29704" w:rsidR="006B3465" w:rsidRPr="00925E10" w:rsidRDefault="006B3465" w:rsidP="00925E10">
            <w:pPr>
              <w:pStyle w:val="TableNText"/>
              <w:spacing w:before="0" w:after="0" w:line="240" w:lineRule="auto"/>
              <w:rPr>
                <w:sz w:val="16"/>
                <w:szCs w:val="16"/>
              </w:rPr>
            </w:pPr>
            <w:r w:rsidRPr="00925E10">
              <w:rPr>
                <w:sz w:val="16"/>
                <w:szCs w:val="16"/>
              </w:rPr>
              <w:t>4</w:t>
            </w:r>
          </w:p>
        </w:tc>
      </w:tr>
      <w:tr w:rsidR="006B3465" w:rsidRPr="00234FF1" w14:paraId="1A0B9806" w14:textId="77777777" w:rsidTr="00441447">
        <w:trPr>
          <w:cnfStyle w:val="000000010000" w:firstRow="0" w:lastRow="0" w:firstColumn="0" w:lastColumn="0" w:oddVBand="0" w:evenVBand="0" w:oddHBand="0" w:evenHBand="1" w:firstRowFirstColumn="0" w:firstRowLastColumn="0" w:lastRowFirstColumn="0" w:lastRowLastColumn="0"/>
          <w:trHeight w:val="20"/>
        </w:trPr>
        <w:tc>
          <w:tcPr>
            <w:tcW w:w="2689" w:type="dxa"/>
          </w:tcPr>
          <w:p w14:paraId="428F5315" w14:textId="309878ED" w:rsidR="006B3465" w:rsidRPr="00925E10" w:rsidRDefault="006B3465" w:rsidP="00925E10">
            <w:pPr>
              <w:pStyle w:val="TableNText"/>
              <w:spacing w:before="0" w:after="0" w:line="240" w:lineRule="auto"/>
              <w:rPr>
                <w:sz w:val="16"/>
                <w:szCs w:val="16"/>
              </w:rPr>
            </w:pPr>
            <w:r w:rsidRPr="00925E10">
              <w:rPr>
                <w:sz w:val="16"/>
                <w:szCs w:val="16"/>
              </w:rPr>
              <w:t>Decreased number of transfers from RACFs to acute care facilities</w:t>
            </w:r>
          </w:p>
        </w:tc>
        <w:tc>
          <w:tcPr>
            <w:tcW w:w="1701" w:type="dxa"/>
          </w:tcPr>
          <w:p w14:paraId="0F732D4A" w14:textId="77777777" w:rsidR="006B3465" w:rsidRPr="00925E10" w:rsidRDefault="006B3465" w:rsidP="00925E10">
            <w:pPr>
              <w:pStyle w:val="TableNBullet"/>
              <w:spacing w:before="0" w:after="0"/>
              <w:rPr>
                <w:sz w:val="16"/>
                <w:szCs w:val="16"/>
              </w:rPr>
            </w:pPr>
            <w:r w:rsidRPr="00925E10">
              <w:rPr>
                <w:sz w:val="16"/>
                <w:szCs w:val="16"/>
              </w:rPr>
              <w:t>NIHSI-AA</w:t>
            </w:r>
          </w:p>
          <w:p w14:paraId="509D2F7F" w14:textId="6463FB54" w:rsidR="006B3465" w:rsidRPr="00925E10" w:rsidRDefault="006B3465" w:rsidP="00925E10">
            <w:pPr>
              <w:pStyle w:val="TableNBullet"/>
              <w:spacing w:before="0" w:after="0"/>
              <w:rPr>
                <w:sz w:val="16"/>
                <w:szCs w:val="16"/>
              </w:rPr>
            </w:pPr>
            <w:r w:rsidRPr="00925E10">
              <w:rPr>
                <w:sz w:val="16"/>
                <w:szCs w:val="16"/>
              </w:rPr>
              <w:t>Ambulance data pilot</w:t>
            </w:r>
          </w:p>
        </w:tc>
        <w:tc>
          <w:tcPr>
            <w:tcW w:w="992" w:type="dxa"/>
          </w:tcPr>
          <w:p w14:paraId="3933FD25" w14:textId="6AADC08C" w:rsidR="006B3465" w:rsidRPr="00441447" w:rsidRDefault="006B3465" w:rsidP="00925E10">
            <w:pPr>
              <w:pStyle w:val="TableNText"/>
              <w:spacing w:before="0" w:after="0" w:line="240" w:lineRule="auto"/>
              <w:rPr>
                <w:color w:val="F25E21" w:themeColor="accent2"/>
                <w:sz w:val="14"/>
                <w:szCs w:val="14"/>
              </w:rPr>
            </w:pPr>
            <w:r w:rsidRPr="00441447">
              <w:rPr>
                <w:color w:val="F25E21" w:themeColor="accent2"/>
                <w:sz w:val="14"/>
                <w:szCs w:val="14"/>
              </w:rPr>
              <w:t>Intermediate</w:t>
            </w:r>
          </w:p>
        </w:tc>
        <w:tc>
          <w:tcPr>
            <w:tcW w:w="3544" w:type="dxa"/>
          </w:tcPr>
          <w:p w14:paraId="1A833E66" w14:textId="77777777" w:rsidR="006B3465" w:rsidRPr="00925E10" w:rsidRDefault="006B3465" w:rsidP="00925E10">
            <w:pPr>
              <w:pStyle w:val="TableNText"/>
              <w:spacing w:before="0" w:after="0" w:line="240" w:lineRule="auto"/>
              <w:rPr>
                <w:sz w:val="16"/>
                <w:szCs w:val="16"/>
              </w:rPr>
            </w:pPr>
            <w:r w:rsidRPr="00925E10">
              <w:rPr>
                <w:sz w:val="16"/>
                <w:szCs w:val="16"/>
              </w:rPr>
              <w:t>NIHSI-AA is not available in all jurisdictions and has a time-lag of approximate 1 year (</w:t>
            </w:r>
            <w:proofErr w:type="gramStart"/>
            <w:r w:rsidRPr="00925E10">
              <w:rPr>
                <w:sz w:val="16"/>
                <w:szCs w:val="16"/>
              </w:rPr>
              <w:t>i.e.</w:t>
            </w:r>
            <w:proofErr w:type="gramEnd"/>
            <w:r w:rsidRPr="00925E10">
              <w:rPr>
                <w:sz w:val="16"/>
                <w:szCs w:val="16"/>
              </w:rPr>
              <w:t xml:space="preserve"> 2018-19 will be released in 2020-21).</w:t>
            </w:r>
          </w:p>
          <w:p w14:paraId="37FD8D3F" w14:textId="26C09E71" w:rsidR="006B3465" w:rsidRPr="00925E10" w:rsidRDefault="006B3465" w:rsidP="00925E10">
            <w:pPr>
              <w:pStyle w:val="TableNText"/>
              <w:spacing w:before="0" w:after="0" w:line="240" w:lineRule="auto"/>
              <w:rPr>
                <w:sz w:val="16"/>
                <w:szCs w:val="16"/>
              </w:rPr>
            </w:pPr>
            <w:r w:rsidRPr="00925E10">
              <w:rPr>
                <w:sz w:val="16"/>
                <w:szCs w:val="16"/>
              </w:rPr>
              <w:t>Ambulance data will be a pilot of one jurisdiction (likely Tasmania).</w:t>
            </w:r>
          </w:p>
        </w:tc>
        <w:tc>
          <w:tcPr>
            <w:tcW w:w="850" w:type="dxa"/>
          </w:tcPr>
          <w:p w14:paraId="15207A96" w14:textId="468B17E3" w:rsidR="006B3465" w:rsidRPr="00925E10" w:rsidRDefault="006B3465" w:rsidP="00925E10">
            <w:pPr>
              <w:pStyle w:val="TableNText"/>
              <w:spacing w:before="0" w:after="0" w:line="240" w:lineRule="auto"/>
              <w:rPr>
                <w:sz w:val="16"/>
                <w:szCs w:val="16"/>
              </w:rPr>
            </w:pPr>
            <w:r w:rsidRPr="00925E10">
              <w:rPr>
                <w:sz w:val="16"/>
                <w:szCs w:val="16"/>
              </w:rPr>
              <w:t>3, 4, 8</w:t>
            </w:r>
          </w:p>
        </w:tc>
      </w:tr>
      <w:tr w:rsidR="006B3465" w:rsidRPr="00234FF1" w14:paraId="5C070910" w14:textId="77777777" w:rsidTr="00441447">
        <w:trPr>
          <w:cnfStyle w:val="000000100000" w:firstRow="0" w:lastRow="0" w:firstColumn="0" w:lastColumn="0" w:oddVBand="0" w:evenVBand="0" w:oddHBand="1" w:evenHBand="0" w:firstRowFirstColumn="0" w:firstRowLastColumn="0" w:lastRowFirstColumn="0" w:lastRowLastColumn="0"/>
          <w:trHeight w:val="20"/>
        </w:trPr>
        <w:tc>
          <w:tcPr>
            <w:tcW w:w="2689" w:type="dxa"/>
          </w:tcPr>
          <w:p w14:paraId="49D3D540" w14:textId="61203A34" w:rsidR="006B3465" w:rsidRPr="00925E10" w:rsidRDefault="006B3465" w:rsidP="00925E10">
            <w:pPr>
              <w:pStyle w:val="TableNText"/>
              <w:spacing w:before="0" w:after="0" w:line="240" w:lineRule="auto"/>
              <w:rPr>
                <w:sz w:val="16"/>
                <w:szCs w:val="16"/>
              </w:rPr>
            </w:pPr>
            <w:r w:rsidRPr="00925E10">
              <w:rPr>
                <w:sz w:val="16"/>
                <w:szCs w:val="16"/>
              </w:rPr>
              <w:t>Decreased number of RACF residents admitted to an acute care facility for palliative care</w:t>
            </w:r>
          </w:p>
        </w:tc>
        <w:tc>
          <w:tcPr>
            <w:tcW w:w="1701" w:type="dxa"/>
          </w:tcPr>
          <w:p w14:paraId="5EA8E57E" w14:textId="2C65B575" w:rsidR="006B3465" w:rsidRPr="00925E10" w:rsidRDefault="006B3465" w:rsidP="00925E10">
            <w:pPr>
              <w:pStyle w:val="TableNBullet"/>
              <w:spacing w:before="0" w:after="0"/>
              <w:rPr>
                <w:sz w:val="16"/>
                <w:szCs w:val="16"/>
              </w:rPr>
            </w:pPr>
            <w:r w:rsidRPr="00925E10">
              <w:rPr>
                <w:sz w:val="16"/>
                <w:szCs w:val="16"/>
              </w:rPr>
              <w:t>NIHSI-AA</w:t>
            </w:r>
          </w:p>
        </w:tc>
        <w:tc>
          <w:tcPr>
            <w:tcW w:w="992" w:type="dxa"/>
          </w:tcPr>
          <w:p w14:paraId="10790C89" w14:textId="54EF17CE" w:rsidR="006B3465" w:rsidRPr="00441447" w:rsidRDefault="006B3465" w:rsidP="00925E10">
            <w:pPr>
              <w:pStyle w:val="TableNText"/>
              <w:spacing w:before="0" w:after="0" w:line="240" w:lineRule="auto"/>
              <w:rPr>
                <w:color w:val="F25E21" w:themeColor="accent2"/>
                <w:sz w:val="14"/>
                <w:szCs w:val="14"/>
              </w:rPr>
            </w:pPr>
            <w:r w:rsidRPr="00441447">
              <w:rPr>
                <w:color w:val="F25E21" w:themeColor="accent2"/>
                <w:sz w:val="14"/>
                <w:szCs w:val="14"/>
              </w:rPr>
              <w:t>Intermediate</w:t>
            </w:r>
          </w:p>
        </w:tc>
        <w:tc>
          <w:tcPr>
            <w:tcW w:w="3544" w:type="dxa"/>
          </w:tcPr>
          <w:p w14:paraId="0EE29D9E" w14:textId="77777777" w:rsidR="006B3465" w:rsidRPr="00925E10" w:rsidRDefault="006B3465" w:rsidP="00925E10">
            <w:pPr>
              <w:pStyle w:val="TableNText"/>
              <w:spacing w:before="0" w:after="0" w:line="240" w:lineRule="auto"/>
              <w:rPr>
                <w:sz w:val="16"/>
                <w:szCs w:val="16"/>
              </w:rPr>
            </w:pPr>
            <w:r w:rsidRPr="00925E10">
              <w:rPr>
                <w:sz w:val="16"/>
                <w:szCs w:val="16"/>
              </w:rPr>
              <w:t>NIHSI-AA is not available in all jurisdictions and has a time-lag of approximate 1 year (</w:t>
            </w:r>
            <w:proofErr w:type="gramStart"/>
            <w:r w:rsidRPr="00925E10">
              <w:rPr>
                <w:sz w:val="16"/>
                <w:szCs w:val="16"/>
              </w:rPr>
              <w:t>i.e.</w:t>
            </w:r>
            <w:proofErr w:type="gramEnd"/>
            <w:r w:rsidRPr="00925E10">
              <w:rPr>
                <w:sz w:val="16"/>
                <w:szCs w:val="16"/>
              </w:rPr>
              <w:t xml:space="preserve"> 2018-19 will be released in 2020-21).</w:t>
            </w:r>
          </w:p>
          <w:p w14:paraId="26C57291" w14:textId="73710C8E" w:rsidR="006B3465" w:rsidRPr="00925E10" w:rsidRDefault="006B3465" w:rsidP="00925E10">
            <w:pPr>
              <w:pStyle w:val="TableNText"/>
              <w:spacing w:before="0" w:after="0" w:line="240" w:lineRule="auto"/>
              <w:rPr>
                <w:sz w:val="16"/>
                <w:szCs w:val="16"/>
              </w:rPr>
            </w:pPr>
            <w:r w:rsidRPr="00925E10">
              <w:rPr>
                <w:sz w:val="16"/>
                <w:szCs w:val="16"/>
              </w:rPr>
              <w:t>Expert clinical advice will be needed to develop a market of admissions related to palliative care within the NIHSI-AA data set.</w:t>
            </w:r>
          </w:p>
        </w:tc>
        <w:tc>
          <w:tcPr>
            <w:tcW w:w="850" w:type="dxa"/>
          </w:tcPr>
          <w:p w14:paraId="7FC8F90B" w14:textId="52FB91CE" w:rsidR="006B3465" w:rsidRPr="00925E10" w:rsidRDefault="006B3465" w:rsidP="00925E10">
            <w:pPr>
              <w:pStyle w:val="TableNText"/>
              <w:spacing w:before="0" w:after="0" w:line="240" w:lineRule="auto"/>
              <w:rPr>
                <w:sz w:val="16"/>
                <w:szCs w:val="16"/>
              </w:rPr>
            </w:pPr>
            <w:r w:rsidRPr="00925E10">
              <w:rPr>
                <w:sz w:val="16"/>
                <w:szCs w:val="16"/>
              </w:rPr>
              <w:t>3, 4, 6, 8</w:t>
            </w:r>
          </w:p>
        </w:tc>
      </w:tr>
      <w:tr w:rsidR="006B3465" w:rsidRPr="00234FF1" w14:paraId="62AD6E5A" w14:textId="77777777" w:rsidTr="00441447">
        <w:trPr>
          <w:cnfStyle w:val="000000010000" w:firstRow="0" w:lastRow="0" w:firstColumn="0" w:lastColumn="0" w:oddVBand="0" w:evenVBand="0" w:oddHBand="0" w:evenHBand="1" w:firstRowFirstColumn="0" w:firstRowLastColumn="0" w:lastRowFirstColumn="0" w:lastRowLastColumn="0"/>
          <w:trHeight w:val="20"/>
        </w:trPr>
        <w:tc>
          <w:tcPr>
            <w:tcW w:w="2689" w:type="dxa"/>
          </w:tcPr>
          <w:p w14:paraId="14F3A493" w14:textId="0DADB3E0" w:rsidR="006B3465" w:rsidRPr="00925E10" w:rsidRDefault="006B3465" w:rsidP="00925E10">
            <w:pPr>
              <w:pStyle w:val="TableNText"/>
              <w:spacing w:before="0" w:after="0" w:line="240" w:lineRule="auto"/>
              <w:rPr>
                <w:sz w:val="16"/>
                <w:szCs w:val="16"/>
              </w:rPr>
            </w:pPr>
            <w:r w:rsidRPr="00925E10">
              <w:rPr>
                <w:sz w:val="16"/>
                <w:szCs w:val="16"/>
              </w:rPr>
              <w:lastRenderedPageBreak/>
              <w:t xml:space="preserve">Decreased number of inpatient bed days related to palliative care for residents of RACF </w:t>
            </w:r>
          </w:p>
        </w:tc>
        <w:tc>
          <w:tcPr>
            <w:tcW w:w="1701" w:type="dxa"/>
          </w:tcPr>
          <w:p w14:paraId="61FD553F" w14:textId="0909E297" w:rsidR="006B3465" w:rsidRPr="00925E10" w:rsidRDefault="006B3465" w:rsidP="00925E10">
            <w:pPr>
              <w:pStyle w:val="TableNBullet"/>
              <w:spacing w:before="0" w:after="0"/>
              <w:rPr>
                <w:sz w:val="16"/>
                <w:szCs w:val="16"/>
              </w:rPr>
            </w:pPr>
            <w:r w:rsidRPr="00925E10">
              <w:rPr>
                <w:sz w:val="16"/>
                <w:szCs w:val="16"/>
              </w:rPr>
              <w:t>NIHSI-AA</w:t>
            </w:r>
          </w:p>
        </w:tc>
        <w:tc>
          <w:tcPr>
            <w:tcW w:w="992" w:type="dxa"/>
          </w:tcPr>
          <w:p w14:paraId="4EBC346B" w14:textId="5B4677C5" w:rsidR="006B3465" w:rsidRPr="00441447" w:rsidRDefault="006B3465" w:rsidP="00925E10">
            <w:pPr>
              <w:pStyle w:val="TableNText"/>
              <w:spacing w:before="0" w:after="0" w:line="240" w:lineRule="auto"/>
              <w:rPr>
                <w:sz w:val="14"/>
                <w:szCs w:val="14"/>
              </w:rPr>
            </w:pPr>
            <w:r w:rsidRPr="00441447">
              <w:rPr>
                <w:color w:val="F25E21" w:themeColor="accent2"/>
                <w:sz w:val="14"/>
                <w:szCs w:val="14"/>
              </w:rPr>
              <w:t>Intermediate</w:t>
            </w:r>
          </w:p>
        </w:tc>
        <w:tc>
          <w:tcPr>
            <w:tcW w:w="3544" w:type="dxa"/>
          </w:tcPr>
          <w:p w14:paraId="2533C13E" w14:textId="77777777" w:rsidR="006B3465" w:rsidRPr="00925E10" w:rsidRDefault="006B3465" w:rsidP="00925E10">
            <w:pPr>
              <w:pStyle w:val="TableNText"/>
              <w:spacing w:before="0" w:after="0" w:line="240" w:lineRule="auto"/>
              <w:rPr>
                <w:sz w:val="16"/>
                <w:szCs w:val="16"/>
              </w:rPr>
            </w:pPr>
            <w:r w:rsidRPr="00925E10">
              <w:rPr>
                <w:sz w:val="16"/>
                <w:szCs w:val="16"/>
              </w:rPr>
              <w:t>NIHSI-AA is not available in all jurisdictions and has a time-lag of approximate 1 year (</w:t>
            </w:r>
            <w:proofErr w:type="gramStart"/>
            <w:r w:rsidRPr="00925E10">
              <w:rPr>
                <w:sz w:val="16"/>
                <w:szCs w:val="16"/>
              </w:rPr>
              <w:t>i.e.</w:t>
            </w:r>
            <w:proofErr w:type="gramEnd"/>
            <w:r w:rsidRPr="00925E10">
              <w:rPr>
                <w:sz w:val="16"/>
                <w:szCs w:val="16"/>
              </w:rPr>
              <w:t xml:space="preserve"> 2018-19 will be released in 2020-21).</w:t>
            </w:r>
          </w:p>
          <w:p w14:paraId="4D892F3B" w14:textId="396DB442" w:rsidR="006B3465" w:rsidRPr="00925E10" w:rsidRDefault="006B3465" w:rsidP="00925E10">
            <w:pPr>
              <w:pStyle w:val="TableNText"/>
              <w:spacing w:before="0" w:after="0" w:line="240" w:lineRule="auto"/>
              <w:rPr>
                <w:sz w:val="16"/>
                <w:szCs w:val="16"/>
              </w:rPr>
            </w:pPr>
            <w:r w:rsidRPr="00925E10">
              <w:rPr>
                <w:sz w:val="16"/>
                <w:szCs w:val="16"/>
              </w:rPr>
              <w:t xml:space="preserve">Expert clinical advice will be needed to develop a market of inpatient bed days related to palliative care within the NIHSI-AA data set. </w:t>
            </w:r>
          </w:p>
        </w:tc>
        <w:tc>
          <w:tcPr>
            <w:tcW w:w="850" w:type="dxa"/>
          </w:tcPr>
          <w:p w14:paraId="22E5BDC2" w14:textId="40A90CD6" w:rsidR="006B3465" w:rsidRPr="00925E10" w:rsidRDefault="006B3465" w:rsidP="00925E10">
            <w:pPr>
              <w:pStyle w:val="TableNText"/>
              <w:spacing w:before="0" w:after="0" w:line="240" w:lineRule="auto"/>
              <w:rPr>
                <w:sz w:val="16"/>
                <w:szCs w:val="16"/>
              </w:rPr>
            </w:pPr>
            <w:r w:rsidRPr="00925E10">
              <w:rPr>
                <w:sz w:val="16"/>
                <w:szCs w:val="16"/>
              </w:rPr>
              <w:t>3, 4</w:t>
            </w:r>
          </w:p>
        </w:tc>
      </w:tr>
      <w:tr w:rsidR="006B3465" w:rsidRPr="00234FF1" w14:paraId="0B35116E" w14:textId="77777777" w:rsidTr="00441447">
        <w:trPr>
          <w:cnfStyle w:val="000000100000" w:firstRow="0" w:lastRow="0" w:firstColumn="0" w:lastColumn="0" w:oddVBand="0" w:evenVBand="0" w:oddHBand="1" w:evenHBand="0" w:firstRowFirstColumn="0" w:firstRowLastColumn="0" w:lastRowFirstColumn="0" w:lastRowLastColumn="0"/>
          <w:trHeight w:val="20"/>
        </w:trPr>
        <w:tc>
          <w:tcPr>
            <w:tcW w:w="2689" w:type="dxa"/>
          </w:tcPr>
          <w:p w14:paraId="326F5959" w14:textId="305E44CF" w:rsidR="006B3465" w:rsidRPr="00925E10" w:rsidRDefault="006B3465" w:rsidP="00925E10">
            <w:pPr>
              <w:pStyle w:val="TableNText"/>
              <w:spacing w:before="0" w:after="0" w:line="240" w:lineRule="auto"/>
              <w:rPr>
                <w:sz w:val="16"/>
                <w:szCs w:val="16"/>
              </w:rPr>
            </w:pPr>
            <w:r w:rsidRPr="00925E10">
              <w:rPr>
                <w:sz w:val="16"/>
                <w:szCs w:val="16"/>
              </w:rPr>
              <w:t>Increased completions of accredited courses related to palliative care</w:t>
            </w:r>
          </w:p>
        </w:tc>
        <w:tc>
          <w:tcPr>
            <w:tcW w:w="1701" w:type="dxa"/>
          </w:tcPr>
          <w:p w14:paraId="0AF884BF" w14:textId="77777777" w:rsidR="006B3465" w:rsidRPr="00925E10" w:rsidRDefault="006B3465" w:rsidP="00925E10">
            <w:pPr>
              <w:pStyle w:val="TableNBullet"/>
              <w:spacing w:before="0" w:after="0"/>
              <w:rPr>
                <w:sz w:val="16"/>
                <w:szCs w:val="16"/>
              </w:rPr>
            </w:pPr>
            <w:r w:rsidRPr="00925E10">
              <w:rPr>
                <w:sz w:val="16"/>
                <w:szCs w:val="16"/>
              </w:rPr>
              <w:t>AHHA</w:t>
            </w:r>
            <w:r w:rsidRPr="00925E10">
              <w:rPr>
                <w:rStyle w:val="FootnoteReference"/>
                <w:sz w:val="16"/>
                <w:szCs w:val="16"/>
              </w:rPr>
              <w:footnoteReference w:id="24"/>
            </w:r>
          </w:p>
          <w:p w14:paraId="7B0954F2" w14:textId="77777777" w:rsidR="006B3465" w:rsidRPr="00925E10" w:rsidRDefault="006B3465" w:rsidP="00925E10">
            <w:pPr>
              <w:pStyle w:val="TableNBullet"/>
              <w:spacing w:before="0" w:after="0"/>
              <w:rPr>
                <w:sz w:val="16"/>
                <w:szCs w:val="16"/>
              </w:rPr>
            </w:pPr>
            <w:r w:rsidRPr="00925E10">
              <w:rPr>
                <w:sz w:val="16"/>
                <w:szCs w:val="16"/>
              </w:rPr>
              <w:t>ELDAC</w:t>
            </w:r>
            <w:r w:rsidRPr="00925E10">
              <w:rPr>
                <w:rStyle w:val="FootnoteReference"/>
                <w:sz w:val="16"/>
                <w:szCs w:val="16"/>
              </w:rPr>
              <w:footnoteReference w:id="25"/>
            </w:r>
          </w:p>
        </w:tc>
        <w:tc>
          <w:tcPr>
            <w:tcW w:w="992" w:type="dxa"/>
          </w:tcPr>
          <w:p w14:paraId="300CC5A5" w14:textId="2B829596" w:rsidR="006B3465" w:rsidRPr="00441447" w:rsidRDefault="006B3465" w:rsidP="00925E10">
            <w:pPr>
              <w:pStyle w:val="TableNText"/>
              <w:spacing w:before="0" w:after="0" w:line="240" w:lineRule="auto"/>
              <w:rPr>
                <w:color w:val="F25E21" w:themeColor="accent2"/>
                <w:sz w:val="14"/>
                <w:szCs w:val="14"/>
              </w:rPr>
            </w:pPr>
            <w:r w:rsidRPr="00441447">
              <w:rPr>
                <w:color w:val="F25E21" w:themeColor="accent2"/>
                <w:sz w:val="14"/>
                <w:szCs w:val="14"/>
              </w:rPr>
              <w:t>Intermediate</w:t>
            </w:r>
            <w:r w:rsidRPr="00441447">
              <w:rPr>
                <w:sz w:val="14"/>
                <w:szCs w:val="14"/>
              </w:rPr>
              <w:t>/</w:t>
            </w:r>
            <w:r w:rsidRPr="00441447">
              <w:rPr>
                <w:color w:val="FF3A40" w:themeColor="accent1"/>
                <w:sz w:val="14"/>
                <w:szCs w:val="14"/>
              </w:rPr>
              <w:t>Poor</w:t>
            </w:r>
          </w:p>
        </w:tc>
        <w:tc>
          <w:tcPr>
            <w:tcW w:w="3544" w:type="dxa"/>
          </w:tcPr>
          <w:p w14:paraId="75071CFC" w14:textId="4BB173E8" w:rsidR="006B3465" w:rsidRPr="00925E10" w:rsidRDefault="006B3465" w:rsidP="00925E10">
            <w:pPr>
              <w:pStyle w:val="TableNText"/>
              <w:spacing w:before="0" w:after="0" w:line="240" w:lineRule="auto"/>
              <w:rPr>
                <w:sz w:val="16"/>
                <w:szCs w:val="16"/>
              </w:rPr>
            </w:pPr>
            <w:r w:rsidRPr="00925E10">
              <w:rPr>
                <w:sz w:val="16"/>
                <w:szCs w:val="16"/>
              </w:rPr>
              <w:t>There are limited Vocational Education and Training courses focussed on palliative care. AHHA will have data on the number of participants on their Palliative Care Online Training Courses. ELDAC may also be able to provide relevant data.</w:t>
            </w:r>
          </w:p>
        </w:tc>
        <w:tc>
          <w:tcPr>
            <w:tcW w:w="850" w:type="dxa"/>
          </w:tcPr>
          <w:p w14:paraId="2CEFEBC8" w14:textId="71B87201" w:rsidR="006B3465" w:rsidRPr="00925E10" w:rsidRDefault="006B3465" w:rsidP="00925E10">
            <w:pPr>
              <w:pStyle w:val="TableNText"/>
              <w:spacing w:before="0" w:after="0" w:line="240" w:lineRule="auto"/>
              <w:rPr>
                <w:sz w:val="16"/>
                <w:szCs w:val="16"/>
              </w:rPr>
            </w:pPr>
            <w:r w:rsidRPr="00925E10">
              <w:rPr>
                <w:sz w:val="16"/>
                <w:szCs w:val="16"/>
              </w:rPr>
              <w:t>3</w:t>
            </w:r>
          </w:p>
        </w:tc>
      </w:tr>
    </w:tbl>
    <w:p w14:paraId="2C403F26" w14:textId="77777777" w:rsidR="00AE070D" w:rsidRDefault="00AE070D" w:rsidP="000F52DD">
      <w:pPr>
        <w:rPr>
          <w:lang w:eastAsia="en-AU"/>
        </w:rPr>
        <w:sectPr w:rsidR="00AE070D" w:rsidSect="00AE1109">
          <w:headerReference w:type="default" r:id="rId42"/>
          <w:footerReference w:type="default" r:id="rId43"/>
          <w:headerReference w:type="first" r:id="rId44"/>
          <w:footerReference w:type="first" r:id="rId45"/>
          <w:pgSz w:w="11907" w:h="16839" w:code="9"/>
          <w:pgMar w:top="1418" w:right="1418" w:bottom="1701" w:left="1559" w:header="720" w:footer="720" w:gutter="0"/>
          <w:cols w:space="720"/>
          <w:titlePg/>
          <w:docGrid w:linePitch="360"/>
        </w:sectPr>
      </w:pPr>
    </w:p>
    <w:p w14:paraId="35A5B689" w14:textId="77777777" w:rsidR="00AE070D" w:rsidRPr="00F94E2E" w:rsidRDefault="00AE070D" w:rsidP="00AE070D">
      <w:pPr>
        <w:pStyle w:val="xAppendixLevel1"/>
      </w:pPr>
      <w:bookmarkStart w:id="100" w:name="_Ref56703231"/>
      <w:bookmarkStart w:id="101" w:name="_Ref61851414"/>
      <w:bookmarkStart w:id="102" w:name="_Toc82767236"/>
      <w:r>
        <w:lastRenderedPageBreak/>
        <w:t>Risk management plan</w:t>
      </w:r>
      <w:bookmarkEnd w:id="100"/>
      <w:bookmarkEnd w:id="101"/>
      <w:bookmarkEnd w:id="102"/>
      <w:r>
        <w:t xml:space="preserve"> </w:t>
      </w:r>
    </w:p>
    <w:p w14:paraId="31588095" w14:textId="77777777" w:rsidR="00AE070D" w:rsidRDefault="00AE070D" w:rsidP="00AE070D"/>
    <w:p w14:paraId="2B49B3AA" w14:textId="77777777" w:rsidR="00AE070D" w:rsidRPr="000D568D" w:rsidRDefault="00AE070D" w:rsidP="00AE070D">
      <w:pPr>
        <w:rPr>
          <w:lang w:eastAsia="en-AU"/>
        </w:rPr>
      </w:pPr>
      <w:r>
        <w:t xml:space="preserve">This appendix provides the risk management plan for the evaluation. </w:t>
      </w:r>
    </w:p>
    <w:tbl>
      <w:tblPr>
        <w:tblStyle w:val="TableGrid"/>
        <w:tblW w:w="13977" w:type="dxa"/>
        <w:tblBorders>
          <w:top w:val="single" w:sz="24" w:space="0" w:color="F8981D" w:themeColor="accent3"/>
          <w:insideH w:val="single" w:sz="4" w:space="0" w:color="F2F2F2" w:themeColor="background1" w:themeShade="F2"/>
          <w:insideV w:val="single" w:sz="4" w:space="0" w:color="F2F2F2" w:themeColor="background1" w:themeShade="F2"/>
        </w:tblBorders>
        <w:tblLook w:val="04A0" w:firstRow="1" w:lastRow="0" w:firstColumn="1" w:lastColumn="0" w:noHBand="0" w:noVBand="1"/>
        <w:tblCaption w:val="This table outlines the risk management plan fo rthe evaluation"/>
        <w:tblDescription w:val="Data Risks:&#10;There is an ongoing risk that quantitative data will be incomplete, inaccurate, challenging to access, or nationally inconsistent. Nous will work with the Department and jurisdictions to identify possible data quality and coverage issues. In addition, Nous will: &#10;1. Work with the Department to identify data requirements and availability and shape the evaluation accordingly.&#10;2. Identify where it is possible to supplement existing information with data to be collected, including through states and territories, Primary Health Networks (PHNs), MBS and PBS.&#10;3. Where data quality is low, undertake a quality assurance process, (through state and territory representatives or assistance from the Department project team) and identify proxy sources/measures. Where there are gaps, Nous will attempt to source alternative data. Nous will be clear about data limitations that may impact results in all reporting.&#10;&#10;There is potential that some data obtained during the evaluation will be sensitive. To ensure it is handled appropriately, we will:&#10;1. Adhere to Nous’ strict privacy protocols and ensure all project team members are current in their training for managing sensitive information.&#10;2. Conduct a Privacy Impact Assessment and only access identifiable data where required by the research design.&#10;3. Define which Nous employees can access relevant files and data.&#10;4. Ensure all outputs meet the project objectives and that all data released is non-disclosive.&#10;&#10;At this stage, it has been assessed that this evaluation will not require ethics approval. If circumstances should change and ethics approval should be required in the future, Nous has experience developing successful ethics applications and will draw on this experience, along with close liaison with the Department, to develop well-considered ethics applications for an appropriate HREC(s). This process will build in time contingencies where possible, to account for possible revisions. &#10;&#10;The evaluation is dependent upon regular information sharing between Nous, states/territories participating in the Measure and participating RACFs. To ensure a timely flow of information, Nous will:&#10;1. Establish regular channels of communication with all states/territories signed up to the Measure and with their evaluators where appropriate. Nous will engage with all participating jurisdictions early in the project and establish regular lines of communication.&#10;2. Communicate potential issues with the Department in a timely manner and develop an adapted approach. Nous will keep the Department informed of any data collection challenges so that issues can be resolved in a timely fashion.&#10;&#10;Nous will engage early with all jurisdictions to understand the intended evaluation approach. Nous will seek to shape jurisdictional evaluation approaches to ensure that required data is collected to inform the evaluation. &#10;In the circumstance that the views of residents, carers and families are not collected in jurisdictional evaluations, Nous will seek to gain additional feedback through our planned consultations with the relevant peak bodies at state and national-levels and through jurisdictional PCA groups. &#10;&#10;Timeframe Risks&#10;There is a risk that, due to unforeseen circumstances such as COVID-19, roll-out of the Measure is delayed in some locations (e.g. Victoria). In this case, components of the evaluation would also be delayed. Nous will mitigate risk as far as possible by:&#10;1. Maintaining regular contact with state/territory departments to understand any changes to proposed schedules.&#10;2. Communicating any changes to the Department in a timely manner and develop an adapted approach. Where required, Nous will take a flexible approach to the timeframes of the evaluation and/or reporting (within budget).&#10;&#10;Stakeholder Engagement Risks&#10;The current environment is unpredictable and implementation of the state/territory activities may be delayed or only implemented virtually for some RACFs. In addition, many or all stakeholder consultations may need to be completed virtually. Nous is experienced in conducting virtual stakeholder engagements using a range of online tools (e.g. Skype for Business and Microsoft Teams). We will adapt our approach to meet stakeholder needs and preferences, and respond to circumstances during the evaluation. We will consult with the Department about the need for any changes to deliverable dates as a result of delays in the jurisdictions.&#10;&#10;Nous will ensure adequate engagement of all stakeholders through the following:&#10;3. Development of a Stakeholder Communication Plan that identifies the purpose, principles and approach for engagement that best meets the needs of each type of stakeholder.&#10;4. Provision of clear communications of the purpose, nature, scope and confidentiality of all consultations.&#10;5. Provision of multiple timeslot options for stakeholders to engage.&#10;6. Drawing on the Department, jurisdictions and service providers to identify participants and connect them to the evaluation.&#10;7. Design and implement engaging consultations.&#10;1. Adherence to relevant COVID-19 restrictions in each jurisdiction, through the use of platforms such as Skype and Microsoft Teams. &#10;&#10;Quality Risks&#10;Nous has several quality assurance processes to ensure we deliver quality work, every time. For this evaluation, we will:&#10;2. Agree the KEQs and evaluation scope and approach early, through the Evaluation Framework.&#10;1. Ensure the research design is valid and appropriate through a carefully designed methodology. &#10;2. Develop and test draft report outlines with the Department to ensure the scope and detail meets requirements.&#10;3. Draw on experts within the team to test our findings and assumptions. This includes Professor David Currow and Stephen Teulan for expertise in aged care and palliative care.&#10;4. Test findings with the Department in monthly meetings and Progress Reports.&#10;Nous will keep the Department informed as to achievements, progress, key activities, issues, risks and suggested solutions through the regular updates proposed in this plan. This will help to ensure the Department is aware of progress, without compromising the independence of the evaluation.&#10;"/>
      </w:tblPr>
      <w:tblGrid>
        <w:gridCol w:w="1920"/>
        <w:gridCol w:w="1510"/>
        <w:gridCol w:w="1130"/>
        <w:gridCol w:w="759"/>
        <w:gridCol w:w="1003"/>
        <w:gridCol w:w="6442"/>
        <w:gridCol w:w="1213"/>
      </w:tblGrid>
      <w:tr w:rsidR="00102E82" w:rsidRPr="00CD2BFA" w14:paraId="10F6A608" w14:textId="77777777" w:rsidTr="00CD2BFA">
        <w:trPr>
          <w:cnfStyle w:val="100000000000" w:firstRow="1" w:lastRow="0" w:firstColumn="0" w:lastColumn="0" w:oddVBand="0" w:evenVBand="0" w:oddHBand="0" w:evenHBand="0" w:firstRowFirstColumn="0" w:firstRowLastColumn="0" w:lastRowFirstColumn="0" w:lastRowLastColumn="0"/>
        </w:trPr>
        <w:tc>
          <w:tcPr>
            <w:tcW w:w="1919" w:type="dxa"/>
            <w:shd w:val="clear" w:color="auto" w:fill="00264D" w:themeFill="background2"/>
          </w:tcPr>
          <w:p w14:paraId="457E4AF0" w14:textId="77777777" w:rsidR="00AE070D" w:rsidRPr="00CD2BFA" w:rsidRDefault="00AE070D" w:rsidP="00F51636">
            <w:pPr>
              <w:pStyle w:val="TableNheader"/>
              <w:rPr>
                <w:b/>
                <w:bCs/>
                <w:color w:val="FFFFFF" w:themeColor="background1"/>
                <w:sz w:val="16"/>
                <w:szCs w:val="16"/>
              </w:rPr>
            </w:pPr>
            <w:r w:rsidRPr="00CD2BFA">
              <w:rPr>
                <w:bCs/>
                <w:color w:val="FFFFFF" w:themeColor="background1"/>
                <w:sz w:val="16"/>
                <w:szCs w:val="16"/>
              </w:rPr>
              <w:t>Risk</w:t>
            </w:r>
          </w:p>
        </w:tc>
        <w:tc>
          <w:tcPr>
            <w:tcW w:w="1510" w:type="dxa"/>
            <w:shd w:val="clear" w:color="auto" w:fill="00264D" w:themeFill="background2"/>
          </w:tcPr>
          <w:p w14:paraId="190DAC49" w14:textId="77777777" w:rsidR="00AE070D" w:rsidRPr="00CD2BFA" w:rsidRDefault="00AE070D" w:rsidP="00F51636">
            <w:pPr>
              <w:pStyle w:val="TableNheader"/>
              <w:rPr>
                <w:b/>
                <w:bCs/>
                <w:color w:val="FFFFFF" w:themeColor="background1"/>
                <w:sz w:val="16"/>
                <w:szCs w:val="16"/>
              </w:rPr>
            </w:pPr>
            <w:r w:rsidRPr="00CD2BFA">
              <w:rPr>
                <w:bCs/>
                <w:color w:val="FFFFFF" w:themeColor="background1"/>
                <w:sz w:val="16"/>
                <w:szCs w:val="16"/>
              </w:rPr>
              <w:t>Consequence</w:t>
            </w:r>
          </w:p>
        </w:tc>
        <w:tc>
          <w:tcPr>
            <w:tcW w:w="1130" w:type="dxa"/>
            <w:shd w:val="clear" w:color="auto" w:fill="00264D" w:themeFill="background2"/>
          </w:tcPr>
          <w:p w14:paraId="3C9730DB" w14:textId="77777777" w:rsidR="00AE070D" w:rsidRPr="00CD2BFA" w:rsidRDefault="00AE070D" w:rsidP="00F51636">
            <w:pPr>
              <w:pStyle w:val="TableNheader"/>
              <w:rPr>
                <w:b/>
                <w:bCs/>
                <w:color w:val="FFFFFF" w:themeColor="background1"/>
                <w:sz w:val="16"/>
                <w:szCs w:val="16"/>
              </w:rPr>
            </w:pPr>
            <w:r w:rsidRPr="00CD2BFA">
              <w:rPr>
                <w:bCs/>
                <w:color w:val="FFFFFF" w:themeColor="background1"/>
                <w:sz w:val="16"/>
                <w:szCs w:val="16"/>
              </w:rPr>
              <w:t>Likelihood</w:t>
            </w:r>
          </w:p>
        </w:tc>
        <w:tc>
          <w:tcPr>
            <w:tcW w:w="759" w:type="dxa"/>
            <w:shd w:val="clear" w:color="auto" w:fill="00264D" w:themeFill="background2"/>
          </w:tcPr>
          <w:p w14:paraId="0F3A0E37" w14:textId="77777777" w:rsidR="00AE070D" w:rsidRPr="00CD2BFA" w:rsidRDefault="00AE070D" w:rsidP="00F51636">
            <w:pPr>
              <w:pStyle w:val="TableNheader"/>
              <w:rPr>
                <w:b/>
                <w:bCs/>
                <w:color w:val="FFFFFF" w:themeColor="background1"/>
                <w:sz w:val="16"/>
                <w:szCs w:val="16"/>
              </w:rPr>
            </w:pPr>
            <w:r w:rsidRPr="00CD2BFA">
              <w:rPr>
                <w:bCs/>
                <w:color w:val="FFFFFF" w:themeColor="background1"/>
                <w:sz w:val="16"/>
                <w:szCs w:val="16"/>
              </w:rPr>
              <w:t>Impact</w:t>
            </w:r>
          </w:p>
        </w:tc>
        <w:tc>
          <w:tcPr>
            <w:tcW w:w="1003" w:type="dxa"/>
            <w:shd w:val="clear" w:color="auto" w:fill="00264D" w:themeFill="background2"/>
          </w:tcPr>
          <w:p w14:paraId="4140007D" w14:textId="77777777" w:rsidR="00AE070D" w:rsidRPr="00CD2BFA" w:rsidRDefault="00AE070D" w:rsidP="00F51636">
            <w:pPr>
              <w:pStyle w:val="TableNheader"/>
              <w:rPr>
                <w:b/>
                <w:bCs/>
                <w:color w:val="FFFFFF" w:themeColor="background1"/>
                <w:sz w:val="16"/>
                <w:szCs w:val="16"/>
              </w:rPr>
            </w:pPr>
            <w:r w:rsidRPr="00CD2BFA">
              <w:rPr>
                <w:bCs/>
                <w:color w:val="FFFFFF" w:themeColor="background1"/>
                <w:sz w:val="16"/>
                <w:szCs w:val="16"/>
              </w:rPr>
              <w:t>Risk rating</w:t>
            </w:r>
          </w:p>
        </w:tc>
        <w:tc>
          <w:tcPr>
            <w:tcW w:w="6443" w:type="dxa"/>
            <w:shd w:val="clear" w:color="auto" w:fill="00264D" w:themeFill="background2"/>
          </w:tcPr>
          <w:p w14:paraId="4F5F9134" w14:textId="77777777" w:rsidR="00AE070D" w:rsidRPr="00CD2BFA" w:rsidRDefault="00AE070D" w:rsidP="00F51636">
            <w:pPr>
              <w:pStyle w:val="TableNheader"/>
              <w:rPr>
                <w:b/>
                <w:bCs/>
                <w:color w:val="FFFFFF" w:themeColor="background1"/>
                <w:sz w:val="16"/>
                <w:szCs w:val="16"/>
              </w:rPr>
            </w:pPr>
            <w:r w:rsidRPr="00CD2BFA">
              <w:rPr>
                <w:bCs/>
                <w:color w:val="FFFFFF" w:themeColor="background1"/>
                <w:sz w:val="16"/>
                <w:szCs w:val="16"/>
              </w:rPr>
              <w:t>Mitigation strategy</w:t>
            </w:r>
          </w:p>
        </w:tc>
        <w:tc>
          <w:tcPr>
            <w:tcW w:w="1213" w:type="dxa"/>
            <w:shd w:val="clear" w:color="auto" w:fill="00264D" w:themeFill="background2"/>
          </w:tcPr>
          <w:p w14:paraId="205250E8" w14:textId="77777777" w:rsidR="00AE070D" w:rsidRPr="00CD2BFA" w:rsidRDefault="00AE070D" w:rsidP="00F51636">
            <w:pPr>
              <w:pStyle w:val="TableNheader"/>
              <w:rPr>
                <w:b/>
                <w:bCs/>
                <w:color w:val="FFFFFF" w:themeColor="background1"/>
                <w:sz w:val="16"/>
                <w:szCs w:val="16"/>
              </w:rPr>
            </w:pPr>
            <w:r w:rsidRPr="00CD2BFA">
              <w:rPr>
                <w:bCs/>
                <w:color w:val="FFFFFF" w:themeColor="background1"/>
                <w:sz w:val="16"/>
                <w:szCs w:val="16"/>
              </w:rPr>
              <w:t>Residual risk</w:t>
            </w:r>
          </w:p>
        </w:tc>
      </w:tr>
      <w:tr w:rsidR="00AE070D" w:rsidRPr="00CD2BFA" w14:paraId="447C7A06" w14:textId="77777777" w:rsidTr="00CD2BFA">
        <w:trPr>
          <w:cnfStyle w:val="000000100000" w:firstRow="0" w:lastRow="0" w:firstColumn="0" w:lastColumn="0" w:oddVBand="0" w:evenVBand="0" w:oddHBand="1" w:evenHBand="0" w:firstRowFirstColumn="0" w:firstRowLastColumn="0" w:lastRowFirstColumn="0" w:lastRowLastColumn="0"/>
        </w:trPr>
        <w:tc>
          <w:tcPr>
            <w:tcW w:w="13972" w:type="dxa"/>
            <w:gridSpan w:val="7"/>
            <w:shd w:val="clear" w:color="auto" w:fill="E6E6E1" w:themeFill="accent5"/>
          </w:tcPr>
          <w:p w14:paraId="614C3AE6" w14:textId="77777777" w:rsidR="00AE070D" w:rsidRPr="00CD2BFA" w:rsidRDefault="00AE070D" w:rsidP="00F51636">
            <w:pPr>
              <w:pStyle w:val="TableNText"/>
              <w:rPr>
                <w:sz w:val="16"/>
                <w:szCs w:val="16"/>
              </w:rPr>
            </w:pPr>
            <w:r w:rsidRPr="00CD2BFA">
              <w:rPr>
                <w:rFonts w:asciiTheme="majorHAnsi" w:hAnsiTheme="majorHAnsi" w:cstheme="majorHAnsi"/>
                <w:color w:val="00264D" w:themeColor="background2"/>
                <w:sz w:val="16"/>
                <w:szCs w:val="16"/>
              </w:rPr>
              <w:t>DATA RISKS</w:t>
            </w:r>
          </w:p>
        </w:tc>
      </w:tr>
      <w:tr w:rsidR="00CD2BFA" w:rsidRPr="00CD2BFA" w14:paraId="22FDF678" w14:textId="77777777" w:rsidTr="00CD2BFA">
        <w:trPr>
          <w:cnfStyle w:val="000000010000" w:firstRow="0" w:lastRow="0" w:firstColumn="0" w:lastColumn="0" w:oddVBand="0" w:evenVBand="0" w:oddHBand="0" w:evenHBand="1" w:firstRowFirstColumn="0" w:firstRowLastColumn="0" w:lastRowFirstColumn="0" w:lastRowLastColumn="0"/>
        </w:trPr>
        <w:tc>
          <w:tcPr>
            <w:tcW w:w="1920" w:type="dxa"/>
            <w:shd w:val="clear" w:color="auto" w:fill="FFFFFF" w:themeFill="background1"/>
          </w:tcPr>
          <w:p w14:paraId="7662044E" w14:textId="77777777" w:rsidR="00AE070D" w:rsidRPr="00CD2BFA" w:rsidRDefault="00AE070D" w:rsidP="00F51636">
            <w:pPr>
              <w:pStyle w:val="TableNheader"/>
              <w:rPr>
                <w:sz w:val="16"/>
                <w:szCs w:val="16"/>
              </w:rPr>
            </w:pPr>
            <w:r w:rsidRPr="00CD2BFA">
              <w:rPr>
                <w:sz w:val="16"/>
                <w:szCs w:val="16"/>
              </w:rPr>
              <w:t>Quantitative data is difficult to access, or quality and consistency is low</w:t>
            </w:r>
          </w:p>
        </w:tc>
        <w:tc>
          <w:tcPr>
            <w:tcW w:w="1504" w:type="dxa"/>
            <w:shd w:val="clear" w:color="auto" w:fill="FFFFFF" w:themeFill="background1"/>
          </w:tcPr>
          <w:p w14:paraId="294C1328" w14:textId="77777777" w:rsidR="00AE070D" w:rsidRPr="00CD2BFA" w:rsidRDefault="00AE070D" w:rsidP="00F51636">
            <w:pPr>
              <w:pStyle w:val="TableNText"/>
              <w:rPr>
                <w:sz w:val="16"/>
                <w:szCs w:val="16"/>
              </w:rPr>
            </w:pPr>
            <w:r w:rsidRPr="00CD2BFA">
              <w:rPr>
                <w:sz w:val="16"/>
                <w:szCs w:val="16"/>
              </w:rPr>
              <w:t xml:space="preserve">The evaluation cannot draw meaningful conclusions from the quantitative data. </w:t>
            </w:r>
          </w:p>
        </w:tc>
        <w:tc>
          <w:tcPr>
            <w:tcW w:w="1130" w:type="dxa"/>
            <w:shd w:val="clear" w:color="auto" w:fill="FFFFFF" w:themeFill="background1"/>
          </w:tcPr>
          <w:p w14:paraId="6687B1E2" w14:textId="77777777" w:rsidR="00AE070D" w:rsidRPr="00CD2BFA" w:rsidRDefault="00AE070D" w:rsidP="00F51636">
            <w:pPr>
              <w:pStyle w:val="TableNText"/>
              <w:rPr>
                <w:sz w:val="16"/>
                <w:szCs w:val="16"/>
              </w:rPr>
            </w:pPr>
            <w:r w:rsidRPr="00CD2BFA">
              <w:rPr>
                <w:sz w:val="16"/>
                <w:szCs w:val="16"/>
              </w:rPr>
              <w:t>High</w:t>
            </w:r>
          </w:p>
        </w:tc>
        <w:tc>
          <w:tcPr>
            <w:tcW w:w="759" w:type="dxa"/>
            <w:shd w:val="clear" w:color="auto" w:fill="FFFFFF" w:themeFill="background1"/>
          </w:tcPr>
          <w:p w14:paraId="7EC00875" w14:textId="77777777" w:rsidR="00AE070D" w:rsidRPr="00CD2BFA" w:rsidRDefault="00AE070D" w:rsidP="00F51636">
            <w:pPr>
              <w:pStyle w:val="TableNText"/>
              <w:rPr>
                <w:sz w:val="16"/>
                <w:szCs w:val="16"/>
              </w:rPr>
            </w:pPr>
            <w:r w:rsidRPr="00CD2BFA">
              <w:rPr>
                <w:sz w:val="16"/>
                <w:szCs w:val="16"/>
              </w:rPr>
              <w:t>High</w:t>
            </w:r>
          </w:p>
        </w:tc>
        <w:tc>
          <w:tcPr>
            <w:tcW w:w="1003" w:type="dxa"/>
            <w:shd w:val="clear" w:color="auto" w:fill="FFFFFF" w:themeFill="background1"/>
          </w:tcPr>
          <w:p w14:paraId="28117D25" w14:textId="77777777" w:rsidR="00AE070D" w:rsidRPr="00CD2BFA" w:rsidRDefault="00AE070D" w:rsidP="00F51636">
            <w:pPr>
              <w:pStyle w:val="TableNText"/>
              <w:rPr>
                <w:sz w:val="16"/>
                <w:szCs w:val="16"/>
              </w:rPr>
            </w:pPr>
            <w:r w:rsidRPr="00CD2BFA">
              <w:rPr>
                <w:sz w:val="16"/>
                <w:szCs w:val="16"/>
              </w:rPr>
              <w:t>High</w:t>
            </w:r>
          </w:p>
        </w:tc>
        <w:tc>
          <w:tcPr>
            <w:tcW w:w="6443" w:type="dxa"/>
            <w:shd w:val="clear" w:color="auto" w:fill="FFFFFF" w:themeFill="background1"/>
          </w:tcPr>
          <w:p w14:paraId="41FACC08" w14:textId="77777777" w:rsidR="00AE070D" w:rsidRPr="00CD2BFA" w:rsidRDefault="00AE070D" w:rsidP="00F51636">
            <w:pPr>
              <w:pStyle w:val="TableNText"/>
              <w:rPr>
                <w:sz w:val="16"/>
                <w:szCs w:val="16"/>
              </w:rPr>
            </w:pPr>
            <w:r w:rsidRPr="00CD2BFA">
              <w:rPr>
                <w:sz w:val="16"/>
                <w:szCs w:val="16"/>
              </w:rPr>
              <w:t xml:space="preserve">There is an ongoing risk that quantitative data will be incomplete, inaccurate, challenging to access, or nationally inconsistent. Nous will work with the Department and jurisdictions to identify possible data quality and coverage issues. In addition, Nous will: </w:t>
            </w:r>
          </w:p>
          <w:p w14:paraId="4D7235B5" w14:textId="77777777" w:rsidR="00AE070D" w:rsidRPr="00CD2BFA" w:rsidRDefault="00AE070D" w:rsidP="00F51636">
            <w:pPr>
              <w:pStyle w:val="TableNListnumbered"/>
              <w:rPr>
                <w:sz w:val="16"/>
                <w:szCs w:val="16"/>
              </w:rPr>
            </w:pPr>
            <w:r w:rsidRPr="00CD2BFA">
              <w:rPr>
                <w:sz w:val="16"/>
                <w:szCs w:val="16"/>
              </w:rPr>
              <w:t>Work with the Department to identify data requirements and availability and shape the evaluation accordingly.</w:t>
            </w:r>
          </w:p>
          <w:p w14:paraId="318342B0" w14:textId="77777777" w:rsidR="00AE070D" w:rsidRPr="00CD2BFA" w:rsidRDefault="00AE070D" w:rsidP="00F51636">
            <w:pPr>
              <w:pStyle w:val="TableNListnumbered"/>
              <w:rPr>
                <w:sz w:val="16"/>
                <w:szCs w:val="16"/>
              </w:rPr>
            </w:pPr>
            <w:r w:rsidRPr="00CD2BFA">
              <w:rPr>
                <w:sz w:val="16"/>
                <w:szCs w:val="16"/>
              </w:rPr>
              <w:t>Identify where it is possible to supplement existing information with data to be collected, including through states and territories, Primary Health Networks (PHNs), MBS and PBS.</w:t>
            </w:r>
          </w:p>
          <w:p w14:paraId="13A21CED" w14:textId="77777777" w:rsidR="00AE070D" w:rsidRPr="00CD2BFA" w:rsidRDefault="00AE070D" w:rsidP="00F51636">
            <w:pPr>
              <w:pStyle w:val="TableNListnumbered"/>
              <w:rPr>
                <w:sz w:val="16"/>
                <w:szCs w:val="16"/>
              </w:rPr>
            </w:pPr>
            <w:r w:rsidRPr="00CD2BFA">
              <w:rPr>
                <w:sz w:val="16"/>
                <w:szCs w:val="16"/>
              </w:rPr>
              <w:t>Where data quality is low, undertake a quality assurance process, (through state and territory representatives or assistance from the Department project team) and identify proxy sources/measures. Where there are gaps, Nous will attempt to source alternative data. Nous will be clear about data limitations that may impact results in all reporting.</w:t>
            </w:r>
          </w:p>
        </w:tc>
        <w:tc>
          <w:tcPr>
            <w:tcW w:w="1213" w:type="dxa"/>
            <w:shd w:val="clear" w:color="auto" w:fill="FFFFFF" w:themeFill="background1"/>
          </w:tcPr>
          <w:p w14:paraId="4D3C7269" w14:textId="77777777" w:rsidR="00AE070D" w:rsidRPr="00CD2BFA" w:rsidRDefault="00AE070D" w:rsidP="00F51636">
            <w:pPr>
              <w:pStyle w:val="TableNText"/>
              <w:rPr>
                <w:sz w:val="16"/>
                <w:szCs w:val="16"/>
              </w:rPr>
            </w:pPr>
            <w:r w:rsidRPr="00CD2BFA">
              <w:rPr>
                <w:sz w:val="16"/>
                <w:szCs w:val="16"/>
              </w:rPr>
              <w:t>High</w:t>
            </w:r>
          </w:p>
        </w:tc>
      </w:tr>
      <w:tr w:rsidR="00CD2BFA" w:rsidRPr="00CD2BFA" w14:paraId="7FC1D1C7" w14:textId="77777777" w:rsidTr="00CD2BFA">
        <w:trPr>
          <w:cnfStyle w:val="000000100000" w:firstRow="0" w:lastRow="0" w:firstColumn="0" w:lastColumn="0" w:oddVBand="0" w:evenVBand="0" w:oddHBand="1" w:evenHBand="0" w:firstRowFirstColumn="0" w:firstRowLastColumn="0" w:lastRowFirstColumn="0" w:lastRowLastColumn="0"/>
        </w:trPr>
        <w:tc>
          <w:tcPr>
            <w:tcW w:w="1920" w:type="dxa"/>
            <w:shd w:val="clear" w:color="auto" w:fill="FFFFFF" w:themeFill="background1"/>
          </w:tcPr>
          <w:p w14:paraId="03E528A6" w14:textId="77777777" w:rsidR="00AE070D" w:rsidRPr="00CD2BFA" w:rsidRDefault="00AE070D" w:rsidP="00F51636">
            <w:pPr>
              <w:pStyle w:val="TableNheader"/>
              <w:rPr>
                <w:sz w:val="16"/>
                <w:szCs w:val="16"/>
              </w:rPr>
            </w:pPr>
            <w:r w:rsidRPr="00CD2BFA">
              <w:rPr>
                <w:sz w:val="16"/>
                <w:szCs w:val="16"/>
              </w:rPr>
              <w:t>Sensitive data is mismanaged</w:t>
            </w:r>
          </w:p>
        </w:tc>
        <w:tc>
          <w:tcPr>
            <w:tcW w:w="1504" w:type="dxa"/>
            <w:shd w:val="clear" w:color="auto" w:fill="FFFFFF" w:themeFill="background1"/>
          </w:tcPr>
          <w:p w14:paraId="09550D9F" w14:textId="77777777" w:rsidR="00AE070D" w:rsidRPr="00CD2BFA" w:rsidRDefault="00AE070D" w:rsidP="00F51636">
            <w:pPr>
              <w:pStyle w:val="TableNText"/>
              <w:rPr>
                <w:sz w:val="16"/>
                <w:szCs w:val="16"/>
              </w:rPr>
            </w:pPr>
            <w:r w:rsidRPr="00CD2BFA">
              <w:rPr>
                <w:sz w:val="16"/>
                <w:szCs w:val="16"/>
              </w:rPr>
              <w:t>Participant confidentiality is breached.</w:t>
            </w:r>
          </w:p>
        </w:tc>
        <w:tc>
          <w:tcPr>
            <w:tcW w:w="1130" w:type="dxa"/>
            <w:shd w:val="clear" w:color="auto" w:fill="FFFFFF" w:themeFill="background1"/>
          </w:tcPr>
          <w:p w14:paraId="1EF851C6" w14:textId="77777777" w:rsidR="00AE070D" w:rsidRPr="00CD2BFA" w:rsidRDefault="00AE070D" w:rsidP="00F51636">
            <w:pPr>
              <w:pStyle w:val="TableNText"/>
              <w:rPr>
                <w:sz w:val="16"/>
                <w:szCs w:val="16"/>
              </w:rPr>
            </w:pPr>
            <w:r w:rsidRPr="00CD2BFA">
              <w:rPr>
                <w:sz w:val="16"/>
                <w:szCs w:val="16"/>
              </w:rPr>
              <w:t>Low</w:t>
            </w:r>
          </w:p>
        </w:tc>
        <w:tc>
          <w:tcPr>
            <w:tcW w:w="759" w:type="dxa"/>
            <w:shd w:val="clear" w:color="auto" w:fill="FFFFFF" w:themeFill="background1"/>
          </w:tcPr>
          <w:p w14:paraId="3765D792" w14:textId="77777777" w:rsidR="00AE070D" w:rsidRPr="00CD2BFA" w:rsidRDefault="00AE070D" w:rsidP="00F51636">
            <w:pPr>
              <w:pStyle w:val="TableNText"/>
              <w:rPr>
                <w:sz w:val="16"/>
                <w:szCs w:val="16"/>
              </w:rPr>
            </w:pPr>
            <w:r w:rsidRPr="00CD2BFA">
              <w:rPr>
                <w:sz w:val="16"/>
                <w:szCs w:val="16"/>
              </w:rPr>
              <w:t>High</w:t>
            </w:r>
          </w:p>
        </w:tc>
        <w:tc>
          <w:tcPr>
            <w:tcW w:w="1003" w:type="dxa"/>
            <w:shd w:val="clear" w:color="auto" w:fill="FFFFFF" w:themeFill="background1"/>
          </w:tcPr>
          <w:p w14:paraId="590BD02F" w14:textId="77777777" w:rsidR="00AE070D" w:rsidRPr="00CD2BFA" w:rsidRDefault="00AE070D" w:rsidP="00F51636">
            <w:pPr>
              <w:pStyle w:val="TableNText"/>
              <w:rPr>
                <w:sz w:val="16"/>
                <w:szCs w:val="16"/>
              </w:rPr>
            </w:pPr>
            <w:r w:rsidRPr="00CD2BFA">
              <w:rPr>
                <w:sz w:val="16"/>
                <w:szCs w:val="16"/>
              </w:rPr>
              <w:t>Medium</w:t>
            </w:r>
          </w:p>
        </w:tc>
        <w:tc>
          <w:tcPr>
            <w:tcW w:w="6443" w:type="dxa"/>
            <w:shd w:val="clear" w:color="auto" w:fill="FFFFFF" w:themeFill="background1"/>
          </w:tcPr>
          <w:p w14:paraId="353E743D" w14:textId="77777777" w:rsidR="00AE070D" w:rsidRPr="00CD2BFA" w:rsidRDefault="00AE070D" w:rsidP="00F51636">
            <w:pPr>
              <w:pStyle w:val="TableNText"/>
              <w:rPr>
                <w:sz w:val="16"/>
                <w:szCs w:val="16"/>
              </w:rPr>
            </w:pPr>
            <w:r w:rsidRPr="00CD2BFA">
              <w:rPr>
                <w:sz w:val="16"/>
                <w:szCs w:val="16"/>
              </w:rPr>
              <w:t>There is potential that some data obtained during the evaluation will be sensitive. To ensure it is handled appropriately, we will:</w:t>
            </w:r>
          </w:p>
          <w:p w14:paraId="37FE27D8" w14:textId="77777777" w:rsidR="00AE070D" w:rsidRPr="00CD2BFA" w:rsidRDefault="00AE070D" w:rsidP="00F51636">
            <w:pPr>
              <w:pStyle w:val="TableNListnumbered"/>
              <w:numPr>
                <w:ilvl w:val="0"/>
                <w:numId w:val="10"/>
              </w:numPr>
              <w:rPr>
                <w:sz w:val="16"/>
                <w:szCs w:val="16"/>
              </w:rPr>
            </w:pPr>
            <w:r w:rsidRPr="00CD2BFA">
              <w:rPr>
                <w:sz w:val="16"/>
                <w:szCs w:val="16"/>
              </w:rPr>
              <w:t>Adhere to Nous’ strict privacy protocols and ensure all project team members are current in their training for managing sensitive information.</w:t>
            </w:r>
          </w:p>
          <w:p w14:paraId="2C4B6196" w14:textId="77777777" w:rsidR="00AE070D" w:rsidRPr="00CD2BFA" w:rsidRDefault="00AE070D" w:rsidP="00F51636">
            <w:pPr>
              <w:pStyle w:val="TableNListnumbered"/>
              <w:numPr>
                <w:ilvl w:val="0"/>
                <w:numId w:val="10"/>
              </w:numPr>
              <w:rPr>
                <w:sz w:val="16"/>
                <w:szCs w:val="16"/>
              </w:rPr>
            </w:pPr>
            <w:r w:rsidRPr="00CD2BFA">
              <w:rPr>
                <w:sz w:val="16"/>
                <w:szCs w:val="16"/>
              </w:rPr>
              <w:t>Conduct a Privacy Impact Assessment and only access identifiable data where required by the research design.</w:t>
            </w:r>
          </w:p>
          <w:p w14:paraId="62EB8258" w14:textId="77777777" w:rsidR="00AE070D" w:rsidRPr="00CD2BFA" w:rsidRDefault="00AE070D" w:rsidP="00F51636">
            <w:pPr>
              <w:pStyle w:val="TableNListnumbered"/>
              <w:numPr>
                <w:ilvl w:val="0"/>
                <w:numId w:val="10"/>
              </w:numPr>
              <w:rPr>
                <w:sz w:val="16"/>
                <w:szCs w:val="16"/>
              </w:rPr>
            </w:pPr>
            <w:r w:rsidRPr="00CD2BFA">
              <w:rPr>
                <w:sz w:val="16"/>
                <w:szCs w:val="16"/>
              </w:rPr>
              <w:t>Define which Nous employees can access relevant files and data.</w:t>
            </w:r>
          </w:p>
          <w:p w14:paraId="7FF4556A" w14:textId="77777777" w:rsidR="00AE070D" w:rsidRPr="00CD2BFA" w:rsidRDefault="00AE070D" w:rsidP="00F51636">
            <w:pPr>
              <w:pStyle w:val="TableNListnumbered"/>
              <w:numPr>
                <w:ilvl w:val="0"/>
                <w:numId w:val="10"/>
              </w:numPr>
              <w:rPr>
                <w:sz w:val="16"/>
                <w:szCs w:val="16"/>
              </w:rPr>
            </w:pPr>
            <w:r w:rsidRPr="00CD2BFA">
              <w:rPr>
                <w:sz w:val="16"/>
                <w:szCs w:val="16"/>
              </w:rPr>
              <w:lastRenderedPageBreak/>
              <w:t>Ensure all outputs meet the project objectives and that all data released is non-disclosive.</w:t>
            </w:r>
          </w:p>
        </w:tc>
        <w:tc>
          <w:tcPr>
            <w:tcW w:w="1213" w:type="dxa"/>
            <w:shd w:val="clear" w:color="auto" w:fill="FFFFFF" w:themeFill="background1"/>
          </w:tcPr>
          <w:p w14:paraId="5B7DAF7A" w14:textId="77777777" w:rsidR="00AE070D" w:rsidRPr="00CD2BFA" w:rsidRDefault="00AE070D" w:rsidP="00F51636">
            <w:pPr>
              <w:pStyle w:val="TableNText"/>
              <w:rPr>
                <w:sz w:val="16"/>
                <w:szCs w:val="16"/>
              </w:rPr>
            </w:pPr>
            <w:r w:rsidRPr="00CD2BFA">
              <w:rPr>
                <w:sz w:val="16"/>
                <w:szCs w:val="16"/>
              </w:rPr>
              <w:lastRenderedPageBreak/>
              <w:t>Low</w:t>
            </w:r>
          </w:p>
        </w:tc>
      </w:tr>
      <w:tr w:rsidR="00CD2BFA" w:rsidRPr="00CD2BFA" w14:paraId="049B11EE" w14:textId="77777777" w:rsidTr="00CD2BFA">
        <w:trPr>
          <w:cnfStyle w:val="000000010000" w:firstRow="0" w:lastRow="0" w:firstColumn="0" w:lastColumn="0" w:oddVBand="0" w:evenVBand="0" w:oddHBand="0" w:evenHBand="1" w:firstRowFirstColumn="0" w:firstRowLastColumn="0" w:lastRowFirstColumn="0" w:lastRowLastColumn="0"/>
        </w:trPr>
        <w:tc>
          <w:tcPr>
            <w:tcW w:w="1920" w:type="dxa"/>
            <w:shd w:val="clear" w:color="auto" w:fill="FFFFFF" w:themeFill="background1"/>
          </w:tcPr>
          <w:p w14:paraId="4999C62A" w14:textId="77777777" w:rsidR="00AE070D" w:rsidRPr="00CD2BFA" w:rsidRDefault="00AE070D" w:rsidP="00F51636">
            <w:pPr>
              <w:pStyle w:val="TableNheader"/>
              <w:rPr>
                <w:sz w:val="16"/>
                <w:szCs w:val="16"/>
              </w:rPr>
            </w:pPr>
            <w:r w:rsidRPr="00CD2BFA">
              <w:rPr>
                <w:sz w:val="16"/>
                <w:szCs w:val="16"/>
              </w:rPr>
              <w:t>Ethics approval is not granted rapidly or fully</w:t>
            </w:r>
          </w:p>
        </w:tc>
        <w:tc>
          <w:tcPr>
            <w:tcW w:w="1504" w:type="dxa"/>
            <w:shd w:val="clear" w:color="auto" w:fill="FFFFFF" w:themeFill="background1"/>
          </w:tcPr>
          <w:p w14:paraId="2B54114D" w14:textId="77777777" w:rsidR="00AE070D" w:rsidRPr="00CD2BFA" w:rsidRDefault="00AE070D" w:rsidP="00F51636">
            <w:pPr>
              <w:pStyle w:val="TableNText"/>
              <w:rPr>
                <w:sz w:val="16"/>
                <w:szCs w:val="16"/>
              </w:rPr>
            </w:pPr>
            <w:r w:rsidRPr="00CD2BFA">
              <w:rPr>
                <w:sz w:val="16"/>
                <w:szCs w:val="16"/>
              </w:rPr>
              <w:t xml:space="preserve">The start of the evaluation is delayed, or components of the evaluation cannot be completed. </w:t>
            </w:r>
          </w:p>
        </w:tc>
        <w:tc>
          <w:tcPr>
            <w:tcW w:w="1130" w:type="dxa"/>
            <w:shd w:val="clear" w:color="auto" w:fill="FFFFFF" w:themeFill="background1"/>
          </w:tcPr>
          <w:p w14:paraId="53287ADB" w14:textId="77777777" w:rsidR="00AE070D" w:rsidRPr="00CD2BFA" w:rsidRDefault="00AE070D" w:rsidP="00F51636">
            <w:pPr>
              <w:pStyle w:val="TableNText"/>
              <w:rPr>
                <w:sz w:val="16"/>
                <w:szCs w:val="16"/>
              </w:rPr>
            </w:pPr>
            <w:r w:rsidRPr="00CD2BFA">
              <w:rPr>
                <w:sz w:val="16"/>
                <w:szCs w:val="16"/>
              </w:rPr>
              <w:t>Low</w:t>
            </w:r>
          </w:p>
        </w:tc>
        <w:tc>
          <w:tcPr>
            <w:tcW w:w="759" w:type="dxa"/>
            <w:shd w:val="clear" w:color="auto" w:fill="FFFFFF" w:themeFill="background1"/>
          </w:tcPr>
          <w:p w14:paraId="52FE1320" w14:textId="77777777" w:rsidR="00AE070D" w:rsidRPr="00CD2BFA" w:rsidRDefault="00AE070D" w:rsidP="00F51636">
            <w:pPr>
              <w:pStyle w:val="TableNText"/>
              <w:rPr>
                <w:sz w:val="16"/>
                <w:szCs w:val="16"/>
              </w:rPr>
            </w:pPr>
            <w:r w:rsidRPr="00CD2BFA">
              <w:rPr>
                <w:sz w:val="16"/>
                <w:szCs w:val="16"/>
              </w:rPr>
              <w:t>High</w:t>
            </w:r>
          </w:p>
        </w:tc>
        <w:tc>
          <w:tcPr>
            <w:tcW w:w="1003" w:type="dxa"/>
            <w:shd w:val="clear" w:color="auto" w:fill="FFFFFF" w:themeFill="background1"/>
          </w:tcPr>
          <w:p w14:paraId="78309E38" w14:textId="77777777" w:rsidR="00AE070D" w:rsidRPr="00CD2BFA" w:rsidRDefault="00AE070D" w:rsidP="00F51636">
            <w:pPr>
              <w:pStyle w:val="TableNText"/>
              <w:rPr>
                <w:sz w:val="16"/>
                <w:szCs w:val="16"/>
              </w:rPr>
            </w:pPr>
            <w:r w:rsidRPr="00CD2BFA">
              <w:rPr>
                <w:sz w:val="16"/>
                <w:szCs w:val="16"/>
              </w:rPr>
              <w:t>Medium</w:t>
            </w:r>
          </w:p>
        </w:tc>
        <w:tc>
          <w:tcPr>
            <w:tcW w:w="6443" w:type="dxa"/>
            <w:shd w:val="clear" w:color="auto" w:fill="FFFFFF" w:themeFill="background1"/>
          </w:tcPr>
          <w:p w14:paraId="7C32C440" w14:textId="77777777" w:rsidR="00AE070D" w:rsidRPr="00CD2BFA" w:rsidRDefault="00AE070D" w:rsidP="00F51636">
            <w:pPr>
              <w:pStyle w:val="TableNText"/>
              <w:rPr>
                <w:sz w:val="16"/>
                <w:szCs w:val="16"/>
              </w:rPr>
            </w:pPr>
            <w:r w:rsidRPr="00CD2BFA">
              <w:rPr>
                <w:sz w:val="16"/>
                <w:szCs w:val="16"/>
              </w:rPr>
              <w:t xml:space="preserve">At this stage, it has been assessed that this evaluation will not require ethics approval. If circumstances should change and ethics approval should be required in the future, Nous has experience developing successful ethics applications and will draw on this experience, along with close liaison with the Department, to develop well-considered ethics applications for an appropriate HREC(s). This process will build in time contingencies where possible, to account for possible revisions. </w:t>
            </w:r>
          </w:p>
        </w:tc>
        <w:tc>
          <w:tcPr>
            <w:tcW w:w="1213" w:type="dxa"/>
            <w:shd w:val="clear" w:color="auto" w:fill="FFFFFF" w:themeFill="background1"/>
          </w:tcPr>
          <w:p w14:paraId="429FB978" w14:textId="77777777" w:rsidR="00AE070D" w:rsidRPr="00CD2BFA" w:rsidRDefault="00AE070D" w:rsidP="00F51636">
            <w:pPr>
              <w:pStyle w:val="TableNText"/>
              <w:rPr>
                <w:sz w:val="16"/>
                <w:szCs w:val="16"/>
              </w:rPr>
            </w:pPr>
            <w:r w:rsidRPr="00CD2BFA">
              <w:rPr>
                <w:sz w:val="16"/>
                <w:szCs w:val="16"/>
              </w:rPr>
              <w:t>Low</w:t>
            </w:r>
          </w:p>
        </w:tc>
      </w:tr>
      <w:tr w:rsidR="00CD2BFA" w:rsidRPr="00CD2BFA" w14:paraId="4618B3FA" w14:textId="77777777" w:rsidTr="00CD2BFA">
        <w:trPr>
          <w:cnfStyle w:val="000000100000" w:firstRow="0" w:lastRow="0" w:firstColumn="0" w:lastColumn="0" w:oddVBand="0" w:evenVBand="0" w:oddHBand="1" w:evenHBand="0" w:firstRowFirstColumn="0" w:firstRowLastColumn="0" w:lastRowFirstColumn="0" w:lastRowLastColumn="0"/>
        </w:trPr>
        <w:tc>
          <w:tcPr>
            <w:tcW w:w="1920" w:type="dxa"/>
            <w:shd w:val="clear" w:color="auto" w:fill="FFFFFF" w:themeFill="background1"/>
          </w:tcPr>
          <w:p w14:paraId="4C0B8910" w14:textId="77777777" w:rsidR="00AE070D" w:rsidRPr="00CD2BFA" w:rsidRDefault="00AE070D" w:rsidP="00F51636">
            <w:pPr>
              <w:pStyle w:val="TableNheader"/>
              <w:rPr>
                <w:sz w:val="16"/>
                <w:szCs w:val="16"/>
              </w:rPr>
            </w:pPr>
            <w:r w:rsidRPr="00CD2BFA">
              <w:rPr>
                <w:sz w:val="16"/>
                <w:szCs w:val="16"/>
              </w:rPr>
              <w:t>Data is not effectively shared between states/territories, RACFs and the evaluation</w:t>
            </w:r>
          </w:p>
        </w:tc>
        <w:tc>
          <w:tcPr>
            <w:tcW w:w="1504" w:type="dxa"/>
            <w:shd w:val="clear" w:color="auto" w:fill="FFFFFF" w:themeFill="background1"/>
          </w:tcPr>
          <w:p w14:paraId="71960E17" w14:textId="77777777" w:rsidR="00AE070D" w:rsidRPr="00CD2BFA" w:rsidRDefault="00AE070D" w:rsidP="00F51636">
            <w:pPr>
              <w:pStyle w:val="TableNText"/>
              <w:rPr>
                <w:sz w:val="16"/>
                <w:szCs w:val="16"/>
              </w:rPr>
            </w:pPr>
            <w:r w:rsidRPr="00CD2BFA">
              <w:rPr>
                <w:sz w:val="16"/>
                <w:szCs w:val="16"/>
              </w:rPr>
              <w:t>Data and information for the evaluation is limited or delayed.</w:t>
            </w:r>
          </w:p>
        </w:tc>
        <w:tc>
          <w:tcPr>
            <w:tcW w:w="1130" w:type="dxa"/>
            <w:shd w:val="clear" w:color="auto" w:fill="FFFFFF" w:themeFill="background1"/>
          </w:tcPr>
          <w:p w14:paraId="24A77C0C" w14:textId="77777777" w:rsidR="00AE070D" w:rsidRPr="00CD2BFA" w:rsidRDefault="00AE070D" w:rsidP="00F51636">
            <w:pPr>
              <w:pStyle w:val="TableNText"/>
              <w:rPr>
                <w:sz w:val="16"/>
                <w:szCs w:val="16"/>
              </w:rPr>
            </w:pPr>
            <w:r w:rsidRPr="00CD2BFA">
              <w:rPr>
                <w:sz w:val="16"/>
                <w:szCs w:val="16"/>
              </w:rPr>
              <w:t>Low</w:t>
            </w:r>
          </w:p>
        </w:tc>
        <w:tc>
          <w:tcPr>
            <w:tcW w:w="759" w:type="dxa"/>
            <w:shd w:val="clear" w:color="auto" w:fill="FFFFFF" w:themeFill="background1"/>
          </w:tcPr>
          <w:p w14:paraId="484E9D38" w14:textId="77777777" w:rsidR="00AE070D" w:rsidRPr="00CD2BFA" w:rsidRDefault="00AE070D" w:rsidP="00F51636">
            <w:pPr>
              <w:pStyle w:val="TableNText"/>
              <w:rPr>
                <w:sz w:val="16"/>
                <w:szCs w:val="16"/>
              </w:rPr>
            </w:pPr>
            <w:r w:rsidRPr="00CD2BFA">
              <w:rPr>
                <w:sz w:val="16"/>
                <w:szCs w:val="16"/>
              </w:rPr>
              <w:t>High</w:t>
            </w:r>
          </w:p>
        </w:tc>
        <w:tc>
          <w:tcPr>
            <w:tcW w:w="1003" w:type="dxa"/>
            <w:shd w:val="clear" w:color="auto" w:fill="FFFFFF" w:themeFill="background1"/>
          </w:tcPr>
          <w:p w14:paraId="0AF2446A" w14:textId="77777777" w:rsidR="00AE070D" w:rsidRPr="00CD2BFA" w:rsidRDefault="00AE070D" w:rsidP="00F51636">
            <w:pPr>
              <w:pStyle w:val="TableNText"/>
              <w:rPr>
                <w:sz w:val="16"/>
                <w:szCs w:val="16"/>
              </w:rPr>
            </w:pPr>
            <w:r w:rsidRPr="00CD2BFA">
              <w:rPr>
                <w:sz w:val="16"/>
                <w:szCs w:val="16"/>
              </w:rPr>
              <w:t>Medium</w:t>
            </w:r>
          </w:p>
        </w:tc>
        <w:tc>
          <w:tcPr>
            <w:tcW w:w="6443" w:type="dxa"/>
            <w:shd w:val="clear" w:color="auto" w:fill="FFFFFF" w:themeFill="background1"/>
          </w:tcPr>
          <w:p w14:paraId="0B374C89" w14:textId="77777777" w:rsidR="00AE070D" w:rsidRPr="00CD2BFA" w:rsidRDefault="00AE070D" w:rsidP="00F51636">
            <w:pPr>
              <w:pStyle w:val="TableNText"/>
              <w:rPr>
                <w:sz w:val="16"/>
                <w:szCs w:val="16"/>
              </w:rPr>
            </w:pPr>
            <w:r w:rsidRPr="00CD2BFA">
              <w:rPr>
                <w:sz w:val="16"/>
                <w:szCs w:val="16"/>
              </w:rPr>
              <w:t>The evaluation is dependent upon regular information sharing between Nous, states/territories participating in the Measure and participating RACFs. To ensure a timely flow of information, Nous will:</w:t>
            </w:r>
          </w:p>
          <w:p w14:paraId="637FD5D2" w14:textId="77777777" w:rsidR="00AE070D" w:rsidRPr="00CD2BFA" w:rsidRDefault="00AE070D" w:rsidP="00F51636">
            <w:pPr>
              <w:pStyle w:val="TableNListnumbered"/>
              <w:numPr>
                <w:ilvl w:val="0"/>
                <w:numId w:val="27"/>
              </w:numPr>
              <w:rPr>
                <w:sz w:val="16"/>
                <w:szCs w:val="16"/>
              </w:rPr>
            </w:pPr>
            <w:r w:rsidRPr="00CD2BFA">
              <w:rPr>
                <w:sz w:val="16"/>
                <w:szCs w:val="16"/>
              </w:rPr>
              <w:t>Establish regular channels of communication with all states/territories signed up to the Measure and with their evaluators where appropriate. Nous will engage with all participating jurisdictions early in the project and establish regular lines of communication.</w:t>
            </w:r>
          </w:p>
          <w:p w14:paraId="3A3AC004" w14:textId="77777777" w:rsidR="00AE070D" w:rsidRPr="00CD2BFA" w:rsidRDefault="00AE070D" w:rsidP="00F51636">
            <w:pPr>
              <w:pStyle w:val="TableNListnumbered"/>
              <w:numPr>
                <w:ilvl w:val="0"/>
                <w:numId w:val="27"/>
              </w:numPr>
              <w:rPr>
                <w:sz w:val="16"/>
                <w:szCs w:val="16"/>
              </w:rPr>
            </w:pPr>
            <w:r w:rsidRPr="00CD2BFA">
              <w:rPr>
                <w:sz w:val="16"/>
                <w:szCs w:val="16"/>
              </w:rPr>
              <w:t>Communicate potential issues with the Department in a timely manner and develop an adapted approach. Nous will keep the Department informed of any data collection challenges so that issues can be resolved in a timely fashion.</w:t>
            </w:r>
          </w:p>
        </w:tc>
        <w:tc>
          <w:tcPr>
            <w:tcW w:w="1213" w:type="dxa"/>
            <w:shd w:val="clear" w:color="auto" w:fill="FFFFFF" w:themeFill="background1"/>
          </w:tcPr>
          <w:p w14:paraId="7AE5346A" w14:textId="77777777" w:rsidR="00AE070D" w:rsidRPr="00CD2BFA" w:rsidRDefault="00AE070D" w:rsidP="00F51636">
            <w:pPr>
              <w:pStyle w:val="TableNText"/>
              <w:rPr>
                <w:sz w:val="16"/>
                <w:szCs w:val="16"/>
              </w:rPr>
            </w:pPr>
            <w:r w:rsidRPr="00CD2BFA">
              <w:rPr>
                <w:sz w:val="16"/>
                <w:szCs w:val="16"/>
              </w:rPr>
              <w:t>Low</w:t>
            </w:r>
          </w:p>
        </w:tc>
      </w:tr>
      <w:tr w:rsidR="00CD2BFA" w:rsidRPr="00CD2BFA" w14:paraId="4A3CB0E0" w14:textId="77777777" w:rsidTr="00CD2BFA">
        <w:trPr>
          <w:cnfStyle w:val="000000010000" w:firstRow="0" w:lastRow="0" w:firstColumn="0" w:lastColumn="0" w:oddVBand="0" w:evenVBand="0" w:oddHBand="0" w:evenHBand="1" w:firstRowFirstColumn="0" w:firstRowLastColumn="0" w:lastRowFirstColumn="0" w:lastRowLastColumn="0"/>
        </w:trPr>
        <w:tc>
          <w:tcPr>
            <w:tcW w:w="1920" w:type="dxa"/>
            <w:shd w:val="clear" w:color="auto" w:fill="FFFFFF" w:themeFill="background1"/>
          </w:tcPr>
          <w:p w14:paraId="3CBD6632" w14:textId="77777777" w:rsidR="00AE070D" w:rsidRPr="00CD2BFA" w:rsidRDefault="00AE070D" w:rsidP="00F51636">
            <w:pPr>
              <w:pStyle w:val="TableNheader"/>
              <w:rPr>
                <w:sz w:val="16"/>
                <w:szCs w:val="16"/>
              </w:rPr>
            </w:pPr>
            <w:r w:rsidRPr="00CD2BFA">
              <w:rPr>
                <w:sz w:val="16"/>
                <w:szCs w:val="16"/>
              </w:rPr>
              <w:t xml:space="preserve">Jurisdictions do not consult with residents, </w:t>
            </w:r>
            <w:proofErr w:type="gramStart"/>
            <w:r w:rsidRPr="00CD2BFA">
              <w:rPr>
                <w:sz w:val="16"/>
                <w:szCs w:val="16"/>
              </w:rPr>
              <w:t>families</w:t>
            </w:r>
            <w:proofErr w:type="gramEnd"/>
            <w:r w:rsidRPr="00CD2BFA">
              <w:rPr>
                <w:sz w:val="16"/>
                <w:szCs w:val="16"/>
              </w:rPr>
              <w:t xml:space="preserve"> and carers in the course of their evaluations</w:t>
            </w:r>
          </w:p>
        </w:tc>
        <w:tc>
          <w:tcPr>
            <w:tcW w:w="1504" w:type="dxa"/>
            <w:shd w:val="clear" w:color="auto" w:fill="FFFFFF" w:themeFill="background1"/>
          </w:tcPr>
          <w:p w14:paraId="490666FA" w14:textId="77777777" w:rsidR="00AE070D" w:rsidRPr="00CD2BFA" w:rsidRDefault="00AE070D" w:rsidP="00F51636">
            <w:pPr>
              <w:pStyle w:val="TableNText"/>
              <w:rPr>
                <w:sz w:val="16"/>
                <w:szCs w:val="16"/>
              </w:rPr>
            </w:pPr>
            <w:r w:rsidRPr="00CD2BFA">
              <w:rPr>
                <w:sz w:val="16"/>
                <w:szCs w:val="16"/>
              </w:rPr>
              <w:t>The perspectives of residents, families and carers are not collected, particularly in the COVID-19 environment</w:t>
            </w:r>
            <w:r w:rsidRPr="00CD2BFA" w:rsidDel="005574B9">
              <w:rPr>
                <w:sz w:val="16"/>
                <w:szCs w:val="16"/>
              </w:rPr>
              <w:t>.</w:t>
            </w:r>
          </w:p>
        </w:tc>
        <w:tc>
          <w:tcPr>
            <w:tcW w:w="1130" w:type="dxa"/>
            <w:shd w:val="clear" w:color="auto" w:fill="FFFFFF" w:themeFill="background1"/>
          </w:tcPr>
          <w:p w14:paraId="15A9645B" w14:textId="77777777" w:rsidR="00AE070D" w:rsidRPr="00CD2BFA" w:rsidRDefault="00AE070D" w:rsidP="00F51636">
            <w:pPr>
              <w:pStyle w:val="TableNText"/>
              <w:rPr>
                <w:sz w:val="16"/>
                <w:szCs w:val="16"/>
              </w:rPr>
            </w:pPr>
            <w:r w:rsidRPr="00CD2BFA">
              <w:rPr>
                <w:sz w:val="16"/>
                <w:szCs w:val="16"/>
              </w:rPr>
              <w:t>Medium</w:t>
            </w:r>
          </w:p>
        </w:tc>
        <w:tc>
          <w:tcPr>
            <w:tcW w:w="759" w:type="dxa"/>
            <w:shd w:val="clear" w:color="auto" w:fill="FFFFFF" w:themeFill="background1"/>
          </w:tcPr>
          <w:p w14:paraId="1E7BC13D" w14:textId="77777777" w:rsidR="00AE070D" w:rsidRPr="00CD2BFA" w:rsidRDefault="00AE070D" w:rsidP="00F51636">
            <w:pPr>
              <w:pStyle w:val="TableNText"/>
              <w:rPr>
                <w:sz w:val="16"/>
                <w:szCs w:val="16"/>
              </w:rPr>
            </w:pPr>
            <w:r w:rsidRPr="00CD2BFA">
              <w:rPr>
                <w:sz w:val="16"/>
                <w:szCs w:val="16"/>
              </w:rPr>
              <w:t>Medium</w:t>
            </w:r>
          </w:p>
        </w:tc>
        <w:tc>
          <w:tcPr>
            <w:tcW w:w="1003" w:type="dxa"/>
            <w:shd w:val="clear" w:color="auto" w:fill="FFFFFF" w:themeFill="background1"/>
          </w:tcPr>
          <w:p w14:paraId="0CB11442" w14:textId="77777777" w:rsidR="00AE070D" w:rsidRPr="00CD2BFA" w:rsidRDefault="00AE070D" w:rsidP="00F51636">
            <w:pPr>
              <w:pStyle w:val="TableNText"/>
              <w:rPr>
                <w:sz w:val="16"/>
                <w:szCs w:val="16"/>
              </w:rPr>
            </w:pPr>
            <w:r w:rsidRPr="00CD2BFA">
              <w:rPr>
                <w:sz w:val="16"/>
                <w:szCs w:val="16"/>
              </w:rPr>
              <w:t>Medium</w:t>
            </w:r>
          </w:p>
        </w:tc>
        <w:tc>
          <w:tcPr>
            <w:tcW w:w="6443" w:type="dxa"/>
            <w:shd w:val="clear" w:color="auto" w:fill="FFFFFF" w:themeFill="background1"/>
          </w:tcPr>
          <w:p w14:paraId="0062EC51" w14:textId="77777777" w:rsidR="00AE070D" w:rsidRPr="00CD2BFA" w:rsidRDefault="00AE070D" w:rsidP="00F51636">
            <w:pPr>
              <w:pStyle w:val="TableNText"/>
              <w:rPr>
                <w:sz w:val="16"/>
                <w:szCs w:val="16"/>
              </w:rPr>
            </w:pPr>
            <w:r w:rsidRPr="00CD2BFA">
              <w:rPr>
                <w:sz w:val="16"/>
                <w:szCs w:val="16"/>
              </w:rPr>
              <w:t xml:space="preserve">Nous will engage early with all jurisdictions to understand the intended evaluation approach. Nous will seek to shape jurisdictional evaluation approaches to ensure that required data is collected to inform the evaluation. </w:t>
            </w:r>
          </w:p>
          <w:p w14:paraId="6E1085B6" w14:textId="77777777" w:rsidR="00AE070D" w:rsidRPr="00CD2BFA" w:rsidRDefault="00AE070D" w:rsidP="00F51636">
            <w:pPr>
              <w:pStyle w:val="TableNText"/>
              <w:rPr>
                <w:sz w:val="16"/>
                <w:szCs w:val="16"/>
              </w:rPr>
            </w:pPr>
            <w:r w:rsidRPr="00CD2BFA">
              <w:rPr>
                <w:sz w:val="16"/>
                <w:szCs w:val="16"/>
              </w:rPr>
              <w:t xml:space="preserve">In the circumstance that the views of residents, carers and families are not collected in jurisdictional evaluations, Nous will seek to gain additional feedback through our planned consultations with the relevant peak bodies at state and national-levels and through jurisdictional PCA groups. </w:t>
            </w:r>
          </w:p>
        </w:tc>
        <w:tc>
          <w:tcPr>
            <w:tcW w:w="1213" w:type="dxa"/>
            <w:shd w:val="clear" w:color="auto" w:fill="FFFFFF" w:themeFill="background1"/>
          </w:tcPr>
          <w:p w14:paraId="0AE6905B" w14:textId="77777777" w:rsidR="00AE070D" w:rsidRPr="00CD2BFA" w:rsidRDefault="00AE070D" w:rsidP="00F51636">
            <w:pPr>
              <w:pStyle w:val="TableNText"/>
              <w:rPr>
                <w:sz w:val="16"/>
                <w:szCs w:val="16"/>
              </w:rPr>
            </w:pPr>
            <w:r w:rsidRPr="00CD2BFA">
              <w:rPr>
                <w:sz w:val="16"/>
                <w:szCs w:val="16"/>
              </w:rPr>
              <w:t>Low</w:t>
            </w:r>
          </w:p>
        </w:tc>
      </w:tr>
      <w:tr w:rsidR="00AE070D" w:rsidRPr="00CD2BFA" w14:paraId="4592885A" w14:textId="77777777" w:rsidTr="00CD2BFA">
        <w:trPr>
          <w:cnfStyle w:val="000000100000" w:firstRow="0" w:lastRow="0" w:firstColumn="0" w:lastColumn="0" w:oddVBand="0" w:evenVBand="0" w:oddHBand="1" w:evenHBand="0" w:firstRowFirstColumn="0" w:firstRowLastColumn="0" w:lastRowFirstColumn="0" w:lastRowLastColumn="0"/>
        </w:trPr>
        <w:tc>
          <w:tcPr>
            <w:tcW w:w="13972" w:type="dxa"/>
            <w:gridSpan w:val="7"/>
            <w:shd w:val="clear" w:color="auto" w:fill="E6E6E1" w:themeFill="accent5"/>
          </w:tcPr>
          <w:p w14:paraId="155A5599" w14:textId="77777777" w:rsidR="00AE070D" w:rsidRPr="00CD2BFA" w:rsidRDefault="00AE070D" w:rsidP="00F51636">
            <w:pPr>
              <w:pStyle w:val="TableNText"/>
              <w:rPr>
                <w:sz w:val="16"/>
                <w:szCs w:val="16"/>
              </w:rPr>
            </w:pPr>
            <w:r w:rsidRPr="00CD2BFA">
              <w:rPr>
                <w:rFonts w:asciiTheme="majorHAnsi" w:hAnsiTheme="majorHAnsi" w:cstheme="majorHAnsi"/>
                <w:color w:val="00264D" w:themeColor="background2"/>
                <w:sz w:val="16"/>
                <w:szCs w:val="16"/>
              </w:rPr>
              <w:t>TIMEFRAME RISKS</w:t>
            </w:r>
          </w:p>
        </w:tc>
      </w:tr>
      <w:tr w:rsidR="00CD2BFA" w:rsidRPr="00CD2BFA" w14:paraId="45F01481" w14:textId="77777777" w:rsidTr="00CD2BFA">
        <w:trPr>
          <w:cnfStyle w:val="000000010000" w:firstRow="0" w:lastRow="0" w:firstColumn="0" w:lastColumn="0" w:oddVBand="0" w:evenVBand="0" w:oddHBand="0" w:evenHBand="1" w:firstRowFirstColumn="0" w:firstRowLastColumn="0" w:lastRowFirstColumn="0" w:lastRowLastColumn="0"/>
        </w:trPr>
        <w:tc>
          <w:tcPr>
            <w:tcW w:w="1920" w:type="dxa"/>
            <w:shd w:val="clear" w:color="auto" w:fill="FFFFFF" w:themeFill="background1"/>
          </w:tcPr>
          <w:p w14:paraId="2185C043" w14:textId="77777777" w:rsidR="00AE070D" w:rsidRPr="00CD2BFA" w:rsidRDefault="00AE070D" w:rsidP="00F51636">
            <w:pPr>
              <w:pStyle w:val="TableNheader"/>
              <w:rPr>
                <w:sz w:val="16"/>
                <w:szCs w:val="16"/>
              </w:rPr>
            </w:pPr>
            <w:r w:rsidRPr="00CD2BFA">
              <w:rPr>
                <w:sz w:val="16"/>
                <w:szCs w:val="16"/>
              </w:rPr>
              <w:lastRenderedPageBreak/>
              <w:t>Roll out of the Measure in some states/territories is delayed</w:t>
            </w:r>
          </w:p>
        </w:tc>
        <w:tc>
          <w:tcPr>
            <w:tcW w:w="1504" w:type="dxa"/>
            <w:shd w:val="clear" w:color="auto" w:fill="FFFFFF" w:themeFill="background1"/>
          </w:tcPr>
          <w:p w14:paraId="232D7C78" w14:textId="77777777" w:rsidR="00AE070D" w:rsidRPr="00CD2BFA" w:rsidRDefault="00AE070D" w:rsidP="00F51636">
            <w:pPr>
              <w:pStyle w:val="TableNText"/>
              <w:rPr>
                <w:sz w:val="16"/>
                <w:szCs w:val="16"/>
              </w:rPr>
            </w:pPr>
            <w:r w:rsidRPr="00CD2BFA">
              <w:rPr>
                <w:sz w:val="16"/>
                <w:szCs w:val="16"/>
              </w:rPr>
              <w:t>Evaluation timeframes cannot be maintained as implementation of parts of the Measure are delayed.</w:t>
            </w:r>
          </w:p>
        </w:tc>
        <w:tc>
          <w:tcPr>
            <w:tcW w:w="1130" w:type="dxa"/>
            <w:shd w:val="clear" w:color="auto" w:fill="FFFFFF" w:themeFill="background1"/>
          </w:tcPr>
          <w:p w14:paraId="230CCEED" w14:textId="77777777" w:rsidR="00AE070D" w:rsidRPr="00CD2BFA" w:rsidRDefault="00AE070D" w:rsidP="00F51636">
            <w:pPr>
              <w:pStyle w:val="TableNText"/>
              <w:rPr>
                <w:sz w:val="16"/>
                <w:szCs w:val="16"/>
              </w:rPr>
            </w:pPr>
            <w:r w:rsidRPr="00CD2BFA">
              <w:rPr>
                <w:sz w:val="16"/>
                <w:szCs w:val="16"/>
              </w:rPr>
              <w:t>High</w:t>
            </w:r>
          </w:p>
        </w:tc>
        <w:tc>
          <w:tcPr>
            <w:tcW w:w="759" w:type="dxa"/>
            <w:shd w:val="clear" w:color="auto" w:fill="FFFFFF" w:themeFill="background1"/>
          </w:tcPr>
          <w:p w14:paraId="3D6B30F1" w14:textId="77777777" w:rsidR="00AE070D" w:rsidRPr="00CD2BFA" w:rsidRDefault="00AE070D" w:rsidP="00F51636">
            <w:pPr>
              <w:pStyle w:val="TableNText"/>
              <w:rPr>
                <w:sz w:val="16"/>
                <w:szCs w:val="16"/>
              </w:rPr>
            </w:pPr>
            <w:r w:rsidRPr="00CD2BFA">
              <w:rPr>
                <w:sz w:val="16"/>
                <w:szCs w:val="16"/>
              </w:rPr>
              <w:t>Medium</w:t>
            </w:r>
          </w:p>
        </w:tc>
        <w:tc>
          <w:tcPr>
            <w:tcW w:w="1003" w:type="dxa"/>
            <w:shd w:val="clear" w:color="auto" w:fill="FFFFFF" w:themeFill="background1"/>
          </w:tcPr>
          <w:p w14:paraId="54415508" w14:textId="77777777" w:rsidR="00AE070D" w:rsidRPr="00CD2BFA" w:rsidRDefault="00AE070D" w:rsidP="00F51636">
            <w:pPr>
              <w:pStyle w:val="TableNText"/>
              <w:rPr>
                <w:sz w:val="16"/>
                <w:szCs w:val="16"/>
              </w:rPr>
            </w:pPr>
            <w:r w:rsidRPr="00CD2BFA">
              <w:rPr>
                <w:sz w:val="16"/>
                <w:szCs w:val="16"/>
              </w:rPr>
              <w:t>High</w:t>
            </w:r>
          </w:p>
        </w:tc>
        <w:tc>
          <w:tcPr>
            <w:tcW w:w="6443" w:type="dxa"/>
            <w:shd w:val="clear" w:color="auto" w:fill="FFFFFF" w:themeFill="background1"/>
          </w:tcPr>
          <w:p w14:paraId="6967F8AF" w14:textId="77777777" w:rsidR="00AE070D" w:rsidRPr="00CD2BFA" w:rsidRDefault="00AE070D" w:rsidP="00F51636">
            <w:pPr>
              <w:pStyle w:val="TableNText"/>
              <w:rPr>
                <w:sz w:val="16"/>
                <w:szCs w:val="16"/>
              </w:rPr>
            </w:pPr>
            <w:r w:rsidRPr="00CD2BFA">
              <w:rPr>
                <w:sz w:val="16"/>
                <w:szCs w:val="16"/>
              </w:rPr>
              <w:t>There is a risk that, due to unforeseen circumstances such as COVID-19, roll-out of the Measure is delayed in some locations (</w:t>
            </w:r>
            <w:proofErr w:type="gramStart"/>
            <w:r w:rsidRPr="00CD2BFA">
              <w:rPr>
                <w:sz w:val="16"/>
                <w:szCs w:val="16"/>
              </w:rPr>
              <w:t>e.g.</w:t>
            </w:r>
            <w:proofErr w:type="gramEnd"/>
            <w:r w:rsidRPr="00CD2BFA">
              <w:rPr>
                <w:sz w:val="16"/>
                <w:szCs w:val="16"/>
              </w:rPr>
              <w:t xml:space="preserve"> Victoria). In this case, components of the evaluation would also be delayed. Nous will mitigate risk as far as possible by:</w:t>
            </w:r>
          </w:p>
          <w:p w14:paraId="54BC372D" w14:textId="77777777" w:rsidR="00AE070D" w:rsidRPr="00CD2BFA" w:rsidRDefault="00AE070D" w:rsidP="00F51636">
            <w:pPr>
              <w:pStyle w:val="TableNListnumbered"/>
              <w:numPr>
                <w:ilvl w:val="0"/>
                <w:numId w:val="28"/>
              </w:numPr>
              <w:rPr>
                <w:sz w:val="16"/>
                <w:szCs w:val="16"/>
              </w:rPr>
            </w:pPr>
            <w:r w:rsidRPr="00CD2BFA">
              <w:rPr>
                <w:sz w:val="16"/>
                <w:szCs w:val="16"/>
              </w:rPr>
              <w:t>Maintaining regular contact with state/territory departments to understand any changes to proposed schedules.</w:t>
            </w:r>
          </w:p>
          <w:p w14:paraId="539D9EE0" w14:textId="77777777" w:rsidR="00AE070D" w:rsidRPr="00CD2BFA" w:rsidRDefault="00AE070D" w:rsidP="00F51636">
            <w:pPr>
              <w:pStyle w:val="TableNListnumbered"/>
              <w:numPr>
                <w:ilvl w:val="0"/>
                <w:numId w:val="28"/>
              </w:numPr>
              <w:rPr>
                <w:sz w:val="16"/>
                <w:szCs w:val="16"/>
              </w:rPr>
            </w:pPr>
            <w:r w:rsidRPr="00CD2BFA">
              <w:rPr>
                <w:sz w:val="16"/>
                <w:szCs w:val="16"/>
              </w:rPr>
              <w:t>Communicating any changes to the Department in a timely manner and develop an adapted approach. Where required, Nous will take a flexible approach to the timeframes of the evaluation and/or reporting (within budget).</w:t>
            </w:r>
          </w:p>
        </w:tc>
        <w:tc>
          <w:tcPr>
            <w:tcW w:w="1213" w:type="dxa"/>
            <w:shd w:val="clear" w:color="auto" w:fill="FFFFFF" w:themeFill="background1"/>
          </w:tcPr>
          <w:p w14:paraId="60E4D5EF" w14:textId="77777777" w:rsidR="00AE070D" w:rsidRPr="00CD2BFA" w:rsidRDefault="00AE070D" w:rsidP="00F51636">
            <w:pPr>
              <w:pStyle w:val="TableNText"/>
              <w:rPr>
                <w:sz w:val="16"/>
                <w:szCs w:val="16"/>
              </w:rPr>
            </w:pPr>
            <w:r w:rsidRPr="00CD2BFA">
              <w:rPr>
                <w:sz w:val="16"/>
                <w:szCs w:val="16"/>
              </w:rPr>
              <w:t>High</w:t>
            </w:r>
          </w:p>
        </w:tc>
      </w:tr>
      <w:tr w:rsidR="00AE070D" w:rsidRPr="00CD2BFA" w14:paraId="52350673" w14:textId="77777777" w:rsidTr="00CD2BFA">
        <w:trPr>
          <w:cnfStyle w:val="000000100000" w:firstRow="0" w:lastRow="0" w:firstColumn="0" w:lastColumn="0" w:oddVBand="0" w:evenVBand="0" w:oddHBand="1" w:evenHBand="0" w:firstRowFirstColumn="0" w:firstRowLastColumn="0" w:lastRowFirstColumn="0" w:lastRowLastColumn="0"/>
        </w:trPr>
        <w:tc>
          <w:tcPr>
            <w:tcW w:w="13972" w:type="dxa"/>
            <w:gridSpan w:val="7"/>
            <w:shd w:val="clear" w:color="auto" w:fill="E6E6E1" w:themeFill="accent5"/>
          </w:tcPr>
          <w:p w14:paraId="264F7B2C" w14:textId="77777777" w:rsidR="00AE070D" w:rsidRPr="00CD2BFA" w:rsidRDefault="00AE070D" w:rsidP="00F51636">
            <w:pPr>
              <w:pStyle w:val="TableNText"/>
              <w:rPr>
                <w:sz w:val="16"/>
                <w:szCs w:val="16"/>
              </w:rPr>
            </w:pPr>
            <w:r w:rsidRPr="00CD2BFA">
              <w:rPr>
                <w:rFonts w:asciiTheme="majorHAnsi" w:hAnsiTheme="majorHAnsi" w:cstheme="majorHAnsi"/>
                <w:color w:val="00264D" w:themeColor="background2"/>
                <w:sz w:val="16"/>
                <w:szCs w:val="16"/>
              </w:rPr>
              <w:t>STAKEHOLDER ENAGEMENT RISKS</w:t>
            </w:r>
          </w:p>
        </w:tc>
      </w:tr>
      <w:tr w:rsidR="00CD2BFA" w:rsidRPr="00CD2BFA" w14:paraId="6BC57849" w14:textId="77777777" w:rsidTr="00CD2BFA">
        <w:trPr>
          <w:cnfStyle w:val="000000010000" w:firstRow="0" w:lastRow="0" w:firstColumn="0" w:lastColumn="0" w:oddVBand="0" w:evenVBand="0" w:oddHBand="0" w:evenHBand="1" w:firstRowFirstColumn="0" w:firstRowLastColumn="0" w:lastRowFirstColumn="0" w:lastRowLastColumn="0"/>
        </w:trPr>
        <w:tc>
          <w:tcPr>
            <w:tcW w:w="1920" w:type="dxa"/>
            <w:shd w:val="clear" w:color="auto" w:fill="FFFFFF" w:themeFill="background1"/>
          </w:tcPr>
          <w:p w14:paraId="57453DD9" w14:textId="77777777" w:rsidR="00AE070D" w:rsidRPr="00CD2BFA" w:rsidRDefault="00AE070D" w:rsidP="00F51636">
            <w:pPr>
              <w:pStyle w:val="TableNheader"/>
              <w:rPr>
                <w:sz w:val="16"/>
                <w:szCs w:val="16"/>
              </w:rPr>
            </w:pPr>
            <w:r w:rsidRPr="00CD2BFA">
              <w:rPr>
                <w:sz w:val="16"/>
                <w:szCs w:val="16"/>
              </w:rPr>
              <w:t>COVID-19 restrictions are unpredictable and prevent face-to-face consultation</w:t>
            </w:r>
          </w:p>
        </w:tc>
        <w:tc>
          <w:tcPr>
            <w:tcW w:w="1504" w:type="dxa"/>
            <w:shd w:val="clear" w:color="auto" w:fill="FFFFFF" w:themeFill="background1"/>
          </w:tcPr>
          <w:p w14:paraId="16628008" w14:textId="77777777" w:rsidR="00AE070D" w:rsidRPr="00CD2BFA" w:rsidRDefault="00AE070D" w:rsidP="00F51636">
            <w:pPr>
              <w:pStyle w:val="TableNText"/>
              <w:rPr>
                <w:sz w:val="16"/>
                <w:szCs w:val="16"/>
              </w:rPr>
            </w:pPr>
            <w:r w:rsidRPr="00CD2BFA">
              <w:rPr>
                <w:sz w:val="16"/>
                <w:szCs w:val="16"/>
              </w:rPr>
              <w:t xml:space="preserve">Implementation of the activities is delayed or </w:t>
            </w:r>
            <w:proofErr w:type="gramStart"/>
            <w:r w:rsidRPr="00CD2BFA">
              <w:rPr>
                <w:sz w:val="16"/>
                <w:szCs w:val="16"/>
              </w:rPr>
              <w:t>compromised</w:t>
            </w:r>
            <w:proofErr w:type="gramEnd"/>
            <w:r w:rsidRPr="00CD2BFA">
              <w:rPr>
                <w:sz w:val="16"/>
                <w:szCs w:val="16"/>
              </w:rPr>
              <w:t xml:space="preserve"> and stakeholder engagement is delayed or not possible.</w:t>
            </w:r>
          </w:p>
        </w:tc>
        <w:tc>
          <w:tcPr>
            <w:tcW w:w="1130" w:type="dxa"/>
            <w:shd w:val="clear" w:color="auto" w:fill="FFFFFF" w:themeFill="background1"/>
          </w:tcPr>
          <w:p w14:paraId="5BD67059" w14:textId="77777777" w:rsidR="00AE070D" w:rsidRPr="00CD2BFA" w:rsidRDefault="00AE070D" w:rsidP="00F51636">
            <w:pPr>
              <w:pStyle w:val="TableNText"/>
              <w:rPr>
                <w:sz w:val="16"/>
                <w:szCs w:val="16"/>
              </w:rPr>
            </w:pPr>
            <w:r w:rsidRPr="00CD2BFA">
              <w:rPr>
                <w:sz w:val="16"/>
                <w:szCs w:val="16"/>
              </w:rPr>
              <w:t>Medium</w:t>
            </w:r>
          </w:p>
        </w:tc>
        <w:tc>
          <w:tcPr>
            <w:tcW w:w="759" w:type="dxa"/>
            <w:shd w:val="clear" w:color="auto" w:fill="FFFFFF" w:themeFill="background1"/>
          </w:tcPr>
          <w:p w14:paraId="4CA0DE13" w14:textId="77777777" w:rsidR="00AE070D" w:rsidRPr="00CD2BFA" w:rsidRDefault="00AE070D" w:rsidP="00F51636">
            <w:pPr>
              <w:pStyle w:val="TableNText"/>
              <w:rPr>
                <w:sz w:val="16"/>
                <w:szCs w:val="16"/>
              </w:rPr>
            </w:pPr>
            <w:r w:rsidRPr="00CD2BFA">
              <w:rPr>
                <w:sz w:val="16"/>
                <w:szCs w:val="16"/>
              </w:rPr>
              <w:t>Medium</w:t>
            </w:r>
          </w:p>
        </w:tc>
        <w:tc>
          <w:tcPr>
            <w:tcW w:w="1003" w:type="dxa"/>
            <w:shd w:val="clear" w:color="auto" w:fill="FFFFFF" w:themeFill="background1"/>
          </w:tcPr>
          <w:p w14:paraId="52744D47" w14:textId="77777777" w:rsidR="00AE070D" w:rsidRPr="00CD2BFA" w:rsidRDefault="00AE070D" w:rsidP="00F51636">
            <w:pPr>
              <w:pStyle w:val="TableNText"/>
              <w:rPr>
                <w:sz w:val="16"/>
                <w:szCs w:val="16"/>
              </w:rPr>
            </w:pPr>
            <w:r w:rsidRPr="00CD2BFA">
              <w:rPr>
                <w:sz w:val="16"/>
                <w:szCs w:val="16"/>
              </w:rPr>
              <w:t>Medium</w:t>
            </w:r>
          </w:p>
        </w:tc>
        <w:tc>
          <w:tcPr>
            <w:tcW w:w="6443" w:type="dxa"/>
            <w:shd w:val="clear" w:color="auto" w:fill="FFFFFF" w:themeFill="background1"/>
          </w:tcPr>
          <w:p w14:paraId="52C5767B" w14:textId="77777777" w:rsidR="00AE070D" w:rsidRPr="00CD2BFA" w:rsidRDefault="00AE070D" w:rsidP="00F51636">
            <w:pPr>
              <w:pStyle w:val="TableNText"/>
              <w:rPr>
                <w:sz w:val="16"/>
                <w:szCs w:val="16"/>
              </w:rPr>
            </w:pPr>
            <w:r w:rsidRPr="00CD2BFA">
              <w:rPr>
                <w:sz w:val="16"/>
                <w:szCs w:val="16"/>
              </w:rPr>
              <w:t xml:space="preserve">The current environment is </w:t>
            </w:r>
            <w:proofErr w:type="gramStart"/>
            <w:r w:rsidRPr="00CD2BFA">
              <w:rPr>
                <w:sz w:val="16"/>
                <w:szCs w:val="16"/>
              </w:rPr>
              <w:t>unpredictable</w:t>
            </w:r>
            <w:proofErr w:type="gramEnd"/>
            <w:r w:rsidRPr="00CD2BFA">
              <w:rPr>
                <w:sz w:val="16"/>
                <w:szCs w:val="16"/>
              </w:rPr>
              <w:t xml:space="preserve"> and implementation of the state/territory activities may be delayed or only implemented virtually for some RACFs. In addition, many or all stakeholder consultations may need to be completed virtually. Nous is experienced in conducting virtual stakeholder engagements using a range of online tools (</w:t>
            </w:r>
            <w:proofErr w:type="gramStart"/>
            <w:r w:rsidRPr="00CD2BFA">
              <w:rPr>
                <w:sz w:val="16"/>
                <w:szCs w:val="16"/>
              </w:rPr>
              <w:t>e.g.</w:t>
            </w:r>
            <w:proofErr w:type="gramEnd"/>
            <w:r w:rsidRPr="00CD2BFA">
              <w:rPr>
                <w:sz w:val="16"/>
                <w:szCs w:val="16"/>
              </w:rPr>
              <w:t xml:space="preserve"> Skype for Business and Microsoft Teams). We will adapt our approach to meet stakeholder needs and </w:t>
            </w:r>
            <w:proofErr w:type="gramStart"/>
            <w:r w:rsidRPr="00CD2BFA">
              <w:rPr>
                <w:sz w:val="16"/>
                <w:szCs w:val="16"/>
              </w:rPr>
              <w:t>preferences, and</w:t>
            </w:r>
            <w:proofErr w:type="gramEnd"/>
            <w:r w:rsidRPr="00CD2BFA">
              <w:rPr>
                <w:sz w:val="16"/>
                <w:szCs w:val="16"/>
              </w:rPr>
              <w:t xml:space="preserve"> respond to circumstances during the evaluation. We will consult with the Department about the need for any changes to deliverable dates </w:t>
            </w:r>
            <w:proofErr w:type="gramStart"/>
            <w:r w:rsidRPr="00CD2BFA">
              <w:rPr>
                <w:sz w:val="16"/>
                <w:szCs w:val="16"/>
              </w:rPr>
              <w:t>as a result of</w:t>
            </w:r>
            <w:proofErr w:type="gramEnd"/>
            <w:r w:rsidRPr="00CD2BFA">
              <w:rPr>
                <w:sz w:val="16"/>
                <w:szCs w:val="16"/>
              </w:rPr>
              <w:t xml:space="preserve"> delays in the jurisdictions.</w:t>
            </w:r>
          </w:p>
        </w:tc>
        <w:tc>
          <w:tcPr>
            <w:tcW w:w="1213" w:type="dxa"/>
            <w:shd w:val="clear" w:color="auto" w:fill="FFFFFF" w:themeFill="background1"/>
          </w:tcPr>
          <w:p w14:paraId="7C5F36C7" w14:textId="77777777" w:rsidR="00AE070D" w:rsidRPr="00CD2BFA" w:rsidRDefault="00AE070D" w:rsidP="00F51636">
            <w:pPr>
              <w:pStyle w:val="TableNText"/>
              <w:rPr>
                <w:sz w:val="16"/>
                <w:szCs w:val="16"/>
              </w:rPr>
            </w:pPr>
            <w:r w:rsidRPr="00CD2BFA">
              <w:rPr>
                <w:sz w:val="16"/>
                <w:szCs w:val="16"/>
              </w:rPr>
              <w:t>Medium</w:t>
            </w:r>
          </w:p>
        </w:tc>
      </w:tr>
      <w:tr w:rsidR="00CD2BFA" w:rsidRPr="00CD2BFA" w14:paraId="019A99D4" w14:textId="77777777" w:rsidTr="00CD2BFA">
        <w:trPr>
          <w:cnfStyle w:val="000000100000" w:firstRow="0" w:lastRow="0" w:firstColumn="0" w:lastColumn="0" w:oddVBand="0" w:evenVBand="0" w:oddHBand="1" w:evenHBand="0" w:firstRowFirstColumn="0" w:firstRowLastColumn="0" w:lastRowFirstColumn="0" w:lastRowLastColumn="0"/>
        </w:trPr>
        <w:tc>
          <w:tcPr>
            <w:tcW w:w="1920" w:type="dxa"/>
            <w:shd w:val="clear" w:color="auto" w:fill="FFFFFF" w:themeFill="background1"/>
          </w:tcPr>
          <w:p w14:paraId="11A47C70" w14:textId="77777777" w:rsidR="00AE070D" w:rsidRPr="00CD2BFA" w:rsidRDefault="00AE070D" w:rsidP="00F51636">
            <w:pPr>
              <w:pStyle w:val="TableNheader"/>
              <w:rPr>
                <w:sz w:val="16"/>
                <w:szCs w:val="16"/>
              </w:rPr>
            </w:pPr>
            <w:r w:rsidRPr="00CD2BFA">
              <w:rPr>
                <w:sz w:val="16"/>
                <w:szCs w:val="16"/>
              </w:rPr>
              <w:t>Stakeholders are difficult to engage</w:t>
            </w:r>
          </w:p>
        </w:tc>
        <w:tc>
          <w:tcPr>
            <w:tcW w:w="1504" w:type="dxa"/>
            <w:shd w:val="clear" w:color="auto" w:fill="FFFFFF" w:themeFill="background1"/>
          </w:tcPr>
          <w:p w14:paraId="6E468829" w14:textId="77777777" w:rsidR="00AE070D" w:rsidRPr="00CD2BFA" w:rsidRDefault="00AE070D" w:rsidP="00F51636">
            <w:pPr>
              <w:pStyle w:val="TableNText"/>
              <w:rPr>
                <w:sz w:val="16"/>
                <w:szCs w:val="16"/>
              </w:rPr>
            </w:pPr>
            <w:r w:rsidRPr="00CD2BFA">
              <w:rPr>
                <w:sz w:val="16"/>
                <w:szCs w:val="16"/>
              </w:rPr>
              <w:t xml:space="preserve">Data for the evaluation is limited or key stakeholders do not buy-in to evaluation findings and/or recommendations. </w:t>
            </w:r>
          </w:p>
        </w:tc>
        <w:tc>
          <w:tcPr>
            <w:tcW w:w="1130" w:type="dxa"/>
            <w:shd w:val="clear" w:color="auto" w:fill="FFFFFF" w:themeFill="background1"/>
          </w:tcPr>
          <w:p w14:paraId="22E284EF" w14:textId="77777777" w:rsidR="00AE070D" w:rsidRPr="00CD2BFA" w:rsidRDefault="00AE070D" w:rsidP="00F51636">
            <w:pPr>
              <w:pStyle w:val="TableNText"/>
              <w:rPr>
                <w:sz w:val="16"/>
                <w:szCs w:val="16"/>
              </w:rPr>
            </w:pPr>
            <w:r w:rsidRPr="00CD2BFA">
              <w:rPr>
                <w:sz w:val="16"/>
                <w:szCs w:val="16"/>
              </w:rPr>
              <w:t>Low</w:t>
            </w:r>
          </w:p>
        </w:tc>
        <w:tc>
          <w:tcPr>
            <w:tcW w:w="759" w:type="dxa"/>
            <w:shd w:val="clear" w:color="auto" w:fill="FFFFFF" w:themeFill="background1"/>
          </w:tcPr>
          <w:p w14:paraId="67127800" w14:textId="77777777" w:rsidR="00AE070D" w:rsidRPr="00CD2BFA" w:rsidRDefault="00AE070D" w:rsidP="00F51636">
            <w:pPr>
              <w:pStyle w:val="TableNText"/>
              <w:rPr>
                <w:sz w:val="16"/>
                <w:szCs w:val="16"/>
              </w:rPr>
            </w:pPr>
            <w:r w:rsidRPr="00CD2BFA">
              <w:rPr>
                <w:sz w:val="16"/>
                <w:szCs w:val="16"/>
              </w:rPr>
              <w:t>Medium</w:t>
            </w:r>
          </w:p>
        </w:tc>
        <w:tc>
          <w:tcPr>
            <w:tcW w:w="1003" w:type="dxa"/>
            <w:shd w:val="clear" w:color="auto" w:fill="FFFFFF" w:themeFill="background1"/>
          </w:tcPr>
          <w:p w14:paraId="4A927429" w14:textId="77777777" w:rsidR="00AE070D" w:rsidRPr="00CD2BFA" w:rsidRDefault="00AE070D" w:rsidP="00F51636">
            <w:pPr>
              <w:pStyle w:val="TableNText"/>
              <w:rPr>
                <w:sz w:val="16"/>
                <w:szCs w:val="16"/>
              </w:rPr>
            </w:pPr>
            <w:r w:rsidRPr="00CD2BFA">
              <w:rPr>
                <w:sz w:val="16"/>
                <w:szCs w:val="16"/>
              </w:rPr>
              <w:t>Low</w:t>
            </w:r>
          </w:p>
        </w:tc>
        <w:tc>
          <w:tcPr>
            <w:tcW w:w="6443" w:type="dxa"/>
            <w:shd w:val="clear" w:color="auto" w:fill="FFFFFF" w:themeFill="background1"/>
          </w:tcPr>
          <w:p w14:paraId="6F7F32C4" w14:textId="77777777" w:rsidR="00AE070D" w:rsidRPr="00CD2BFA" w:rsidRDefault="00AE070D" w:rsidP="00F51636">
            <w:pPr>
              <w:pStyle w:val="TableNText"/>
              <w:rPr>
                <w:sz w:val="16"/>
                <w:szCs w:val="16"/>
              </w:rPr>
            </w:pPr>
            <w:r w:rsidRPr="00CD2BFA">
              <w:rPr>
                <w:sz w:val="16"/>
                <w:szCs w:val="16"/>
              </w:rPr>
              <w:t>Nous will ensure adequate engagement of all stakeholders through the following:</w:t>
            </w:r>
          </w:p>
          <w:p w14:paraId="7DCB7C4A" w14:textId="77777777" w:rsidR="00AE070D" w:rsidRPr="00CD2BFA" w:rsidRDefault="00AE070D" w:rsidP="00F51636">
            <w:pPr>
              <w:pStyle w:val="TableNListnumbered"/>
              <w:numPr>
                <w:ilvl w:val="0"/>
                <w:numId w:val="28"/>
              </w:numPr>
              <w:rPr>
                <w:sz w:val="16"/>
                <w:szCs w:val="16"/>
              </w:rPr>
            </w:pPr>
            <w:r w:rsidRPr="00CD2BFA">
              <w:rPr>
                <w:sz w:val="16"/>
                <w:szCs w:val="16"/>
              </w:rPr>
              <w:t>Development of a Stakeholder Communication Plan that identifies the purpose, principles and approach for engagement that best meets the needs of each type of stakeholder.</w:t>
            </w:r>
          </w:p>
          <w:p w14:paraId="026C2317" w14:textId="77777777" w:rsidR="00AE070D" w:rsidRPr="00CD2BFA" w:rsidRDefault="00AE070D" w:rsidP="00F51636">
            <w:pPr>
              <w:pStyle w:val="TableNListnumbered"/>
              <w:numPr>
                <w:ilvl w:val="0"/>
                <w:numId w:val="28"/>
              </w:numPr>
              <w:rPr>
                <w:sz w:val="16"/>
                <w:szCs w:val="16"/>
              </w:rPr>
            </w:pPr>
            <w:r w:rsidRPr="00CD2BFA">
              <w:rPr>
                <w:sz w:val="16"/>
                <w:szCs w:val="16"/>
              </w:rPr>
              <w:t xml:space="preserve">Provision of clear communications of the purpose, nature, </w:t>
            </w:r>
            <w:proofErr w:type="gramStart"/>
            <w:r w:rsidRPr="00CD2BFA">
              <w:rPr>
                <w:sz w:val="16"/>
                <w:szCs w:val="16"/>
              </w:rPr>
              <w:t>scope</w:t>
            </w:r>
            <w:proofErr w:type="gramEnd"/>
            <w:r w:rsidRPr="00CD2BFA">
              <w:rPr>
                <w:sz w:val="16"/>
                <w:szCs w:val="16"/>
              </w:rPr>
              <w:t xml:space="preserve"> and confidentiality of all consultations.</w:t>
            </w:r>
          </w:p>
          <w:p w14:paraId="098AD4BE" w14:textId="77777777" w:rsidR="00AE070D" w:rsidRPr="00CD2BFA" w:rsidRDefault="00AE070D" w:rsidP="00F51636">
            <w:pPr>
              <w:pStyle w:val="TableNListnumbered"/>
              <w:numPr>
                <w:ilvl w:val="0"/>
                <w:numId w:val="28"/>
              </w:numPr>
              <w:rPr>
                <w:sz w:val="16"/>
                <w:szCs w:val="16"/>
              </w:rPr>
            </w:pPr>
            <w:r w:rsidRPr="00CD2BFA">
              <w:rPr>
                <w:sz w:val="16"/>
                <w:szCs w:val="16"/>
              </w:rPr>
              <w:t>Provision of multiple timeslot options for stakeholders to engage.</w:t>
            </w:r>
          </w:p>
          <w:p w14:paraId="2E103706" w14:textId="77777777" w:rsidR="00AE070D" w:rsidRPr="00CD2BFA" w:rsidRDefault="00AE070D" w:rsidP="00F51636">
            <w:pPr>
              <w:pStyle w:val="TableNListnumbered"/>
              <w:numPr>
                <w:ilvl w:val="0"/>
                <w:numId w:val="28"/>
              </w:numPr>
              <w:rPr>
                <w:sz w:val="16"/>
                <w:szCs w:val="16"/>
              </w:rPr>
            </w:pPr>
            <w:r w:rsidRPr="00CD2BFA">
              <w:rPr>
                <w:sz w:val="16"/>
                <w:szCs w:val="16"/>
              </w:rPr>
              <w:t xml:space="preserve">Drawing on the Department, </w:t>
            </w:r>
            <w:proofErr w:type="gramStart"/>
            <w:r w:rsidRPr="00CD2BFA">
              <w:rPr>
                <w:sz w:val="16"/>
                <w:szCs w:val="16"/>
              </w:rPr>
              <w:t>jurisdictions</w:t>
            </w:r>
            <w:proofErr w:type="gramEnd"/>
            <w:r w:rsidRPr="00CD2BFA">
              <w:rPr>
                <w:sz w:val="16"/>
                <w:szCs w:val="16"/>
              </w:rPr>
              <w:t xml:space="preserve"> and service providers to identify participants and connect them to the evaluation.</w:t>
            </w:r>
          </w:p>
          <w:p w14:paraId="3F1B9BEA" w14:textId="77777777" w:rsidR="00AE070D" w:rsidRPr="00CD2BFA" w:rsidRDefault="00AE070D" w:rsidP="00F51636">
            <w:pPr>
              <w:pStyle w:val="TableNListnumbered"/>
              <w:numPr>
                <w:ilvl w:val="0"/>
                <w:numId w:val="28"/>
              </w:numPr>
              <w:rPr>
                <w:sz w:val="16"/>
                <w:szCs w:val="16"/>
              </w:rPr>
            </w:pPr>
            <w:r w:rsidRPr="00CD2BFA">
              <w:rPr>
                <w:sz w:val="16"/>
                <w:szCs w:val="16"/>
              </w:rPr>
              <w:t>Design and implement engaging consultations.</w:t>
            </w:r>
          </w:p>
          <w:p w14:paraId="21393A30" w14:textId="77777777" w:rsidR="00AE070D" w:rsidRPr="00CD2BFA" w:rsidRDefault="00AE070D" w:rsidP="00F51636">
            <w:pPr>
              <w:pStyle w:val="TableNListnumbered"/>
              <w:numPr>
                <w:ilvl w:val="0"/>
                <w:numId w:val="29"/>
              </w:numPr>
              <w:rPr>
                <w:sz w:val="16"/>
                <w:szCs w:val="16"/>
              </w:rPr>
            </w:pPr>
            <w:r w:rsidRPr="00CD2BFA">
              <w:rPr>
                <w:sz w:val="16"/>
                <w:szCs w:val="16"/>
              </w:rPr>
              <w:t xml:space="preserve">Adherence to relevant COVID-19 restrictions in each jurisdiction, </w:t>
            </w:r>
            <w:proofErr w:type="gramStart"/>
            <w:r w:rsidRPr="00CD2BFA">
              <w:rPr>
                <w:sz w:val="16"/>
                <w:szCs w:val="16"/>
              </w:rPr>
              <w:t>through the use of</w:t>
            </w:r>
            <w:proofErr w:type="gramEnd"/>
            <w:r w:rsidRPr="00CD2BFA">
              <w:rPr>
                <w:sz w:val="16"/>
                <w:szCs w:val="16"/>
              </w:rPr>
              <w:t xml:space="preserve"> platforms such as Skype and Microsoft Teams. </w:t>
            </w:r>
          </w:p>
        </w:tc>
        <w:tc>
          <w:tcPr>
            <w:tcW w:w="1213" w:type="dxa"/>
            <w:shd w:val="clear" w:color="auto" w:fill="FFFFFF" w:themeFill="background1"/>
          </w:tcPr>
          <w:p w14:paraId="2B79FAE3" w14:textId="77777777" w:rsidR="00AE070D" w:rsidRPr="00CD2BFA" w:rsidRDefault="00AE070D" w:rsidP="00F51636">
            <w:pPr>
              <w:pStyle w:val="TableNText"/>
              <w:rPr>
                <w:sz w:val="16"/>
                <w:szCs w:val="16"/>
              </w:rPr>
            </w:pPr>
            <w:r w:rsidRPr="00CD2BFA">
              <w:rPr>
                <w:sz w:val="16"/>
                <w:szCs w:val="16"/>
              </w:rPr>
              <w:t>Low</w:t>
            </w:r>
          </w:p>
        </w:tc>
      </w:tr>
      <w:tr w:rsidR="00AE070D" w:rsidRPr="00CD2BFA" w14:paraId="222078EC" w14:textId="77777777" w:rsidTr="00CD2BFA">
        <w:trPr>
          <w:cnfStyle w:val="000000010000" w:firstRow="0" w:lastRow="0" w:firstColumn="0" w:lastColumn="0" w:oddVBand="0" w:evenVBand="0" w:oddHBand="0" w:evenHBand="1" w:firstRowFirstColumn="0" w:firstRowLastColumn="0" w:lastRowFirstColumn="0" w:lastRowLastColumn="0"/>
        </w:trPr>
        <w:tc>
          <w:tcPr>
            <w:tcW w:w="13972" w:type="dxa"/>
            <w:gridSpan w:val="7"/>
            <w:shd w:val="clear" w:color="auto" w:fill="E6E6E1" w:themeFill="accent5"/>
          </w:tcPr>
          <w:p w14:paraId="230C18CF" w14:textId="77777777" w:rsidR="00AE070D" w:rsidRPr="00CD2BFA" w:rsidRDefault="00AE070D" w:rsidP="00F51636">
            <w:pPr>
              <w:pStyle w:val="TableNText"/>
              <w:rPr>
                <w:sz w:val="16"/>
                <w:szCs w:val="16"/>
              </w:rPr>
            </w:pPr>
            <w:r w:rsidRPr="00CD2BFA">
              <w:rPr>
                <w:rFonts w:asciiTheme="majorHAnsi" w:hAnsiTheme="majorHAnsi" w:cstheme="majorHAnsi"/>
                <w:color w:val="00264D" w:themeColor="background2"/>
                <w:sz w:val="16"/>
                <w:szCs w:val="16"/>
              </w:rPr>
              <w:lastRenderedPageBreak/>
              <w:t>QUALITY RISKS</w:t>
            </w:r>
          </w:p>
        </w:tc>
      </w:tr>
      <w:tr w:rsidR="00CD2BFA" w:rsidRPr="00CD2BFA" w14:paraId="1EAFC0CA" w14:textId="77777777" w:rsidTr="00CD2BFA">
        <w:trPr>
          <w:cnfStyle w:val="000000100000" w:firstRow="0" w:lastRow="0" w:firstColumn="0" w:lastColumn="0" w:oddVBand="0" w:evenVBand="0" w:oddHBand="1" w:evenHBand="0" w:firstRowFirstColumn="0" w:firstRowLastColumn="0" w:lastRowFirstColumn="0" w:lastRowLastColumn="0"/>
        </w:trPr>
        <w:tc>
          <w:tcPr>
            <w:tcW w:w="1920" w:type="dxa"/>
            <w:shd w:val="clear" w:color="auto" w:fill="FFFFFF" w:themeFill="background1"/>
          </w:tcPr>
          <w:p w14:paraId="52CBABCB" w14:textId="77777777" w:rsidR="00AE070D" w:rsidRPr="00CD2BFA" w:rsidRDefault="00AE070D" w:rsidP="00F51636">
            <w:pPr>
              <w:pStyle w:val="TableNheader"/>
              <w:rPr>
                <w:sz w:val="16"/>
                <w:szCs w:val="16"/>
              </w:rPr>
            </w:pPr>
            <w:r w:rsidRPr="00CD2BFA">
              <w:rPr>
                <w:sz w:val="16"/>
                <w:szCs w:val="16"/>
              </w:rPr>
              <w:t>The evaluation does not meet the quality expectations of the Department</w:t>
            </w:r>
          </w:p>
        </w:tc>
        <w:tc>
          <w:tcPr>
            <w:tcW w:w="1504" w:type="dxa"/>
            <w:shd w:val="clear" w:color="auto" w:fill="FFFFFF" w:themeFill="background1"/>
          </w:tcPr>
          <w:p w14:paraId="6A8A79D3" w14:textId="77777777" w:rsidR="00AE070D" w:rsidRPr="00CD2BFA" w:rsidRDefault="00AE070D" w:rsidP="00F51636">
            <w:pPr>
              <w:pStyle w:val="TableNText"/>
              <w:rPr>
                <w:sz w:val="16"/>
                <w:szCs w:val="16"/>
              </w:rPr>
            </w:pPr>
            <w:r w:rsidRPr="00CD2BFA">
              <w:rPr>
                <w:sz w:val="16"/>
                <w:szCs w:val="16"/>
              </w:rPr>
              <w:t>The Department does not receive the information it requires from the evaluation and/or loses confidence in the robustness of the evaluation.</w:t>
            </w:r>
          </w:p>
        </w:tc>
        <w:tc>
          <w:tcPr>
            <w:tcW w:w="1130" w:type="dxa"/>
            <w:shd w:val="clear" w:color="auto" w:fill="FFFFFF" w:themeFill="background1"/>
          </w:tcPr>
          <w:p w14:paraId="5D708B89" w14:textId="77777777" w:rsidR="00AE070D" w:rsidRPr="00CD2BFA" w:rsidRDefault="00AE070D" w:rsidP="00F51636">
            <w:pPr>
              <w:pStyle w:val="TableNText"/>
              <w:rPr>
                <w:sz w:val="16"/>
                <w:szCs w:val="16"/>
              </w:rPr>
            </w:pPr>
            <w:r w:rsidRPr="00CD2BFA">
              <w:rPr>
                <w:sz w:val="16"/>
                <w:szCs w:val="16"/>
              </w:rPr>
              <w:t>Low</w:t>
            </w:r>
          </w:p>
        </w:tc>
        <w:tc>
          <w:tcPr>
            <w:tcW w:w="759" w:type="dxa"/>
            <w:shd w:val="clear" w:color="auto" w:fill="FFFFFF" w:themeFill="background1"/>
          </w:tcPr>
          <w:p w14:paraId="41A5F896" w14:textId="77777777" w:rsidR="00AE070D" w:rsidRPr="00CD2BFA" w:rsidRDefault="00AE070D" w:rsidP="00F51636">
            <w:pPr>
              <w:pStyle w:val="TableNText"/>
              <w:rPr>
                <w:sz w:val="16"/>
                <w:szCs w:val="16"/>
              </w:rPr>
            </w:pPr>
            <w:r w:rsidRPr="00CD2BFA">
              <w:rPr>
                <w:sz w:val="16"/>
                <w:szCs w:val="16"/>
              </w:rPr>
              <w:t>High</w:t>
            </w:r>
          </w:p>
        </w:tc>
        <w:tc>
          <w:tcPr>
            <w:tcW w:w="1003" w:type="dxa"/>
            <w:shd w:val="clear" w:color="auto" w:fill="FFFFFF" w:themeFill="background1"/>
          </w:tcPr>
          <w:p w14:paraId="173E68F6" w14:textId="77777777" w:rsidR="00AE070D" w:rsidRPr="00CD2BFA" w:rsidRDefault="00AE070D" w:rsidP="00F51636">
            <w:pPr>
              <w:pStyle w:val="TableNText"/>
              <w:rPr>
                <w:sz w:val="16"/>
                <w:szCs w:val="16"/>
              </w:rPr>
            </w:pPr>
            <w:r w:rsidRPr="00CD2BFA">
              <w:rPr>
                <w:sz w:val="16"/>
                <w:szCs w:val="16"/>
              </w:rPr>
              <w:t>Medium</w:t>
            </w:r>
          </w:p>
        </w:tc>
        <w:tc>
          <w:tcPr>
            <w:tcW w:w="6443" w:type="dxa"/>
            <w:shd w:val="clear" w:color="auto" w:fill="FFFFFF" w:themeFill="background1"/>
          </w:tcPr>
          <w:p w14:paraId="504D705F" w14:textId="77777777" w:rsidR="00AE070D" w:rsidRPr="00CD2BFA" w:rsidRDefault="00AE070D" w:rsidP="00F51636">
            <w:pPr>
              <w:pStyle w:val="TableNText"/>
              <w:rPr>
                <w:sz w:val="16"/>
                <w:szCs w:val="16"/>
              </w:rPr>
            </w:pPr>
            <w:r w:rsidRPr="00CD2BFA">
              <w:rPr>
                <w:sz w:val="16"/>
                <w:szCs w:val="16"/>
              </w:rPr>
              <w:t xml:space="preserve">Nous has several quality </w:t>
            </w:r>
            <w:proofErr w:type="gramStart"/>
            <w:r w:rsidRPr="00CD2BFA">
              <w:rPr>
                <w:sz w:val="16"/>
                <w:szCs w:val="16"/>
              </w:rPr>
              <w:t>assurance</w:t>
            </w:r>
            <w:proofErr w:type="gramEnd"/>
            <w:r w:rsidRPr="00CD2BFA">
              <w:rPr>
                <w:sz w:val="16"/>
                <w:szCs w:val="16"/>
              </w:rPr>
              <w:t xml:space="preserve"> processes to ensure we deliver quality work, every time. For this evaluation, we will:</w:t>
            </w:r>
          </w:p>
          <w:p w14:paraId="45DCBF88" w14:textId="77777777" w:rsidR="00AE070D" w:rsidRPr="00CD2BFA" w:rsidRDefault="00AE070D" w:rsidP="00F51636">
            <w:pPr>
              <w:pStyle w:val="TableNListnumbered"/>
              <w:numPr>
                <w:ilvl w:val="0"/>
                <w:numId w:val="28"/>
              </w:numPr>
              <w:rPr>
                <w:sz w:val="16"/>
                <w:szCs w:val="16"/>
              </w:rPr>
            </w:pPr>
            <w:r w:rsidRPr="00CD2BFA">
              <w:rPr>
                <w:sz w:val="16"/>
                <w:szCs w:val="16"/>
              </w:rPr>
              <w:t>Agree the KEQs and evaluation scope and approach early, through the Evaluation Framework.</w:t>
            </w:r>
          </w:p>
          <w:p w14:paraId="40ACA823" w14:textId="77777777" w:rsidR="00AE070D" w:rsidRPr="00CD2BFA" w:rsidRDefault="00AE070D" w:rsidP="00F51636">
            <w:pPr>
              <w:pStyle w:val="TableNListnumbered"/>
              <w:numPr>
                <w:ilvl w:val="0"/>
                <w:numId w:val="30"/>
              </w:numPr>
              <w:rPr>
                <w:sz w:val="16"/>
                <w:szCs w:val="16"/>
              </w:rPr>
            </w:pPr>
            <w:r w:rsidRPr="00CD2BFA">
              <w:rPr>
                <w:sz w:val="16"/>
                <w:szCs w:val="16"/>
              </w:rPr>
              <w:t xml:space="preserve">Ensure the research design is valid and appropriate through a carefully designed methodology. </w:t>
            </w:r>
          </w:p>
          <w:p w14:paraId="3ABB177D" w14:textId="77777777" w:rsidR="00AE070D" w:rsidRPr="00CD2BFA" w:rsidRDefault="00AE070D" w:rsidP="00F51636">
            <w:pPr>
              <w:pStyle w:val="TableNListnumbered"/>
              <w:numPr>
                <w:ilvl w:val="0"/>
                <w:numId w:val="30"/>
              </w:numPr>
              <w:rPr>
                <w:sz w:val="16"/>
                <w:szCs w:val="16"/>
              </w:rPr>
            </w:pPr>
            <w:r w:rsidRPr="00CD2BFA">
              <w:rPr>
                <w:sz w:val="16"/>
                <w:szCs w:val="16"/>
              </w:rPr>
              <w:t>Develop and test draft report outlines with the Department to ensure the scope and detail meets requirements.</w:t>
            </w:r>
          </w:p>
          <w:p w14:paraId="3680E8E8" w14:textId="77777777" w:rsidR="00AE070D" w:rsidRPr="00CD2BFA" w:rsidRDefault="00AE070D" w:rsidP="00F51636">
            <w:pPr>
              <w:pStyle w:val="TableNListnumbered"/>
              <w:numPr>
                <w:ilvl w:val="0"/>
                <w:numId w:val="28"/>
              </w:numPr>
              <w:rPr>
                <w:sz w:val="16"/>
                <w:szCs w:val="16"/>
              </w:rPr>
            </w:pPr>
            <w:r w:rsidRPr="00CD2BFA">
              <w:rPr>
                <w:sz w:val="16"/>
                <w:szCs w:val="16"/>
              </w:rPr>
              <w:t xml:space="preserve">Draw on experts within the team to test our findings and assumptions. This includes Professor David </w:t>
            </w:r>
            <w:proofErr w:type="spellStart"/>
            <w:r w:rsidRPr="00CD2BFA">
              <w:rPr>
                <w:sz w:val="16"/>
                <w:szCs w:val="16"/>
              </w:rPr>
              <w:t>Currow</w:t>
            </w:r>
            <w:proofErr w:type="spellEnd"/>
            <w:r w:rsidRPr="00CD2BFA">
              <w:rPr>
                <w:sz w:val="16"/>
                <w:szCs w:val="16"/>
              </w:rPr>
              <w:t xml:space="preserve"> and Stephen Teulan for expertise in aged care and palliative care.</w:t>
            </w:r>
          </w:p>
          <w:p w14:paraId="0A73E599" w14:textId="77777777" w:rsidR="00AE070D" w:rsidRPr="00CD2BFA" w:rsidRDefault="00AE070D" w:rsidP="00F51636">
            <w:pPr>
              <w:pStyle w:val="TableNListnumbered"/>
              <w:numPr>
                <w:ilvl w:val="0"/>
                <w:numId w:val="30"/>
              </w:numPr>
              <w:rPr>
                <w:sz w:val="16"/>
                <w:szCs w:val="16"/>
              </w:rPr>
            </w:pPr>
            <w:r w:rsidRPr="00CD2BFA">
              <w:rPr>
                <w:sz w:val="16"/>
                <w:szCs w:val="16"/>
              </w:rPr>
              <w:t>Test findings with the Department in monthly meetings and Progress Reports.</w:t>
            </w:r>
          </w:p>
          <w:p w14:paraId="1B3BE5D7" w14:textId="77777777" w:rsidR="00AE070D" w:rsidRPr="00CD2BFA" w:rsidRDefault="00AE070D" w:rsidP="00F51636">
            <w:pPr>
              <w:pStyle w:val="TableNText"/>
              <w:rPr>
                <w:sz w:val="16"/>
                <w:szCs w:val="16"/>
              </w:rPr>
            </w:pPr>
            <w:r w:rsidRPr="00CD2BFA">
              <w:rPr>
                <w:sz w:val="16"/>
                <w:szCs w:val="16"/>
              </w:rPr>
              <w:t xml:space="preserve">Nous will keep the Department informed as to achievements, progress, key activities, issues, </w:t>
            </w:r>
            <w:proofErr w:type="gramStart"/>
            <w:r w:rsidRPr="00CD2BFA">
              <w:rPr>
                <w:sz w:val="16"/>
                <w:szCs w:val="16"/>
              </w:rPr>
              <w:t>risks</w:t>
            </w:r>
            <w:proofErr w:type="gramEnd"/>
            <w:r w:rsidRPr="00CD2BFA">
              <w:rPr>
                <w:sz w:val="16"/>
                <w:szCs w:val="16"/>
              </w:rPr>
              <w:t xml:space="preserve"> and suggested solutions through the regular updates proposed in this plan. This will help to ensure the Department is aware of progress, without compromising the independence of the evaluation.</w:t>
            </w:r>
          </w:p>
        </w:tc>
        <w:tc>
          <w:tcPr>
            <w:tcW w:w="1213" w:type="dxa"/>
            <w:shd w:val="clear" w:color="auto" w:fill="FFFFFF" w:themeFill="background1"/>
          </w:tcPr>
          <w:p w14:paraId="63ED38FA" w14:textId="77777777" w:rsidR="00AE070D" w:rsidRPr="00CD2BFA" w:rsidRDefault="00AE070D" w:rsidP="00F51636">
            <w:pPr>
              <w:pStyle w:val="TableNText"/>
              <w:rPr>
                <w:sz w:val="16"/>
                <w:szCs w:val="16"/>
              </w:rPr>
            </w:pPr>
            <w:r w:rsidRPr="00CD2BFA">
              <w:rPr>
                <w:sz w:val="16"/>
                <w:szCs w:val="16"/>
              </w:rPr>
              <w:t>Low</w:t>
            </w:r>
          </w:p>
        </w:tc>
      </w:tr>
    </w:tbl>
    <w:p w14:paraId="5B3FB23D" w14:textId="77777777" w:rsidR="00AE070D" w:rsidRDefault="00AE070D" w:rsidP="000F52DD">
      <w:pPr>
        <w:rPr>
          <w:lang w:eastAsia="en-AU"/>
        </w:rPr>
        <w:sectPr w:rsidR="00AE070D" w:rsidSect="00AE070D">
          <w:headerReference w:type="first" r:id="rId46"/>
          <w:footerReference w:type="first" r:id="rId47"/>
          <w:pgSz w:w="16839" w:h="11907" w:orient="landscape" w:code="9"/>
          <w:pgMar w:top="1559" w:right="1418" w:bottom="1418" w:left="1701" w:header="720" w:footer="720" w:gutter="0"/>
          <w:cols w:space="720"/>
          <w:titlePg/>
          <w:docGrid w:linePitch="360"/>
        </w:sectPr>
      </w:pPr>
    </w:p>
    <w:p w14:paraId="6E1CA014" w14:textId="145D1636" w:rsidR="006D4DE5" w:rsidRPr="00065F95" w:rsidRDefault="006D4DE5" w:rsidP="006D4DE5">
      <w:pPr>
        <w:pStyle w:val="xAppendixLevel1"/>
      </w:pPr>
      <w:bookmarkStart w:id="103" w:name="_Toc82767237"/>
      <w:r>
        <w:lastRenderedPageBreak/>
        <w:t>Glossary</w:t>
      </w:r>
      <w:bookmarkEnd w:id="103"/>
    </w:p>
    <w:p w14:paraId="4C2E5D92" w14:textId="6EA1B31D" w:rsidR="006D4DE5" w:rsidRDefault="006D4DE5" w:rsidP="006D4DE5">
      <w:pPr>
        <w:pStyle w:val="Caption"/>
      </w:pPr>
    </w:p>
    <w:tbl>
      <w:tblPr>
        <w:tblStyle w:val="TableGrid"/>
        <w:tblW w:w="0" w:type="auto"/>
        <w:tblLook w:val="04A0" w:firstRow="1" w:lastRow="0" w:firstColumn="1" w:lastColumn="0" w:noHBand="0" w:noVBand="1"/>
        <w:tblCaption w:val="Glossary table for items found in the evaluation framework"/>
        <w:tblDescription w:val="Advance Care Directive (ACD) is a catch-all term to refer to the instruments which are recognised in each jurisdiction under Advance Care Directive legislation or common law. They are voluntary, person-led documents completed and signed by a competent person that focus on an individual’s values and preferences for future care decisions, including their preferred outcomes and care. Advance Care Directives are recognised by specific legislation (statutory) or under common law (non-statutory). They come into effect when an individual loses decision-making capacity. Advance Care Directives can also appoint substitute decision-makers who can make decisions about health or personal care on the individual’s behalf. Advance Care Directives are focused on the future care of a person, not on the management of his or her assets.&#10;&#10;Advance Care Plan (ACP) are documents that capture an individual’s beliefs, values and preferences in relation to future care decisions, but which do not meet the requirements for statutory or common law recognition due to the person’s lack of competency, insufficient decision-making capacity or lack of formalities (such as inadequate person identification, signature and date). An Advance Care Plan for a non-competent person are often very helpful in providing information for substitute decision-makers and health practitioners and may guide care decisions, though are not legally binding. An Advance Care Plan may be oral or written, with written being preferred. A substitute decision-maker named in an Advance Care Plan is not a statutory appointment.&#10;&#10;Advance care planning is a process of planning for future health and personal care whereby the person’s values, beliefs and preferences are made known to guide decision-making at a future time when that person cannot make or communicate their decisions. Registered and non-registered health practitioners have a role in advance care planning and require capability to facilitate these conversations effectively. The National Quality Standards for aged care, general practice and health services all promote advance care planning. Individuals can also choose to engage in advance care planning with other non-health practitioners, such as friends or family.&#10;Advance care planning documents (ACPDs)  A catch all term to include documents that result from advance care planning. This includes Advance Care Directives and Advance Care Plans.&#10;&#10;Aged Care Quality and Safety Commission (ACQSC) is an independent Statutory Agency, with responsibility for regulating aged care services including accreditation, monitoring, education and support for providers and resolving complaints. The role of the Aged Care Quality and Safety Commission seeks to protect and enhance the safety, health, wellbeing and quality of life of people receiving aged care.&#10;&#10;Australian Commission on Safety and Quality in Health Care (ACSQHC is an Australian Government entity that works with patients, consumers, clinicians, managers, policy makers and healthcare organisations to achieve a sustainable, safe and high-quality health system.&#10; &#10;Australian Institute of Aboriginal and Torres Strait Islander Studies (AIATSIS) is an independent Australian Government statutory authority that promotes knowledge and understanding of Aboriginal and Torres Strait Islander cultures, traditions, languages and stories, past and present.&#10;&#10;The Aged Care Funding Instrument (ACFI) is managed by the Department of Health. The Aged Care Funding Instrument assesses the degree of care each aged care resident needs and allocates funding accordingly.&#10;&#10;Australian Healthcare and Hospitals Association (AHHA) is an independent peak membership body and advocate for the Australian healthcare system and a national voice for universally accessible, high quality healthcare in Australia.&#10;&#10;Australian Institute of Health and Welfare (AIHW) is an independent statutory agency that provides reliable and relevant information and statistics on Australia's health and welfare.&#10;&#10;A Carer is a  person who provides personal care to someone with a disability, medical condition, or mental illness, or are frail and/or aged. A carer typically volunteers to provide personal assistance to a person (e.g. a resident of a RACF).&#10;&#10;Council on the Ageing Australia (COTA) is an advocacy organisation which lobbies for action at a national-level on issues affecting seniors.&#10;&#10;Dying is the terminal phase of life, where death is imminent and likely to occur within hours or days, or occasionally weeks. This is sometimes referred to as “actively dying”.&#10;&#10;End-of-life Directions for Aged Care (ELDAC) is a resource hub that provides information, guidance and resources to health professionals and aged care workers to support palliative care and advance care planning to improve the care of older Australians.&#10;&#10;End-of-life care is care delivered to a patient who is living with a fatal condition, even if the exact trajectory is unknown. The end-of-life period may be days, months, or years depending on the diagnosis or disease. The Aged Care Funding Instrument definition for end-of-life is more specific as follows: Aged Care Funding Instrument 12 item 14 enables a claim for a palliative care program involving end-of-life care.&#10;&#10;Futile or non-beneficial treatment includes treatment which:&#10;• is of no benefit&#10;• cannot achieve its purpose, or&#10;• is not in the person’s best interests.&#10;An example of futile treatment is providing cardiopulmonary resuscitation to someone who will not respond to it.&#10;Futile or non-beneficial treatment is not formally defined in law.&#10;&#10;General Practitioner (GP) is a doctor who is also qualified in general medical practice. General Practitioners are often the first point of contact for someone, of any age, who feels sick or has a health concern. They treat a wide range of medical conditions and health issues.&#10;&#10;Hospital and Health Service (HHS) - Queensland Health consists of the Department of Health and 16 Health and Hospital Services. The Health and Hospital Services are independent statutory bodies which are responsible for delivering public health services in their areas. &#10;&#10;Leading Age Services Australia (LASA) is a national peak body representing all providers of age services across residential care, home care and retirement living.&#10;&#10;Local Health District (LHD) - NSW Health consists of the Department of Health and 18 Local Health Districts. The Local Health Districts are independent statutory bodies which are responsible for delivering public health services in their areas.&#10;&#10;Jurisdictional evaluation and monitoring - Jurisdictions are implementing activities unique to their own state or territory. As a result, some jurisdictions are evaluating and/or monitoring said activities. It is out-of-scope for the national evaluation to be conducting jurisdictional-level evaluations.&#10; &#10;The Measure is the Comprehensive Palliative Care in Aged Care Measure.&#10;&#10;Medicare Benefits Schedule (MBS) is a listing of the Medicare services subsidised by the Australian Government.&#10;&#10;National evaluation is an independent evaluation to determine to what extent the aims and objectives of the Measure have been achieved. Findings will inform national policy decisions about palliative care delivery in aged care. The outcomes of the evaluation will contribute to the national evidence base and inform implementation and models of care in future years.&#10;&#10;National Health and Medical Research Council (NHMRC)  is a statutory authority and the primary agency of the Australian Government responsible for medical and public health research.&#10;&#10;National Integrated Health Services Information Analysis Asset (NIHSI-AA) is a dataset owned by the Australian Institute of Health and Welfare as well as the Department of Health, and state and territory health authorities. It contains anonymised data from participating states and territories from 2010-2011 onwards.&#10;&#10;Not-for-profit are organisations that do not operate for the profit or gain of their members, including charities and religious organisations.&#10;&#10;Other clinicians refer to professionals from allied health disciplines, including but not limited to occupational therapy, psychology, speech pathology and social work. These clinicians may be part of a multi-disciplinary team at the RACF.&#10;&#10;Palliative care is an approach that seeks to improve the quality of life of patients and their families facing a life-limiting illness. Palliative care aims to reduce pain and suffering at the end-of-life, such as through early identification and assessment of symptoms. Palliative care should be holistic, attending to the patients’ physical, psychosocial and spiritual needs. &#10;&#10;Pharmaceutical Benefits Schedule (PBS) is a list of the medicines available to be dispensed to patients at a government-subsidised price.&#10;&#10;Palliative Care Australia (PCA) is the national peak body for palliative care in Australia.&#10;&#10;Palliative Care Outcomes Collaboration (PCOC) is the national evidence hub on patients' daily pain and symptom outcomes in Australia. The purpose of the Palliative Care Outcomes Collaboration is to drive continuous improvement by providing outcome information to clinicians and local, state and national providers of palliative care.&#10;&#10;Primary Health Network (PHN) - The Australian Government established 31 Primary Health Networks across Australia in 2015. They aim to:&#10;• improve medical services for patients, particularly those at risk of poor health outcomes&#10;• make sure government money is directed to where it's needed and is spent on health programs that will be most effective&#10;• improve the links between local health services and hospitals, so that patients receive the right care, in the right place, at the right time.&#10;&#10;Project Implementation Group consists of members from the Department of Health and from states and territories. &#10;&#10;National Palliative Care and End-of-life Project Reference Group. The Reference Group will:&#10;• share information among jurisdictions, particularly in the COVID environment.&#10;• discuss progress against the Implementation Plan for the National Palliative Care Strategy.&#10;• collaborate on related work and provide a forum to discuss opportunities, issues and linkages.&#10;&#10;Quality improvement initiatives are consumer-focused, achieve improvement through planned steps, driven by involvement and accountability of key stakeholders (consumers, families and carers, staff and volunteers, advocates), and involve regular monitoring and evaluation of progress.&#10;This may include assessing and monitoring the quality of care and services against the Aged Care Quality and Safety Commission Quality Standards, the End-of-life Directions for Aged Care Palliative Care and Advance Care Planning Organisational Audit, or other initiatives.&#10;Residential aged care facility (RACF) Residential aged care is for older people who can no longer live at home. These services are funded and regulated by the Australian Government.&#10;&#10;Specialist palliative care - People with more complex needs should be able to access care provided by specialist palliative care services comprising multidisciplinary teams with specialised skills, competencies, experience and training in palliative care."/>
      </w:tblPr>
      <w:tblGrid>
        <w:gridCol w:w="1637"/>
        <w:gridCol w:w="7293"/>
      </w:tblGrid>
      <w:tr w:rsidR="002E36B6" w14:paraId="3A0799ED" w14:textId="77777777" w:rsidTr="00703CF4">
        <w:trPr>
          <w:cnfStyle w:val="100000000000" w:firstRow="1" w:lastRow="0" w:firstColumn="0" w:lastColumn="0" w:oddVBand="0" w:evenVBand="0" w:oddHBand="0" w:evenHBand="0" w:firstRowFirstColumn="0" w:firstRowLastColumn="0" w:lastRowFirstColumn="0" w:lastRowLastColumn="0"/>
        </w:trPr>
        <w:tc>
          <w:tcPr>
            <w:tcW w:w="1645" w:type="dxa"/>
          </w:tcPr>
          <w:p w14:paraId="12501EF5" w14:textId="26ED4C40" w:rsidR="002E36B6" w:rsidRPr="00C478BC" w:rsidRDefault="0042223E" w:rsidP="00C478BC">
            <w:pPr>
              <w:pStyle w:val="TableNheader"/>
            </w:pPr>
            <w:r w:rsidRPr="00C478BC">
              <w:t>Item</w:t>
            </w:r>
          </w:p>
        </w:tc>
        <w:tc>
          <w:tcPr>
            <w:tcW w:w="7455" w:type="dxa"/>
          </w:tcPr>
          <w:p w14:paraId="26C04AF0" w14:textId="2D9DB1BD" w:rsidR="002E36B6" w:rsidRPr="00C478BC" w:rsidRDefault="002E36B6" w:rsidP="00C478BC">
            <w:pPr>
              <w:pStyle w:val="TableNheader"/>
            </w:pPr>
            <w:r w:rsidRPr="00C478BC">
              <w:t>Definition</w:t>
            </w:r>
          </w:p>
        </w:tc>
      </w:tr>
      <w:tr w:rsidR="00F55FF9" w14:paraId="3AE19797" w14:textId="77777777" w:rsidTr="00703CF4">
        <w:trPr>
          <w:cnfStyle w:val="000000100000" w:firstRow="0" w:lastRow="0" w:firstColumn="0" w:lastColumn="0" w:oddVBand="0" w:evenVBand="0" w:oddHBand="1" w:evenHBand="0" w:firstRowFirstColumn="0" w:firstRowLastColumn="0" w:lastRowFirstColumn="0" w:lastRowLastColumn="0"/>
        </w:trPr>
        <w:tc>
          <w:tcPr>
            <w:tcW w:w="1645" w:type="dxa"/>
          </w:tcPr>
          <w:p w14:paraId="464B063B" w14:textId="47CD7FE1" w:rsidR="00F55FF9" w:rsidRPr="00C478BC" w:rsidRDefault="00F55FF9" w:rsidP="00C478BC">
            <w:pPr>
              <w:pStyle w:val="TableNText"/>
            </w:pPr>
            <w:r w:rsidRPr="00C478BC">
              <w:t xml:space="preserve">Advance </w:t>
            </w:r>
            <w:r w:rsidR="004D12AC" w:rsidRPr="00C478BC">
              <w:t>Care Directive</w:t>
            </w:r>
            <w:r w:rsidRPr="00C478BC">
              <w:t xml:space="preserve"> (ACD)</w:t>
            </w:r>
            <w:r w:rsidRPr="00C478BC">
              <w:rPr>
                <w:rStyle w:val="FootnoteReference"/>
              </w:rPr>
              <w:footnoteReference w:id="26"/>
            </w:r>
          </w:p>
        </w:tc>
        <w:tc>
          <w:tcPr>
            <w:tcW w:w="7455" w:type="dxa"/>
          </w:tcPr>
          <w:p w14:paraId="473AEEA2" w14:textId="54585E97" w:rsidR="00F55FF9" w:rsidRPr="00C478BC" w:rsidRDefault="00F55FF9" w:rsidP="00C478BC">
            <w:pPr>
              <w:pStyle w:val="TableNText"/>
            </w:pPr>
            <w:r w:rsidRPr="00C478BC">
              <w:t xml:space="preserve">Advance Care Directive is a catch-all term to refer to the instruments which are recognised in each jurisdiction under </w:t>
            </w:r>
            <w:r w:rsidR="004D12AC" w:rsidRPr="00C478BC">
              <w:t>Advance Care Directive</w:t>
            </w:r>
            <w:r w:rsidRPr="00C478BC">
              <w:t xml:space="preserve"> legislation or common law. They are voluntary, person-led documents completed and signed by a competent person that focus on an individual’s values and preferences for future care decisions, including their preferred outcomes and care. Advance Care Directives are recognised by specific legislation (statutory) or under common law (non-statutory). They come into effect when an individual loses decision-making capacity. Advance Care Directives can also appoint substitute decision-makers who can make decisions about health or personal care on the individual’s behalf. Advance Care Directives are focused on the future care of a person, not on the management of his or her assets.</w:t>
            </w:r>
          </w:p>
        </w:tc>
      </w:tr>
      <w:tr w:rsidR="00F55FF9" w14:paraId="61C63790" w14:textId="77777777" w:rsidTr="00703CF4">
        <w:trPr>
          <w:cnfStyle w:val="000000010000" w:firstRow="0" w:lastRow="0" w:firstColumn="0" w:lastColumn="0" w:oddVBand="0" w:evenVBand="0" w:oddHBand="0" w:evenHBand="1" w:firstRowFirstColumn="0" w:firstRowLastColumn="0" w:lastRowFirstColumn="0" w:lastRowLastColumn="0"/>
        </w:trPr>
        <w:tc>
          <w:tcPr>
            <w:tcW w:w="1645" w:type="dxa"/>
          </w:tcPr>
          <w:p w14:paraId="7B81546B" w14:textId="3C2409F7" w:rsidR="00F55FF9" w:rsidRPr="00C478BC" w:rsidRDefault="00F55FF9" w:rsidP="00C478BC">
            <w:pPr>
              <w:pStyle w:val="TableNText"/>
            </w:pPr>
            <w:r w:rsidRPr="00C478BC">
              <w:t xml:space="preserve">Advance </w:t>
            </w:r>
            <w:r w:rsidR="00A11F4C" w:rsidRPr="00C478BC">
              <w:t>Care Plan</w:t>
            </w:r>
            <w:r w:rsidRPr="00C478BC">
              <w:t xml:space="preserve"> (ACP)</w:t>
            </w:r>
            <w:r w:rsidRPr="00C478BC">
              <w:rPr>
                <w:rStyle w:val="FootnoteReference"/>
              </w:rPr>
              <w:footnoteReference w:id="27"/>
            </w:r>
          </w:p>
        </w:tc>
        <w:tc>
          <w:tcPr>
            <w:tcW w:w="7455" w:type="dxa"/>
          </w:tcPr>
          <w:p w14:paraId="2B908189" w14:textId="61B12C68" w:rsidR="00F55FF9" w:rsidRPr="00C478BC" w:rsidRDefault="00F55FF9" w:rsidP="00C478BC">
            <w:pPr>
              <w:pStyle w:val="TableNText"/>
            </w:pPr>
            <w:r w:rsidRPr="00C478BC">
              <w:t xml:space="preserve">Documents that capture an individual’s beliefs, </w:t>
            </w:r>
            <w:proofErr w:type="gramStart"/>
            <w:r w:rsidRPr="00C478BC">
              <w:t>values</w:t>
            </w:r>
            <w:proofErr w:type="gramEnd"/>
            <w:r w:rsidRPr="00C478BC">
              <w:t xml:space="preserve"> and preferences in relation to future care decisions, but which do not meet the requirements for statutory or common law recognition due to the person’s lack of competency, insufficient decision-making capacity or lack of formalities (such as inadequate person identification, signature and date).</w:t>
            </w:r>
            <w:r w:rsidR="00831821">
              <w:t xml:space="preserve"> </w:t>
            </w:r>
            <w:r w:rsidRPr="00C478BC">
              <w:t>An Advance Care Plan for a non-competent person are often very helpful in providing information for substitute decision-makers and health practitioners and may guide care decisions</w:t>
            </w:r>
            <w:r w:rsidR="00831821">
              <w:t>, though</w:t>
            </w:r>
            <w:r w:rsidRPr="00C478BC">
              <w:t xml:space="preserve"> are not legally binding. An Advance Care Plan may be oral or written, with written being preferred. A substitute decision-maker named in an Advance Care Plan is not a statutory appointment.</w:t>
            </w:r>
          </w:p>
        </w:tc>
      </w:tr>
      <w:tr w:rsidR="00F55FF9" w14:paraId="5484E196" w14:textId="77777777" w:rsidTr="00703CF4">
        <w:trPr>
          <w:cnfStyle w:val="000000100000" w:firstRow="0" w:lastRow="0" w:firstColumn="0" w:lastColumn="0" w:oddVBand="0" w:evenVBand="0" w:oddHBand="1" w:evenHBand="0" w:firstRowFirstColumn="0" w:firstRowLastColumn="0" w:lastRowFirstColumn="0" w:lastRowLastColumn="0"/>
        </w:trPr>
        <w:tc>
          <w:tcPr>
            <w:tcW w:w="1645" w:type="dxa"/>
          </w:tcPr>
          <w:p w14:paraId="0C4E8481" w14:textId="6D967557" w:rsidR="00F55FF9" w:rsidRPr="00C478BC" w:rsidRDefault="00F55FF9" w:rsidP="00C478BC">
            <w:pPr>
              <w:pStyle w:val="TableNText"/>
            </w:pPr>
            <w:r w:rsidRPr="00C478BC">
              <w:t>Advance care planning</w:t>
            </w:r>
            <w:r w:rsidRPr="00C478BC">
              <w:rPr>
                <w:rStyle w:val="FootnoteReference"/>
              </w:rPr>
              <w:footnoteReference w:id="28"/>
            </w:r>
          </w:p>
        </w:tc>
        <w:tc>
          <w:tcPr>
            <w:tcW w:w="7455" w:type="dxa"/>
          </w:tcPr>
          <w:p w14:paraId="3B3DFFA3" w14:textId="3801C0FC" w:rsidR="00F55FF9" w:rsidRPr="00C478BC" w:rsidRDefault="00F55FF9" w:rsidP="00C478BC">
            <w:pPr>
              <w:pStyle w:val="TableNText"/>
            </w:pPr>
            <w:r w:rsidRPr="00C478BC">
              <w:t>A process of planning for future health and personal care whereby the person’s values, beliefs and preferences are made known to guide decision-making at a future time when that person cannot make or communicate their decisions. Registered and non-registered health practitioners have a role in advance care planning and require capability to facilitate these conversations effectively. The National Quality Standards for aged care, general practice and health services all promote advance care planning. Individuals can also choose to engage in advance care planning with other non-health practitioners, such as friends or family.</w:t>
            </w:r>
          </w:p>
        </w:tc>
      </w:tr>
      <w:tr w:rsidR="00F55FF9" w14:paraId="43433AE0" w14:textId="77777777" w:rsidTr="00703CF4">
        <w:trPr>
          <w:cnfStyle w:val="000000010000" w:firstRow="0" w:lastRow="0" w:firstColumn="0" w:lastColumn="0" w:oddVBand="0" w:evenVBand="0" w:oddHBand="0" w:evenHBand="1" w:firstRowFirstColumn="0" w:firstRowLastColumn="0" w:lastRowFirstColumn="0" w:lastRowLastColumn="0"/>
        </w:trPr>
        <w:tc>
          <w:tcPr>
            <w:tcW w:w="1645" w:type="dxa"/>
          </w:tcPr>
          <w:p w14:paraId="552A15D6" w14:textId="36554BEE" w:rsidR="00F55FF9" w:rsidRPr="00C478BC" w:rsidRDefault="00F55FF9" w:rsidP="00C478BC">
            <w:pPr>
              <w:pStyle w:val="TableNText"/>
            </w:pPr>
            <w:r w:rsidRPr="00C478BC">
              <w:t>Advance care planning documents (ACPDs)</w:t>
            </w:r>
            <w:r w:rsidRPr="00C478BC">
              <w:rPr>
                <w:rStyle w:val="FootnoteReference"/>
              </w:rPr>
              <w:footnoteReference w:id="29"/>
            </w:r>
          </w:p>
        </w:tc>
        <w:tc>
          <w:tcPr>
            <w:tcW w:w="7455" w:type="dxa"/>
          </w:tcPr>
          <w:p w14:paraId="4A94A322" w14:textId="42939614" w:rsidR="00F55FF9" w:rsidRPr="00C478BC" w:rsidRDefault="00F55FF9" w:rsidP="00C478BC">
            <w:pPr>
              <w:pStyle w:val="TableNText"/>
            </w:pPr>
            <w:r w:rsidRPr="00C478BC">
              <w:t>A catch all term to include documents that result from advance care planning. This includes Advance Care Directives and Advance Care Plans.</w:t>
            </w:r>
          </w:p>
        </w:tc>
      </w:tr>
      <w:tr w:rsidR="0048102C" w14:paraId="484D7F3E" w14:textId="77777777" w:rsidTr="00703CF4">
        <w:trPr>
          <w:cnfStyle w:val="000000100000" w:firstRow="0" w:lastRow="0" w:firstColumn="0" w:lastColumn="0" w:oddVBand="0" w:evenVBand="0" w:oddHBand="1" w:evenHBand="0" w:firstRowFirstColumn="0" w:firstRowLastColumn="0" w:lastRowFirstColumn="0" w:lastRowLastColumn="0"/>
        </w:trPr>
        <w:tc>
          <w:tcPr>
            <w:tcW w:w="1645" w:type="dxa"/>
          </w:tcPr>
          <w:p w14:paraId="28A4102C" w14:textId="05D1ED7D" w:rsidR="0048102C" w:rsidRPr="00C478BC" w:rsidRDefault="0048102C" w:rsidP="00C478BC">
            <w:pPr>
              <w:pStyle w:val="TableNText"/>
            </w:pPr>
            <w:r>
              <w:t>Aged Care Quality and Safety Commission (ACQSC)</w:t>
            </w:r>
          </w:p>
        </w:tc>
        <w:tc>
          <w:tcPr>
            <w:tcW w:w="7455" w:type="dxa"/>
          </w:tcPr>
          <w:p w14:paraId="390D24E7" w14:textId="4C685905" w:rsidR="0048102C" w:rsidRPr="00C478BC" w:rsidRDefault="009351DA" w:rsidP="006261C3">
            <w:pPr>
              <w:pStyle w:val="TableNText"/>
            </w:pPr>
            <w:r w:rsidRPr="00C478BC">
              <w:t>A</w:t>
            </w:r>
            <w:r w:rsidR="00C064A1">
              <w:t>n independent Statutory Agency</w:t>
            </w:r>
            <w:r w:rsidRPr="00C478BC">
              <w:t>,</w:t>
            </w:r>
            <w:r w:rsidR="006261C3">
              <w:t xml:space="preserve"> with responsibility for regulating aged care services including accreditation, monitoring, </w:t>
            </w:r>
            <w:proofErr w:type="gramStart"/>
            <w:r w:rsidR="006261C3">
              <w:t>education</w:t>
            </w:r>
            <w:proofErr w:type="gramEnd"/>
            <w:r w:rsidR="006261C3">
              <w:t xml:space="preserve"> and support for providers and resolving complaints.</w:t>
            </w:r>
            <w:r w:rsidR="007B5694">
              <w:t xml:space="preserve"> </w:t>
            </w:r>
            <w:r w:rsidR="006261C3">
              <w:t xml:space="preserve">The role of the Aged Care Quality and Safety Commission </w:t>
            </w:r>
            <w:r w:rsidRPr="00C478BC">
              <w:t xml:space="preserve">seeks to protect and enhance the safety, health, </w:t>
            </w:r>
            <w:proofErr w:type="gramStart"/>
            <w:r w:rsidRPr="00C478BC">
              <w:t>wellbeing</w:t>
            </w:r>
            <w:proofErr w:type="gramEnd"/>
            <w:r w:rsidRPr="00C478BC">
              <w:t xml:space="preserve"> and quality of life of people receiving aged care</w:t>
            </w:r>
            <w:r w:rsidR="00DF25ED" w:rsidRPr="00C478BC">
              <w:t>.</w:t>
            </w:r>
          </w:p>
        </w:tc>
      </w:tr>
      <w:tr w:rsidR="0048102C" w14:paraId="6BA2A0DF" w14:textId="77777777" w:rsidTr="00703CF4">
        <w:trPr>
          <w:cnfStyle w:val="000000010000" w:firstRow="0" w:lastRow="0" w:firstColumn="0" w:lastColumn="0" w:oddVBand="0" w:evenVBand="0" w:oddHBand="0" w:evenHBand="1" w:firstRowFirstColumn="0" w:firstRowLastColumn="0" w:lastRowFirstColumn="0" w:lastRowLastColumn="0"/>
        </w:trPr>
        <w:tc>
          <w:tcPr>
            <w:tcW w:w="1645" w:type="dxa"/>
          </w:tcPr>
          <w:p w14:paraId="37C97BBE" w14:textId="17CC6B7C" w:rsidR="0048102C" w:rsidRPr="00C478BC" w:rsidRDefault="0048102C" w:rsidP="00C478BC">
            <w:pPr>
              <w:pStyle w:val="TableNText"/>
            </w:pPr>
            <w:r w:rsidRPr="00C478BC">
              <w:t xml:space="preserve">Australian Commission on Safety and Quality </w:t>
            </w:r>
            <w:r w:rsidRPr="00C478BC">
              <w:lastRenderedPageBreak/>
              <w:t>in Health Care (ACSQHC)</w:t>
            </w:r>
          </w:p>
        </w:tc>
        <w:tc>
          <w:tcPr>
            <w:tcW w:w="7455" w:type="dxa"/>
          </w:tcPr>
          <w:p w14:paraId="479CF653" w14:textId="265E8C6A" w:rsidR="0048102C" w:rsidRPr="00C478BC" w:rsidRDefault="00907454" w:rsidP="00C478BC">
            <w:pPr>
              <w:pStyle w:val="TableNText"/>
            </w:pPr>
            <w:r w:rsidRPr="00C478BC">
              <w:lastRenderedPageBreak/>
              <w:t>A</w:t>
            </w:r>
            <w:r w:rsidR="005B39FA" w:rsidRPr="00C478BC">
              <w:t>n Australian Government</w:t>
            </w:r>
            <w:r w:rsidRPr="00C478BC">
              <w:t xml:space="preserve"> entity that works with patients, consumers, clinicians, managers, policy makers and healthcare organisations to achieve a sustainable, </w:t>
            </w:r>
            <w:proofErr w:type="gramStart"/>
            <w:r w:rsidRPr="00C478BC">
              <w:t>safe</w:t>
            </w:r>
            <w:proofErr w:type="gramEnd"/>
            <w:r w:rsidRPr="00C478BC">
              <w:t xml:space="preserve"> and high-quality health system. </w:t>
            </w:r>
          </w:p>
        </w:tc>
      </w:tr>
      <w:tr w:rsidR="0048102C" w14:paraId="3DFF4AE6" w14:textId="77777777" w:rsidTr="00703CF4">
        <w:trPr>
          <w:cnfStyle w:val="000000100000" w:firstRow="0" w:lastRow="0" w:firstColumn="0" w:lastColumn="0" w:oddVBand="0" w:evenVBand="0" w:oddHBand="1" w:evenHBand="0" w:firstRowFirstColumn="0" w:firstRowLastColumn="0" w:lastRowFirstColumn="0" w:lastRowLastColumn="0"/>
        </w:trPr>
        <w:tc>
          <w:tcPr>
            <w:tcW w:w="1645" w:type="dxa"/>
          </w:tcPr>
          <w:p w14:paraId="1EE15AA2" w14:textId="7C38767C" w:rsidR="0048102C" w:rsidRPr="00C478BC" w:rsidRDefault="0048102C" w:rsidP="00C478BC">
            <w:pPr>
              <w:pStyle w:val="TableNText"/>
            </w:pPr>
            <w:r w:rsidRPr="00C478BC">
              <w:t>Australian Institute of Aboriginal and Torres Strait Islander Studies (AIATSIS)</w:t>
            </w:r>
          </w:p>
        </w:tc>
        <w:tc>
          <w:tcPr>
            <w:tcW w:w="7455" w:type="dxa"/>
          </w:tcPr>
          <w:p w14:paraId="465ECD85" w14:textId="78A98331" w:rsidR="0048102C" w:rsidRPr="00C478BC" w:rsidRDefault="005B39FA" w:rsidP="00C478BC">
            <w:pPr>
              <w:pStyle w:val="TableNText"/>
            </w:pPr>
            <w:r w:rsidRPr="00C478BC">
              <w:t xml:space="preserve">An </w:t>
            </w:r>
            <w:r w:rsidR="00764226" w:rsidRPr="00C478BC">
              <w:t xml:space="preserve">independent Australian Government statutory authority that promotes knowledge and understanding of Aboriginal and Torres Strait Islander cultures, traditions, </w:t>
            </w:r>
            <w:proofErr w:type="gramStart"/>
            <w:r w:rsidR="00764226" w:rsidRPr="00C478BC">
              <w:t>languages</w:t>
            </w:r>
            <w:proofErr w:type="gramEnd"/>
            <w:r w:rsidR="00764226" w:rsidRPr="00C478BC">
              <w:t xml:space="preserve"> and stories, past and present.</w:t>
            </w:r>
          </w:p>
        </w:tc>
      </w:tr>
      <w:tr w:rsidR="0048102C" w14:paraId="6AB842A5" w14:textId="77777777" w:rsidTr="00703CF4">
        <w:trPr>
          <w:cnfStyle w:val="000000010000" w:firstRow="0" w:lastRow="0" w:firstColumn="0" w:lastColumn="0" w:oddVBand="0" w:evenVBand="0" w:oddHBand="0" w:evenHBand="1" w:firstRowFirstColumn="0" w:firstRowLastColumn="0" w:lastRowFirstColumn="0" w:lastRowLastColumn="0"/>
        </w:trPr>
        <w:tc>
          <w:tcPr>
            <w:tcW w:w="1645" w:type="dxa"/>
          </w:tcPr>
          <w:p w14:paraId="366C4BC6" w14:textId="2D760A51" w:rsidR="0048102C" w:rsidRPr="00C478BC" w:rsidRDefault="0048102C" w:rsidP="00C478BC">
            <w:pPr>
              <w:pStyle w:val="TableNText"/>
            </w:pPr>
            <w:r w:rsidRPr="00C478BC">
              <w:t>Aged Care Funding Instrument (ACFI)</w:t>
            </w:r>
          </w:p>
        </w:tc>
        <w:tc>
          <w:tcPr>
            <w:tcW w:w="7455" w:type="dxa"/>
          </w:tcPr>
          <w:p w14:paraId="73A3B734" w14:textId="4EB878B2" w:rsidR="0048102C" w:rsidRPr="00C478BC" w:rsidRDefault="00285C15" w:rsidP="00C478BC">
            <w:pPr>
              <w:pStyle w:val="TableNText"/>
            </w:pPr>
            <w:r>
              <w:t xml:space="preserve">The </w:t>
            </w:r>
            <w:r w:rsidR="00CA2144" w:rsidRPr="00CA2144">
              <w:t>Aged Care Funding Instrument</w:t>
            </w:r>
            <w:r w:rsidR="00065B89" w:rsidRPr="00C478BC">
              <w:t xml:space="preserve"> is managed by the Department of Health. </w:t>
            </w:r>
            <w:r>
              <w:t>The</w:t>
            </w:r>
            <w:r w:rsidR="00065B89" w:rsidRPr="00C478BC">
              <w:t xml:space="preserve"> </w:t>
            </w:r>
            <w:r w:rsidR="00CA2144" w:rsidRPr="00C478BC">
              <w:t>Aged Care Funding Instrument</w:t>
            </w:r>
            <w:r w:rsidR="00065B89" w:rsidRPr="00C478BC">
              <w:t xml:space="preserve"> assesses the degree of care each aged care resident needs and </w:t>
            </w:r>
            <w:r w:rsidR="00E725DB" w:rsidRPr="00C478BC">
              <w:t>allocates</w:t>
            </w:r>
            <w:r w:rsidR="00065B89" w:rsidRPr="00C478BC">
              <w:t xml:space="preserve"> funding accordingly.</w:t>
            </w:r>
          </w:p>
        </w:tc>
      </w:tr>
      <w:tr w:rsidR="0048102C" w14:paraId="25073FBA" w14:textId="77777777" w:rsidTr="00703CF4">
        <w:trPr>
          <w:cnfStyle w:val="000000100000" w:firstRow="0" w:lastRow="0" w:firstColumn="0" w:lastColumn="0" w:oddVBand="0" w:evenVBand="0" w:oddHBand="1" w:evenHBand="0" w:firstRowFirstColumn="0" w:firstRowLastColumn="0" w:lastRowFirstColumn="0" w:lastRowLastColumn="0"/>
        </w:trPr>
        <w:tc>
          <w:tcPr>
            <w:tcW w:w="1645" w:type="dxa"/>
          </w:tcPr>
          <w:p w14:paraId="387BF560" w14:textId="5D1E088D" w:rsidR="0048102C" w:rsidRPr="00C478BC" w:rsidRDefault="0048102C" w:rsidP="00C478BC">
            <w:pPr>
              <w:pStyle w:val="TableNText"/>
            </w:pPr>
            <w:r w:rsidRPr="00C478BC">
              <w:t xml:space="preserve">Australian Healthcare </w:t>
            </w:r>
            <w:r w:rsidR="00C478BC">
              <w:t>and</w:t>
            </w:r>
            <w:r w:rsidRPr="00C478BC">
              <w:t xml:space="preserve"> Hospitals Association (AHHA)</w:t>
            </w:r>
          </w:p>
        </w:tc>
        <w:tc>
          <w:tcPr>
            <w:tcW w:w="7455" w:type="dxa"/>
          </w:tcPr>
          <w:p w14:paraId="06812F7B" w14:textId="014C4F32" w:rsidR="0048102C" w:rsidRPr="00C478BC" w:rsidRDefault="00C161E6" w:rsidP="00C478BC">
            <w:pPr>
              <w:pStyle w:val="TableNText"/>
            </w:pPr>
            <w:r w:rsidRPr="00C478BC">
              <w:t xml:space="preserve">An independent peak membership body and advocate for the Australian healthcare system and a national voice for universally accessible, </w:t>
            </w:r>
            <w:proofErr w:type="gramStart"/>
            <w:r w:rsidRPr="00C478BC">
              <w:t>high quality</w:t>
            </w:r>
            <w:proofErr w:type="gramEnd"/>
            <w:r w:rsidRPr="00C478BC">
              <w:t xml:space="preserve"> healthcare in Australia.</w:t>
            </w:r>
          </w:p>
        </w:tc>
      </w:tr>
      <w:tr w:rsidR="0048102C" w14:paraId="3EDB7B80" w14:textId="77777777" w:rsidTr="00703CF4">
        <w:trPr>
          <w:cnfStyle w:val="000000010000" w:firstRow="0" w:lastRow="0" w:firstColumn="0" w:lastColumn="0" w:oddVBand="0" w:evenVBand="0" w:oddHBand="0" w:evenHBand="1" w:firstRowFirstColumn="0" w:firstRowLastColumn="0" w:lastRowFirstColumn="0" w:lastRowLastColumn="0"/>
        </w:trPr>
        <w:tc>
          <w:tcPr>
            <w:tcW w:w="1645" w:type="dxa"/>
          </w:tcPr>
          <w:p w14:paraId="78116582" w14:textId="7A8676CB" w:rsidR="0048102C" w:rsidRPr="00C478BC" w:rsidRDefault="0048102C" w:rsidP="00C478BC">
            <w:pPr>
              <w:pStyle w:val="TableNText"/>
            </w:pPr>
            <w:r w:rsidRPr="00C478BC">
              <w:t>Australian Institute of Health and Welfare (AIHW)</w:t>
            </w:r>
          </w:p>
        </w:tc>
        <w:tc>
          <w:tcPr>
            <w:tcW w:w="7455" w:type="dxa"/>
          </w:tcPr>
          <w:p w14:paraId="4E70222A" w14:textId="3D7F04BE" w:rsidR="0048102C" w:rsidRPr="00C478BC" w:rsidRDefault="000A181F" w:rsidP="00C478BC">
            <w:pPr>
              <w:pStyle w:val="TableNText"/>
            </w:pPr>
            <w:r w:rsidRPr="00C478BC">
              <w:t>A</w:t>
            </w:r>
            <w:r w:rsidR="00D32345" w:rsidRPr="00C478BC">
              <w:t>n independent statutory agency that provides reliable and relevant</w:t>
            </w:r>
            <w:r w:rsidR="00037D40" w:rsidRPr="00C478BC">
              <w:t xml:space="preserve"> information and statistics on Australia's health and welfare.</w:t>
            </w:r>
          </w:p>
        </w:tc>
      </w:tr>
      <w:tr w:rsidR="00F55FF9" w14:paraId="68684168" w14:textId="77777777" w:rsidTr="00703CF4">
        <w:trPr>
          <w:cnfStyle w:val="000000100000" w:firstRow="0" w:lastRow="0" w:firstColumn="0" w:lastColumn="0" w:oddVBand="0" w:evenVBand="0" w:oddHBand="1" w:evenHBand="0" w:firstRowFirstColumn="0" w:firstRowLastColumn="0" w:lastRowFirstColumn="0" w:lastRowLastColumn="0"/>
        </w:trPr>
        <w:tc>
          <w:tcPr>
            <w:tcW w:w="1645" w:type="dxa"/>
          </w:tcPr>
          <w:p w14:paraId="05366FF5" w14:textId="72443741" w:rsidR="00F55FF9" w:rsidRPr="00C478BC" w:rsidRDefault="00E7575E" w:rsidP="00C478BC">
            <w:pPr>
              <w:pStyle w:val="TableNText"/>
            </w:pPr>
            <w:r w:rsidRPr="00C478BC">
              <w:t>Carer</w:t>
            </w:r>
          </w:p>
        </w:tc>
        <w:tc>
          <w:tcPr>
            <w:tcW w:w="7455" w:type="dxa"/>
          </w:tcPr>
          <w:p w14:paraId="1471AF8C" w14:textId="0141BD54" w:rsidR="00F55FF9" w:rsidRPr="00C478BC" w:rsidRDefault="00E7575E" w:rsidP="00C478BC">
            <w:pPr>
              <w:pStyle w:val="TableNText"/>
            </w:pPr>
            <w:r w:rsidRPr="00C478BC">
              <w:t>A person</w:t>
            </w:r>
            <w:r w:rsidR="00BC5E1D" w:rsidRPr="00C478BC">
              <w:t xml:space="preserve"> who provides personal care to </w:t>
            </w:r>
            <w:r w:rsidR="000668AD" w:rsidRPr="00C478BC">
              <w:t xml:space="preserve">someone with a disability, medical condition, </w:t>
            </w:r>
            <w:r w:rsidR="00604F26" w:rsidRPr="00C478BC">
              <w:t xml:space="preserve">or </w:t>
            </w:r>
            <w:r w:rsidR="000668AD" w:rsidRPr="00C478BC">
              <w:t>mental illness, or are frail and</w:t>
            </w:r>
            <w:r w:rsidR="00126A74" w:rsidRPr="00C478BC">
              <w:t>/or</w:t>
            </w:r>
            <w:r w:rsidR="000668AD" w:rsidRPr="00C478BC">
              <w:t xml:space="preserve"> aged. </w:t>
            </w:r>
            <w:r w:rsidR="00BC5E1D" w:rsidRPr="00C478BC">
              <w:t xml:space="preserve">A carer </w:t>
            </w:r>
            <w:r w:rsidR="00126A74" w:rsidRPr="00C478BC">
              <w:t>typically</w:t>
            </w:r>
            <w:r w:rsidR="00BC5E1D" w:rsidRPr="00C478BC">
              <w:t xml:space="preserve"> volunteer</w:t>
            </w:r>
            <w:r w:rsidR="00126A74" w:rsidRPr="00C478BC">
              <w:t>s to</w:t>
            </w:r>
            <w:r w:rsidR="00BC5E1D" w:rsidRPr="00C478BC">
              <w:t xml:space="preserve"> </w:t>
            </w:r>
            <w:r w:rsidR="001C5F59" w:rsidRPr="00C478BC">
              <w:t>provide</w:t>
            </w:r>
            <w:r w:rsidR="00126A74" w:rsidRPr="00C478BC">
              <w:t xml:space="preserve"> </w:t>
            </w:r>
            <w:r w:rsidR="001C5F59" w:rsidRPr="00C478BC">
              <w:t xml:space="preserve">personal assistance to </w:t>
            </w:r>
            <w:r w:rsidR="000668AD" w:rsidRPr="00C478BC">
              <w:t xml:space="preserve">a person </w:t>
            </w:r>
            <w:r w:rsidR="000100DD" w:rsidRPr="00C478BC">
              <w:t>(</w:t>
            </w:r>
            <w:proofErr w:type="gramStart"/>
            <w:r w:rsidR="000668AD" w:rsidRPr="00C478BC">
              <w:t>e.g.</w:t>
            </w:r>
            <w:proofErr w:type="gramEnd"/>
            <w:r w:rsidR="000668AD" w:rsidRPr="00C478BC">
              <w:t xml:space="preserve"> a resident of a RACF</w:t>
            </w:r>
            <w:r w:rsidR="000100DD" w:rsidRPr="00C478BC">
              <w:t>)</w:t>
            </w:r>
            <w:r w:rsidR="000668AD" w:rsidRPr="00C478BC">
              <w:t>.</w:t>
            </w:r>
          </w:p>
        </w:tc>
      </w:tr>
      <w:tr w:rsidR="00E56F4D" w14:paraId="1FB5CE37" w14:textId="77777777" w:rsidTr="00703CF4">
        <w:trPr>
          <w:cnfStyle w:val="000000010000" w:firstRow="0" w:lastRow="0" w:firstColumn="0" w:lastColumn="0" w:oddVBand="0" w:evenVBand="0" w:oddHBand="0" w:evenHBand="1" w:firstRowFirstColumn="0" w:firstRowLastColumn="0" w:lastRowFirstColumn="0" w:lastRowLastColumn="0"/>
        </w:trPr>
        <w:tc>
          <w:tcPr>
            <w:tcW w:w="1645" w:type="dxa"/>
          </w:tcPr>
          <w:p w14:paraId="2C7C027E" w14:textId="46F39C22" w:rsidR="00E56F4D" w:rsidRPr="00C478BC" w:rsidRDefault="00E56F4D" w:rsidP="00C478BC">
            <w:pPr>
              <w:pStyle w:val="TableNText"/>
            </w:pPr>
            <w:r w:rsidRPr="00C478BC">
              <w:t>Council on the Ageing Australia (COTA)</w:t>
            </w:r>
          </w:p>
        </w:tc>
        <w:tc>
          <w:tcPr>
            <w:tcW w:w="7455" w:type="dxa"/>
          </w:tcPr>
          <w:p w14:paraId="2C785731" w14:textId="396054A3" w:rsidR="00E56F4D" w:rsidRPr="00C478BC" w:rsidRDefault="00285C15" w:rsidP="00C478BC">
            <w:pPr>
              <w:pStyle w:val="TableNText"/>
            </w:pPr>
            <w:r w:rsidRPr="00C478BC">
              <w:t>Council on the Ageing</w:t>
            </w:r>
            <w:r w:rsidR="00EF2F24" w:rsidRPr="00C478BC">
              <w:t xml:space="preserve"> Australia is an advocacy organisation which lobbies for action at a </w:t>
            </w:r>
            <w:proofErr w:type="gramStart"/>
            <w:r w:rsidR="00EF2F24" w:rsidRPr="00C478BC">
              <w:t>national</w:t>
            </w:r>
            <w:r w:rsidR="00BA4F64">
              <w:t>-</w:t>
            </w:r>
            <w:r w:rsidR="00EF2F24" w:rsidRPr="00C478BC">
              <w:t>level</w:t>
            </w:r>
            <w:proofErr w:type="gramEnd"/>
            <w:r w:rsidR="00EF2F24" w:rsidRPr="00C478BC">
              <w:t xml:space="preserve"> on issues affecting seniors.</w:t>
            </w:r>
          </w:p>
        </w:tc>
      </w:tr>
      <w:tr w:rsidR="00F55FF9" w14:paraId="3870027C" w14:textId="77777777" w:rsidTr="00703CF4">
        <w:trPr>
          <w:cnfStyle w:val="000000100000" w:firstRow="0" w:lastRow="0" w:firstColumn="0" w:lastColumn="0" w:oddVBand="0" w:evenVBand="0" w:oddHBand="1" w:evenHBand="0" w:firstRowFirstColumn="0" w:firstRowLastColumn="0" w:lastRowFirstColumn="0" w:lastRowLastColumn="0"/>
        </w:trPr>
        <w:tc>
          <w:tcPr>
            <w:tcW w:w="1645" w:type="dxa"/>
          </w:tcPr>
          <w:p w14:paraId="02A231CA" w14:textId="3E9D6337" w:rsidR="00F55FF9" w:rsidRPr="00C478BC" w:rsidRDefault="000537B7" w:rsidP="00C478BC">
            <w:pPr>
              <w:pStyle w:val="TableNText"/>
            </w:pPr>
            <w:r w:rsidRPr="00C478BC">
              <w:t>Dying</w:t>
            </w:r>
          </w:p>
        </w:tc>
        <w:tc>
          <w:tcPr>
            <w:tcW w:w="7455" w:type="dxa"/>
          </w:tcPr>
          <w:p w14:paraId="235CC14A" w14:textId="43B2FFF0" w:rsidR="00F55FF9" w:rsidRPr="00C478BC" w:rsidRDefault="00126A74" w:rsidP="00C478BC">
            <w:pPr>
              <w:pStyle w:val="TableNText"/>
            </w:pPr>
            <w:r w:rsidRPr="00C478BC">
              <w:t xml:space="preserve">The terminal phase of life, where death is imminent and likely to occur within hours or days, or occasionally weeks. This is sometimes referred to as </w:t>
            </w:r>
            <w:r w:rsidR="00A7794A">
              <w:t>“</w:t>
            </w:r>
            <w:r w:rsidRPr="00C478BC">
              <w:t>actively dying</w:t>
            </w:r>
            <w:r w:rsidR="00A7794A">
              <w:t>”</w:t>
            </w:r>
            <w:r w:rsidRPr="00C478BC">
              <w:t>.</w:t>
            </w:r>
          </w:p>
        </w:tc>
      </w:tr>
      <w:tr w:rsidR="00C307F3" w14:paraId="01026367" w14:textId="77777777" w:rsidTr="00703CF4">
        <w:trPr>
          <w:cnfStyle w:val="000000010000" w:firstRow="0" w:lastRow="0" w:firstColumn="0" w:lastColumn="0" w:oddVBand="0" w:evenVBand="0" w:oddHBand="0" w:evenHBand="1" w:firstRowFirstColumn="0" w:firstRowLastColumn="0" w:lastRowFirstColumn="0" w:lastRowLastColumn="0"/>
        </w:trPr>
        <w:tc>
          <w:tcPr>
            <w:tcW w:w="1645" w:type="dxa"/>
          </w:tcPr>
          <w:p w14:paraId="6F4212CC" w14:textId="247EA648" w:rsidR="00C307F3" w:rsidRPr="00C478BC" w:rsidRDefault="00AE070D" w:rsidP="00C478BC">
            <w:pPr>
              <w:pStyle w:val="TableNText"/>
            </w:pPr>
            <w:r>
              <w:t>End-of-life</w:t>
            </w:r>
            <w:r w:rsidR="00C307F3" w:rsidRPr="00C478BC">
              <w:t xml:space="preserve"> Directions for Aged Care (ELDAC)</w:t>
            </w:r>
          </w:p>
        </w:tc>
        <w:tc>
          <w:tcPr>
            <w:tcW w:w="7455" w:type="dxa"/>
          </w:tcPr>
          <w:p w14:paraId="54D8174A" w14:textId="45118256" w:rsidR="00C307F3" w:rsidRPr="00C478BC" w:rsidRDefault="00C7618F" w:rsidP="00C478BC">
            <w:pPr>
              <w:pStyle w:val="TableNText"/>
            </w:pPr>
            <w:r w:rsidRPr="00C478BC">
              <w:t>A resource hub that provides information, guidance and resources to health professionals and aged care workers to support palliative care and advance care planning to improve the care of older Australians.</w:t>
            </w:r>
          </w:p>
        </w:tc>
      </w:tr>
      <w:tr w:rsidR="000537B7" w14:paraId="19F615D8" w14:textId="77777777" w:rsidTr="00703CF4">
        <w:trPr>
          <w:cnfStyle w:val="000000100000" w:firstRow="0" w:lastRow="0" w:firstColumn="0" w:lastColumn="0" w:oddVBand="0" w:evenVBand="0" w:oddHBand="1" w:evenHBand="0" w:firstRowFirstColumn="0" w:firstRowLastColumn="0" w:lastRowFirstColumn="0" w:lastRowLastColumn="0"/>
        </w:trPr>
        <w:tc>
          <w:tcPr>
            <w:tcW w:w="1645" w:type="dxa"/>
          </w:tcPr>
          <w:p w14:paraId="7908DB92" w14:textId="646F87B9" w:rsidR="000537B7" w:rsidRPr="00C478BC" w:rsidRDefault="000537B7" w:rsidP="00C478BC">
            <w:pPr>
              <w:pStyle w:val="TableNText"/>
            </w:pPr>
            <w:r w:rsidRPr="00C478BC">
              <w:t>End-of-life care</w:t>
            </w:r>
            <w:r w:rsidR="00DE5496" w:rsidRPr="00C478BC">
              <w:rPr>
                <w:rStyle w:val="FootnoteReference"/>
              </w:rPr>
              <w:footnoteReference w:id="30"/>
            </w:r>
          </w:p>
        </w:tc>
        <w:tc>
          <w:tcPr>
            <w:tcW w:w="7455" w:type="dxa"/>
          </w:tcPr>
          <w:p w14:paraId="63DC6AB2" w14:textId="7139D785" w:rsidR="000537B7" w:rsidRPr="00C478BC" w:rsidRDefault="00C55F6F" w:rsidP="00C478BC">
            <w:pPr>
              <w:pStyle w:val="TableNText"/>
            </w:pPr>
            <w:r w:rsidRPr="00C478BC">
              <w:t>End-of-life care is c</w:t>
            </w:r>
            <w:r w:rsidR="00DE5496" w:rsidRPr="00C478BC">
              <w:t xml:space="preserve">are delivered to a patient who is living with a </w:t>
            </w:r>
            <w:r w:rsidRPr="00C478BC">
              <w:t>fatal</w:t>
            </w:r>
            <w:r w:rsidR="00DE5496" w:rsidRPr="00C478BC">
              <w:t xml:space="preserve"> condition, even if the exact trajectory is unknown. Th</w:t>
            </w:r>
            <w:r w:rsidR="000416ED" w:rsidRPr="00C478BC">
              <w:t>e end-of-life</w:t>
            </w:r>
            <w:r w:rsidR="00DE5496" w:rsidRPr="00C478BC">
              <w:t xml:space="preserve"> period may be days, months, or years depending on the diagnosis or disease. </w:t>
            </w:r>
            <w:r w:rsidR="004511C4" w:rsidRPr="00C478BC">
              <w:t xml:space="preserve">The </w:t>
            </w:r>
            <w:r w:rsidR="00285C15" w:rsidRPr="00C478BC">
              <w:t>Aged Care Funding Instrument</w:t>
            </w:r>
            <w:r w:rsidR="004511C4" w:rsidRPr="00C478BC">
              <w:t xml:space="preserve"> definition for end</w:t>
            </w:r>
            <w:r w:rsidR="00E92FD6">
              <w:t>-</w:t>
            </w:r>
            <w:r w:rsidR="004511C4" w:rsidRPr="00C478BC">
              <w:t>of</w:t>
            </w:r>
            <w:r w:rsidR="00E92FD6">
              <w:t>-</w:t>
            </w:r>
            <w:r w:rsidR="004511C4" w:rsidRPr="00C478BC">
              <w:t xml:space="preserve">life is more specific as follows: </w:t>
            </w:r>
            <w:r w:rsidR="00285C15" w:rsidRPr="00C478BC">
              <w:t>Aged Care Funding Instrument</w:t>
            </w:r>
            <w:r w:rsidR="004511C4" w:rsidRPr="00C478BC">
              <w:t xml:space="preserve"> 12 item 14 enables a claim for a palliative care program involving </w:t>
            </w:r>
            <w:r w:rsidR="00AE070D">
              <w:t>end-of-life</w:t>
            </w:r>
            <w:r w:rsidR="004511C4" w:rsidRPr="00C478BC">
              <w:t xml:space="preserve"> care.</w:t>
            </w:r>
          </w:p>
        </w:tc>
      </w:tr>
      <w:tr w:rsidR="00224DE1" w14:paraId="4F57CA23" w14:textId="77777777" w:rsidTr="00703CF4">
        <w:trPr>
          <w:cnfStyle w:val="000000010000" w:firstRow="0" w:lastRow="0" w:firstColumn="0" w:lastColumn="0" w:oddVBand="0" w:evenVBand="0" w:oddHBand="0" w:evenHBand="1" w:firstRowFirstColumn="0" w:firstRowLastColumn="0" w:lastRowFirstColumn="0" w:lastRowLastColumn="0"/>
        </w:trPr>
        <w:tc>
          <w:tcPr>
            <w:tcW w:w="1645" w:type="dxa"/>
          </w:tcPr>
          <w:p w14:paraId="28CF0D96" w14:textId="58AA5E12" w:rsidR="00224DE1" w:rsidRPr="00A771A9" w:rsidRDefault="00224DE1" w:rsidP="00C478BC">
            <w:pPr>
              <w:pStyle w:val="TableNText"/>
            </w:pPr>
            <w:r w:rsidRPr="00A771A9">
              <w:t>Futile or non-beneficial treatment</w:t>
            </w:r>
            <w:r w:rsidR="001C3B64" w:rsidRPr="00A7164E">
              <w:rPr>
                <w:rStyle w:val="FootnoteReference"/>
                <w:sz w:val="16"/>
                <w:szCs w:val="16"/>
              </w:rPr>
              <w:footnoteReference w:id="31"/>
            </w:r>
          </w:p>
        </w:tc>
        <w:tc>
          <w:tcPr>
            <w:tcW w:w="7455" w:type="dxa"/>
          </w:tcPr>
          <w:p w14:paraId="2CD0574C" w14:textId="7FA42EF5" w:rsidR="00224DE1" w:rsidRPr="00A771A9" w:rsidRDefault="00224DE1" w:rsidP="00C478BC">
            <w:pPr>
              <w:pStyle w:val="TableNText"/>
            </w:pPr>
            <w:r w:rsidRPr="00A771A9">
              <w:t>Futile or non-beneficial treatment includes treatment which:</w:t>
            </w:r>
          </w:p>
          <w:p w14:paraId="4FB1C2B8" w14:textId="77777777" w:rsidR="00224DE1" w:rsidRPr="00C478BC" w:rsidRDefault="00224DE1" w:rsidP="00C478BC">
            <w:pPr>
              <w:pStyle w:val="TableNBullet"/>
            </w:pPr>
            <w:r w:rsidRPr="00C478BC">
              <w:t>is of no benefit</w:t>
            </w:r>
          </w:p>
          <w:p w14:paraId="7187EAF3" w14:textId="77777777" w:rsidR="00224DE1" w:rsidRPr="00C478BC" w:rsidRDefault="00224DE1" w:rsidP="00C478BC">
            <w:pPr>
              <w:pStyle w:val="TableNBullet"/>
            </w:pPr>
            <w:r w:rsidRPr="00C478BC">
              <w:t>cannot achieve its purpose, or</w:t>
            </w:r>
          </w:p>
          <w:p w14:paraId="064D71E1" w14:textId="77777777" w:rsidR="00224DE1" w:rsidRPr="00C478BC" w:rsidRDefault="00224DE1" w:rsidP="00C478BC">
            <w:pPr>
              <w:pStyle w:val="TableNBullet"/>
            </w:pPr>
            <w:r w:rsidRPr="00C478BC">
              <w:t>is not in the person’s best interests.</w:t>
            </w:r>
          </w:p>
          <w:p w14:paraId="6416731E" w14:textId="77777777" w:rsidR="00224DE1" w:rsidRPr="00A771A9" w:rsidRDefault="00224DE1" w:rsidP="00C478BC">
            <w:pPr>
              <w:pStyle w:val="TableNText"/>
            </w:pPr>
            <w:r w:rsidRPr="00A771A9">
              <w:lastRenderedPageBreak/>
              <w:t>An example of futile treatment is providing cardiopulmonary resuscitation to someone who will not respond to it.</w:t>
            </w:r>
          </w:p>
          <w:p w14:paraId="2A490BD6" w14:textId="4C4B3072" w:rsidR="00224DE1" w:rsidRPr="00A771A9" w:rsidRDefault="00224DE1" w:rsidP="00C478BC">
            <w:pPr>
              <w:pStyle w:val="TableNText"/>
            </w:pPr>
            <w:r w:rsidRPr="00A771A9">
              <w:t>Futile or non-beneficial treatment is not formally defined in law.</w:t>
            </w:r>
          </w:p>
        </w:tc>
      </w:tr>
      <w:tr w:rsidR="0083464F" w14:paraId="2307AEF7" w14:textId="77777777" w:rsidTr="00703CF4">
        <w:trPr>
          <w:cnfStyle w:val="000000100000" w:firstRow="0" w:lastRow="0" w:firstColumn="0" w:lastColumn="0" w:oddVBand="0" w:evenVBand="0" w:oddHBand="1" w:evenHBand="0" w:firstRowFirstColumn="0" w:firstRowLastColumn="0" w:lastRowFirstColumn="0" w:lastRowLastColumn="0"/>
        </w:trPr>
        <w:tc>
          <w:tcPr>
            <w:tcW w:w="1645" w:type="dxa"/>
          </w:tcPr>
          <w:p w14:paraId="01B65478" w14:textId="450E8F51" w:rsidR="0083464F" w:rsidRPr="00A771A9" w:rsidRDefault="0083464F" w:rsidP="00C478BC">
            <w:pPr>
              <w:pStyle w:val="TableNText"/>
            </w:pPr>
            <w:r w:rsidRPr="00A771A9">
              <w:lastRenderedPageBreak/>
              <w:t xml:space="preserve">General </w:t>
            </w:r>
            <w:r w:rsidR="00CA2144">
              <w:t>P</w:t>
            </w:r>
            <w:r w:rsidRPr="00A771A9">
              <w:t>ractitioner (GP)</w:t>
            </w:r>
          </w:p>
        </w:tc>
        <w:tc>
          <w:tcPr>
            <w:tcW w:w="7455" w:type="dxa"/>
          </w:tcPr>
          <w:p w14:paraId="4AD330E5" w14:textId="567220C9" w:rsidR="0083464F" w:rsidRPr="00A771A9" w:rsidRDefault="00FE7B45" w:rsidP="00C478BC">
            <w:pPr>
              <w:pStyle w:val="TableNText"/>
            </w:pPr>
            <w:r w:rsidRPr="00A771A9">
              <w:t xml:space="preserve">A doctor who is also qualified in general medical practice. </w:t>
            </w:r>
            <w:r w:rsidR="00CA2144" w:rsidRPr="00A771A9">
              <w:t xml:space="preserve">General </w:t>
            </w:r>
            <w:r w:rsidR="00CA2144">
              <w:t>P</w:t>
            </w:r>
            <w:r w:rsidR="00CA2144" w:rsidRPr="00A771A9">
              <w:t>ractitioner</w:t>
            </w:r>
            <w:r w:rsidR="00CA2144">
              <w:t>s</w:t>
            </w:r>
            <w:r w:rsidRPr="00A771A9">
              <w:t xml:space="preserve"> are often the first point of contact for someone, of any age, who feels sick or has a health concern. They treat a wide range of medical conditions and health issues.</w:t>
            </w:r>
          </w:p>
        </w:tc>
      </w:tr>
      <w:tr w:rsidR="0083464F" w14:paraId="46D58996" w14:textId="77777777" w:rsidTr="00703CF4">
        <w:trPr>
          <w:cnfStyle w:val="000000010000" w:firstRow="0" w:lastRow="0" w:firstColumn="0" w:lastColumn="0" w:oddVBand="0" w:evenVBand="0" w:oddHBand="0" w:evenHBand="1" w:firstRowFirstColumn="0" w:firstRowLastColumn="0" w:lastRowFirstColumn="0" w:lastRowLastColumn="0"/>
        </w:trPr>
        <w:tc>
          <w:tcPr>
            <w:tcW w:w="1645" w:type="dxa"/>
          </w:tcPr>
          <w:p w14:paraId="24A2F8D7" w14:textId="0FADE161" w:rsidR="0083464F" w:rsidRPr="00C478BC" w:rsidRDefault="0083464F" w:rsidP="00C478BC">
            <w:pPr>
              <w:pStyle w:val="TableNText"/>
            </w:pPr>
            <w:r w:rsidRPr="00C478BC">
              <w:t xml:space="preserve">Hospital </w:t>
            </w:r>
            <w:r w:rsidR="00E92FD6">
              <w:t>a</w:t>
            </w:r>
            <w:r w:rsidR="0094798D" w:rsidRPr="00C478BC">
              <w:t>nd Health Service</w:t>
            </w:r>
            <w:r w:rsidRPr="00C478BC">
              <w:t xml:space="preserve"> (HHS)</w:t>
            </w:r>
          </w:p>
        </w:tc>
        <w:tc>
          <w:tcPr>
            <w:tcW w:w="7455" w:type="dxa"/>
          </w:tcPr>
          <w:p w14:paraId="1B312141" w14:textId="69821DE5" w:rsidR="0083464F" w:rsidRPr="00C478BC" w:rsidRDefault="00E7121C" w:rsidP="00C478BC">
            <w:pPr>
              <w:pStyle w:val="TableNText"/>
            </w:pPr>
            <w:r w:rsidRPr="00C478BC">
              <w:t>Queensland Health consists of the Department of Health and 16 Health and Hospital Services.</w:t>
            </w:r>
            <w:r w:rsidR="00350614" w:rsidRPr="00C478BC">
              <w:t xml:space="preserve"> The Health and Hospital Services are independent statutory bodies which are responsible for delivering public health services in their areas. </w:t>
            </w:r>
          </w:p>
        </w:tc>
      </w:tr>
      <w:tr w:rsidR="0083464F" w14:paraId="67FAB4AB" w14:textId="77777777" w:rsidTr="00703CF4">
        <w:trPr>
          <w:cnfStyle w:val="000000100000" w:firstRow="0" w:lastRow="0" w:firstColumn="0" w:lastColumn="0" w:oddVBand="0" w:evenVBand="0" w:oddHBand="1" w:evenHBand="0" w:firstRowFirstColumn="0" w:firstRowLastColumn="0" w:lastRowFirstColumn="0" w:lastRowLastColumn="0"/>
        </w:trPr>
        <w:tc>
          <w:tcPr>
            <w:tcW w:w="1645" w:type="dxa"/>
          </w:tcPr>
          <w:p w14:paraId="20259513" w14:textId="4C130D76" w:rsidR="0083464F" w:rsidRPr="00C478BC" w:rsidRDefault="002422FA" w:rsidP="00C478BC">
            <w:pPr>
              <w:pStyle w:val="TableNText"/>
            </w:pPr>
            <w:r w:rsidRPr="00C478BC">
              <w:t>Leading Age Services Australia (LASA)</w:t>
            </w:r>
          </w:p>
        </w:tc>
        <w:tc>
          <w:tcPr>
            <w:tcW w:w="7455" w:type="dxa"/>
          </w:tcPr>
          <w:p w14:paraId="5CD4BA44" w14:textId="3CA1A3DD" w:rsidR="0083464F" w:rsidRPr="00C478BC" w:rsidRDefault="006E06ED" w:rsidP="00C478BC">
            <w:pPr>
              <w:pStyle w:val="TableNText"/>
            </w:pPr>
            <w:r w:rsidRPr="00C478BC">
              <w:t>A national peak body representing all providers of age services across residential care, home care and retirement living.</w:t>
            </w:r>
          </w:p>
        </w:tc>
      </w:tr>
      <w:tr w:rsidR="0083464F" w14:paraId="58ECC39B" w14:textId="77777777" w:rsidTr="00703CF4">
        <w:trPr>
          <w:cnfStyle w:val="000000010000" w:firstRow="0" w:lastRow="0" w:firstColumn="0" w:lastColumn="0" w:oddVBand="0" w:evenVBand="0" w:oddHBand="0" w:evenHBand="1" w:firstRowFirstColumn="0" w:firstRowLastColumn="0" w:lastRowFirstColumn="0" w:lastRowLastColumn="0"/>
        </w:trPr>
        <w:tc>
          <w:tcPr>
            <w:tcW w:w="1645" w:type="dxa"/>
          </w:tcPr>
          <w:p w14:paraId="17F1E887" w14:textId="61E7D1E4" w:rsidR="0083464F" w:rsidRPr="00C478BC" w:rsidRDefault="002422FA" w:rsidP="00C478BC">
            <w:pPr>
              <w:pStyle w:val="TableNText"/>
            </w:pPr>
            <w:r w:rsidRPr="00C478BC">
              <w:t xml:space="preserve">Local </w:t>
            </w:r>
            <w:r w:rsidR="0094798D" w:rsidRPr="00C478BC">
              <w:t>Health District</w:t>
            </w:r>
            <w:r w:rsidRPr="00C478BC">
              <w:t xml:space="preserve"> (LHD)</w:t>
            </w:r>
          </w:p>
        </w:tc>
        <w:tc>
          <w:tcPr>
            <w:tcW w:w="7455" w:type="dxa"/>
          </w:tcPr>
          <w:p w14:paraId="367245CE" w14:textId="23EEA6DA" w:rsidR="0083464F" w:rsidRPr="00C478BC" w:rsidRDefault="00461424" w:rsidP="00C478BC">
            <w:pPr>
              <w:pStyle w:val="TableNText"/>
            </w:pPr>
            <w:r w:rsidRPr="00C478BC">
              <w:t xml:space="preserve">NSW Health consists of the Department of Health and </w:t>
            </w:r>
            <w:r w:rsidR="00381BD5" w:rsidRPr="00C478BC">
              <w:t>1</w:t>
            </w:r>
            <w:r w:rsidR="00534FC0" w:rsidRPr="00C478BC">
              <w:t xml:space="preserve">8 </w:t>
            </w:r>
            <w:r w:rsidR="0094798D" w:rsidRPr="00C478BC">
              <w:t>Local Health District</w:t>
            </w:r>
            <w:r w:rsidR="0094798D">
              <w:t>s</w:t>
            </w:r>
            <w:r w:rsidRPr="00C478BC">
              <w:t xml:space="preserve">. The </w:t>
            </w:r>
            <w:r w:rsidR="0094798D" w:rsidRPr="00C478BC">
              <w:t>Local Health District</w:t>
            </w:r>
            <w:r w:rsidR="0094798D">
              <w:t>s</w:t>
            </w:r>
            <w:r w:rsidRPr="00C478BC">
              <w:t xml:space="preserve"> are independent statutory bodies which are responsible for delivering public health services in their areas.</w:t>
            </w:r>
          </w:p>
        </w:tc>
      </w:tr>
      <w:tr w:rsidR="006B4FDA" w14:paraId="3657F228" w14:textId="77777777" w:rsidTr="00703CF4">
        <w:trPr>
          <w:cnfStyle w:val="000000100000" w:firstRow="0" w:lastRow="0" w:firstColumn="0" w:lastColumn="0" w:oddVBand="0" w:evenVBand="0" w:oddHBand="1" w:evenHBand="0" w:firstRowFirstColumn="0" w:firstRowLastColumn="0" w:lastRowFirstColumn="0" w:lastRowLastColumn="0"/>
        </w:trPr>
        <w:tc>
          <w:tcPr>
            <w:tcW w:w="1645" w:type="dxa"/>
          </w:tcPr>
          <w:p w14:paraId="5081F434" w14:textId="389FA51A" w:rsidR="006B4FDA" w:rsidRPr="00C478BC" w:rsidRDefault="006B4FDA" w:rsidP="00C478BC">
            <w:pPr>
              <w:pStyle w:val="TableNText"/>
            </w:pPr>
            <w:r w:rsidRPr="00C478BC">
              <w:t xml:space="preserve">Jurisdictional evaluation and monitoring </w:t>
            </w:r>
          </w:p>
        </w:tc>
        <w:tc>
          <w:tcPr>
            <w:tcW w:w="7455" w:type="dxa"/>
          </w:tcPr>
          <w:p w14:paraId="24825086" w14:textId="158FA1B6" w:rsidR="006B4FDA" w:rsidRPr="00C478BC" w:rsidRDefault="007F2F8F" w:rsidP="00C478BC">
            <w:pPr>
              <w:pStyle w:val="TableNText"/>
            </w:pPr>
            <w:r w:rsidRPr="00C478BC">
              <w:t xml:space="preserve">Jurisdictions are </w:t>
            </w:r>
            <w:r w:rsidR="00740C3E" w:rsidRPr="00C478BC">
              <w:t xml:space="preserve">implementing </w:t>
            </w:r>
            <w:r w:rsidR="009B752D" w:rsidRPr="00C478BC">
              <w:t>activities unique to their own</w:t>
            </w:r>
            <w:r w:rsidR="00830B31" w:rsidRPr="00C478BC">
              <w:t xml:space="preserve"> state or territory. As a result, some jurisdictions are evaluating and/or monitoring said activities</w:t>
            </w:r>
            <w:r w:rsidR="00B22973" w:rsidRPr="00C478BC">
              <w:t>. It is out</w:t>
            </w:r>
            <w:r w:rsidR="00825A19" w:rsidRPr="00C478BC">
              <w:t>-</w:t>
            </w:r>
            <w:r w:rsidR="00B22973" w:rsidRPr="00C478BC">
              <w:t>of</w:t>
            </w:r>
            <w:r w:rsidR="00825A19" w:rsidRPr="00C478BC">
              <w:t>-</w:t>
            </w:r>
            <w:r w:rsidR="00B22973" w:rsidRPr="00C478BC">
              <w:t>scope for the national evaluation to be conducting jurisdictional-level evaluations.</w:t>
            </w:r>
            <w:r w:rsidR="00830B31" w:rsidRPr="00C478BC">
              <w:t xml:space="preserve"> </w:t>
            </w:r>
          </w:p>
        </w:tc>
      </w:tr>
      <w:tr w:rsidR="006B4FDA" w14:paraId="0E193ED0" w14:textId="77777777" w:rsidTr="00703CF4">
        <w:trPr>
          <w:cnfStyle w:val="000000010000" w:firstRow="0" w:lastRow="0" w:firstColumn="0" w:lastColumn="0" w:oddVBand="0" w:evenVBand="0" w:oddHBand="0" w:evenHBand="1" w:firstRowFirstColumn="0" w:firstRowLastColumn="0" w:lastRowFirstColumn="0" w:lastRowLastColumn="0"/>
        </w:trPr>
        <w:tc>
          <w:tcPr>
            <w:tcW w:w="1645" w:type="dxa"/>
          </w:tcPr>
          <w:p w14:paraId="50A8F08A" w14:textId="4113EED0" w:rsidR="006B4FDA" w:rsidRPr="00C478BC" w:rsidRDefault="0094798D" w:rsidP="00C478BC">
            <w:pPr>
              <w:pStyle w:val="TableNText"/>
            </w:pPr>
            <w:r>
              <w:t xml:space="preserve">The </w:t>
            </w:r>
            <w:r w:rsidR="006B4FDA" w:rsidRPr="00C478BC">
              <w:t>Measure</w:t>
            </w:r>
          </w:p>
        </w:tc>
        <w:tc>
          <w:tcPr>
            <w:tcW w:w="7455" w:type="dxa"/>
          </w:tcPr>
          <w:p w14:paraId="7C20B6FF" w14:textId="34BD7722" w:rsidR="006B4FDA" w:rsidRPr="00C478BC" w:rsidRDefault="006B4FDA" w:rsidP="00C478BC">
            <w:pPr>
              <w:pStyle w:val="TableNText"/>
            </w:pPr>
            <w:r w:rsidRPr="00C478BC">
              <w:t>Comprehensive Palliative Care in Aged Care Measure</w:t>
            </w:r>
            <w:r w:rsidR="0094798D">
              <w:t>.</w:t>
            </w:r>
          </w:p>
        </w:tc>
      </w:tr>
      <w:tr w:rsidR="00042DF9" w14:paraId="66C46B30" w14:textId="77777777" w:rsidTr="00703CF4">
        <w:trPr>
          <w:cnfStyle w:val="000000100000" w:firstRow="0" w:lastRow="0" w:firstColumn="0" w:lastColumn="0" w:oddVBand="0" w:evenVBand="0" w:oddHBand="1" w:evenHBand="0" w:firstRowFirstColumn="0" w:firstRowLastColumn="0" w:lastRowFirstColumn="0" w:lastRowLastColumn="0"/>
        </w:trPr>
        <w:tc>
          <w:tcPr>
            <w:tcW w:w="1645" w:type="dxa"/>
          </w:tcPr>
          <w:p w14:paraId="257F4335" w14:textId="71ED8DE3" w:rsidR="00042DF9" w:rsidRPr="00C478BC" w:rsidRDefault="00042DF9" w:rsidP="00C478BC">
            <w:pPr>
              <w:pStyle w:val="TableNText"/>
            </w:pPr>
            <w:r w:rsidRPr="00C478BC">
              <w:t>M</w:t>
            </w:r>
            <w:r w:rsidR="00467C97" w:rsidRPr="00C478BC">
              <w:t>edicare Benefits Schedule (MBS)</w:t>
            </w:r>
          </w:p>
        </w:tc>
        <w:tc>
          <w:tcPr>
            <w:tcW w:w="7455" w:type="dxa"/>
          </w:tcPr>
          <w:p w14:paraId="1E420B9E" w14:textId="2BB4EC01" w:rsidR="00042DF9" w:rsidRPr="00C478BC" w:rsidRDefault="00765359" w:rsidP="00C478BC">
            <w:pPr>
              <w:pStyle w:val="TableNText"/>
            </w:pPr>
            <w:r w:rsidRPr="00C478BC">
              <w:t>A listing of the Medicare services subsidised by the Australian Government.</w:t>
            </w:r>
          </w:p>
        </w:tc>
      </w:tr>
      <w:tr w:rsidR="006B4FDA" w14:paraId="25824A69" w14:textId="77777777" w:rsidTr="00703CF4">
        <w:trPr>
          <w:cnfStyle w:val="000000010000" w:firstRow="0" w:lastRow="0" w:firstColumn="0" w:lastColumn="0" w:oddVBand="0" w:evenVBand="0" w:oddHBand="0" w:evenHBand="1" w:firstRowFirstColumn="0" w:firstRowLastColumn="0" w:lastRowFirstColumn="0" w:lastRowLastColumn="0"/>
        </w:trPr>
        <w:tc>
          <w:tcPr>
            <w:tcW w:w="1645" w:type="dxa"/>
          </w:tcPr>
          <w:p w14:paraId="325EE6CD" w14:textId="189D3976" w:rsidR="006B4FDA" w:rsidRPr="00C478BC" w:rsidRDefault="006B4FDA" w:rsidP="00C478BC">
            <w:pPr>
              <w:pStyle w:val="TableNText"/>
            </w:pPr>
            <w:r w:rsidRPr="00C478BC">
              <w:t>National evaluation</w:t>
            </w:r>
          </w:p>
        </w:tc>
        <w:tc>
          <w:tcPr>
            <w:tcW w:w="7455" w:type="dxa"/>
          </w:tcPr>
          <w:p w14:paraId="7DC91046" w14:textId="55837276" w:rsidR="006B4FDA" w:rsidRPr="00C478BC" w:rsidRDefault="00882AE4" w:rsidP="00C478BC">
            <w:pPr>
              <w:pStyle w:val="TableNText"/>
            </w:pPr>
            <w:r w:rsidRPr="00C478BC">
              <w:t xml:space="preserve">An independent evaluation to determine to what extent the aims and objectives of the Measure have been achieved. Findings will inform national policy </w:t>
            </w:r>
            <w:r w:rsidR="00DA65F1" w:rsidRPr="00C478BC">
              <w:t>decisions</w:t>
            </w:r>
            <w:r w:rsidRPr="00C478BC">
              <w:t xml:space="preserve"> about palliative care delivery in aged care. The outcomes </w:t>
            </w:r>
            <w:r w:rsidR="00DA65F1" w:rsidRPr="00C478BC">
              <w:t>of the evaluation will contribute to the national evidence base and inform implementation and models of care in future years.</w:t>
            </w:r>
          </w:p>
        </w:tc>
      </w:tr>
      <w:tr w:rsidR="009B328A" w14:paraId="6B036782" w14:textId="77777777" w:rsidTr="00703CF4">
        <w:trPr>
          <w:cnfStyle w:val="000000100000" w:firstRow="0" w:lastRow="0" w:firstColumn="0" w:lastColumn="0" w:oddVBand="0" w:evenVBand="0" w:oddHBand="1" w:evenHBand="0" w:firstRowFirstColumn="0" w:firstRowLastColumn="0" w:lastRowFirstColumn="0" w:lastRowLastColumn="0"/>
        </w:trPr>
        <w:tc>
          <w:tcPr>
            <w:tcW w:w="1645" w:type="dxa"/>
          </w:tcPr>
          <w:p w14:paraId="6033CBD8" w14:textId="740E3791" w:rsidR="009B328A" w:rsidRPr="00C478BC" w:rsidRDefault="008E7E19" w:rsidP="00C478BC">
            <w:pPr>
              <w:pStyle w:val="TableNText"/>
              <w:rPr>
                <w:highlight w:val="yellow"/>
              </w:rPr>
            </w:pPr>
            <w:r w:rsidRPr="00C478BC">
              <w:t>National Health and Medical Research Council (NHMRC)</w:t>
            </w:r>
          </w:p>
        </w:tc>
        <w:tc>
          <w:tcPr>
            <w:tcW w:w="7455" w:type="dxa"/>
          </w:tcPr>
          <w:p w14:paraId="3E1FF4E9" w14:textId="4A1F0503" w:rsidR="009B328A" w:rsidRPr="00C478BC" w:rsidRDefault="000E1452" w:rsidP="00C478BC">
            <w:pPr>
              <w:pStyle w:val="TableNText"/>
            </w:pPr>
            <w:r w:rsidRPr="00C478BC">
              <w:t>A statutory authority and the primary agency of the Australian Government responsible for medical and public health research.</w:t>
            </w:r>
          </w:p>
        </w:tc>
      </w:tr>
      <w:tr w:rsidR="009B328A" w14:paraId="34E8141D" w14:textId="77777777" w:rsidTr="00703CF4">
        <w:trPr>
          <w:cnfStyle w:val="000000010000" w:firstRow="0" w:lastRow="0" w:firstColumn="0" w:lastColumn="0" w:oddVBand="0" w:evenVBand="0" w:oddHBand="0" w:evenHBand="1" w:firstRowFirstColumn="0" w:firstRowLastColumn="0" w:lastRowFirstColumn="0" w:lastRowLastColumn="0"/>
        </w:trPr>
        <w:tc>
          <w:tcPr>
            <w:tcW w:w="1645" w:type="dxa"/>
          </w:tcPr>
          <w:p w14:paraId="5A35F355" w14:textId="76599B98" w:rsidR="009B328A" w:rsidRPr="00C478BC" w:rsidRDefault="008E7E19" w:rsidP="00C478BC">
            <w:pPr>
              <w:pStyle w:val="TableNText"/>
              <w:rPr>
                <w:highlight w:val="yellow"/>
              </w:rPr>
            </w:pPr>
            <w:r w:rsidRPr="00C478BC">
              <w:t>National Integrated Health Services Information Analysis Asset (NIHSI-AA)</w:t>
            </w:r>
          </w:p>
        </w:tc>
        <w:tc>
          <w:tcPr>
            <w:tcW w:w="7455" w:type="dxa"/>
          </w:tcPr>
          <w:p w14:paraId="62C4D9E5" w14:textId="6399A9A8" w:rsidR="009B328A" w:rsidRPr="00C478BC" w:rsidRDefault="00375BCD" w:rsidP="00C478BC">
            <w:pPr>
              <w:pStyle w:val="TableNText"/>
            </w:pPr>
            <w:r w:rsidRPr="00C478BC">
              <w:t xml:space="preserve">A dataset owned by the </w:t>
            </w:r>
            <w:r w:rsidR="0069121B" w:rsidRPr="00C478BC">
              <w:t>Australian Institute of Health and Welfare</w:t>
            </w:r>
            <w:r w:rsidRPr="00C478BC">
              <w:t xml:space="preserve"> as well as the Department of Health, and state and territory health authorities. It </w:t>
            </w:r>
            <w:r w:rsidR="001D3E21" w:rsidRPr="00C478BC">
              <w:t>c</w:t>
            </w:r>
            <w:r w:rsidRPr="00C478BC">
              <w:t>ontain</w:t>
            </w:r>
            <w:r w:rsidR="001D3E21" w:rsidRPr="00C478BC">
              <w:t>s</w:t>
            </w:r>
            <w:r w:rsidRPr="00C478BC">
              <w:t xml:space="preserve"> anonymised data from participating states and territories from 2010-2011 onwards.</w:t>
            </w:r>
          </w:p>
        </w:tc>
      </w:tr>
      <w:tr w:rsidR="008E7E19" w14:paraId="1470F422" w14:textId="77777777" w:rsidTr="00703CF4">
        <w:trPr>
          <w:cnfStyle w:val="000000100000" w:firstRow="0" w:lastRow="0" w:firstColumn="0" w:lastColumn="0" w:oddVBand="0" w:evenVBand="0" w:oddHBand="1" w:evenHBand="0" w:firstRowFirstColumn="0" w:firstRowLastColumn="0" w:lastRowFirstColumn="0" w:lastRowLastColumn="0"/>
        </w:trPr>
        <w:tc>
          <w:tcPr>
            <w:tcW w:w="1645" w:type="dxa"/>
          </w:tcPr>
          <w:p w14:paraId="51EF314E" w14:textId="1B52C1C8" w:rsidR="008E7E19" w:rsidRPr="00C478BC" w:rsidRDefault="003374BE" w:rsidP="00C478BC">
            <w:pPr>
              <w:pStyle w:val="TableNText"/>
              <w:rPr>
                <w:highlight w:val="yellow"/>
              </w:rPr>
            </w:pPr>
            <w:r w:rsidRPr="00C478BC">
              <w:t>Not</w:t>
            </w:r>
            <w:r w:rsidR="0069121B">
              <w:t>-</w:t>
            </w:r>
            <w:r w:rsidRPr="00C478BC">
              <w:t>for</w:t>
            </w:r>
            <w:r w:rsidR="0069121B">
              <w:t>-</w:t>
            </w:r>
            <w:r w:rsidRPr="00C478BC">
              <w:t>profit</w:t>
            </w:r>
          </w:p>
        </w:tc>
        <w:tc>
          <w:tcPr>
            <w:tcW w:w="7455" w:type="dxa"/>
          </w:tcPr>
          <w:p w14:paraId="60436470" w14:textId="264EA9B2" w:rsidR="008E7E19" w:rsidRPr="00C478BC" w:rsidRDefault="001D3E21" w:rsidP="00C478BC">
            <w:pPr>
              <w:pStyle w:val="TableNText"/>
            </w:pPr>
            <w:r w:rsidRPr="00C478BC">
              <w:t>Organisations that do not operate for the profit or gain of their members, including charities and religious organisations.</w:t>
            </w:r>
          </w:p>
        </w:tc>
      </w:tr>
      <w:tr w:rsidR="004D2074" w14:paraId="04862782" w14:textId="77777777" w:rsidTr="00703CF4">
        <w:trPr>
          <w:cnfStyle w:val="000000010000" w:firstRow="0" w:lastRow="0" w:firstColumn="0" w:lastColumn="0" w:oddVBand="0" w:evenVBand="0" w:oddHBand="0" w:evenHBand="1" w:firstRowFirstColumn="0" w:firstRowLastColumn="0" w:lastRowFirstColumn="0" w:lastRowLastColumn="0"/>
        </w:trPr>
        <w:tc>
          <w:tcPr>
            <w:tcW w:w="1645" w:type="dxa"/>
          </w:tcPr>
          <w:p w14:paraId="6DA1199C" w14:textId="564A362C" w:rsidR="004D2074" w:rsidRPr="00C478BC" w:rsidRDefault="004D2074" w:rsidP="00C478BC">
            <w:pPr>
              <w:pStyle w:val="TableNText"/>
            </w:pPr>
            <w:r>
              <w:t>Other clinicians</w:t>
            </w:r>
          </w:p>
        </w:tc>
        <w:tc>
          <w:tcPr>
            <w:tcW w:w="7455" w:type="dxa"/>
          </w:tcPr>
          <w:p w14:paraId="5860616B" w14:textId="646F683E" w:rsidR="004D2074" w:rsidRPr="00C478BC" w:rsidRDefault="004D2074" w:rsidP="00C478BC">
            <w:pPr>
              <w:pStyle w:val="TableNText"/>
            </w:pPr>
            <w:r w:rsidRPr="004D2074">
              <w:t>Other clinicians refer to professionals from allied health disciplines, including but not limited to occupational therapy, psychology, speech pathology and social work. These clinicians may be part of a multi-disciplinary team at the RACF.</w:t>
            </w:r>
          </w:p>
        </w:tc>
      </w:tr>
      <w:tr w:rsidR="006B4FDA" w14:paraId="0CCB2A15" w14:textId="77777777" w:rsidTr="00703CF4">
        <w:trPr>
          <w:cnfStyle w:val="000000100000" w:firstRow="0" w:lastRow="0" w:firstColumn="0" w:lastColumn="0" w:oddVBand="0" w:evenVBand="0" w:oddHBand="1" w:evenHBand="0" w:firstRowFirstColumn="0" w:firstRowLastColumn="0" w:lastRowFirstColumn="0" w:lastRowLastColumn="0"/>
        </w:trPr>
        <w:tc>
          <w:tcPr>
            <w:tcW w:w="1645" w:type="dxa"/>
          </w:tcPr>
          <w:p w14:paraId="798B73DF" w14:textId="581C3469" w:rsidR="006B4FDA" w:rsidRPr="00C478BC" w:rsidRDefault="006B4FDA" w:rsidP="00C478BC">
            <w:pPr>
              <w:pStyle w:val="TableNText"/>
            </w:pPr>
            <w:r w:rsidRPr="00C478BC">
              <w:lastRenderedPageBreak/>
              <w:t>Palliative care</w:t>
            </w:r>
            <w:r w:rsidR="00DE5496" w:rsidRPr="00C478BC">
              <w:rPr>
                <w:rStyle w:val="FootnoteReference"/>
              </w:rPr>
              <w:footnoteReference w:id="32"/>
            </w:r>
          </w:p>
        </w:tc>
        <w:tc>
          <w:tcPr>
            <w:tcW w:w="7455" w:type="dxa"/>
          </w:tcPr>
          <w:p w14:paraId="75E928B2" w14:textId="4EDBDFAD" w:rsidR="006B4FDA" w:rsidRPr="00C478BC" w:rsidRDefault="007C2959" w:rsidP="00C478BC">
            <w:pPr>
              <w:pStyle w:val="TableNText"/>
            </w:pPr>
            <w:r w:rsidRPr="00C478BC">
              <w:t>A</w:t>
            </w:r>
            <w:r w:rsidR="000E670A" w:rsidRPr="00C478BC">
              <w:t xml:space="preserve">n approach that seeks to improve the quality of life of patients and their families facing a life-limiting illness. Palliative care </w:t>
            </w:r>
            <w:r w:rsidRPr="00C478BC">
              <w:t>aims to reduce pain and suffering at the end-of-life, such as through early identification and assessment of symptoms. Palliative care</w:t>
            </w:r>
            <w:r w:rsidR="006B4FDA" w:rsidRPr="00C478BC">
              <w:t xml:space="preserve"> </w:t>
            </w:r>
            <w:r w:rsidR="00A965DD" w:rsidRPr="00C478BC">
              <w:t>should be holistic, attending to the patients’</w:t>
            </w:r>
            <w:r w:rsidR="006B4FDA" w:rsidRPr="00C478BC">
              <w:t xml:space="preserve"> physical, </w:t>
            </w:r>
            <w:proofErr w:type="gramStart"/>
            <w:r w:rsidR="006B4FDA" w:rsidRPr="00C478BC">
              <w:t>psychosocial</w:t>
            </w:r>
            <w:proofErr w:type="gramEnd"/>
            <w:r w:rsidR="006B4FDA" w:rsidRPr="00C478BC">
              <w:t xml:space="preserve"> and spiritual</w:t>
            </w:r>
            <w:r w:rsidR="00A965DD" w:rsidRPr="00C478BC">
              <w:t xml:space="preserve"> needs</w:t>
            </w:r>
            <w:r w:rsidR="006B4FDA" w:rsidRPr="00C478BC">
              <w:t xml:space="preserve">. </w:t>
            </w:r>
          </w:p>
        </w:tc>
      </w:tr>
      <w:tr w:rsidR="00942C95" w14:paraId="59032DA4" w14:textId="77777777" w:rsidTr="00703CF4">
        <w:trPr>
          <w:cnfStyle w:val="000000010000" w:firstRow="0" w:lastRow="0" w:firstColumn="0" w:lastColumn="0" w:oddVBand="0" w:evenVBand="0" w:oddHBand="0" w:evenHBand="1" w:firstRowFirstColumn="0" w:firstRowLastColumn="0" w:lastRowFirstColumn="0" w:lastRowLastColumn="0"/>
        </w:trPr>
        <w:tc>
          <w:tcPr>
            <w:tcW w:w="1645" w:type="dxa"/>
          </w:tcPr>
          <w:p w14:paraId="5ADE6B74" w14:textId="57428D0A" w:rsidR="00942C95" w:rsidRPr="00C478BC" w:rsidRDefault="00942C95" w:rsidP="00C478BC">
            <w:pPr>
              <w:pStyle w:val="TableNText"/>
            </w:pPr>
            <w:r w:rsidRPr="00C478BC">
              <w:t>Pharmaceutical Benefits Schedule</w:t>
            </w:r>
            <w:r w:rsidR="00581CE1" w:rsidRPr="00C478BC">
              <w:t xml:space="preserve"> (PBS)</w:t>
            </w:r>
          </w:p>
        </w:tc>
        <w:tc>
          <w:tcPr>
            <w:tcW w:w="7455" w:type="dxa"/>
          </w:tcPr>
          <w:p w14:paraId="21CD38A7" w14:textId="0F9C3A1B" w:rsidR="00942C95" w:rsidRPr="00C478BC" w:rsidRDefault="00F11E4E" w:rsidP="00C478BC">
            <w:pPr>
              <w:pStyle w:val="TableNText"/>
            </w:pPr>
            <w:r w:rsidRPr="00C478BC">
              <w:t xml:space="preserve">A list of the medicines available to be dispensed to patients at a </w:t>
            </w:r>
            <w:r w:rsidR="00C478BC">
              <w:t>g</w:t>
            </w:r>
            <w:r w:rsidRPr="00C478BC">
              <w:t>overnment-subsidised price</w:t>
            </w:r>
            <w:r w:rsidR="00CB5136" w:rsidRPr="00C478BC">
              <w:t>.</w:t>
            </w:r>
          </w:p>
        </w:tc>
      </w:tr>
      <w:tr w:rsidR="00942C95" w14:paraId="301B3E0C" w14:textId="77777777" w:rsidTr="00703CF4">
        <w:trPr>
          <w:cnfStyle w:val="000000100000" w:firstRow="0" w:lastRow="0" w:firstColumn="0" w:lastColumn="0" w:oddVBand="0" w:evenVBand="0" w:oddHBand="1" w:evenHBand="0" w:firstRowFirstColumn="0" w:firstRowLastColumn="0" w:lastRowFirstColumn="0" w:lastRowLastColumn="0"/>
        </w:trPr>
        <w:tc>
          <w:tcPr>
            <w:tcW w:w="1645" w:type="dxa"/>
          </w:tcPr>
          <w:p w14:paraId="08E11867" w14:textId="50C252FA" w:rsidR="00942C95" w:rsidRPr="00C478BC" w:rsidRDefault="00581CE1" w:rsidP="00C478BC">
            <w:pPr>
              <w:pStyle w:val="TableNText"/>
            </w:pPr>
            <w:r w:rsidRPr="00C478BC">
              <w:t>Palliative Care Australia (PCA)</w:t>
            </w:r>
          </w:p>
        </w:tc>
        <w:tc>
          <w:tcPr>
            <w:tcW w:w="7455" w:type="dxa"/>
          </w:tcPr>
          <w:p w14:paraId="3E71D593" w14:textId="0E247A8B" w:rsidR="00942C95" w:rsidRPr="00C478BC" w:rsidRDefault="00CB5136" w:rsidP="00C478BC">
            <w:pPr>
              <w:pStyle w:val="TableNText"/>
            </w:pPr>
            <w:r w:rsidRPr="00C478BC">
              <w:t>The national peak body for palliative care in Australia.</w:t>
            </w:r>
          </w:p>
        </w:tc>
      </w:tr>
      <w:tr w:rsidR="00581CE1" w14:paraId="6F4AE11E" w14:textId="77777777" w:rsidTr="00703CF4">
        <w:trPr>
          <w:cnfStyle w:val="000000010000" w:firstRow="0" w:lastRow="0" w:firstColumn="0" w:lastColumn="0" w:oddVBand="0" w:evenVBand="0" w:oddHBand="0" w:evenHBand="1" w:firstRowFirstColumn="0" w:firstRowLastColumn="0" w:lastRowFirstColumn="0" w:lastRowLastColumn="0"/>
        </w:trPr>
        <w:tc>
          <w:tcPr>
            <w:tcW w:w="1645" w:type="dxa"/>
          </w:tcPr>
          <w:p w14:paraId="6A99C1C3" w14:textId="483FE8C1" w:rsidR="00581CE1" w:rsidRPr="00C478BC" w:rsidRDefault="00581CE1" w:rsidP="00C478BC">
            <w:pPr>
              <w:pStyle w:val="TableNText"/>
            </w:pPr>
            <w:r w:rsidRPr="00C478BC">
              <w:t>Palliative Care Outcomes Collaboration (PCOC)</w:t>
            </w:r>
          </w:p>
        </w:tc>
        <w:tc>
          <w:tcPr>
            <w:tcW w:w="7455" w:type="dxa"/>
          </w:tcPr>
          <w:p w14:paraId="27AB3CDE" w14:textId="46D05C68" w:rsidR="00581CE1" w:rsidRPr="00C478BC" w:rsidRDefault="0069121B" w:rsidP="00C478BC">
            <w:pPr>
              <w:pStyle w:val="TableNText"/>
            </w:pPr>
            <w:r>
              <w:t>T</w:t>
            </w:r>
            <w:r w:rsidR="00F21214" w:rsidRPr="00C478BC">
              <w:t xml:space="preserve">he national evidence hub on patients' daily pain and symptom outcomes in Australia. The purpose of </w:t>
            </w:r>
            <w:r>
              <w:t xml:space="preserve">the </w:t>
            </w:r>
            <w:r w:rsidR="00563B23" w:rsidRPr="00C478BC">
              <w:t>Palliative Care Outcomes Collaboration</w:t>
            </w:r>
            <w:r>
              <w:t xml:space="preserve"> is</w:t>
            </w:r>
            <w:r w:rsidR="00F21214" w:rsidRPr="00C478BC">
              <w:t xml:space="preserve"> to drive continuous improvement by providing outcome information to clinicians and local, </w:t>
            </w:r>
            <w:proofErr w:type="gramStart"/>
            <w:r w:rsidR="00F21214" w:rsidRPr="00C478BC">
              <w:t>state</w:t>
            </w:r>
            <w:proofErr w:type="gramEnd"/>
            <w:r w:rsidR="00F21214" w:rsidRPr="00C478BC">
              <w:t xml:space="preserve"> and national providers of palliative care.</w:t>
            </w:r>
          </w:p>
        </w:tc>
      </w:tr>
      <w:tr w:rsidR="0057257F" w14:paraId="649D4FC3" w14:textId="77777777" w:rsidTr="00703CF4">
        <w:trPr>
          <w:cnfStyle w:val="000000100000" w:firstRow="0" w:lastRow="0" w:firstColumn="0" w:lastColumn="0" w:oddVBand="0" w:evenVBand="0" w:oddHBand="1" w:evenHBand="0" w:firstRowFirstColumn="0" w:firstRowLastColumn="0" w:lastRowFirstColumn="0" w:lastRowLastColumn="0"/>
        </w:trPr>
        <w:tc>
          <w:tcPr>
            <w:tcW w:w="1645" w:type="dxa"/>
          </w:tcPr>
          <w:p w14:paraId="539A41E0" w14:textId="5534DEB1" w:rsidR="0057257F" w:rsidRPr="00C478BC" w:rsidRDefault="0057257F" w:rsidP="00C478BC">
            <w:pPr>
              <w:pStyle w:val="TableNText"/>
            </w:pPr>
            <w:r w:rsidRPr="00C478BC">
              <w:t xml:space="preserve">Primary </w:t>
            </w:r>
            <w:r w:rsidR="0069121B" w:rsidRPr="00C478BC">
              <w:t>Health Network</w:t>
            </w:r>
            <w:r w:rsidRPr="00C478BC">
              <w:t xml:space="preserve"> (PHN)</w:t>
            </w:r>
          </w:p>
        </w:tc>
        <w:tc>
          <w:tcPr>
            <w:tcW w:w="7455" w:type="dxa"/>
          </w:tcPr>
          <w:p w14:paraId="59DC0C41" w14:textId="6B1B45DB" w:rsidR="00F21214" w:rsidRPr="00C478BC" w:rsidRDefault="00F21214" w:rsidP="00C478BC">
            <w:pPr>
              <w:pStyle w:val="TableNText"/>
            </w:pPr>
            <w:r w:rsidRPr="00C478BC">
              <w:t xml:space="preserve">The Australian Government established 31 </w:t>
            </w:r>
            <w:r w:rsidR="0069121B" w:rsidRPr="00C478BC">
              <w:t>Primary Health Network</w:t>
            </w:r>
            <w:r w:rsidR="0069121B">
              <w:t>s</w:t>
            </w:r>
            <w:r w:rsidRPr="00C478BC">
              <w:t xml:space="preserve"> across Australia in 2015. They aim to:</w:t>
            </w:r>
          </w:p>
          <w:p w14:paraId="69CF0AAE" w14:textId="77777777" w:rsidR="00F21214" w:rsidRPr="00F21214" w:rsidRDefault="00F21214" w:rsidP="00EF7C8B">
            <w:pPr>
              <w:pStyle w:val="TableNBullet"/>
            </w:pPr>
            <w:r w:rsidRPr="00F21214">
              <w:t>improve medical services for patients, particularly those at risk of poor health outcomes</w:t>
            </w:r>
          </w:p>
          <w:p w14:paraId="46D992B9" w14:textId="77777777" w:rsidR="00F21214" w:rsidRPr="00F21214" w:rsidRDefault="00F21214" w:rsidP="00EF7C8B">
            <w:pPr>
              <w:pStyle w:val="TableNBullet"/>
            </w:pPr>
            <w:r w:rsidRPr="00F21214">
              <w:t>make sure government money is directed to where it's needed and is spent on health programs that will be most effective</w:t>
            </w:r>
          </w:p>
          <w:p w14:paraId="5FDE0CC8" w14:textId="2120C6B0" w:rsidR="0057257F" w:rsidRPr="00A7164E" w:rsidRDefault="00F21214" w:rsidP="00EF7C8B">
            <w:pPr>
              <w:pStyle w:val="TableNBullet"/>
            </w:pPr>
            <w:r w:rsidRPr="00F21214">
              <w:t>improve the links between local health services and hospitals, so that patients receive the right care, in the right place, at the right time</w:t>
            </w:r>
            <w:r w:rsidR="00987EC7">
              <w:t>.</w:t>
            </w:r>
          </w:p>
        </w:tc>
      </w:tr>
      <w:tr w:rsidR="006B4FDA" w14:paraId="0F622B20" w14:textId="77777777" w:rsidTr="00703CF4">
        <w:trPr>
          <w:cnfStyle w:val="000000010000" w:firstRow="0" w:lastRow="0" w:firstColumn="0" w:lastColumn="0" w:oddVBand="0" w:evenVBand="0" w:oddHBand="0" w:evenHBand="1" w:firstRowFirstColumn="0" w:firstRowLastColumn="0" w:lastRowFirstColumn="0" w:lastRowLastColumn="0"/>
        </w:trPr>
        <w:tc>
          <w:tcPr>
            <w:tcW w:w="1645" w:type="dxa"/>
          </w:tcPr>
          <w:p w14:paraId="429AD6B0" w14:textId="6A7A6A7A" w:rsidR="006B4FDA" w:rsidRPr="00C478BC" w:rsidRDefault="006B4FDA" w:rsidP="00C478BC">
            <w:pPr>
              <w:pStyle w:val="TableNText"/>
            </w:pPr>
            <w:r w:rsidRPr="00C478BC">
              <w:t xml:space="preserve">Project Implementation Group </w:t>
            </w:r>
          </w:p>
        </w:tc>
        <w:tc>
          <w:tcPr>
            <w:tcW w:w="7455" w:type="dxa"/>
          </w:tcPr>
          <w:p w14:paraId="492AF0BC" w14:textId="36B1D368" w:rsidR="006B4FDA" w:rsidRPr="00A771A9" w:rsidRDefault="006463BD" w:rsidP="00C478BC">
            <w:pPr>
              <w:pStyle w:val="TableNText"/>
            </w:pPr>
            <w:r w:rsidRPr="00A771A9">
              <w:t xml:space="preserve">The Project Implementation Group consists of members from the Department of Health and from states and territories. </w:t>
            </w:r>
          </w:p>
        </w:tc>
      </w:tr>
      <w:tr w:rsidR="006B4FDA" w14:paraId="7FD431CC" w14:textId="77777777" w:rsidTr="00703CF4">
        <w:trPr>
          <w:cnfStyle w:val="000000100000" w:firstRow="0" w:lastRow="0" w:firstColumn="0" w:lastColumn="0" w:oddVBand="0" w:evenVBand="0" w:oddHBand="1" w:evenHBand="0" w:firstRowFirstColumn="0" w:firstRowLastColumn="0" w:lastRowFirstColumn="0" w:lastRowLastColumn="0"/>
        </w:trPr>
        <w:tc>
          <w:tcPr>
            <w:tcW w:w="1645" w:type="dxa"/>
          </w:tcPr>
          <w:p w14:paraId="1F633A2C" w14:textId="2B5668A9" w:rsidR="006B4FDA" w:rsidRPr="00C478BC" w:rsidRDefault="00EF7C8B" w:rsidP="00C478BC">
            <w:pPr>
              <w:pStyle w:val="TableNText"/>
            </w:pPr>
            <w:r w:rsidRPr="00C478BC">
              <w:t xml:space="preserve">National </w:t>
            </w:r>
            <w:r w:rsidR="006B4FDA" w:rsidRPr="00C478BC">
              <w:t>Palliative Care and End-of-life Project Reference Group</w:t>
            </w:r>
          </w:p>
        </w:tc>
        <w:tc>
          <w:tcPr>
            <w:tcW w:w="7455" w:type="dxa"/>
          </w:tcPr>
          <w:p w14:paraId="668F6546" w14:textId="77777777" w:rsidR="00EF7C8B" w:rsidRPr="00C478BC" w:rsidRDefault="00EF7C8B" w:rsidP="00C478BC">
            <w:pPr>
              <w:pStyle w:val="TableNText"/>
            </w:pPr>
            <w:r w:rsidRPr="00C478BC">
              <w:t>The Reference Group will:</w:t>
            </w:r>
          </w:p>
          <w:p w14:paraId="262D1D8D" w14:textId="7C3F3C4C" w:rsidR="00EF7C8B" w:rsidRPr="00EF7C8B" w:rsidRDefault="00EF7C8B" w:rsidP="00EF7C8B">
            <w:pPr>
              <w:pStyle w:val="TableNBullet"/>
            </w:pPr>
            <w:r w:rsidRPr="00EF7C8B">
              <w:t>share information among jurisdictions, particularly in the COVID environment.</w:t>
            </w:r>
          </w:p>
          <w:p w14:paraId="2BD36C03" w14:textId="108FEB36" w:rsidR="00EF7C8B" w:rsidRPr="00EF7C8B" w:rsidRDefault="00EF7C8B" w:rsidP="00EF7C8B">
            <w:pPr>
              <w:pStyle w:val="TableNBullet"/>
            </w:pPr>
            <w:r w:rsidRPr="00EF7C8B">
              <w:t>discuss progress against the Implementation Plan for the National Palliative Care Strategy.</w:t>
            </w:r>
          </w:p>
          <w:p w14:paraId="3CBB7DC1" w14:textId="668AA74B" w:rsidR="006B4FDA" w:rsidRPr="00A7164E" w:rsidRDefault="00EF7C8B" w:rsidP="00EF7C8B">
            <w:pPr>
              <w:pStyle w:val="TableNBullet"/>
            </w:pPr>
            <w:r w:rsidRPr="00EF7C8B">
              <w:t xml:space="preserve">collaborate on related work and provide a forum to discuss opportunities, </w:t>
            </w:r>
            <w:proofErr w:type="gramStart"/>
            <w:r w:rsidRPr="00EF7C8B">
              <w:t>issues</w:t>
            </w:r>
            <w:proofErr w:type="gramEnd"/>
            <w:r w:rsidRPr="00EF7C8B">
              <w:t xml:space="preserve"> and linkages.</w:t>
            </w:r>
          </w:p>
        </w:tc>
      </w:tr>
      <w:tr w:rsidR="005F1D4A" w14:paraId="3D1E8034" w14:textId="77777777" w:rsidTr="00703CF4">
        <w:trPr>
          <w:cnfStyle w:val="000000010000" w:firstRow="0" w:lastRow="0" w:firstColumn="0" w:lastColumn="0" w:oddVBand="0" w:evenVBand="0" w:oddHBand="0" w:evenHBand="1" w:firstRowFirstColumn="0" w:firstRowLastColumn="0" w:lastRowFirstColumn="0" w:lastRowLastColumn="0"/>
        </w:trPr>
        <w:tc>
          <w:tcPr>
            <w:tcW w:w="1645" w:type="dxa"/>
          </w:tcPr>
          <w:p w14:paraId="1B05A5DB" w14:textId="6B86C1B2" w:rsidR="005F1D4A" w:rsidRPr="00C478BC" w:rsidRDefault="005F1D4A" w:rsidP="00C478BC">
            <w:pPr>
              <w:pStyle w:val="TableNText"/>
            </w:pPr>
            <w:r w:rsidRPr="00C478BC">
              <w:t>Quality improvement initiatives</w:t>
            </w:r>
            <w:r w:rsidRPr="00C478BC">
              <w:rPr>
                <w:rStyle w:val="FootnoteReference"/>
              </w:rPr>
              <w:footnoteReference w:id="33"/>
            </w:r>
            <w:r w:rsidRPr="00C478BC">
              <w:t xml:space="preserve"> </w:t>
            </w:r>
          </w:p>
        </w:tc>
        <w:tc>
          <w:tcPr>
            <w:tcW w:w="7455" w:type="dxa"/>
          </w:tcPr>
          <w:p w14:paraId="400ECD93" w14:textId="77777777" w:rsidR="005F1D4A" w:rsidRPr="006928DD" w:rsidRDefault="005F1D4A" w:rsidP="00C478BC">
            <w:pPr>
              <w:pStyle w:val="TableNText"/>
            </w:pPr>
            <w:r w:rsidRPr="006928DD">
              <w:t>Quality improvement initiatives are consumer-focused, achieve improvement through planned steps, driven by involvement and accountability of key stakeholders (consumers, families and carers, staff and volunteers, advocates), and involve regular monitoring and evaluation of progress.</w:t>
            </w:r>
          </w:p>
          <w:p w14:paraId="42B88DA3" w14:textId="5C7EC5D6" w:rsidR="005F1D4A" w:rsidRPr="00A771A9" w:rsidRDefault="005F1D4A" w:rsidP="00C478BC">
            <w:pPr>
              <w:pStyle w:val="TableNText"/>
            </w:pPr>
            <w:r w:rsidRPr="006928DD">
              <w:t xml:space="preserve">This may include assessing and monitoring the quality of care and services against the Aged Care Quality and Safety Commission Quality Standards, the </w:t>
            </w:r>
            <w:r w:rsidR="00AE070D">
              <w:t>End-of-life</w:t>
            </w:r>
            <w:r w:rsidR="00987EC7" w:rsidRPr="006928DD">
              <w:t xml:space="preserve"> Directions for Aged Care</w:t>
            </w:r>
            <w:r w:rsidRPr="006928DD">
              <w:t xml:space="preserve"> Palliative Care and Advance Care Planning Organisational Audit, or other initiatives.</w:t>
            </w:r>
          </w:p>
        </w:tc>
      </w:tr>
      <w:tr w:rsidR="00127C30" w14:paraId="78A36F14" w14:textId="77777777" w:rsidTr="00703CF4">
        <w:trPr>
          <w:cnfStyle w:val="000000100000" w:firstRow="0" w:lastRow="0" w:firstColumn="0" w:lastColumn="0" w:oddVBand="0" w:evenVBand="0" w:oddHBand="1" w:evenHBand="0" w:firstRowFirstColumn="0" w:firstRowLastColumn="0" w:lastRowFirstColumn="0" w:lastRowLastColumn="0"/>
        </w:trPr>
        <w:tc>
          <w:tcPr>
            <w:tcW w:w="1645" w:type="dxa"/>
          </w:tcPr>
          <w:p w14:paraId="4D41B877" w14:textId="41FBD9D5" w:rsidR="00127C30" w:rsidRPr="00C478BC" w:rsidRDefault="00127C30" w:rsidP="00C478BC">
            <w:pPr>
              <w:pStyle w:val="TableNText"/>
            </w:pPr>
            <w:r w:rsidRPr="00C478BC">
              <w:t>Residential aged care facility (RACF)</w:t>
            </w:r>
          </w:p>
        </w:tc>
        <w:tc>
          <w:tcPr>
            <w:tcW w:w="7455" w:type="dxa"/>
          </w:tcPr>
          <w:p w14:paraId="6D4E8724" w14:textId="58E7406B" w:rsidR="00127C30" w:rsidRPr="006928DD" w:rsidRDefault="008508F6" w:rsidP="00C478BC">
            <w:pPr>
              <w:pStyle w:val="TableNText"/>
            </w:pPr>
            <w:r w:rsidRPr="006928DD">
              <w:t>Residential aged care is for older people who can no longer live at home. These services are funded and regulated by the Australian Government.</w:t>
            </w:r>
          </w:p>
        </w:tc>
      </w:tr>
      <w:tr w:rsidR="005F1D4A" w14:paraId="72AFBEA9" w14:textId="77777777" w:rsidTr="00703CF4">
        <w:trPr>
          <w:cnfStyle w:val="000000010000" w:firstRow="0" w:lastRow="0" w:firstColumn="0" w:lastColumn="0" w:oddVBand="0" w:evenVBand="0" w:oddHBand="0" w:evenHBand="1" w:firstRowFirstColumn="0" w:firstRowLastColumn="0" w:lastRowFirstColumn="0" w:lastRowLastColumn="0"/>
        </w:trPr>
        <w:tc>
          <w:tcPr>
            <w:tcW w:w="1645" w:type="dxa"/>
          </w:tcPr>
          <w:p w14:paraId="7812F501" w14:textId="49D322CD" w:rsidR="005F1D4A" w:rsidRPr="00C478BC" w:rsidRDefault="005F1D4A" w:rsidP="00C478BC">
            <w:pPr>
              <w:pStyle w:val="TableNText"/>
            </w:pPr>
            <w:r w:rsidRPr="00C478BC">
              <w:lastRenderedPageBreak/>
              <w:t>Specialist palliative care</w:t>
            </w:r>
            <w:r w:rsidRPr="00C478BC">
              <w:rPr>
                <w:rStyle w:val="FootnoteReference"/>
              </w:rPr>
              <w:footnoteReference w:id="34"/>
            </w:r>
          </w:p>
        </w:tc>
        <w:tc>
          <w:tcPr>
            <w:tcW w:w="7455" w:type="dxa"/>
          </w:tcPr>
          <w:p w14:paraId="0A4E2360" w14:textId="283056F3" w:rsidR="005F1D4A" w:rsidRPr="006928DD" w:rsidRDefault="005F1D4A" w:rsidP="00C478BC">
            <w:pPr>
              <w:pStyle w:val="TableNText"/>
            </w:pPr>
            <w:r w:rsidRPr="006928DD">
              <w:t xml:space="preserve">People with more complex needs should be able to access care provided by specialist palliative care services comprising multidisciplinary teams with specialised skills, competencies, </w:t>
            </w:r>
            <w:proofErr w:type="gramStart"/>
            <w:r w:rsidRPr="006928DD">
              <w:t>experience</w:t>
            </w:r>
            <w:proofErr w:type="gramEnd"/>
            <w:r w:rsidRPr="006928DD">
              <w:t xml:space="preserve"> and training in palliative care.</w:t>
            </w:r>
          </w:p>
        </w:tc>
      </w:tr>
    </w:tbl>
    <w:p w14:paraId="6CECB739" w14:textId="26186FBD" w:rsidR="006D4DE5" w:rsidRDefault="006D4DE5" w:rsidP="006D4DE5">
      <w:pPr>
        <w:pStyle w:val="Caption"/>
      </w:pPr>
      <w:r>
        <w:t xml:space="preserve">Table </w:t>
      </w:r>
      <w:r>
        <w:fldChar w:fldCharType="begin"/>
      </w:r>
      <w:r>
        <w:instrText xml:space="preserve"> SEQ Table \* ARABIC </w:instrText>
      </w:r>
      <w:r>
        <w:fldChar w:fldCharType="separate"/>
      </w:r>
      <w:r w:rsidR="00DF258C">
        <w:rPr>
          <w:noProof/>
        </w:rPr>
        <w:t>11</w:t>
      </w:r>
      <w:r>
        <w:fldChar w:fldCharType="end"/>
      </w:r>
      <w:r>
        <w:t xml:space="preserve"> | Acronyms</w:t>
      </w:r>
    </w:p>
    <w:tbl>
      <w:tblPr>
        <w:tblStyle w:val="TableGrid"/>
        <w:tblW w:w="0" w:type="auto"/>
        <w:tblLook w:val="04A0" w:firstRow="1" w:lastRow="0" w:firstColumn="1" w:lastColumn="0" w:noHBand="0" w:noVBand="1"/>
        <w:tblCaption w:val="This table defines the acronyms used in the proposed framework"/>
        <w:tblDescription w:val="ACQSC Aged Care Quality and Safety Commission &#10;ACSQHC Australian Commission on Safety and Quality in Health Care&#10;AIATSIS Australian Institute of Aboriginal and Torres Strait Islander Studies&#10;ACD Advance Care Directive&#10;ACP Advance Care Plan&#10;ACFI Aged Care Funding Instrument&#10;ACT Australian Capital Territory&#10;AHHA Australian Healthcare and Hospitals Association &#10;AIHW Australian Institute of Health and Welfare&#10;COTA Council on the Ageing Australia&#10;ELDAC End-of-life Directions for Aged Care&#10;GP General practitioner &#10;HHS Hospital and Health Service&#10;LASA Leading Age Services Australia&#10;LHD Local Health District&#10;MBS Medicare Benefits Schedule&#10;NIHSI-AA National Integrated Health Services Information Analysis Asset &#10;NHMRC National Health and Medical Research Council&#10;NSW New South Wales&#10;NT Northern Territory&#10;PBS Pharmaceutical Benefits Schedule&#10;PCA Palliative Care Australia&#10;PCOC Palliative Care Outcomes Collaboration&#10;PHN Primary Health Network&#10;RACF Residential aged care facility &#10;SA South Australia&#10;WA Western Australia&#10;"/>
      </w:tblPr>
      <w:tblGrid>
        <w:gridCol w:w="2180"/>
        <w:gridCol w:w="6750"/>
      </w:tblGrid>
      <w:tr w:rsidR="006D4DE5" w14:paraId="1463FC28" w14:textId="77777777" w:rsidTr="00B25FA6">
        <w:trPr>
          <w:cnfStyle w:val="100000000000" w:firstRow="1" w:lastRow="0" w:firstColumn="0" w:lastColumn="0" w:oddVBand="0" w:evenVBand="0" w:oddHBand="0" w:evenHBand="0" w:firstRowFirstColumn="0" w:firstRowLastColumn="0" w:lastRowFirstColumn="0" w:lastRowLastColumn="0"/>
        </w:trPr>
        <w:tc>
          <w:tcPr>
            <w:tcW w:w="2212" w:type="dxa"/>
          </w:tcPr>
          <w:p w14:paraId="57335609" w14:textId="435EAF4C" w:rsidR="006D4DE5" w:rsidRPr="00C478BC" w:rsidRDefault="006D4DE5" w:rsidP="00C478BC">
            <w:pPr>
              <w:pStyle w:val="TableNheader"/>
            </w:pPr>
            <w:r w:rsidRPr="00C478BC">
              <w:t>Acronym</w:t>
            </w:r>
          </w:p>
        </w:tc>
        <w:tc>
          <w:tcPr>
            <w:tcW w:w="6888" w:type="dxa"/>
          </w:tcPr>
          <w:p w14:paraId="67787D18" w14:textId="07A6CFDD" w:rsidR="006D4DE5" w:rsidRPr="00C478BC" w:rsidRDefault="006D4DE5" w:rsidP="00C478BC">
            <w:pPr>
              <w:pStyle w:val="TableNheader"/>
            </w:pPr>
            <w:r w:rsidRPr="00C478BC">
              <w:t>Description</w:t>
            </w:r>
          </w:p>
        </w:tc>
      </w:tr>
      <w:tr w:rsidR="00842930" w14:paraId="35CD7251" w14:textId="77777777" w:rsidTr="00B25FA6">
        <w:trPr>
          <w:cnfStyle w:val="000000100000" w:firstRow="0" w:lastRow="0" w:firstColumn="0" w:lastColumn="0" w:oddVBand="0" w:evenVBand="0" w:oddHBand="1" w:evenHBand="0" w:firstRowFirstColumn="0" w:firstRowLastColumn="0" w:lastRowFirstColumn="0" w:lastRowLastColumn="0"/>
        </w:trPr>
        <w:tc>
          <w:tcPr>
            <w:tcW w:w="2212" w:type="dxa"/>
          </w:tcPr>
          <w:p w14:paraId="6EEAD76E" w14:textId="1EA72C21" w:rsidR="00842930" w:rsidRPr="00C478BC" w:rsidRDefault="00842930" w:rsidP="00C478BC">
            <w:pPr>
              <w:pStyle w:val="TableNText"/>
            </w:pPr>
            <w:r>
              <w:t>ACQSC</w:t>
            </w:r>
          </w:p>
        </w:tc>
        <w:tc>
          <w:tcPr>
            <w:tcW w:w="6888" w:type="dxa"/>
          </w:tcPr>
          <w:p w14:paraId="42579A76" w14:textId="0E54A0CB" w:rsidR="00842930" w:rsidRPr="00C478BC" w:rsidRDefault="00842930" w:rsidP="00C478BC">
            <w:pPr>
              <w:pStyle w:val="TableNText"/>
            </w:pPr>
            <w:r>
              <w:t xml:space="preserve">Aged Care Quality and Safety Commission </w:t>
            </w:r>
          </w:p>
        </w:tc>
      </w:tr>
      <w:tr w:rsidR="006D4DE5" w14:paraId="5DC97DDB" w14:textId="77777777" w:rsidTr="00B25FA6">
        <w:trPr>
          <w:cnfStyle w:val="000000010000" w:firstRow="0" w:lastRow="0" w:firstColumn="0" w:lastColumn="0" w:oddVBand="0" w:evenVBand="0" w:oddHBand="0" w:evenHBand="1" w:firstRowFirstColumn="0" w:firstRowLastColumn="0" w:lastRowFirstColumn="0" w:lastRowLastColumn="0"/>
        </w:trPr>
        <w:tc>
          <w:tcPr>
            <w:tcW w:w="2212" w:type="dxa"/>
          </w:tcPr>
          <w:p w14:paraId="2A3F9086" w14:textId="2996E8A7" w:rsidR="006D4DE5" w:rsidRPr="00C478BC" w:rsidRDefault="006D4DE5" w:rsidP="00C478BC">
            <w:pPr>
              <w:pStyle w:val="TableNText"/>
            </w:pPr>
            <w:r w:rsidRPr="00C478BC">
              <w:t>ACSQHC</w:t>
            </w:r>
          </w:p>
        </w:tc>
        <w:tc>
          <w:tcPr>
            <w:tcW w:w="6888" w:type="dxa"/>
          </w:tcPr>
          <w:p w14:paraId="63981E26" w14:textId="1D680871" w:rsidR="006D4DE5" w:rsidRPr="00C478BC" w:rsidRDefault="006D4DE5" w:rsidP="00C478BC">
            <w:pPr>
              <w:pStyle w:val="TableNText"/>
            </w:pPr>
            <w:r w:rsidRPr="00C478BC">
              <w:t>Australian Commission on Safety and Quality in Health Care</w:t>
            </w:r>
          </w:p>
        </w:tc>
      </w:tr>
      <w:tr w:rsidR="00272FF5" w14:paraId="24F2A39B" w14:textId="77777777" w:rsidTr="00B25FA6">
        <w:trPr>
          <w:cnfStyle w:val="000000100000" w:firstRow="0" w:lastRow="0" w:firstColumn="0" w:lastColumn="0" w:oddVBand="0" w:evenVBand="0" w:oddHBand="1" w:evenHBand="0" w:firstRowFirstColumn="0" w:firstRowLastColumn="0" w:lastRowFirstColumn="0" w:lastRowLastColumn="0"/>
        </w:trPr>
        <w:tc>
          <w:tcPr>
            <w:tcW w:w="2212" w:type="dxa"/>
          </w:tcPr>
          <w:p w14:paraId="0301399E" w14:textId="4550EF1F" w:rsidR="00272FF5" w:rsidRPr="00C478BC" w:rsidRDefault="00272FF5" w:rsidP="00C478BC">
            <w:pPr>
              <w:pStyle w:val="TableNText"/>
            </w:pPr>
            <w:r w:rsidRPr="00C478BC">
              <w:t>AIATSIS</w:t>
            </w:r>
          </w:p>
        </w:tc>
        <w:tc>
          <w:tcPr>
            <w:tcW w:w="6888" w:type="dxa"/>
          </w:tcPr>
          <w:p w14:paraId="610C0397" w14:textId="69DB71D1" w:rsidR="00272FF5" w:rsidRPr="00C478BC" w:rsidRDefault="00272FF5" w:rsidP="00C478BC">
            <w:pPr>
              <w:pStyle w:val="TableNText"/>
            </w:pPr>
            <w:r w:rsidRPr="00C478BC">
              <w:t>A</w:t>
            </w:r>
            <w:r w:rsidR="00BD746C" w:rsidRPr="00C478BC">
              <w:t>ustralian Institute of Aboriginal and Torres Strait Islander Studies</w:t>
            </w:r>
          </w:p>
        </w:tc>
      </w:tr>
      <w:tr w:rsidR="00BC7072" w14:paraId="2DBB33C6" w14:textId="77777777" w:rsidTr="00B25FA6">
        <w:trPr>
          <w:cnfStyle w:val="000000010000" w:firstRow="0" w:lastRow="0" w:firstColumn="0" w:lastColumn="0" w:oddVBand="0" w:evenVBand="0" w:oddHBand="0" w:evenHBand="1" w:firstRowFirstColumn="0" w:firstRowLastColumn="0" w:lastRowFirstColumn="0" w:lastRowLastColumn="0"/>
        </w:trPr>
        <w:tc>
          <w:tcPr>
            <w:tcW w:w="2212" w:type="dxa"/>
          </w:tcPr>
          <w:p w14:paraId="5FA0416D" w14:textId="10E71985" w:rsidR="00BC7072" w:rsidRPr="00C478BC" w:rsidRDefault="00BC7072" w:rsidP="00C478BC">
            <w:pPr>
              <w:pStyle w:val="TableNText"/>
            </w:pPr>
            <w:r w:rsidRPr="00C478BC">
              <w:t>ACD</w:t>
            </w:r>
          </w:p>
        </w:tc>
        <w:tc>
          <w:tcPr>
            <w:tcW w:w="6888" w:type="dxa"/>
          </w:tcPr>
          <w:p w14:paraId="21FACDF0" w14:textId="54AA5AF9" w:rsidR="00BC7072" w:rsidRPr="00C478BC" w:rsidRDefault="00BC7072" w:rsidP="00C478BC">
            <w:pPr>
              <w:pStyle w:val="TableNText"/>
            </w:pPr>
            <w:r w:rsidRPr="00C478BC">
              <w:t xml:space="preserve">Advance </w:t>
            </w:r>
            <w:r w:rsidR="004D12AC" w:rsidRPr="00C478BC">
              <w:t>Care Directive</w:t>
            </w:r>
          </w:p>
        </w:tc>
      </w:tr>
      <w:tr w:rsidR="00BC7072" w14:paraId="1EFB5EA9" w14:textId="77777777" w:rsidTr="00B25FA6">
        <w:trPr>
          <w:cnfStyle w:val="000000100000" w:firstRow="0" w:lastRow="0" w:firstColumn="0" w:lastColumn="0" w:oddVBand="0" w:evenVBand="0" w:oddHBand="1" w:evenHBand="0" w:firstRowFirstColumn="0" w:firstRowLastColumn="0" w:lastRowFirstColumn="0" w:lastRowLastColumn="0"/>
        </w:trPr>
        <w:tc>
          <w:tcPr>
            <w:tcW w:w="2212" w:type="dxa"/>
          </w:tcPr>
          <w:p w14:paraId="0D53A542" w14:textId="60AF6347" w:rsidR="00BC7072" w:rsidRPr="00C478BC" w:rsidRDefault="00BC7072" w:rsidP="00C478BC">
            <w:pPr>
              <w:pStyle w:val="TableNText"/>
            </w:pPr>
            <w:r w:rsidRPr="00C478BC">
              <w:t>ACP</w:t>
            </w:r>
          </w:p>
        </w:tc>
        <w:tc>
          <w:tcPr>
            <w:tcW w:w="6888" w:type="dxa"/>
          </w:tcPr>
          <w:p w14:paraId="5CF786CD" w14:textId="56B50581" w:rsidR="00BC7072" w:rsidRPr="00C478BC" w:rsidRDefault="00BC7072" w:rsidP="00C478BC">
            <w:pPr>
              <w:pStyle w:val="TableNText"/>
            </w:pPr>
            <w:r w:rsidRPr="00C478BC">
              <w:t xml:space="preserve">Advance </w:t>
            </w:r>
            <w:r w:rsidR="00A11F4C" w:rsidRPr="00C478BC">
              <w:t>Care Plan</w:t>
            </w:r>
          </w:p>
        </w:tc>
      </w:tr>
      <w:tr w:rsidR="00DD1826" w14:paraId="076C857B" w14:textId="77777777" w:rsidTr="00B25FA6">
        <w:trPr>
          <w:cnfStyle w:val="000000010000" w:firstRow="0" w:lastRow="0" w:firstColumn="0" w:lastColumn="0" w:oddVBand="0" w:evenVBand="0" w:oddHBand="0" w:evenHBand="1" w:firstRowFirstColumn="0" w:firstRowLastColumn="0" w:lastRowFirstColumn="0" w:lastRowLastColumn="0"/>
        </w:trPr>
        <w:tc>
          <w:tcPr>
            <w:tcW w:w="2212" w:type="dxa"/>
          </w:tcPr>
          <w:p w14:paraId="12FB69C2" w14:textId="51844EBD" w:rsidR="00DD1826" w:rsidRPr="00C478BC" w:rsidRDefault="00DD1826" w:rsidP="00C478BC">
            <w:pPr>
              <w:pStyle w:val="TableNText"/>
            </w:pPr>
            <w:r w:rsidRPr="00C478BC">
              <w:t>ACFI</w:t>
            </w:r>
          </w:p>
        </w:tc>
        <w:tc>
          <w:tcPr>
            <w:tcW w:w="6888" w:type="dxa"/>
          </w:tcPr>
          <w:p w14:paraId="5214EA47" w14:textId="725CF447" w:rsidR="00DD1826" w:rsidRPr="00C478BC" w:rsidRDefault="00DD1826" w:rsidP="00C478BC">
            <w:pPr>
              <w:pStyle w:val="TableNText"/>
            </w:pPr>
            <w:r w:rsidRPr="00C478BC">
              <w:t>Aged Care Funding Instrument</w:t>
            </w:r>
          </w:p>
        </w:tc>
      </w:tr>
      <w:tr w:rsidR="006D4DE5" w14:paraId="0531859A" w14:textId="77777777" w:rsidTr="00B25FA6">
        <w:trPr>
          <w:cnfStyle w:val="000000100000" w:firstRow="0" w:lastRow="0" w:firstColumn="0" w:lastColumn="0" w:oddVBand="0" w:evenVBand="0" w:oddHBand="1" w:evenHBand="0" w:firstRowFirstColumn="0" w:firstRowLastColumn="0" w:lastRowFirstColumn="0" w:lastRowLastColumn="0"/>
        </w:trPr>
        <w:tc>
          <w:tcPr>
            <w:tcW w:w="2212" w:type="dxa"/>
          </w:tcPr>
          <w:p w14:paraId="5ACD365D" w14:textId="56364219" w:rsidR="006D4DE5" w:rsidRPr="00C478BC" w:rsidRDefault="006D4DE5" w:rsidP="00C478BC">
            <w:pPr>
              <w:pStyle w:val="TableNText"/>
            </w:pPr>
            <w:r w:rsidRPr="00C478BC">
              <w:t>ACT</w:t>
            </w:r>
          </w:p>
        </w:tc>
        <w:tc>
          <w:tcPr>
            <w:tcW w:w="6888" w:type="dxa"/>
          </w:tcPr>
          <w:p w14:paraId="0DAB7198" w14:textId="5AD1BABC" w:rsidR="006D4DE5" w:rsidRPr="00C478BC" w:rsidRDefault="006D4DE5" w:rsidP="00C478BC">
            <w:pPr>
              <w:pStyle w:val="TableNText"/>
            </w:pPr>
            <w:r w:rsidRPr="00C478BC">
              <w:t>Australian Capital Territory</w:t>
            </w:r>
          </w:p>
        </w:tc>
      </w:tr>
      <w:tr w:rsidR="00FF3F11" w14:paraId="455EAF70" w14:textId="77777777" w:rsidTr="00B25FA6">
        <w:trPr>
          <w:cnfStyle w:val="000000010000" w:firstRow="0" w:lastRow="0" w:firstColumn="0" w:lastColumn="0" w:oddVBand="0" w:evenVBand="0" w:oddHBand="0" w:evenHBand="1" w:firstRowFirstColumn="0" w:firstRowLastColumn="0" w:lastRowFirstColumn="0" w:lastRowLastColumn="0"/>
        </w:trPr>
        <w:tc>
          <w:tcPr>
            <w:tcW w:w="2212" w:type="dxa"/>
          </w:tcPr>
          <w:p w14:paraId="65D4BC33" w14:textId="6609A6F1" w:rsidR="00FF3F11" w:rsidRPr="00C478BC" w:rsidRDefault="00FF3F11" w:rsidP="00C478BC">
            <w:pPr>
              <w:pStyle w:val="TableNText"/>
            </w:pPr>
            <w:r w:rsidRPr="00C478BC">
              <w:t>AHHA</w:t>
            </w:r>
          </w:p>
        </w:tc>
        <w:tc>
          <w:tcPr>
            <w:tcW w:w="6888" w:type="dxa"/>
          </w:tcPr>
          <w:p w14:paraId="2D44D9A7" w14:textId="246F13B7" w:rsidR="00FF3F11" w:rsidRPr="00C478BC" w:rsidRDefault="00345C49" w:rsidP="00C478BC">
            <w:pPr>
              <w:pStyle w:val="TableNText"/>
            </w:pPr>
            <w:r w:rsidRPr="00C478BC">
              <w:t xml:space="preserve">Australian Healthcare </w:t>
            </w:r>
            <w:r w:rsidR="00987EC7">
              <w:t>and</w:t>
            </w:r>
            <w:r w:rsidRPr="00C478BC">
              <w:t xml:space="preserve"> Hospitals </w:t>
            </w:r>
            <w:r w:rsidR="00F01208" w:rsidRPr="00C478BC">
              <w:t>Association</w:t>
            </w:r>
            <w:r w:rsidRPr="00C478BC">
              <w:t xml:space="preserve"> </w:t>
            </w:r>
          </w:p>
        </w:tc>
      </w:tr>
      <w:tr w:rsidR="006D4DE5" w14:paraId="77F3F547" w14:textId="77777777" w:rsidTr="00B25FA6">
        <w:trPr>
          <w:cnfStyle w:val="000000100000" w:firstRow="0" w:lastRow="0" w:firstColumn="0" w:lastColumn="0" w:oddVBand="0" w:evenVBand="0" w:oddHBand="1" w:evenHBand="0" w:firstRowFirstColumn="0" w:firstRowLastColumn="0" w:lastRowFirstColumn="0" w:lastRowLastColumn="0"/>
        </w:trPr>
        <w:tc>
          <w:tcPr>
            <w:tcW w:w="2212" w:type="dxa"/>
          </w:tcPr>
          <w:p w14:paraId="0E3645F2" w14:textId="06E1A3F1" w:rsidR="006D4DE5" w:rsidRPr="00C478BC" w:rsidRDefault="006D4DE5" w:rsidP="00C478BC">
            <w:pPr>
              <w:pStyle w:val="TableNText"/>
            </w:pPr>
            <w:r w:rsidRPr="00C478BC">
              <w:t>AIHW</w:t>
            </w:r>
          </w:p>
        </w:tc>
        <w:tc>
          <w:tcPr>
            <w:tcW w:w="6888" w:type="dxa"/>
          </w:tcPr>
          <w:p w14:paraId="53261B59" w14:textId="195AF85F" w:rsidR="006D4DE5" w:rsidRPr="00C478BC" w:rsidRDefault="006D4DE5" w:rsidP="00C478BC">
            <w:pPr>
              <w:pStyle w:val="TableNText"/>
            </w:pPr>
            <w:r w:rsidRPr="00C478BC">
              <w:t>Australian Institute of Health and Welfare</w:t>
            </w:r>
          </w:p>
        </w:tc>
      </w:tr>
      <w:tr w:rsidR="006D4DE5" w14:paraId="2F741469" w14:textId="77777777" w:rsidTr="00B25FA6">
        <w:trPr>
          <w:cnfStyle w:val="000000010000" w:firstRow="0" w:lastRow="0" w:firstColumn="0" w:lastColumn="0" w:oddVBand="0" w:evenVBand="0" w:oddHBand="0" w:evenHBand="1" w:firstRowFirstColumn="0" w:firstRowLastColumn="0" w:lastRowFirstColumn="0" w:lastRowLastColumn="0"/>
        </w:trPr>
        <w:tc>
          <w:tcPr>
            <w:tcW w:w="2212" w:type="dxa"/>
          </w:tcPr>
          <w:p w14:paraId="7A6EE4A6" w14:textId="241EE187" w:rsidR="006D4DE5" w:rsidRPr="00C478BC" w:rsidRDefault="006D4DE5" w:rsidP="00C478BC">
            <w:pPr>
              <w:pStyle w:val="TableNText"/>
            </w:pPr>
            <w:r w:rsidRPr="00C478BC">
              <w:t>COTA</w:t>
            </w:r>
          </w:p>
        </w:tc>
        <w:tc>
          <w:tcPr>
            <w:tcW w:w="6888" w:type="dxa"/>
          </w:tcPr>
          <w:p w14:paraId="0B469FFB" w14:textId="4FBEC54B" w:rsidR="006D4DE5" w:rsidRPr="00C478BC" w:rsidRDefault="006D4DE5" w:rsidP="00C478BC">
            <w:pPr>
              <w:pStyle w:val="TableNText"/>
            </w:pPr>
            <w:r w:rsidRPr="00C478BC">
              <w:t>Council on the Ageing Australia</w:t>
            </w:r>
          </w:p>
        </w:tc>
      </w:tr>
      <w:tr w:rsidR="006D4DE5" w14:paraId="529E26F1" w14:textId="77777777" w:rsidTr="00B25FA6">
        <w:trPr>
          <w:cnfStyle w:val="000000100000" w:firstRow="0" w:lastRow="0" w:firstColumn="0" w:lastColumn="0" w:oddVBand="0" w:evenVBand="0" w:oddHBand="1" w:evenHBand="0" w:firstRowFirstColumn="0" w:firstRowLastColumn="0" w:lastRowFirstColumn="0" w:lastRowLastColumn="0"/>
        </w:trPr>
        <w:tc>
          <w:tcPr>
            <w:tcW w:w="2212" w:type="dxa"/>
          </w:tcPr>
          <w:p w14:paraId="08A77566" w14:textId="758E59D6" w:rsidR="006D4DE5" w:rsidRPr="00C478BC" w:rsidRDefault="006D4DE5" w:rsidP="00C478BC">
            <w:pPr>
              <w:pStyle w:val="TableNText"/>
            </w:pPr>
            <w:r w:rsidRPr="00C478BC">
              <w:t>ELDAC</w:t>
            </w:r>
          </w:p>
        </w:tc>
        <w:tc>
          <w:tcPr>
            <w:tcW w:w="6888" w:type="dxa"/>
          </w:tcPr>
          <w:p w14:paraId="1B4F773D" w14:textId="5BFEDBDF" w:rsidR="006D4DE5" w:rsidRPr="00C478BC" w:rsidRDefault="00AE070D" w:rsidP="00C478BC">
            <w:pPr>
              <w:pStyle w:val="TableNText"/>
            </w:pPr>
            <w:r>
              <w:t>End-of-life</w:t>
            </w:r>
            <w:r w:rsidR="006D4DE5" w:rsidRPr="00C478BC">
              <w:t xml:space="preserve"> Directions for Aged Care</w:t>
            </w:r>
          </w:p>
        </w:tc>
      </w:tr>
      <w:tr w:rsidR="006D4DE5" w14:paraId="4D9C1EAD" w14:textId="77777777" w:rsidTr="00B25FA6">
        <w:trPr>
          <w:cnfStyle w:val="000000010000" w:firstRow="0" w:lastRow="0" w:firstColumn="0" w:lastColumn="0" w:oddVBand="0" w:evenVBand="0" w:oddHBand="0" w:evenHBand="1" w:firstRowFirstColumn="0" w:firstRowLastColumn="0" w:lastRowFirstColumn="0" w:lastRowLastColumn="0"/>
        </w:trPr>
        <w:tc>
          <w:tcPr>
            <w:tcW w:w="2212" w:type="dxa"/>
          </w:tcPr>
          <w:p w14:paraId="200DBFA3" w14:textId="125D77D4" w:rsidR="006D4DE5" w:rsidRPr="00C478BC" w:rsidRDefault="006D4DE5" w:rsidP="00C478BC">
            <w:pPr>
              <w:pStyle w:val="TableNText"/>
            </w:pPr>
            <w:r w:rsidRPr="00C478BC">
              <w:t>GP</w:t>
            </w:r>
          </w:p>
        </w:tc>
        <w:tc>
          <w:tcPr>
            <w:tcW w:w="6888" w:type="dxa"/>
          </w:tcPr>
          <w:p w14:paraId="4A7D8D22" w14:textId="26CAC3C1" w:rsidR="006D4DE5" w:rsidRPr="00C478BC" w:rsidRDefault="006D4DE5" w:rsidP="00C478BC">
            <w:pPr>
              <w:pStyle w:val="TableNText"/>
            </w:pPr>
            <w:r w:rsidRPr="00C478BC">
              <w:t xml:space="preserve">General practitioner </w:t>
            </w:r>
          </w:p>
        </w:tc>
      </w:tr>
      <w:tr w:rsidR="006D4DE5" w14:paraId="54BBCD6B" w14:textId="77777777" w:rsidTr="00B25FA6">
        <w:trPr>
          <w:cnfStyle w:val="000000100000" w:firstRow="0" w:lastRow="0" w:firstColumn="0" w:lastColumn="0" w:oddVBand="0" w:evenVBand="0" w:oddHBand="1" w:evenHBand="0" w:firstRowFirstColumn="0" w:firstRowLastColumn="0" w:lastRowFirstColumn="0" w:lastRowLastColumn="0"/>
        </w:trPr>
        <w:tc>
          <w:tcPr>
            <w:tcW w:w="2212" w:type="dxa"/>
          </w:tcPr>
          <w:p w14:paraId="5AEAA1A7" w14:textId="0A68C3E1" w:rsidR="006D4DE5" w:rsidRPr="00C478BC" w:rsidRDefault="006D4DE5" w:rsidP="00C478BC">
            <w:pPr>
              <w:pStyle w:val="TableNText"/>
            </w:pPr>
            <w:r w:rsidRPr="00C478BC">
              <w:t>HHS</w:t>
            </w:r>
          </w:p>
        </w:tc>
        <w:tc>
          <w:tcPr>
            <w:tcW w:w="6888" w:type="dxa"/>
          </w:tcPr>
          <w:p w14:paraId="764874F5" w14:textId="1AFCCF86" w:rsidR="006D4DE5" w:rsidRPr="00C478BC" w:rsidRDefault="006D4DE5" w:rsidP="00C478BC">
            <w:pPr>
              <w:pStyle w:val="TableNText"/>
            </w:pPr>
            <w:r w:rsidRPr="00C478BC">
              <w:t xml:space="preserve">Hospital and </w:t>
            </w:r>
            <w:r w:rsidR="006B4692" w:rsidRPr="00C478BC">
              <w:t>Health Ser</w:t>
            </w:r>
            <w:r w:rsidRPr="00C478BC">
              <w:t>vice</w:t>
            </w:r>
          </w:p>
        </w:tc>
      </w:tr>
      <w:tr w:rsidR="00F01208" w14:paraId="1F40EC73" w14:textId="77777777" w:rsidTr="00B25FA6">
        <w:trPr>
          <w:cnfStyle w:val="000000010000" w:firstRow="0" w:lastRow="0" w:firstColumn="0" w:lastColumn="0" w:oddVBand="0" w:evenVBand="0" w:oddHBand="0" w:evenHBand="1" w:firstRowFirstColumn="0" w:firstRowLastColumn="0" w:lastRowFirstColumn="0" w:lastRowLastColumn="0"/>
        </w:trPr>
        <w:tc>
          <w:tcPr>
            <w:tcW w:w="2212" w:type="dxa"/>
          </w:tcPr>
          <w:p w14:paraId="475F00CD" w14:textId="4856C09F" w:rsidR="00F01208" w:rsidRPr="00C478BC" w:rsidRDefault="00F01208" w:rsidP="00C478BC">
            <w:pPr>
              <w:pStyle w:val="TableNText"/>
            </w:pPr>
            <w:r w:rsidRPr="00C478BC">
              <w:t>LASA</w:t>
            </w:r>
          </w:p>
        </w:tc>
        <w:tc>
          <w:tcPr>
            <w:tcW w:w="6888" w:type="dxa"/>
          </w:tcPr>
          <w:p w14:paraId="22AE996F" w14:textId="43287638" w:rsidR="00F01208" w:rsidRPr="00C478BC" w:rsidRDefault="00F01208" w:rsidP="00C478BC">
            <w:pPr>
              <w:pStyle w:val="TableNText"/>
            </w:pPr>
            <w:r w:rsidRPr="00C478BC">
              <w:t>Leading Age Services Australia</w:t>
            </w:r>
          </w:p>
        </w:tc>
      </w:tr>
      <w:tr w:rsidR="006D4DE5" w14:paraId="5620077B" w14:textId="77777777" w:rsidTr="00B25FA6">
        <w:trPr>
          <w:cnfStyle w:val="000000100000" w:firstRow="0" w:lastRow="0" w:firstColumn="0" w:lastColumn="0" w:oddVBand="0" w:evenVBand="0" w:oddHBand="1" w:evenHBand="0" w:firstRowFirstColumn="0" w:firstRowLastColumn="0" w:lastRowFirstColumn="0" w:lastRowLastColumn="0"/>
        </w:trPr>
        <w:tc>
          <w:tcPr>
            <w:tcW w:w="2212" w:type="dxa"/>
          </w:tcPr>
          <w:p w14:paraId="19F0CC60" w14:textId="77C1CF18" w:rsidR="006D4DE5" w:rsidRPr="00C478BC" w:rsidRDefault="006D4DE5" w:rsidP="00C478BC">
            <w:pPr>
              <w:pStyle w:val="TableNText"/>
            </w:pPr>
            <w:r w:rsidRPr="00C478BC">
              <w:t>LHD</w:t>
            </w:r>
          </w:p>
        </w:tc>
        <w:tc>
          <w:tcPr>
            <w:tcW w:w="6888" w:type="dxa"/>
          </w:tcPr>
          <w:p w14:paraId="45DD4EAC" w14:textId="3E557ED1" w:rsidR="006D4DE5" w:rsidRPr="00C478BC" w:rsidRDefault="006D4DE5" w:rsidP="00C478BC">
            <w:pPr>
              <w:pStyle w:val="TableNText"/>
            </w:pPr>
            <w:r w:rsidRPr="00C478BC">
              <w:t xml:space="preserve">Local </w:t>
            </w:r>
            <w:r w:rsidR="006B4692" w:rsidRPr="00C478BC">
              <w:t>Health District</w:t>
            </w:r>
          </w:p>
        </w:tc>
      </w:tr>
      <w:tr w:rsidR="00C25149" w14:paraId="60946944" w14:textId="77777777" w:rsidTr="00B25FA6">
        <w:trPr>
          <w:cnfStyle w:val="000000010000" w:firstRow="0" w:lastRow="0" w:firstColumn="0" w:lastColumn="0" w:oddVBand="0" w:evenVBand="0" w:oddHBand="0" w:evenHBand="1" w:firstRowFirstColumn="0" w:firstRowLastColumn="0" w:lastRowFirstColumn="0" w:lastRowLastColumn="0"/>
        </w:trPr>
        <w:tc>
          <w:tcPr>
            <w:tcW w:w="2212" w:type="dxa"/>
          </w:tcPr>
          <w:p w14:paraId="392D0D4B" w14:textId="29A6A535" w:rsidR="00C25149" w:rsidRPr="00C478BC" w:rsidRDefault="00C25149" w:rsidP="00C478BC">
            <w:pPr>
              <w:pStyle w:val="TableNText"/>
            </w:pPr>
            <w:r w:rsidRPr="00C478BC">
              <w:t>MBS</w:t>
            </w:r>
          </w:p>
        </w:tc>
        <w:tc>
          <w:tcPr>
            <w:tcW w:w="6888" w:type="dxa"/>
          </w:tcPr>
          <w:p w14:paraId="1063D2A3" w14:textId="273BEBB0" w:rsidR="00C25149" w:rsidRPr="00C478BC" w:rsidRDefault="00C25149" w:rsidP="00C478BC">
            <w:pPr>
              <w:pStyle w:val="TableNText"/>
            </w:pPr>
            <w:r w:rsidRPr="00C478BC">
              <w:t>Medicare Benefits Schedule</w:t>
            </w:r>
          </w:p>
        </w:tc>
      </w:tr>
      <w:tr w:rsidR="00DD1826" w14:paraId="1B8F04D0" w14:textId="77777777" w:rsidTr="00B25FA6">
        <w:trPr>
          <w:cnfStyle w:val="000000100000" w:firstRow="0" w:lastRow="0" w:firstColumn="0" w:lastColumn="0" w:oddVBand="0" w:evenVBand="0" w:oddHBand="1" w:evenHBand="0" w:firstRowFirstColumn="0" w:firstRowLastColumn="0" w:lastRowFirstColumn="0" w:lastRowLastColumn="0"/>
        </w:trPr>
        <w:tc>
          <w:tcPr>
            <w:tcW w:w="2212" w:type="dxa"/>
          </w:tcPr>
          <w:p w14:paraId="3B9516B2" w14:textId="55D8CF88" w:rsidR="00DD1826" w:rsidRPr="00C478BC" w:rsidRDefault="00DD1826" w:rsidP="00C478BC">
            <w:pPr>
              <w:pStyle w:val="TableNText"/>
            </w:pPr>
            <w:r w:rsidRPr="00C478BC">
              <w:t>NIHSI-AA</w:t>
            </w:r>
          </w:p>
        </w:tc>
        <w:tc>
          <w:tcPr>
            <w:tcW w:w="6888" w:type="dxa"/>
          </w:tcPr>
          <w:p w14:paraId="61949117" w14:textId="6B841133" w:rsidR="00DD1826" w:rsidRPr="00C478BC" w:rsidRDefault="00C25149" w:rsidP="00C478BC">
            <w:pPr>
              <w:pStyle w:val="TableNText"/>
            </w:pPr>
            <w:r w:rsidRPr="00C478BC">
              <w:t xml:space="preserve">National Integrated Health Services Information Analysis Asset </w:t>
            </w:r>
          </w:p>
        </w:tc>
      </w:tr>
      <w:tr w:rsidR="00BD746C" w14:paraId="0D934A4A" w14:textId="77777777" w:rsidTr="00B25FA6">
        <w:trPr>
          <w:cnfStyle w:val="000000010000" w:firstRow="0" w:lastRow="0" w:firstColumn="0" w:lastColumn="0" w:oddVBand="0" w:evenVBand="0" w:oddHBand="0" w:evenHBand="1" w:firstRowFirstColumn="0" w:firstRowLastColumn="0" w:lastRowFirstColumn="0" w:lastRowLastColumn="0"/>
        </w:trPr>
        <w:tc>
          <w:tcPr>
            <w:tcW w:w="2212" w:type="dxa"/>
          </w:tcPr>
          <w:p w14:paraId="39D07C3E" w14:textId="5BA96585" w:rsidR="00BD746C" w:rsidRPr="00C478BC" w:rsidRDefault="003678CC" w:rsidP="00C478BC">
            <w:pPr>
              <w:pStyle w:val="TableNText"/>
            </w:pPr>
            <w:r w:rsidRPr="00C478BC">
              <w:t>NHMRC</w:t>
            </w:r>
          </w:p>
        </w:tc>
        <w:tc>
          <w:tcPr>
            <w:tcW w:w="6888" w:type="dxa"/>
          </w:tcPr>
          <w:p w14:paraId="0E3B21FB" w14:textId="2D48582E" w:rsidR="00BD746C" w:rsidRPr="00C478BC" w:rsidRDefault="003678CC" w:rsidP="00C478BC">
            <w:pPr>
              <w:pStyle w:val="TableNText"/>
            </w:pPr>
            <w:r w:rsidRPr="00C478BC">
              <w:t>National Health and Medical Research Council</w:t>
            </w:r>
          </w:p>
        </w:tc>
      </w:tr>
      <w:tr w:rsidR="006D4DE5" w14:paraId="75852C65" w14:textId="77777777" w:rsidTr="00B25FA6">
        <w:trPr>
          <w:cnfStyle w:val="000000100000" w:firstRow="0" w:lastRow="0" w:firstColumn="0" w:lastColumn="0" w:oddVBand="0" w:evenVBand="0" w:oddHBand="1" w:evenHBand="0" w:firstRowFirstColumn="0" w:firstRowLastColumn="0" w:lastRowFirstColumn="0" w:lastRowLastColumn="0"/>
        </w:trPr>
        <w:tc>
          <w:tcPr>
            <w:tcW w:w="2212" w:type="dxa"/>
          </w:tcPr>
          <w:p w14:paraId="57DF0CF5" w14:textId="3C8FCBE2" w:rsidR="006D4DE5" w:rsidRPr="00C478BC" w:rsidRDefault="006D4DE5" w:rsidP="00C478BC">
            <w:pPr>
              <w:pStyle w:val="TableNText"/>
            </w:pPr>
            <w:r w:rsidRPr="00C478BC">
              <w:t>NSW</w:t>
            </w:r>
          </w:p>
        </w:tc>
        <w:tc>
          <w:tcPr>
            <w:tcW w:w="6888" w:type="dxa"/>
          </w:tcPr>
          <w:p w14:paraId="2300ECB2" w14:textId="06F378BC" w:rsidR="006D4DE5" w:rsidRPr="00C478BC" w:rsidRDefault="006D4DE5" w:rsidP="00C478BC">
            <w:pPr>
              <w:pStyle w:val="TableNText"/>
            </w:pPr>
            <w:r w:rsidRPr="00C478BC">
              <w:t>New South Wales</w:t>
            </w:r>
          </w:p>
        </w:tc>
      </w:tr>
      <w:tr w:rsidR="006D4DE5" w14:paraId="4D21C42C" w14:textId="77777777" w:rsidTr="00B25FA6">
        <w:trPr>
          <w:cnfStyle w:val="000000010000" w:firstRow="0" w:lastRow="0" w:firstColumn="0" w:lastColumn="0" w:oddVBand="0" w:evenVBand="0" w:oddHBand="0" w:evenHBand="1" w:firstRowFirstColumn="0" w:firstRowLastColumn="0" w:lastRowFirstColumn="0" w:lastRowLastColumn="0"/>
        </w:trPr>
        <w:tc>
          <w:tcPr>
            <w:tcW w:w="2212" w:type="dxa"/>
          </w:tcPr>
          <w:p w14:paraId="110526B0" w14:textId="49D59676" w:rsidR="006D4DE5" w:rsidRPr="00C478BC" w:rsidRDefault="006D4DE5" w:rsidP="00C478BC">
            <w:pPr>
              <w:pStyle w:val="TableNText"/>
            </w:pPr>
            <w:r w:rsidRPr="00C478BC">
              <w:t>NT</w:t>
            </w:r>
          </w:p>
        </w:tc>
        <w:tc>
          <w:tcPr>
            <w:tcW w:w="6888" w:type="dxa"/>
          </w:tcPr>
          <w:p w14:paraId="0DA9FB7E" w14:textId="0C67F9A6" w:rsidR="006D4DE5" w:rsidRPr="00C478BC" w:rsidRDefault="006D4DE5" w:rsidP="00C478BC">
            <w:pPr>
              <w:pStyle w:val="TableNText"/>
            </w:pPr>
            <w:r w:rsidRPr="00C478BC">
              <w:t>Northern Territory</w:t>
            </w:r>
          </w:p>
        </w:tc>
      </w:tr>
      <w:tr w:rsidR="00C25149" w14:paraId="5123940E" w14:textId="77777777" w:rsidTr="00B25FA6">
        <w:trPr>
          <w:cnfStyle w:val="000000100000" w:firstRow="0" w:lastRow="0" w:firstColumn="0" w:lastColumn="0" w:oddVBand="0" w:evenVBand="0" w:oddHBand="1" w:evenHBand="0" w:firstRowFirstColumn="0" w:firstRowLastColumn="0" w:lastRowFirstColumn="0" w:lastRowLastColumn="0"/>
        </w:trPr>
        <w:tc>
          <w:tcPr>
            <w:tcW w:w="2212" w:type="dxa"/>
          </w:tcPr>
          <w:p w14:paraId="15B22E73" w14:textId="7E4417F5" w:rsidR="00C25149" w:rsidRPr="00C478BC" w:rsidRDefault="00C25149" w:rsidP="00C478BC">
            <w:pPr>
              <w:pStyle w:val="TableNText"/>
            </w:pPr>
            <w:r w:rsidRPr="00C478BC">
              <w:t>PBS</w:t>
            </w:r>
          </w:p>
        </w:tc>
        <w:tc>
          <w:tcPr>
            <w:tcW w:w="6888" w:type="dxa"/>
          </w:tcPr>
          <w:p w14:paraId="6FACBEE0" w14:textId="19F70E90" w:rsidR="00C25149" w:rsidRPr="00C478BC" w:rsidRDefault="00C25149" w:rsidP="00C478BC">
            <w:pPr>
              <w:pStyle w:val="TableNText"/>
            </w:pPr>
            <w:r w:rsidRPr="00C478BC">
              <w:t>Pharmaceutical Benefits Schedule</w:t>
            </w:r>
          </w:p>
        </w:tc>
      </w:tr>
      <w:tr w:rsidR="006D4DE5" w14:paraId="7D99E75F" w14:textId="77777777" w:rsidTr="00B25FA6">
        <w:trPr>
          <w:cnfStyle w:val="000000010000" w:firstRow="0" w:lastRow="0" w:firstColumn="0" w:lastColumn="0" w:oddVBand="0" w:evenVBand="0" w:oddHBand="0" w:evenHBand="1" w:firstRowFirstColumn="0" w:firstRowLastColumn="0" w:lastRowFirstColumn="0" w:lastRowLastColumn="0"/>
        </w:trPr>
        <w:tc>
          <w:tcPr>
            <w:tcW w:w="2212" w:type="dxa"/>
          </w:tcPr>
          <w:p w14:paraId="20268C9C" w14:textId="7032EC71" w:rsidR="006D4DE5" w:rsidRPr="00C478BC" w:rsidRDefault="006D4DE5" w:rsidP="00C478BC">
            <w:pPr>
              <w:pStyle w:val="TableNText"/>
            </w:pPr>
            <w:r w:rsidRPr="00C478BC">
              <w:lastRenderedPageBreak/>
              <w:t>PCA</w:t>
            </w:r>
          </w:p>
        </w:tc>
        <w:tc>
          <w:tcPr>
            <w:tcW w:w="6888" w:type="dxa"/>
          </w:tcPr>
          <w:p w14:paraId="01ED09B4" w14:textId="6CA5ACC0" w:rsidR="006D4DE5" w:rsidRPr="00C478BC" w:rsidRDefault="006D4DE5" w:rsidP="00C478BC">
            <w:pPr>
              <w:pStyle w:val="TableNText"/>
            </w:pPr>
            <w:r w:rsidRPr="00C478BC">
              <w:t>Palliative Care Australia</w:t>
            </w:r>
          </w:p>
        </w:tc>
      </w:tr>
      <w:tr w:rsidR="006D4DE5" w14:paraId="752CD8EF" w14:textId="77777777" w:rsidTr="00B25FA6">
        <w:trPr>
          <w:cnfStyle w:val="000000100000" w:firstRow="0" w:lastRow="0" w:firstColumn="0" w:lastColumn="0" w:oddVBand="0" w:evenVBand="0" w:oddHBand="1" w:evenHBand="0" w:firstRowFirstColumn="0" w:firstRowLastColumn="0" w:lastRowFirstColumn="0" w:lastRowLastColumn="0"/>
        </w:trPr>
        <w:tc>
          <w:tcPr>
            <w:tcW w:w="2212" w:type="dxa"/>
          </w:tcPr>
          <w:p w14:paraId="49EBCBCA" w14:textId="3BA65A30" w:rsidR="006D4DE5" w:rsidRPr="00C478BC" w:rsidRDefault="006D4DE5" w:rsidP="00C478BC">
            <w:pPr>
              <w:pStyle w:val="TableNText"/>
            </w:pPr>
            <w:r w:rsidRPr="00C478BC">
              <w:t>PCOC</w:t>
            </w:r>
          </w:p>
        </w:tc>
        <w:tc>
          <w:tcPr>
            <w:tcW w:w="6888" w:type="dxa"/>
          </w:tcPr>
          <w:p w14:paraId="75F5E3B0" w14:textId="69CA2530" w:rsidR="006D4DE5" w:rsidRPr="00C478BC" w:rsidRDefault="006D4DE5" w:rsidP="00C478BC">
            <w:pPr>
              <w:pStyle w:val="TableNText"/>
            </w:pPr>
            <w:r w:rsidRPr="00C478BC">
              <w:t>Palliative Care Outcomes Collaboration</w:t>
            </w:r>
          </w:p>
        </w:tc>
      </w:tr>
      <w:tr w:rsidR="006D4DE5" w14:paraId="49748633" w14:textId="77777777" w:rsidTr="00B25FA6">
        <w:trPr>
          <w:cnfStyle w:val="000000010000" w:firstRow="0" w:lastRow="0" w:firstColumn="0" w:lastColumn="0" w:oddVBand="0" w:evenVBand="0" w:oddHBand="0" w:evenHBand="1" w:firstRowFirstColumn="0" w:firstRowLastColumn="0" w:lastRowFirstColumn="0" w:lastRowLastColumn="0"/>
        </w:trPr>
        <w:tc>
          <w:tcPr>
            <w:tcW w:w="2212" w:type="dxa"/>
          </w:tcPr>
          <w:p w14:paraId="56379B45" w14:textId="26590F9C" w:rsidR="006D4DE5" w:rsidRPr="00C478BC" w:rsidRDefault="006D4DE5" w:rsidP="00C478BC">
            <w:pPr>
              <w:pStyle w:val="TableNText"/>
            </w:pPr>
            <w:r w:rsidRPr="00C478BC">
              <w:t>PHN</w:t>
            </w:r>
          </w:p>
        </w:tc>
        <w:tc>
          <w:tcPr>
            <w:tcW w:w="6888" w:type="dxa"/>
          </w:tcPr>
          <w:p w14:paraId="2E4C8AC5" w14:textId="53868C3D" w:rsidR="006D4DE5" w:rsidRPr="00C478BC" w:rsidRDefault="006D4DE5" w:rsidP="00C478BC">
            <w:pPr>
              <w:pStyle w:val="TableNText"/>
            </w:pPr>
            <w:r w:rsidRPr="00C478BC">
              <w:t>Primary Health Network</w:t>
            </w:r>
          </w:p>
        </w:tc>
      </w:tr>
      <w:tr w:rsidR="006D4DE5" w14:paraId="6E52AC78" w14:textId="77777777" w:rsidTr="00B25FA6">
        <w:trPr>
          <w:cnfStyle w:val="000000100000" w:firstRow="0" w:lastRow="0" w:firstColumn="0" w:lastColumn="0" w:oddVBand="0" w:evenVBand="0" w:oddHBand="1" w:evenHBand="0" w:firstRowFirstColumn="0" w:firstRowLastColumn="0" w:lastRowFirstColumn="0" w:lastRowLastColumn="0"/>
        </w:trPr>
        <w:tc>
          <w:tcPr>
            <w:tcW w:w="2212" w:type="dxa"/>
          </w:tcPr>
          <w:p w14:paraId="449DFE03" w14:textId="53979D04" w:rsidR="006D4DE5" w:rsidRPr="00C478BC" w:rsidRDefault="006D4DE5" w:rsidP="00C478BC">
            <w:pPr>
              <w:pStyle w:val="TableNText"/>
            </w:pPr>
            <w:r w:rsidRPr="00C478BC">
              <w:t>RACF</w:t>
            </w:r>
          </w:p>
        </w:tc>
        <w:tc>
          <w:tcPr>
            <w:tcW w:w="6888" w:type="dxa"/>
          </w:tcPr>
          <w:p w14:paraId="7C268F41" w14:textId="734956B0" w:rsidR="006D4DE5" w:rsidRPr="00C478BC" w:rsidRDefault="006D4DE5" w:rsidP="00C478BC">
            <w:pPr>
              <w:pStyle w:val="TableNText"/>
            </w:pPr>
            <w:r w:rsidRPr="00C478BC">
              <w:t xml:space="preserve">Residential aged care facility </w:t>
            </w:r>
          </w:p>
        </w:tc>
      </w:tr>
      <w:tr w:rsidR="006D4DE5" w14:paraId="769BC0A5" w14:textId="77777777" w:rsidTr="00B25FA6">
        <w:trPr>
          <w:cnfStyle w:val="000000010000" w:firstRow="0" w:lastRow="0" w:firstColumn="0" w:lastColumn="0" w:oddVBand="0" w:evenVBand="0" w:oddHBand="0" w:evenHBand="1" w:firstRowFirstColumn="0" w:firstRowLastColumn="0" w:lastRowFirstColumn="0" w:lastRowLastColumn="0"/>
        </w:trPr>
        <w:tc>
          <w:tcPr>
            <w:tcW w:w="2212" w:type="dxa"/>
          </w:tcPr>
          <w:p w14:paraId="236FBD0E" w14:textId="35616FA6" w:rsidR="006D4DE5" w:rsidRPr="00C478BC" w:rsidRDefault="006D4DE5" w:rsidP="00C478BC">
            <w:pPr>
              <w:pStyle w:val="TableNText"/>
            </w:pPr>
            <w:r w:rsidRPr="00C478BC">
              <w:t>SA</w:t>
            </w:r>
          </w:p>
        </w:tc>
        <w:tc>
          <w:tcPr>
            <w:tcW w:w="6888" w:type="dxa"/>
          </w:tcPr>
          <w:p w14:paraId="10B4793D" w14:textId="48E27D21" w:rsidR="006D4DE5" w:rsidRPr="00C478BC" w:rsidRDefault="006D4DE5" w:rsidP="00C478BC">
            <w:pPr>
              <w:pStyle w:val="TableNText"/>
            </w:pPr>
            <w:r w:rsidRPr="00C478BC">
              <w:t>South Australia</w:t>
            </w:r>
          </w:p>
        </w:tc>
      </w:tr>
      <w:tr w:rsidR="006D4DE5" w14:paraId="1DC43216" w14:textId="77777777" w:rsidTr="00B25FA6">
        <w:trPr>
          <w:cnfStyle w:val="000000100000" w:firstRow="0" w:lastRow="0" w:firstColumn="0" w:lastColumn="0" w:oddVBand="0" w:evenVBand="0" w:oddHBand="1" w:evenHBand="0" w:firstRowFirstColumn="0" w:firstRowLastColumn="0" w:lastRowFirstColumn="0" w:lastRowLastColumn="0"/>
        </w:trPr>
        <w:tc>
          <w:tcPr>
            <w:tcW w:w="2212" w:type="dxa"/>
          </w:tcPr>
          <w:p w14:paraId="503A6F94" w14:textId="396066ED" w:rsidR="006D4DE5" w:rsidRPr="00C478BC" w:rsidRDefault="006D4DE5" w:rsidP="00C478BC">
            <w:pPr>
              <w:pStyle w:val="TableNText"/>
            </w:pPr>
            <w:r w:rsidRPr="00C478BC">
              <w:t>WA</w:t>
            </w:r>
          </w:p>
        </w:tc>
        <w:tc>
          <w:tcPr>
            <w:tcW w:w="6888" w:type="dxa"/>
          </w:tcPr>
          <w:p w14:paraId="6CD7617F" w14:textId="2A436E21" w:rsidR="006D4DE5" w:rsidRPr="00C478BC" w:rsidRDefault="006D4DE5" w:rsidP="00C478BC">
            <w:pPr>
              <w:pStyle w:val="TableNText"/>
            </w:pPr>
            <w:r w:rsidRPr="00C478BC">
              <w:t>Western Australia</w:t>
            </w:r>
          </w:p>
        </w:tc>
      </w:tr>
    </w:tbl>
    <w:p w14:paraId="407C5B1C" w14:textId="77777777" w:rsidR="006D4DE5" w:rsidRPr="00065F95" w:rsidRDefault="006D4DE5" w:rsidP="006D4DE5"/>
    <w:p w14:paraId="5EAF3630" w14:textId="77777777" w:rsidR="001739D4" w:rsidRDefault="001739D4" w:rsidP="006D4DE5">
      <w:pPr>
        <w:sectPr w:rsidR="001739D4" w:rsidSect="00AE1109">
          <w:headerReference w:type="first" r:id="rId48"/>
          <w:footerReference w:type="first" r:id="rId49"/>
          <w:pgSz w:w="11907" w:h="16839" w:code="9"/>
          <w:pgMar w:top="1418" w:right="1418" w:bottom="1701" w:left="1559" w:header="720" w:footer="720" w:gutter="0"/>
          <w:cols w:space="720"/>
          <w:titlePg/>
          <w:docGrid w:linePitch="360"/>
        </w:sectPr>
      </w:pPr>
    </w:p>
    <w:p w14:paraId="7B924645" w14:textId="690BE7F8" w:rsidR="006F4470" w:rsidRPr="006D4DE5" w:rsidRDefault="001739D4" w:rsidP="006D4DE5">
      <w:r>
        <w:rPr>
          <w:noProof/>
          <w:lang w:eastAsia="en-AU"/>
        </w:rPr>
        <w:lastRenderedPageBreak/>
        <w:drawing>
          <wp:anchor distT="0" distB="0" distL="114300" distR="114300" simplePos="0" relativeHeight="251655171" behindDoc="0" locked="0" layoutInCell="1" allowOverlap="1" wp14:anchorId="08CF06FE" wp14:editId="3AE5BB19">
            <wp:simplePos x="0" y="0"/>
            <wp:positionH relativeFrom="page">
              <wp:align>right</wp:align>
            </wp:positionH>
            <wp:positionV relativeFrom="paragraph">
              <wp:posOffset>-54269</wp:posOffset>
            </wp:positionV>
            <wp:extent cx="7593823" cy="9826900"/>
            <wp:effectExtent l="0" t="0" r="762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593823" cy="9826900"/>
                    </a:xfrm>
                    <a:prstGeom prst="rect">
                      <a:avLst/>
                    </a:prstGeom>
                  </pic:spPr>
                </pic:pic>
              </a:graphicData>
            </a:graphic>
            <wp14:sizeRelH relativeFrom="page">
              <wp14:pctWidth>0</wp14:pctWidth>
            </wp14:sizeRelH>
            <wp14:sizeRelV relativeFrom="page">
              <wp14:pctHeight>0</wp14:pctHeight>
            </wp14:sizeRelV>
          </wp:anchor>
        </w:drawing>
      </w:r>
    </w:p>
    <w:sectPr w:rsidR="006F4470" w:rsidRPr="006D4DE5" w:rsidSect="00AE1109">
      <w:pgSz w:w="11907" w:h="16839" w:code="9"/>
      <w:pgMar w:top="1418" w:right="1418" w:bottom="1701" w:left="1559"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1242E" w14:textId="77777777" w:rsidR="000E07BE" w:rsidRDefault="000E07BE" w:rsidP="00302076">
      <w:pPr>
        <w:spacing w:after="0"/>
      </w:pPr>
      <w:r>
        <w:separator/>
      </w:r>
    </w:p>
  </w:endnote>
  <w:endnote w:type="continuationSeparator" w:id="0">
    <w:p w14:paraId="27F2631F" w14:textId="77777777" w:rsidR="000E07BE" w:rsidRDefault="000E07BE" w:rsidP="00302076">
      <w:pPr>
        <w:spacing w:after="0"/>
      </w:pPr>
      <w:r>
        <w:continuationSeparator/>
      </w:r>
    </w:p>
  </w:endnote>
  <w:endnote w:type="continuationNotice" w:id="1">
    <w:p w14:paraId="32C16241" w14:textId="77777777" w:rsidR="000E07BE" w:rsidRDefault="000E07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crosoft YaHei Light">
    <w:charset w:val="86"/>
    <w:family w:val="swiss"/>
    <w:pitch w:val="variable"/>
    <w:sig w:usb0="80000287" w:usb1="2ACF0010" w:usb2="00000016" w:usb3="00000000" w:csb0="0004001F" w:csb1="00000000"/>
  </w:font>
  <w:font w:name="Microsoft YaHei">
    <w:panose1 w:val="020B0503020204020204"/>
    <w:charset w:val="86"/>
    <w:family w:val="swiss"/>
    <w:pitch w:val="variable"/>
    <w:sig w:usb0="80000287" w:usb1="2ACF3C50" w:usb2="00000016" w:usb3="00000000" w:csb0="0004001F" w:csb1="00000000"/>
  </w:font>
  <w:font w:name="Segoe UI Semilight">
    <w:panose1 w:val="020B0402040204020203"/>
    <w:charset w:val="00"/>
    <w:family w:val="swiss"/>
    <w:pitch w:val="variable"/>
    <w:sig w:usb0="E4002EFF" w:usb1="C000E47F" w:usb2="00000009" w:usb3="00000000" w:csb0="000001FF" w:csb1="00000000"/>
  </w:font>
  <w:font w:name="Microsoft YaHei UI Light">
    <w:panose1 w:val="020B0502040204020203"/>
    <w:charset w:val="86"/>
    <w:family w:val="swiss"/>
    <w:pitch w:val="variable"/>
    <w:sig w:usb0="80000287" w:usb1="2ACF0010" w:usb2="00000016" w:usb3="00000000" w:csb0="0004001F" w:csb1="00000000"/>
  </w:font>
  <w:font w:name="@Yu Gothic UI Light">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5313D" w14:textId="2B6032EE" w:rsidR="008853AC" w:rsidRPr="00FD4AB1" w:rsidRDefault="008853AC" w:rsidP="003A2FA9">
    <w:pPr>
      <w:pStyle w:val="Footer"/>
      <w:rPr>
        <w:rFonts w:ascii="Segoe UI Semibold" w:hAnsi="Segoe UI Semibold" w:cs="Segoe UI"/>
        <w:b/>
      </w:rPr>
    </w:pPr>
    <w:r>
      <w:rPr>
        <w:color w:val="808080" w:themeColor="background1" w:themeShade="80"/>
        <w:szCs w:val="15"/>
        <w:lang w:eastAsia="en-AU"/>
      </w:rPr>
      <w:t xml:space="preserve">Nous Group | </w:t>
    </w:r>
    <w:sdt>
      <w:sdtPr>
        <w:rPr>
          <w:color w:val="808080" w:themeColor="background1" w:themeShade="80"/>
          <w:szCs w:val="15"/>
          <w:lang w:eastAsia="en-AU"/>
        </w:rPr>
        <w:alias w:val="Title"/>
        <w:id w:val="-1884786918"/>
        <w:dataBinding w:prefixMappings="xmlns:ns0='http://purl.org/dc/elements/1.1/' xmlns:ns1='http://schemas.openxmlformats.org/package/2006/metadata/core-properties' " w:xpath="/ns1:coreProperties[1]/ns0:title[1]" w:storeItemID="{6C3C8BC8-F283-45AE-878A-BAB7291924A1}"/>
        <w:text/>
      </w:sdtPr>
      <w:sdtEndPr/>
      <w:sdtContent>
        <w:r w:rsidR="00514362">
          <w:rPr>
            <w:color w:val="808080" w:themeColor="background1" w:themeShade="80"/>
            <w:szCs w:val="15"/>
            <w:lang w:eastAsia="en-AU"/>
          </w:rPr>
          <w:t>Comprehensive Palliative Care in Aged Care Measure – Evaluation Framework</w:t>
        </w:r>
      </w:sdtContent>
    </w:sdt>
    <w:r>
      <w:rPr>
        <w:color w:val="808080" w:themeColor="background1" w:themeShade="80"/>
        <w:szCs w:val="15"/>
        <w:lang w:eastAsia="en-AU"/>
      </w:rPr>
      <w:t xml:space="preserve"> | </w:t>
    </w:r>
    <w:sdt>
      <w:sdtPr>
        <w:rPr>
          <w:color w:val="808080" w:themeColor="background1" w:themeShade="80"/>
          <w:szCs w:val="15"/>
          <w:lang w:eastAsia="en-AU"/>
        </w:rPr>
        <w:alias w:val="Publish Date"/>
        <w:id w:val="-1703779964"/>
        <w:dataBinding w:prefixMappings="xmlns:ns0='http://schemas.microsoft.com/office/2006/coverPageProps' " w:xpath="/ns0:CoverPageProperties[1]/ns0:PublishDate[1]" w:storeItemID="{55AF091B-3C7A-41E3-B477-F2FDAA23CFDA}"/>
        <w:date w:fullDate="2021-09-13T00:00:00Z">
          <w:dateFormat w:val="d MMMM yyyy"/>
          <w:lid w:val="en-AU"/>
          <w:storeMappedDataAs w:val="dateTime"/>
          <w:calendar w:val="gregorian"/>
        </w:date>
      </w:sdtPr>
      <w:sdtEndPr/>
      <w:sdtContent>
        <w:r w:rsidR="00C76193">
          <w:rPr>
            <w:color w:val="808080" w:themeColor="background1" w:themeShade="80"/>
            <w:szCs w:val="15"/>
            <w:lang w:eastAsia="en-AU"/>
          </w:rPr>
          <w:t>13 September 2021</w:t>
        </w:r>
      </w:sdtContent>
    </w:sdt>
    <w:r w:rsidRPr="00FD4AB1">
      <w:rPr>
        <w:rFonts w:ascii="Segoe UI Semibold" w:hAnsi="Segoe UI Semibold" w:cs="Segoe UI"/>
        <w:color w:val="A5A5A5"/>
      </w:rPr>
      <w:ptab w:relativeTo="margin" w:alignment="right" w:leader="none"/>
    </w:r>
    <w:r w:rsidRPr="00FD4AB1">
      <w:rPr>
        <w:rFonts w:cs="Segoe UI"/>
        <w:color w:val="A5A5A5"/>
      </w:rPr>
      <w:t xml:space="preserve">| </w:t>
    </w:r>
    <w:r w:rsidRPr="003B464C">
      <w:rPr>
        <w:rFonts w:cs="Segoe UI"/>
        <w:b/>
        <w:color w:val="A5A5A5"/>
        <w:sz w:val="16"/>
        <w:szCs w:val="16"/>
      </w:rPr>
      <w:fldChar w:fldCharType="begin"/>
    </w:r>
    <w:r w:rsidRPr="003B464C">
      <w:rPr>
        <w:rFonts w:cs="Segoe UI"/>
        <w:color w:val="A5A5A5"/>
        <w:sz w:val="16"/>
        <w:szCs w:val="16"/>
      </w:rPr>
      <w:instrText xml:space="preserve"> PAGE  \* roman  \* MERGEFORMAT </w:instrText>
    </w:r>
    <w:r w:rsidRPr="003B464C">
      <w:rPr>
        <w:rFonts w:cs="Segoe UI"/>
        <w:b/>
        <w:color w:val="A5A5A5"/>
        <w:sz w:val="16"/>
        <w:szCs w:val="16"/>
      </w:rPr>
      <w:fldChar w:fldCharType="separate"/>
    </w:r>
    <w:r w:rsidRPr="00F75386">
      <w:rPr>
        <w:rFonts w:cs="Segoe UI"/>
        <w:b/>
        <w:noProof/>
        <w:color w:val="A5A5A5"/>
        <w:sz w:val="16"/>
        <w:szCs w:val="16"/>
      </w:rPr>
      <w:t>i</w:t>
    </w:r>
    <w:r w:rsidRPr="003B464C">
      <w:rPr>
        <w:rFonts w:cs="Segoe UI"/>
        <w:b/>
        <w:color w:val="A5A5A5"/>
        <w:sz w:val="16"/>
        <w:szCs w:val="16"/>
      </w:rPr>
      <w:fldChar w:fldCharType="end"/>
    </w:r>
    <w:r w:rsidRPr="003B464C">
      <w:rPr>
        <w:rFonts w:cs="Wingdings"/>
        <w:color w:val="A5A5A5"/>
        <w:sz w:val="16"/>
        <w:szCs w:val="16"/>
      </w:rPr>
      <w:t xml:space="preserve"> </w:t>
    </w:r>
    <w:r w:rsidRPr="00FD4AB1">
      <w:rPr>
        <w:rFonts w:cs="Wingdings"/>
        <w:color w:val="A5A5A5"/>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DF9A7" w14:textId="099A4F8F" w:rsidR="008853AC" w:rsidRPr="00FD4AB1" w:rsidRDefault="008853AC" w:rsidP="00A72E28">
    <w:pPr>
      <w:pStyle w:val="Footer"/>
      <w:rPr>
        <w:rFonts w:ascii="Segoe UI Semibold" w:hAnsi="Segoe UI Semibold" w:cs="Segoe UI"/>
        <w:b/>
      </w:rPr>
    </w:pPr>
    <w:r>
      <w:rPr>
        <w:color w:val="808080" w:themeColor="background1" w:themeShade="80"/>
        <w:szCs w:val="15"/>
        <w:lang w:eastAsia="en-AU"/>
      </w:rPr>
      <w:t xml:space="preserve">Nous Group | </w:t>
    </w:r>
    <w:sdt>
      <w:sdtPr>
        <w:rPr>
          <w:color w:val="808080" w:themeColor="background1" w:themeShade="80"/>
          <w:szCs w:val="15"/>
          <w:lang w:eastAsia="en-AU"/>
        </w:rPr>
        <w:alias w:val="Title"/>
        <w:id w:val="1089580792"/>
        <w:dataBinding w:prefixMappings="xmlns:ns0='http://purl.org/dc/elements/1.1/' xmlns:ns1='http://schemas.openxmlformats.org/package/2006/metadata/core-properties' " w:xpath="/ns1:coreProperties[1]/ns0:title[1]" w:storeItemID="{6C3C8BC8-F283-45AE-878A-BAB7291924A1}"/>
        <w:text/>
      </w:sdtPr>
      <w:sdtEndPr/>
      <w:sdtContent>
        <w:r w:rsidR="00514362">
          <w:rPr>
            <w:color w:val="808080" w:themeColor="background1" w:themeShade="80"/>
            <w:szCs w:val="15"/>
            <w:lang w:eastAsia="en-AU"/>
          </w:rPr>
          <w:t>Comprehensive Palliative Care in Aged Care Measure – Evaluation Framework</w:t>
        </w:r>
      </w:sdtContent>
    </w:sdt>
    <w:r>
      <w:rPr>
        <w:color w:val="808080" w:themeColor="background1" w:themeShade="80"/>
        <w:szCs w:val="15"/>
        <w:lang w:eastAsia="en-AU"/>
      </w:rPr>
      <w:t xml:space="preserve"> | </w:t>
    </w:r>
    <w:sdt>
      <w:sdtPr>
        <w:rPr>
          <w:color w:val="808080" w:themeColor="background1" w:themeShade="80"/>
          <w:szCs w:val="15"/>
          <w:lang w:eastAsia="en-AU"/>
        </w:rPr>
        <w:alias w:val="Publish Date"/>
        <w:id w:val="-1085840653"/>
        <w:dataBinding w:prefixMappings="xmlns:ns0='http://schemas.microsoft.com/office/2006/coverPageProps' " w:xpath="/ns0:CoverPageProperties[1]/ns0:PublishDate[1]" w:storeItemID="{55AF091B-3C7A-41E3-B477-F2FDAA23CFDA}"/>
        <w:date w:fullDate="2021-09-13T00:00:00Z">
          <w:dateFormat w:val="d MMMM yyyy"/>
          <w:lid w:val="en-AU"/>
          <w:storeMappedDataAs w:val="dateTime"/>
          <w:calendar w:val="gregorian"/>
        </w:date>
      </w:sdtPr>
      <w:sdtEndPr/>
      <w:sdtContent>
        <w:r w:rsidR="00C76193">
          <w:rPr>
            <w:color w:val="808080" w:themeColor="background1" w:themeShade="80"/>
            <w:szCs w:val="15"/>
            <w:lang w:eastAsia="en-AU"/>
          </w:rPr>
          <w:t>13 September 2021</w:t>
        </w:r>
      </w:sdtContent>
    </w:sdt>
    <w:r w:rsidRPr="00FD4AB1">
      <w:rPr>
        <w:rFonts w:ascii="Segoe UI Semibold" w:hAnsi="Segoe UI Semibold" w:cs="Segoe UI"/>
        <w:color w:val="A5A5A5"/>
      </w:rPr>
      <w:ptab w:relativeTo="margin" w:alignment="right" w:leader="none"/>
    </w:r>
    <w:r w:rsidRPr="00FD4AB1">
      <w:rPr>
        <w:rFonts w:cs="Segoe UI"/>
        <w:color w:val="A5A5A5"/>
      </w:rPr>
      <w:t xml:space="preserve">| </w:t>
    </w:r>
    <w:r w:rsidRPr="007401D3">
      <w:rPr>
        <w:rFonts w:cs="Segoe UI"/>
        <w:color w:val="A5A5A5"/>
        <w:sz w:val="16"/>
        <w:szCs w:val="16"/>
      </w:rPr>
      <w:fldChar w:fldCharType="begin"/>
    </w:r>
    <w:r w:rsidRPr="007401D3">
      <w:rPr>
        <w:rFonts w:cs="Segoe UI"/>
        <w:color w:val="A5A5A5"/>
        <w:sz w:val="16"/>
        <w:szCs w:val="16"/>
      </w:rPr>
      <w:instrText xml:space="preserve"> PAGE  \* roman  \* MERGEFORMAT </w:instrText>
    </w:r>
    <w:r w:rsidRPr="007401D3">
      <w:rPr>
        <w:rFonts w:cs="Segoe UI"/>
        <w:color w:val="A5A5A5"/>
        <w:sz w:val="16"/>
        <w:szCs w:val="16"/>
      </w:rPr>
      <w:fldChar w:fldCharType="separate"/>
    </w:r>
    <w:r w:rsidR="00FA7FCA">
      <w:rPr>
        <w:rFonts w:cs="Segoe UI"/>
        <w:noProof/>
        <w:color w:val="A5A5A5"/>
        <w:sz w:val="16"/>
        <w:szCs w:val="16"/>
      </w:rPr>
      <w:t>i</w:t>
    </w:r>
    <w:r w:rsidRPr="007401D3">
      <w:rPr>
        <w:rFonts w:cs="Segoe UI"/>
        <w:color w:val="A5A5A5"/>
        <w:sz w:val="16"/>
        <w:szCs w:val="16"/>
      </w:rPr>
      <w:fldChar w:fldCharType="end"/>
    </w:r>
    <w:r w:rsidRPr="003B464C">
      <w:rPr>
        <w:rFonts w:cs="Wingdings"/>
        <w:color w:val="A5A5A5"/>
        <w:sz w:val="16"/>
        <w:szCs w:val="16"/>
      </w:rPr>
      <w:t xml:space="preserve"> </w:t>
    </w:r>
    <w:r w:rsidRPr="00FD4AB1">
      <w:rPr>
        <w:rFonts w:cs="Wingdings"/>
        <w:color w:val="A5A5A5"/>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F90AA" w14:textId="5380A77B" w:rsidR="008853AC" w:rsidRDefault="008853AC" w:rsidP="00037553">
    <w:pPr>
      <w:pStyle w:val="NousFooter"/>
    </w:pPr>
    <w:r w:rsidRPr="008A55C6">
      <w:t xml:space="preserve">Nous Group | </w:t>
    </w:r>
    <w:sdt>
      <w:sdtPr>
        <w:alias w:val="Title"/>
        <w:id w:val="621348879"/>
        <w:dataBinding w:prefixMappings="xmlns:ns0='http://purl.org/dc/elements/1.1/' xmlns:ns1='http://schemas.openxmlformats.org/package/2006/metadata/core-properties' " w:xpath="/ns1:coreProperties[1]/ns0:title[1]" w:storeItemID="{6C3C8BC8-F283-45AE-878A-BAB7291924A1}"/>
        <w:text/>
      </w:sdtPr>
      <w:sdtEndPr/>
      <w:sdtContent>
        <w:r w:rsidR="00514362">
          <w:t>Comprehensive Palliative Care in Aged Care Measure – Evaluation Framework</w:t>
        </w:r>
      </w:sdtContent>
    </w:sdt>
    <w:r w:rsidRPr="008A55C6">
      <w:t xml:space="preserve"> | </w:t>
    </w:r>
    <w:sdt>
      <w:sdtPr>
        <w:alias w:val="Publish Date"/>
        <w:id w:val="1641069669"/>
        <w:dataBinding w:prefixMappings="xmlns:ns0='http://schemas.microsoft.com/office/2006/coverPageProps' " w:xpath="/ns0:CoverPageProperties[1]/ns0:PublishDate[1]" w:storeItemID="{55AF091B-3C7A-41E3-B477-F2FDAA23CFDA}"/>
        <w:date w:fullDate="2021-09-13T00:00:00Z">
          <w:dateFormat w:val="d MMMM yyyy"/>
          <w:lid w:val="en-AU"/>
          <w:storeMappedDataAs w:val="dateTime"/>
          <w:calendar w:val="gregorian"/>
        </w:date>
      </w:sdtPr>
      <w:sdtEndPr/>
      <w:sdtContent>
        <w:r w:rsidR="00C76193">
          <w:t>13 September 2021</w:t>
        </w:r>
      </w:sdtContent>
    </w:sdt>
    <w:r w:rsidRPr="008A55C6">
      <w:ptab w:relativeTo="margin" w:alignment="right" w:leader="none"/>
    </w:r>
    <w:r w:rsidRPr="008A55C6">
      <w:t>|</w:t>
    </w:r>
    <w:r>
      <w:t xml:space="preserve"> </w:t>
    </w:r>
    <w:r>
      <w:fldChar w:fldCharType="begin"/>
    </w:r>
    <w:r>
      <w:instrText xml:space="preserve"> PAGE  \* Arabic  \* MERGEFORMAT </w:instrText>
    </w:r>
    <w:r>
      <w:fldChar w:fldCharType="separate"/>
    </w:r>
    <w:r w:rsidR="00FA7FCA">
      <w:rPr>
        <w:noProof/>
      </w:rPr>
      <w:t>38</w:t>
    </w:r>
    <w:r>
      <w:fldChar w:fldCharType="end"/>
    </w:r>
    <w:r>
      <w:t xml:space="preserve"> </w:t>
    </w:r>
    <w:r w:rsidRPr="008A55C6">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C3C22" w14:textId="50651F72" w:rsidR="008853AC" w:rsidRDefault="008853AC" w:rsidP="005C3C6A">
    <w:pPr>
      <w:pStyle w:val="NousFooter"/>
    </w:pPr>
    <w:r w:rsidRPr="008A55C6">
      <w:t xml:space="preserve">Nous Group | </w:t>
    </w:r>
    <w:sdt>
      <w:sdtPr>
        <w:alias w:val="Title"/>
        <w:id w:val="-549230039"/>
        <w:dataBinding w:prefixMappings="xmlns:ns0='http://purl.org/dc/elements/1.1/' xmlns:ns1='http://schemas.openxmlformats.org/package/2006/metadata/core-properties' " w:xpath="/ns1:coreProperties[1]/ns0:title[1]" w:storeItemID="{6C3C8BC8-F283-45AE-878A-BAB7291924A1}"/>
        <w:text/>
      </w:sdtPr>
      <w:sdtEndPr/>
      <w:sdtContent>
        <w:r w:rsidR="00514362">
          <w:t>Comprehensive Palliative Care in Aged Care Measure – Evaluation Framework</w:t>
        </w:r>
      </w:sdtContent>
    </w:sdt>
    <w:r w:rsidRPr="008A55C6">
      <w:t xml:space="preserve"> | </w:t>
    </w:r>
    <w:sdt>
      <w:sdtPr>
        <w:alias w:val="Publish Date"/>
        <w:id w:val="212706791"/>
        <w:dataBinding w:prefixMappings="xmlns:ns0='http://schemas.microsoft.com/office/2006/coverPageProps' " w:xpath="/ns0:CoverPageProperties[1]/ns0:PublishDate[1]" w:storeItemID="{55AF091B-3C7A-41E3-B477-F2FDAA23CFDA}"/>
        <w:date w:fullDate="2021-09-13T00:00:00Z">
          <w:dateFormat w:val="d MMMM yyyy"/>
          <w:lid w:val="en-AU"/>
          <w:storeMappedDataAs w:val="dateTime"/>
          <w:calendar w:val="gregorian"/>
        </w:date>
      </w:sdtPr>
      <w:sdtEndPr/>
      <w:sdtContent>
        <w:r w:rsidR="00C76193">
          <w:t>13 September 2021</w:t>
        </w:r>
      </w:sdtContent>
    </w:sdt>
    <w:r w:rsidRPr="008A55C6">
      <w:ptab w:relativeTo="margin" w:alignment="right" w:leader="none"/>
    </w:r>
    <w:r w:rsidRPr="008A55C6">
      <w:t>|</w:t>
    </w:r>
    <w:r>
      <w:t xml:space="preserve"> </w:t>
    </w:r>
    <w:r>
      <w:fldChar w:fldCharType="begin"/>
    </w:r>
    <w:r>
      <w:instrText xml:space="preserve"> PAGE  \* Arabic  \* MERGEFORMAT </w:instrText>
    </w:r>
    <w:r>
      <w:fldChar w:fldCharType="separate"/>
    </w:r>
    <w:r w:rsidR="00FA7FCA">
      <w:rPr>
        <w:noProof/>
      </w:rPr>
      <w:t>37</w:t>
    </w:r>
    <w:r>
      <w:fldChar w:fldCharType="end"/>
    </w:r>
    <w:r>
      <w:t xml:space="preserve"> </w:t>
    </w:r>
    <w:r w:rsidRPr="008A55C6">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B3A5D" w14:textId="50AC3FC1" w:rsidR="008853AC" w:rsidRDefault="008853AC" w:rsidP="00037553">
    <w:pPr>
      <w:pStyle w:val="NousFooter"/>
    </w:pPr>
    <w:r w:rsidRPr="008A55C6">
      <w:t xml:space="preserve">Nous Group | </w:t>
    </w:r>
    <w:sdt>
      <w:sdtPr>
        <w:alias w:val="Title"/>
        <w:id w:val="908653969"/>
        <w:dataBinding w:prefixMappings="xmlns:ns0='http://purl.org/dc/elements/1.1/' xmlns:ns1='http://schemas.openxmlformats.org/package/2006/metadata/core-properties' " w:xpath="/ns1:coreProperties[1]/ns0:title[1]" w:storeItemID="{6C3C8BC8-F283-45AE-878A-BAB7291924A1}"/>
        <w:text/>
      </w:sdtPr>
      <w:sdtEndPr/>
      <w:sdtContent>
        <w:r w:rsidR="00514362">
          <w:t>Comprehensive Palliative Care in Aged Care Measure – Evaluation Framework</w:t>
        </w:r>
      </w:sdtContent>
    </w:sdt>
    <w:r w:rsidRPr="008A55C6">
      <w:t xml:space="preserve"> | </w:t>
    </w:r>
    <w:sdt>
      <w:sdtPr>
        <w:alias w:val="Publish Date"/>
        <w:id w:val="471644784"/>
        <w:dataBinding w:prefixMappings="xmlns:ns0='http://schemas.microsoft.com/office/2006/coverPageProps' " w:xpath="/ns0:CoverPageProperties[1]/ns0:PublishDate[1]" w:storeItemID="{55AF091B-3C7A-41E3-B477-F2FDAA23CFDA}"/>
        <w:date w:fullDate="2021-09-13T00:00:00Z">
          <w:dateFormat w:val="d MMMM yyyy"/>
          <w:lid w:val="en-AU"/>
          <w:storeMappedDataAs w:val="dateTime"/>
          <w:calendar w:val="gregorian"/>
        </w:date>
      </w:sdtPr>
      <w:sdtEndPr/>
      <w:sdtContent>
        <w:r w:rsidR="00C76193">
          <w:t>13 September 2021</w:t>
        </w:r>
      </w:sdtContent>
    </w:sdt>
    <w:r w:rsidRPr="008A55C6">
      <w:ptab w:relativeTo="margin" w:alignment="right" w:leader="none"/>
    </w:r>
    <w:r w:rsidRPr="008A55C6">
      <w:t>|</w:t>
    </w:r>
    <w:r>
      <w:t xml:space="preserve"> </w:t>
    </w:r>
    <w:r>
      <w:fldChar w:fldCharType="begin"/>
    </w:r>
    <w:r>
      <w:instrText xml:space="preserve"> PAGE  \* Arabic  \* MERGEFORMAT </w:instrText>
    </w:r>
    <w:r>
      <w:fldChar w:fldCharType="separate"/>
    </w:r>
    <w:r w:rsidR="00FA7FCA">
      <w:rPr>
        <w:noProof/>
      </w:rPr>
      <w:t>46</w:t>
    </w:r>
    <w:r>
      <w:fldChar w:fldCharType="end"/>
    </w:r>
    <w:r>
      <w:t xml:space="preserve"> </w:t>
    </w:r>
    <w:r w:rsidRPr="008A55C6">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CFD56" w14:textId="561842DF" w:rsidR="008853AC" w:rsidRDefault="008853AC" w:rsidP="003B13C5">
    <w:pPr>
      <w:pStyle w:val="NousFooter"/>
    </w:pPr>
    <w:r w:rsidRPr="008A55C6">
      <w:t xml:space="preserve">Nous Group | </w:t>
    </w:r>
    <w:sdt>
      <w:sdtPr>
        <w:alias w:val="Title"/>
        <w:id w:val="-1105959660"/>
        <w:dataBinding w:prefixMappings="xmlns:ns0='http://purl.org/dc/elements/1.1/' xmlns:ns1='http://schemas.openxmlformats.org/package/2006/metadata/core-properties' " w:xpath="/ns1:coreProperties[1]/ns0:title[1]" w:storeItemID="{6C3C8BC8-F283-45AE-878A-BAB7291924A1}"/>
        <w:text/>
      </w:sdtPr>
      <w:sdtEndPr/>
      <w:sdtContent>
        <w:r w:rsidR="00514362">
          <w:t>Comprehensive Palliative Care in Aged Care Measure – Evaluation Framework</w:t>
        </w:r>
      </w:sdtContent>
    </w:sdt>
    <w:r w:rsidRPr="008A55C6">
      <w:t xml:space="preserve"> | </w:t>
    </w:r>
    <w:sdt>
      <w:sdtPr>
        <w:alias w:val="Publish Date"/>
        <w:id w:val="225656721"/>
        <w:dataBinding w:prefixMappings="xmlns:ns0='http://schemas.microsoft.com/office/2006/coverPageProps' " w:xpath="/ns0:CoverPageProperties[1]/ns0:PublishDate[1]" w:storeItemID="{55AF091B-3C7A-41E3-B477-F2FDAA23CFDA}"/>
        <w:date w:fullDate="2021-09-13T00:00:00Z">
          <w:dateFormat w:val="d MMMM yyyy"/>
          <w:lid w:val="en-AU"/>
          <w:storeMappedDataAs w:val="dateTime"/>
          <w:calendar w:val="gregorian"/>
        </w:date>
      </w:sdtPr>
      <w:sdtEndPr/>
      <w:sdtContent>
        <w:r w:rsidR="00C76193">
          <w:t>13 September 2021</w:t>
        </w:r>
      </w:sdtContent>
    </w:sdt>
    <w:r w:rsidRPr="008A55C6">
      <w:ptab w:relativeTo="margin" w:alignment="right" w:leader="none"/>
    </w:r>
    <w:r w:rsidRPr="008A55C6">
      <w:t>|</w:t>
    </w:r>
    <w:r>
      <w:t xml:space="preserve"> </w:t>
    </w:r>
    <w:r>
      <w:fldChar w:fldCharType="begin"/>
    </w:r>
    <w:r>
      <w:instrText xml:space="preserve"> PAGE  \* Arabic  \* MERGEFORMAT </w:instrText>
    </w:r>
    <w:r>
      <w:fldChar w:fldCharType="separate"/>
    </w:r>
    <w:r w:rsidR="00FA7FCA">
      <w:rPr>
        <w:noProof/>
      </w:rPr>
      <w:t>45</w:t>
    </w:r>
    <w:r>
      <w:fldChar w:fldCharType="end"/>
    </w:r>
    <w:r>
      <w:t xml:space="preserve"> </w:t>
    </w:r>
    <w:r w:rsidRPr="008A55C6">
      <w: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115ED" w14:textId="43D10516" w:rsidR="008853AC" w:rsidRDefault="008853AC" w:rsidP="003B13C5">
    <w:pPr>
      <w:pStyle w:val="NousFooter"/>
    </w:pPr>
    <w:r w:rsidRPr="008A55C6">
      <w:t xml:space="preserve">Nous Group | </w:t>
    </w:r>
    <w:sdt>
      <w:sdtPr>
        <w:alias w:val="Title"/>
        <w:id w:val="328956666"/>
        <w:dataBinding w:prefixMappings="xmlns:ns0='http://purl.org/dc/elements/1.1/' xmlns:ns1='http://schemas.openxmlformats.org/package/2006/metadata/core-properties' " w:xpath="/ns1:coreProperties[1]/ns0:title[1]" w:storeItemID="{6C3C8BC8-F283-45AE-878A-BAB7291924A1}"/>
        <w:text/>
      </w:sdtPr>
      <w:sdtEndPr/>
      <w:sdtContent>
        <w:r w:rsidR="00514362">
          <w:t>Comprehensive Palliative Care in Aged Care Measure – Evaluation Framework</w:t>
        </w:r>
      </w:sdtContent>
    </w:sdt>
    <w:r w:rsidRPr="008A55C6">
      <w:t xml:space="preserve"> | </w:t>
    </w:r>
    <w:sdt>
      <w:sdtPr>
        <w:alias w:val="Publish Date"/>
        <w:id w:val="779310078"/>
        <w:dataBinding w:prefixMappings="xmlns:ns0='http://schemas.microsoft.com/office/2006/coverPageProps' " w:xpath="/ns0:CoverPageProperties[1]/ns0:PublishDate[1]" w:storeItemID="{55AF091B-3C7A-41E3-B477-F2FDAA23CFDA}"/>
        <w:date w:fullDate="2021-09-13T00:00:00Z">
          <w:dateFormat w:val="d MMMM yyyy"/>
          <w:lid w:val="en-AU"/>
          <w:storeMappedDataAs w:val="dateTime"/>
          <w:calendar w:val="gregorian"/>
        </w:date>
      </w:sdtPr>
      <w:sdtEndPr/>
      <w:sdtContent>
        <w:r w:rsidR="00C76193">
          <w:t>13 September 2021</w:t>
        </w:r>
      </w:sdtContent>
    </w:sdt>
    <w:r w:rsidRPr="008A55C6">
      <w:ptab w:relativeTo="margin" w:alignment="right" w:leader="none"/>
    </w:r>
    <w:r w:rsidRPr="008A55C6">
      <w:t>|</w:t>
    </w:r>
    <w:r>
      <w:t xml:space="preserve"> </w:t>
    </w:r>
    <w:r>
      <w:fldChar w:fldCharType="begin"/>
    </w:r>
    <w:r>
      <w:instrText xml:space="preserve"> PAGE  \* Arabic  \* MERGEFORMAT </w:instrText>
    </w:r>
    <w:r>
      <w:fldChar w:fldCharType="separate"/>
    </w:r>
    <w:r w:rsidR="00FA7FCA">
      <w:rPr>
        <w:noProof/>
      </w:rPr>
      <w:t>54</w:t>
    </w:r>
    <w:r>
      <w:fldChar w:fldCharType="end"/>
    </w:r>
    <w:r>
      <w:t xml:space="preserve"> </w:t>
    </w:r>
    <w:r w:rsidRPr="008A55C6">
      <w: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37F3F" w14:textId="695AA172" w:rsidR="008853AC" w:rsidRDefault="008853AC" w:rsidP="003B13C5">
    <w:pPr>
      <w:pStyle w:val="NousFooter"/>
    </w:pPr>
    <w:r w:rsidRPr="008A55C6">
      <w:t xml:space="preserve">Nous Group | </w:t>
    </w:r>
    <w:sdt>
      <w:sdtPr>
        <w:alias w:val="Title"/>
        <w:id w:val="893477139"/>
        <w:dataBinding w:prefixMappings="xmlns:ns0='http://purl.org/dc/elements/1.1/' xmlns:ns1='http://schemas.openxmlformats.org/package/2006/metadata/core-properties' " w:xpath="/ns1:coreProperties[1]/ns0:title[1]" w:storeItemID="{6C3C8BC8-F283-45AE-878A-BAB7291924A1}"/>
        <w:text/>
      </w:sdtPr>
      <w:sdtEndPr/>
      <w:sdtContent>
        <w:r w:rsidR="00514362">
          <w:t>Comprehensive Palliative Care in Aged Care Measure – Evaluation Framework</w:t>
        </w:r>
      </w:sdtContent>
    </w:sdt>
    <w:r w:rsidRPr="008A55C6">
      <w:t xml:space="preserve"> | </w:t>
    </w:r>
    <w:sdt>
      <w:sdtPr>
        <w:alias w:val="Publish Date"/>
        <w:id w:val="1596824649"/>
        <w:dataBinding w:prefixMappings="xmlns:ns0='http://schemas.microsoft.com/office/2006/coverPageProps' " w:xpath="/ns0:CoverPageProperties[1]/ns0:PublishDate[1]" w:storeItemID="{55AF091B-3C7A-41E3-B477-F2FDAA23CFDA}"/>
        <w:date w:fullDate="2021-09-13T00:00:00Z">
          <w:dateFormat w:val="d MMMM yyyy"/>
          <w:lid w:val="en-AU"/>
          <w:storeMappedDataAs w:val="dateTime"/>
          <w:calendar w:val="gregorian"/>
        </w:date>
      </w:sdtPr>
      <w:sdtEndPr/>
      <w:sdtContent>
        <w:r w:rsidR="00C76193">
          <w:t>13 September 2021</w:t>
        </w:r>
      </w:sdtContent>
    </w:sdt>
    <w:r w:rsidRPr="008A55C6">
      <w:ptab w:relativeTo="margin" w:alignment="right" w:leader="none"/>
    </w:r>
    <w:r w:rsidRPr="008A55C6">
      <w:t>|</w:t>
    </w:r>
    <w:r>
      <w:t xml:space="preserve"> </w:t>
    </w:r>
    <w:r>
      <w:fldChar w:fldCharType="begin"/>
    </w:r>
    <w:r>
      <w:instrText xml:space="preserve"> PAGE  \* Arabic  \* MERGEFORMAT </w:instrText>
    </w:r>
    <w:r>
      <w:fldChar w:fldCharType="separate"/>
    </w:r>
    <w:r w:rsidR="00FA7FCA">
      <w:rPr>
        <w:noProof/>
      </w:rPr>
      <w:t>58</w:t>
    </w:r>
    <w:r>
      <w:fldChar w:fldCharType="end"/>
    </w:r>
    <w:r>
      <w:t xml:space="preserve"> </w:t>
    </w:r>
    <w:r w:rsidRPr="008A55C6">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A5191" w14:textId="77777777" w:rsidR="000E07BE" w:rsidRDefault="000E07BE" w:rsidP="00302076">
      <w:pPr>
        <w:spacing w:after="0"/>
      </w:pPr>
      <w:r>
        <w:separator/>
      </w:r>
    </w:p>
  </w:footnote>
  <w:footnote w:type="continuationSeparator" w:id="0">
    <w:p w14:paraId="2DFE54E3" w14:textId="77777777" w:rsidR="000E07BE" w:rsidRDefault="000E07BE" w:rsidP="00302076">
      <w:pPr>
        <w:spacing w:after="0"/>
      </w:pPr>
      <w:r>
        <w:continuationSeparator/>
      </w:r>
    </w:p>
  </w:footnote>
  <w:footnote w:type="continuationNotice" w:id="1">
    <w:p w14:paraId="7D7F13BA" w14:textId="77777777" w:rsidR="000E07BE" w:rsidRDefault="000E07BE">
      <w:pPr>
        <w:spacing w:after="0" w:line="240" w:lineRule="auto"/>
      </w:pPr>
    </w:p>
  </w:footnote>
  <w:footnote w:id="2">
    <w:p w14:paraId="0CA0BD11" w14:textId="146C4DE7" w:rsidR="008853AC" w:rsidRDefault="008853AC" w:rsidP="006D4DE5">
      <w:pPr>
        <w:pStyle w:val="FootnoteText"/>
      </w:pPr>
      <w:r>
        <w:rPr>
          <w:rStyle w:val="FootnoteReference"/>
        </w:rPr>
        <w:footnoteRef/>
      </w:r>
      <w:r>
        <w:t xml:space="preserve"> Royal Commission into Aged Care Quality and Safety, “Interim Report: Neglect”, Volume 1, 2019.</w:t>
      </w:r>
    </w:p>
  </w:footnote>
  <w:footnote w:id="3">
    <w:p w14:paraId="0D81EA14" w14:textId="62824AE0" w:rsidR="008853AC" w:rsidRDefault="008853AC" w:rsidP="006D4DE5">
      <w:pPr>
        <w:pStyle w:val="FootnoteText"/>
      </w:pPr>
      <w:r>
        <w:rPr>
          <w:rStyle w:val="FootnoteReference"/>
        </w:rPr>
        <w:footnoteRef/>
      </w:r>
      <w:r>
        <w:t xml:space="preserve"> </w:t>
      </w:r>
      <w:r w:rsidRPr="006135A6">
        <w:t xml:space="preserve">Lane, H, Philip, J, "Managing expectations: Providing palliative care in aged care </w:t>
      </w:r>
      <w:r>
        <w:t>RACFs</w:t>
      </w:r>
      <w:r w:rsidRPr="006135A6">
        <w:t>," Australasian Journal on Ageing</w:t>
      </w:r>
      <w:r>
        <w:t>,</w:t>
      </w:r>
      <w:r w:rsidRPr="006135A6">
        <w:t xml:space="preserve"> 2015.</w:t>
      </w:r>
    </w:p>
  </w:footnote>
  <w:footnote w:id="4">
    <w:p w14:paraId="4BFDBDE2" w14:textId="3B7F577B" w:rsidR="008853AC" w:rsidRDefault="008853AC" w:rsidP="006D4DE5">
      <w:pPr>
        <w:pStyle w:val="FootnoteText"/>
      </w:pPr>
      <w:r>
        <w:rPr>
          <w:rStyle w:val="FootnoteReference"/>
        </w:rPr>
        <w:footnoteRef/>
      </w:r>
      <w:r>
        <w:t xml:space="preserve"> </w:t>
      </w:r>
      <w:r w:rsidRPr="00D43A31">
        <w:t>Productivity Commission, "Introducing competition and informed user choice into human services: Reforms to human services. Chapter 3: End-of-life care in Australia"</w:t>
      </w:r>
      <w:r>
        <w:t>,</w:t>
      </w:r>
      <w:r w:rsidRPr="00D43A31">
        <w:t xml:space="preserve"> 2017.</w:t>
      </w:r>
    </w:p>
  </w:footnote>
  <w:footnote w:id="5">
    <w:p w14:paraId="1ABDD208" w14:textId="77777777" w:rsidR="008853AC" w:rsidRDefault="008853AC" w:rsidP="006D4DE5">
      <w:pPr>
        <w:pStyle w:val="FootnoteText"/>
      </w:pPr>
      <w:r>
        <w:rPr>
          <w:rStyle w:val="FootnoteReference"/>
        </w:rPr>
        <w:footnoteRef/>
      </w:r>
      <w:r>
        <w:t xml:space="preserve"> Goal 5 (Investment) and Goal 7 (Accountability) of the National Palliative Care Strategy are not necessary to be included as national</w:t>
      </w:r>
    </w:p>
    <w:p w14:paraId="18AF5639" w14:textId="7F2F3CF7" w:rsidR="008853AC" w:rsidRDefault="008853AC" w:rsidP="006D4DE5">
      <w:pPr>
        <w:pStyle w:val="FootnoteText"/>
      </w:pPr>
      <w:r>
        <w:t>outcomes for this evaluation.</w:t>
      </w:r>
    </w:p>
  </w:footnote>
  <w:footnote w:id="6">
    <w:p w14:paraId="7DC95B10" w14:textId="04B90520" w:rsidR="008853AC" w:rsidRDefault="008853AC" w:rsidP="006D4DE5">
      <w:pPr>
        <w:pStyle w:val="FootnoteText"/>
      </w:pPr>
      <w:r>
        <w:rPr>
          <w:rStyle w:val="FootnoteReference"/>
        </w:rPr>
        <w:footnoteRef/>
      </w:r>
      <w:r>
        <w:t xml:space="preserve"> </w:t>
      </w:r>
      <w:r w:rsidRPr="006E233F">
        <w:t>Australian Government Department of Health, National Palliative Care Strategy 2018</w:t>
      </w:r>
      <w:r>
        <w:t xml:space="preserve">. </w:t>
      </w:r>
    </w:p>
  </w:footnote>
  <w:footnote w:id="7">
    <w:p w14:paraId="30B76655" w14:textId="6738AFB1" w:rsidR="008853AC" w:rsidRDefault="008853AC" w:rsidP="006D4DE5">
      <w:pPr>
        <w:pStyle w:val="FootnoteText"/>
      </w:pPr>
      <w:r>
        <w:rPr>
          <w:rStyle w:val="FootnoteReference"/>
        </w:rPr>
        <w:footnoteRef/>
      </w:r>
      <w:r>
        <w:t xml:space="preserve"> </w:t>
      </w:r>
      <w:r w:rsidRPr="006561A1">
        <w:t>Goal 5 (Investment) and Goal 7 (Accountability) of the National Palliative Care Strategy are not necessary to be included as national outcomes for this evaluation.</w:t>
      </w:r>
    </w:p>
  </w:footnote>
  <w:footnote w:id="8">
    <w:p w14:paraId="27554069" w14:textId="178B2322" w:rsidR="002E0D48" w:rsidRDefault="002E0D48">
      <w:pPr>
        <w:pStyle w:val="FootnoteText"/>
      </w:pPr>
      <w:r>
        <w:rPr>
          <w:rStyle w:val="FootnoteReference"/>
        </w:rPr>
        <w:footnoteRef/>
      </w:r>
      <w:r>
        <w:t xml:space="preserve"> Other clinicians </w:t>
      </w:r>
      <w:r w:rsidR="005E5C66">
        <w:t>refer to</w:t>
      </w:r>
      <w:r w:rsidR="00A06DEA">
        <w:t xml:space="preserve"> professionals from</w:t>
      </w:r>
      <w:r w:rsidR="005E5C66">
        <w:t xml:space="preserve"> </w:t>
      </w:r>
      <w:r>
        <w:t>allied health disciplines</w:t>
      </w:r>
      <w:r w:rsidR="00A06DEA">
        <w:t>, i</w:t>
      </w:r>
      <w:r w:rsidR="005E5C66">
        <w:t>ncluding but not limited to occupational therapy</w:t>
      </w:r>
      <w:r>
        <w:t>, psychology, speech path</w:t>
      </w:r>
      <w:r w:rsidR="005E5C66">
        <w:t>ology</w:t>
      </w:r>
      <w:r>
        <w:t xml:space="preserve"> and social work</w:t>
      </w:r>
      <w:r w:rsidR="005E5C66">
        <w:t xml:space="preserve">. These clinicians may be part of </w:t>
      </w:r>
      <w:r w:rsidR="00D62FB4">
        <w:t>a multi-disciplinary team at the RACF.</w:t>
      </w:r>
    </w:p>
  </w:footnote>
  <w:footnote w:id="9">
    <w:p w14:paraId="32E40544" w14:textId="75325C6C" w:rsidR="00093772" w:rsidRDefault="00093772">
      <w:pPr>
        <w:pStyle w:val="FootnoteText"/>
      </w:pPr>
      <w:r>
        <w:rPr>
          <w:rStyle w:val="FootnoteReference"/>
        </w:rPr>
        <w:footnoteRef/>
      </w:r>
      <w:r>
        <w:t xml:space="preserve"> </w:t>
      </w:r>
      <w:r w:rsidR="000778D1">
        <w:t xml:space="preserve">We note that Queensland has commenced implementation activities from January 2021, and will seek input that reflects </w:t>
      </w:r>
      <w:r w:rsidR="00134FA2">
        <w:t>that for baseline data collection.</w:t>
      </w:r>
    </w:p>
  </w:footnote>
  <w:footnote w:id="10">
    <w:p w14:paraId="0208CE01" w14:textId="278C74C2" w:rsidR="00504050" w:rsidRDefault="00504050" w:rsidP="00504050">
      <w:pPr>
        <w:pStyle w:val="FootnoteText"/>
      </w:pPr>
      <w:r>
        <w:rPr>
          <w:rStyle w:val="FootnoteReference"/>
        </w:rPr>
        <w:footnoteRef/>
      </w:r>
      <w:r>
        <w:t xml:space="preserve"> Not-for-profit RACFs include religious, community-based, charitable, and religious/charitable</w:t>
      </w:r>
      <w:r w:rsidR="00EC4B62">
        <w:t xml:space="preserve"> as per </w:t>
      </w:r>
      <w:r w:rsidR="00EC4B62" w:rsidRPr="00EC4B62">
        <w:t>GEN-agedcaredata.gov.au</w:t>
      </w:r>
      <w:r w:rsidR="00EC4B62">
        <w:t>.</w:t>
      </w:r>
    </w:p>
  </w:footnote>
  <w:footnote w:id="11">
    <w:p w14:paraId="11804409" w14:textId="77236916" w:rsidR="008853AC" w:rsidRDefault="008853AC" w:rsidP="006D4DE5">
      <w:pPr>
        <w:pStyle w:val="FootnoteText"/>
      </w:pPr>
      <w:r>
        <w:rPr>
          <w:rStyle w:val="FootnoteReference"/>
        </w:rPr>
        <w:footnoteRef/>
      </w:r>
      <w:r>
        <w:t xml:space="preserve"> Recall bias is </w:t>
      </w:r>
      <w:r w:rsidRPr="006C1BC0">
        <w:t>where participants erroneously provide responses based on their</w:t>
      </w:r>
      <w:r>
        <w:t xml:space="preserve"> (in)ability to accurately recall past events. Recall bias is more common in epidemiologic and medical research. Althubaiti, 4 May 2016. Information bias in health research: definition, pitfalls, and adjustment methods. Journal of Multidisciplinary Healthcare, Online.</w:t>
      </w:r>
    </w:p>
  </w:footnote>
  <w:footnote w:id="12">
    <w:p w14:paraId="4FA5BE3F" w14:textId="77777777" w:rsidR="008853AC" w:rsidRDefault="008853AC" w:rsidP="006D4DE5">
      <w:pPr>
        <w:pStyle w:val="FootnoteText"/>
      </w:pPr>
      <w:r>
        <w:rPr>
          <w:rStyle w:val="FootnoteReference"/>
        </w:rPr>
        <w:footnoteRef/>
      </w:r>
      <w:r>
        <w:t xml:space="preserve"> Department of Health, Nous Group, “National framework for advance care planning documents.” June 2020.</w:t>
      </w:r>
    </w:p>
  </w:footnote>
  <w:footnote w:id="13">
    <w:p w14:paraId="47413A6F" w14:textId="77777777" w:rsidR="008853AC" w:rsidRDefault="008853AC" w:rsidP="006D4DE5">
      <w:pPr>
        <w:pStyle w:val="FootnoteText"/>
      </w:pPr>
      <w:r>
        <w:rPr>
          <w:rStyle w:val="FootnoteReference"/>
        </w:rPr>
        <w:footnoteRef/>
      </w:r>
      <w:r>
        <w:t xml:space="preserve"> Department of Health, Nous Group, “National framework for advance care planning documents.” June 2020.</w:t>
      </w:r>
    </w:p>
  </w:footnote>
  <w:footnote w:id="14">
    <w:p w14:paraId="74257995" w14:textId="77777777" w:rsidR="008853AC" w:rsidRDefault="008853AC" w:rsidP="006D4DE5">
      <w:pPr>
        <w:pStyle w:val="FootnoteText"/>
      </w:pPr>
      <w:r>
        <w:rPr>
          <w:rStyle w:val="FootnoteReference"/>
        </w:rPr>
        <w:footnoteRef/>
      </w:r>
      <w:r>
        <w:t xml:space="preserve"> Department of Health, Nous Group, “National framework for advance care planning documents.” June 2020.</w:t>
      </w:r>
    </w:p>
  </w:footnote>
  <w:footnote w:id="15">
    <w:p w14:paraId="6F273D14" w14:textId="77777777" w:rsidR="00D33682" w:rsidRDefault="00D33682">
      <w:pPr>
        <w:pStyle w:val="FootnoteText"/>
      </w:pPr>
      <w:r>
        <w:rPr>
          <w:rStyle w:val="FootnoteReference"/>
        </w:rPr>
        <w:footnoteRef/>
      </w:r>
      <w:r>
        <w:t xml:space="preserve"> Department of Health, Western Australia, “Preparing an Advance Health Directive.”2018.</w:t>
      </w:r>
    </w:p>
  </w:footnote>
  <w:footnote w:id="16">
    <w:p w14:paraId="308D5BB0" w14:textId="77777777" w:rsidR="008853AC" w:rsidRDefault="008853AC" w:rsidP="006D4DE5">
      <w:pPr>
        <w:pStyle w:val="FootnoteText"/>
      </w:pPr>
      <w:r>
        <w:rPr>
          <w:rStyle w:val="FootnoteReference"/>
        </w:rPr>
        <w:footnoteRef/>
      </w:r>
      <w:r>
        <w:t xml:space="preserve"> Department of Health, Nous Group, “National framework for advance care planning documents.” June 2020.</w:t>
      </w:r>
    </w:p>
  </w:footnote>
  <w:footnote w:id="17">
    <w:p w14:paraId="09F898F8" w14:textId="77777777" w:rsidR="008853AC" w:rsidRDefault="008853AC" w:rsidP="006D4DE5">
      <w:pPr>
        <w:pStyle w:val="FootnoteText"/>
      </w:pPr>
      <w:r>
        <w:rPr>
          <w:rStyle w:val="FootnoteReference"/>
        </w:rPr>
        <w:footnoteRef/>
      </w:r>
      <w:r>
        <w:t xml:space="preserve"> Department of Health, “Palliative Care - Find a palliative care provider.” July 2019.</w:t>
      </w:r>
    </w:p>
  </w:footnote>
  <w:footnote w:id="18">
    <w:p w14:paraId="704AEE0D" w14:textId="2CF926E4" w:rsidR="008853AC" w:rsidRDefault="008853AC" w:rsidP="00B063AD">
      <w:pPr>
        <w:pStyle w:val="FootnoteText"/>
      </w:pPr>
      <w:r>
        <w:rPr>
          <w:rStyle w:val="FootnoteReference"/>
        </w:rPr>
        <w:footnoteRef/>
      </w:r>
      <w:r w:rsidR="002718C1">
        <w:t xml:space="preserve"> American Nurses’ Association (ANA). Position Statement: Registered Nurses’ Roles and Responsibilities in Providing Expert Care and Counselling at the End of Life. 2010.</w:t>
      </w:r>
    </w:p>
  </w:footnote>
  <w:footnote w:id="19">
    <w:p w14:paraId="74298252" w14:textId="1B0053B5" w:rsidR="008853AC" w:rsidRDefault="008853AC">
      <w:pPr>
        <w:pStyle w:val="FootnoteText"/>
      </w:pPr>
      <w:r>
        <w:rPr>
          <w:rStyle w:val="FootnoteReference"/>
        </w:rPr>
        <w:footnoteRef/>
      </w:r>
      <w:r>
        <w:t xml:space="preserve"> Questions 4-6 reflect the three categories of activities suggested in the Project Agreement, with Question 7 serving to capture any other initiatives jurisdictions may have implemented. </w:t>
      </w:r>
    </w:p>
  </w:footnote>
  <w:footnote w:id="20">
    <w:p w14:paraId="76FAA305" w14:textId="188BDCA8" w:rsidR="008853AC" w:rsidRDefault="008853AC" w:rsidP="000F52DD">
      <w:pPr>
        <w:pStyle w:val="FootnoteText"/>
      </w:pPr>
      <w:r>
        <w:rPr>
          <w:rStyle w:val="FootnoteReference"/>
        </w:rPr>
        <w:footnoteRef/>
      </w:r>
      <w:r>
        <w:t xml:space="preserve"> PCA: Palliative Care Australia</w:t>
      </w:r>
    </w:p>
  </w:footnote>
  <w:footnote w:id="21">
    <w:p w14:paraId="084CF47A" w14:textId="291DAA35" w:rsidR="008853AC" w:rsidRDefault="008853AC" w:rsidP="000F52DD">
      <w:pPr>
        <w:pStyle w:val="FootnoteText"/>
      </w:pPr>
      <w:r>
        <w:rPr>
          <w:rStyle w:val="FootnoteReference"/>
        </w:rPr>
        <w:footnoteRef/>
      </w:r>
      <w:r>
        <w:t xml:space="preserve"> NIHSI-AA: </w:t>
      </w:r>
      <w:r w:rsidRPr="0031366E">
        <w:t>National Integrated Health Services Information</w:t>
      </w:r>
      <w:r>
        <w:t xml:space="preserve"> Analysis Asset</w:t>
      </w:r>
    </w:p>
  </w:footnote>
  <w:footnote w:id="22">
    <w:p w14:paraId="0B4B90F7" w14:textId="5B9D8139" w:rsidR="008853AC" w:rsidRDefault="008853AC" w:rsidP="000F52DD">
      <w:pPr>
        <w:pStyle w:val="FootnoteText"/>
      </w:pPr>
      <w:r>
        <w:rPr>
          <w:rStyle w:val="FootnoteReference"/>
        </w:rPr>
        <w:footnoteRef/>
      </w:r>
      <w:r>
        <w:t xml:space="preserve"> MBS: Medicare Benefits Schedules</w:t>
      </w:r>
    </w:p>
  </w:footnote>
  <w:footnote w:id="23">
    <w:p w14:paraId="6D050063" w14:textId="511F6BB6" w:rsidR="008853AC" w:rsidRDefault="008853AC" w:rsidP="000F52DD">
      <w:pPr>
        <w:pStyle w:val="FootnoteText"/>
      </w:pPr>
      <w:r>
        <w:rPr>
          <w:rStyle w:val="FootnoteReference"/>
        </w:rPr>
        <w:footnoteRef/>
      </w:r>
      <w:r>
        <w:t xml:space="preserve"> AIHW, Palliative care services in Australia: Palliative care for people living in residential aged care, 2020</w:t>
      </w:r>
    </w:p>
  </w:footnote>
  <w:footnote w:id="24">
    <w:p w14:paraId="5B9CB283" w14:textId="507EEFEB" w:rsidR="008853AC" w:rsidRDefault="008853AC" w:rsidP="000F52DD">
      <w:pPr>
        <w:pStyle w:val="FootnoteText"/>
      </w:pPr>
      <w:r>
        <w:rPr>
          <w:rStyle w:val="FootnoteReference"/>
        </w:rPr>
        <w:footnoteRef/>
      </w:r>
      <w:r>
        <w:t xml:space="preserve"> AHHA: Australian Healthcare and Hospitals Association</w:t>
      </w:r>
    </w:p>
  </w:footnote>
  <w:footnote w:id="25">
    <w:p w14:paraId="25792522" w14:textId="5CAA5D58" w:rsidR="008853AC" w:rsidRDefault="008853AC" w:rsidP="000F52DD">
      <w:pPr>
        <w:pStyle w:val="FootnoteText"/>
      </w:pPr>
      <w:r>
        <w:rPr>
          <w:rStyle w:val="FootnoteReference"/>
        </w:rPr>
        <w:footnoteRef/>
      </w:r>
      <w:r>
        <w:t xml:space="preserve"> ELDAC: End-of-life</w:t>
      </w:r>
      <w:r w:rsidRPr="00356754">
        <w:t xml:space="preserve"> Directions for Aged Care</w:t>
      </w:r>
    </w:p>
  </w:footnote>
  <w:footnote w:id="26">
    <w:p w14:paraId="4BB6E59E" w14:textId="10C3C401" w:rsidR="008853AC" w:rsidRDefault="008853AC" w:rsidP="00C15578">
      <w:pPr>
        <w:pStyle w:val="FootnoteText"/>
      </w:pPr>
      <w:r>
        <w:rPr>
          <w:rStyle w:val="FootnoteReference"/>
        </w:rPr>
        <w:footnoteRef/>
      </w:r>
      <w:r>
        <w:t xml:space="preserve"> Department of Health, Nous Group, “National framework for advance care planning documents.” June 2020.</w:t>
      </w:r>
    </w:p>
  </w:footnote>
  <w:footnote w:id="27">
    <w:p w14:paraId="35426798" w14:textId="1BCE7603" w:rsidR="008853AC" w:rsidRDefault="008853AC" w:rsidP="00C15578">
      <w:pPr>
        <w:pStyle w:val="FootnoteText"/>
      </w:pPr>
      <w:r>
        <w:rPr>
          <w:rStyle w:val="FootnoteReference"/>
        </w:rPr>
        <w:footnoteRef/>
      </w:r>
      <w:r>
        <w:t xml:space="preserve"> Ibid.</w:t>
      </w:r>
    </w:p>
  </w:footnote>
  <w:footnote w:id="28">
    <w:p w14:paraId="402073A8" w14:textId="46D0F583" w:rsidR="008853AC" w:rsidRDefault="008853AC" w:rsidP="00C15578">
      <w:pPr>
        <w:pStyle w:val="FootnoteText"/>
      </w:pPr>
      <w:r>
        <w:rPr>
          <w:rStyle w:val="FootnoteReference"/>
        </w:rPr>
        <w:footnoteRef/>
      </w:r>
      <w:r>
        <w:t xml:space="preserve"> </w:t>
      </w:r>
      <w:r w:rsidRPr="002C2F76">
        <w:t>Ibid</w:t>
      </w:r>
      <w:r>
        <w:t>.</w:t>
      </w:r>
    </w:p>
  </w:footnote>
  <w:footnote w:id="29">
    <w:p w14:paraId="014EAEC6" w14:textId="25C7E03E" w:rsidR="008853AC" w:rsidRDefault="008853AC" w:rsidP="00C15578">
      <w:pPr>
        <w:pStyle w:val="FootnoteText"/>
      </w:pPr>
      <w:r>
        <w:rPr>
          <w:rStyle w:val="FootnoteReference"/>
        </w:rPr>
        <w:footnoteRef/>
      </w:r>
      <w:r>
        <w:t xml:space="preserve"> </w:t>
      </w:r>
      <w:r w:rsidRPr="002C2F76">
        <w:t>Ibid</w:t>
      </w:r>
      <w:r>
        <w:t>.</w:t>
      </w:r>
    </w:p>
  </w:footnote>
  <w:footnote w:id="30">
    <w:p w14:paraId="25B6B3C7" w14:textId="4E8E8CB6" w:rsidR="008853AC" w:rsidRDefault="008853AC">
      <w:pPr>
        <w:pStyle w:val="FootnoteText"/>
      </w:pPr>
      <w:r>
        <w:rPr>
          <w:rStyle w:val="FootnoteReference"/>
        </w:rPr>
        <w:footnoteRef/>
      </w:r>
      <w:r>
        <w:t xml:space="preserve"> ELDAC, “Terminology.” Accessed Dec 2020; </w:t>
      </w:r>
      <w:r w:rsidRPr="00EF589E">
        <w:t>Palliative Care Australia. Palliative Care Service Development Guidelines (2018) Canberra: Palliative Care Australia, 2018.</w:t>
      </w:r>
    </w:p>
  </w:footnote>
  <w:footnote w:id="31">
    <w:p w14:paraId="1AE7C483" w14:textId="155E01A1" w:rsidR="008853AC" w:rsidRDefault="008853AC" w:rsidP="001C3B64">
      <w:pPr>
        <w:pStyle w:val="FootnoteText"/>
      </w:pPr>
      <w:r>
        <w:rPr>
          <w:rStyle w:val="FootnoteReference"/>
        </w:rPr>
        <w:footnoteRef/>
      </w:r>
      <w:r>
        <w:t xml:space="preserve"> ELDAC, “Factsheet: Futile or Non-Beneficial Treatment.” Accessed 14 December 2020.</w:t>
      </w:r>
    </w:p>
  </w:footnote>
  <w:footnote w:id="32">
    <w:p w14:paraId="4D139375" w14:textId="4AEA0277" w:rsidR="008853AC" w:rsidRDefault="008853AC">
      <w:pPr>
        <w:pStyle w:val="FootnoteText"/>
      </w:pPr>
      <w:r>
        <w:rPr>
          <w:rStyle w:val="FootnoteReference"/>
        </w:rPr>
        <w:footnoteRef/>
      </w:r>
      <w:r>
        <w:t xml:space="preserve"> ELDAC, “Terminology.” Accessed Dec 2020; </w:t>
      </w:r>
      <w:r w:rsidRPr="00EF589E">
        <w:t>Palliative Care Australia. Palliative Care Service Development Guidelines (2018) Canberra: Palliative Care Australia, 2018.</w:t>
      </w:r>
    </w:p>
  </w:footnote>
  <w:footnote w:id="33">
    <w:p w14:paraId="2BC1ACCC" w14:textId="68D02D12" w:rsidR="008853AC" w:rsidRDefault="008853AC" w:rsidP="00511B74">
      <w:pPr>
        <w:pStyle w:val="FootnoteText"/>
      </w:pPr>
      <w:r>
        <w:rPr>
          <w:rStyle w:val="FootnoteReference"/>
        </w:rPr>
        <w:footnoteRef/>
      </w:r>
      <w:r>
        <w:t xml:space="preserve"> Aged Care Quality and Safety Commission, “Continuous Improvement.” December 2019.</w:t>
      </w:r>
    </w:p>
  </w:footnote>
  <w:footnote w:id="34">
    <w:p w14:paraId="43EAF7C7" w14:textId="1442FC27" w:rsidR="008853AC" w:rsidRDefault="008853AC" w:rsidP="00C15578">
      <w:pPr>
        <w:pStyle w:val="FootnoteText"/>
      </w:pPr>
      <w:r>
        <w:rPr>
          <w:rStyle w:val="FootnoteReference"/>
        </w:rPr>
        <w:footnoteRef/>
      </w:r>
      <w:r>
        <w:t xml:space="preserve"> ELDAC, “Terminology.” Accessed Dec 2020; </w:t>
      </w:r>
      <w:r w:rsidRPr="00EF589E">
        <w:t>Palliative Care Australia. Palliative Care Service Development Guidelines (2018) Canberra: Palliative Care Australia,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99677" w14:textId="7BEA3DE7" w:rsidR="008853AC" w:rsidRDefault="008853AC">
    <w:pPr>
      <w:pStyle w:val="Header"/>
    </w:pPr>
    <w:r>
      <w:rPr>
        <w:noProof/>
        <w:sz w:val="20"/>
        <w:szCs w:val="20"/>
        <w:lang w:eastAsia="en-AU"/>
      </w:rPr>
      <w:drawing>
        <wp:anchor distT="0" distB="0" distL="114300" distR="114300" simplePos="0" relativeHeight="251658243" behindDoc="0" locked="0" layoutInCell="1" allowOverlap="1" wp14:anchorId="7A83137A" wp14:editId="118F3BBD">
          <wp:simplePos x="0" y="0"/>
          <wp:positionH relativeFrom="page">
            <wp:posOffset>3337</wp:posOffset>
          </wp:positionH>
          <wp:positionV relativeFrom="page">
            <wp:posOffset>-6985</wp:posOffset>
          </wp:positionV>
          <wp:extent cx="7559749" cy="116958"/>
          <wp:effectExtent l="0" t="0" r="0" b="0"/>
          <wp:wrapNone/>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ue gradient line.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AB1F8" w14:textId="77777777" w:rsidR="008853AC" w:rsidRDefault="008853AC" w:rsidP="003A2FA9">
    <w:pPr>
      <w:pStyle w:val="Header"/>
      <w:tabs>
        <w:tab w:val="clear" w:pos="4513"/>
        <w:tab w:val="clear" w:pos="9026"/>
        <w:tab w:val="left" w:pos="1758"/>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57205" w14:textId="6455BD87" w:rsidR="008853AC" w:rsidRDefault="008853AC">
    <w:r>
      <w:rPr>
        <w:noProof/>
        <w:sz w:val="20"/>
        <w:szCs w:val="20"/>
        <w:lang w:eastAsia="en-AU"/>
      </w:rPr>
      <w:drawing>
        <wp:anchor distT="0" distB="0" distL="114300" distR="114300" simplePos="0" relativeHeight="251658242" behindDoc="0" locked="0" layoutInCell="1" allowOverlap="1" wp14:anchorId="3EF3846C" wp14:editId="1F2BF702">
          <wp:simplePos x="0" y="0"/>
          <wp:positionH relativeFrom="page">
            <wp:posOffset>0</wp:posOffset>
          </wp:positionH>
          <wp:positionV relativeFrom="page">
            <wp:posOffset>0</wp:posOffset>
          </wp:positionV>
          <wp:extent cx="7562850" cy="114300"/>
          <wp:effectExtent l="0" t="0" r="0" b="0"/>
          <wp:wrapNone/>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ue gradient line.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62850"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94E4E" w14:textId="4854D290" w:rsidR="008853AC" w:rsidRDefault="008853AC">
    <w:pPr>
      <w:pStyle w:val="Header"/>
    </w:pPr>
    <w:r w:rsidRPr="007F3F81">
      <w:rPr>
        <w:noProof/>
        <w:lang w:eastAsia="en-AU"/>
      </w:rPr>
      <w:drawing>
        <wp:anchor distT="0" distB="0" distL="114300" distR="114300" simplePos="0" relativeHeight="251658240" behindDoc="0" locked="0" layoutInCell="1" allowOverlap="1" wp14:anchorId="74AFBE0C" wp14:editId="151AC6A7">
          <wp:simplePos x="0" y="0"/>
          <wp:positionH relativeFrom="page">
            <wp:align>center</wp:align>
          </wp:positionH>
          <wp:positionV relativeFrom="page">
            <wp:align>top</wp:align>
          </wp:positionV>
          <wp:extent cx="10699200" cy="1152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5"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9200" cy="1152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F3378" w14:textId="791EB514" w:rsidR="008853AC" w:rsidRDefault="008853AC" w:rsidP="009C08CE">
    <w:pPr>
      <w:pStyle w:val="Header"/>
      <w:tabs>
        <w:tab w:val="clear" w:pos="4513"/>
        <w:tab w:val="clear" w:pos="9026"/>
      </w:tabs>
    </w:pPr>
    <w:r w:rsidRPr="009C08CE">
      <w:rPr>
        <w:noProof/>
        <w:lang w:eastAsia="en-AU"/>
      </w:rPr>
      <w:drawing>
        <wp:anchor distT="0" distB="0" distL="114300" distR="114300" simplePos="0" relativeHeight="251658241" behindDoc="1" locked="0" layoutInCell="1" allowOverlap="1" wp14:anchorId="3F43A48C" wp14:editId="210C6B53">
          <wp:simplePos x="0" y="0"/>
          <wp:positionH relativeFrom="page">
            <wp:align>center</wp:align>
          </wp:positionH>
          <wp:positionV relativeFrom="page">
            <wp:align>top</wp:align>
          </wp:positionV>
          <wp:extent cx="10908000" cy="115200"/>
          <wp:effectExtent l="0" t="0" r="0" b="0"/>
          <wp:wrapNone/>
          <wp:docPr id="20"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08000" cy="1152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a:effectLst/>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47C5E" w14:textId="1BB9F90E" w:rsidR="008853AC" w:rsidRDefault="008853AC">
    <w:pPr>
      <w:pStyle w:val="Header"/>
    </w:pPr>
    <w:r w:rsidRPr="007F3F81">
      <w:rPr>
        <w:noProof/>
        <w:lang w:eastAsia="en-AU"/>
      </w:rPr>
      <w:drawing>
        <wp:anchor distT="0" distB="0" distL="114300" distR="114300" simplePos="0" relativeHeight="251658244" behindDoc="0" locked="0" layoutInCell="1" allowOverlap="1" wp14:anchorId="244A5747" wp14:editId="17601FF4">
          <wp:simplePos x="0" y="0"/>
          <wp:positionH relativeFrom="page">
            <wp:align>center</wp:align>
          </wp:positionH>
          <wp:positionV relativeFrom="page">
            <wp:align>top</wp:align>
          </wp:positionV>
          <wp:extent cx="10699200" cy="1152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5"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9200" cy="1152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920C5" w14:textId="59B2A268" w:rsidR="008853AC" w:rsidRDefault="008853AC">
    <w:pPr>
      <w:pStyle w:val="Header"/>
    </w:pPr>
    <w:r w:rsidRPr="009C08CE">
      <w:rPr>
        <w:noProof/>
        <w:lang w:eastAsia="en-AU"/>
      </w:rPr>
      <w:drawing>
        <wp:anchor distT="0" distB="0" distL="114300" distR="114300" simplePos="0" relativeHeight="251658245" behindDoc="1" locked="0" layoutInCell="1" allowOverlap="1" wp14:anchorId="36E386E6" wp14:editId="5DB6A2B0">
          <wp:simplePos x="0" y="0"/>
          <wp:positionH relativeFrom="page">
            <wp:align>center</wp:align>
          </wp:positionH>
          <wp:positionV relativeFrom="page">
            <wp:align>top</wp:align>
          </wp:positionV>
          <wp:extent cx="10908000" cy="115200"/>
          <wp:effectExtent l="0" t="0" r="0" b="0"/>
          <wp:wrapNone/>
          <wp:docPr id="11"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08000" cy="1152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a:effectLst/>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AD220" w14:textId="77777777" w:rsidR="008853AC" w:rsidRDefault="008853AC">
    <w:pPr>
      <w:pStyle w:val="Header"/>
    </w:pPr>
    <w:r w:rsidRPr="009C08CE">
      <w:rPr>
        <w:noProof/>
        <w:lang w:eastAsia="en-AU"/>
      </w:rPr>
      <w:drawing>
        <wp:anchor distT="0" distB="0" distL="114300" distR="114300" simplePos="0" relativeHeight="251658247" behindDoc="1" locked="0" layoutInCell="1" allowOverlap="1" wp14:anchorId="5E6C0E42" wp14:editId="726BE4E5">
          <wp:simplePos x="0" y="0"/>
          <wp:positionH relativeFrom="page">
            <wp:align>center</wp:align>
          </wp:positionH>
          <wp:positionV relativeFrom="page">
            <wp:align>top</wp:align>
          </wp:positionV>
          <wp:extent cx="10908000" cy="115200"/>
          <wp:effectExtent l="0" t="0" r="0" b="0"/>
          <wp:wrapNone/>
          <wp:docPr id="12"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08000" cy="1152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a:effectLst/>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F1BC4" w14:textId="77777777" w:rsidR="008853AC" w:rsidRDefault="008853AC">
    <w:pPr>
      <w:pStyle w:val="Header"/>
    </w:pPr>
    <w:r w:rsidRPr="009C08CE">
      <w:rPr>
        <w:noProof/>
        <w:lang w:eastAsia="en-AU"/>
      </w:rPr>
      <w:drawing>
        <wp:anchor distT="0" distB="0" distL="114300" distR="114300" simplePos="0" relativeHeight="251658246" behindDoc="1" locked="0" layoutInCell="1" allowOverlap="1" wp14:anchorId="1B08F3F7" wp14:editId="41840254">
          <wp:simplePos x="0" y="0"/>
          <wp:positionH relativeFrom="page">
            <wp:align>center</wp:align>
          </wp:positionH>
          <wp:positionV relativeFrom="page">
            <wp:align>top</wp:align>
          </wp:positionV>
          <wp:extent cx="10908000" cy="115200"/>
          <wp:effectExtent l="0" t="0" r="0" b="0"/>
          <wp:wrapNone/>
          <wp:docPr id="27889"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08000" cy="1152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637A9"/>
    <w:multiLevelType w:val="hybridMultilevel"/>
    <w:tmpl w:val="0714F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25342B"/>
    <w:multiLevelType w:val="multilevel"/>
    <w:tmpl w:val="443AD44E"/>
    <w:lvl w:ilvl="0">
      <w:start w:val="1"/>
      <w:numFmt w:val="decimal"/>
      <w:lvlText w:val="%1."/>
      <w:lvlJc w:val="left"/>
      <w:pPr>
        <w:ind w:left="227" w:hanging="227"/>
      </w:pPr>
      <w:rPr>
        <w:rFonts w:ascii="Segoe UI" w:hAnsi="Segoe UI" w:hint="default"/>
        <w:b w:val="0"/>
        <w:i w:val="0"/>
        <w:sz w:val="17"/>
      </w:rPr>
    </w:lvl>
    <w:lvl w:ilvl="1">
      <w:start w:val="1"/>
      <w:numFmt w:val="lowerLetter"/>
      <w:lvlText w:val="%2."/>
      <w:lvlJc w:val="left"/>
      <w:pPr>
        <w:ind w:left="454" w:hanging="227"/>
      </w:pPr>
      <w:rPr>
        <w:rFonts w:ascii="Segoe UI" w:hAnsi="Segoe UI" w:hint="default"/>
        <w:b w:val="0"/>
        <w:i w:val="0"/>
        <w:sz w:val="17"/>
      </w:rPr>
    </w:lvl>
    <w:lvl w:ilvl="2">
      <w:start w:val="1"/>
      <w:numFmt w:val="lowerRoman"/>
      <w:lvlText w:val="%3."/>
      <w:lvlJc w:val="left"/>
      <w:pPr>
        <w:ind w:left="680" w:hanging="226"/>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5007B8F"/>
    <w:multiLevelType w:val="multilevel"/>
    <w:tmpl w:val="9CD6342C"/>
    <w:styleLink w:val="TableexpListnumberedmultilevel"/>
    <w:lvl w:ilvl="0">
      <w:start w:val="1"/>
      <w:numFmt w:val="decimal"/>
      <w:pStyle w:val="TableexpListnumbered"/>
      <w:lvlText w:val="%1."/>
      <w:lvlJc w:val="left"/>
      <w:pPr>
        <w:ind w:left="227" w:hanging="227"/>
      </w:pPr>
      <w:rPr>
        <w:rFonts w:ascii="Segoe UI" w:hAnsi="Segoe UI" w:hint="default"/>
        <w:b w:val="0"/>
        <w:i w:val="0"/>
        <w:sz w:val="16"/>
      </w:rPr>
    </w:lvl>
    <w:lvl w:ilvl="1">
      <w:start w:val="1"/>
      <w:numFmt w:val="lowerLetter"/>
      <w:lvlText w:val="%2."/>
      <w:lvlJc w:val="left"/>
      <w:pPr>
        <w:ind w:left="454" w:hanging="227"/>
      </w:pPr>
      <w:rPr>
        <w:rFonts w:ascii="Segoe UI" w:hAnsi="Segoe UI" w:hint="default"/>
        <w:sz w:val="16"/>
      </w:rPr>
    </w:lvl>
    <w:lvl w:ilvl="2">
      <w:start w:val="1"/>
      <w:numFmt w:val="lowerRoman"/>
      <w:lvlText w:val="%3."/>
      <w:lvlJc w:val="left"/>
      <w:pPr>
        <w:ind w:left="680" w:hanging="226"/>
      </w:pPr>
      <w:rPr>
        <w:rFonts w:ascii="Segoe UI" w:hAnsi="Segoe UI" w:hint="default"/>
        <w:sz w:val="16"/>
      </w:r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abstractNum w:abstractNumId="3" w15:restartNumberingAfterBreak="0">
    <w:nsid w:val="089A31A2"/>
    <w:multiLevelType w:val="multilevel"/>
    <w:tmpl w:val="A004518A"/>
    <w:lvl w:ilvl="0">
      <w:start w:val="1"/>
      <w:numFmt w:val="decimal"/>
      <w:pStyle w:val="Heading1"/>
      <w:lvlText w:val="%1"/>
      <w:lvlJc w:val="left"/>
      <w:pPr>
        <w:ind w:left="360" w:hanging="360"/>
      </w:pPr>
      <w:rPr>
        <w:rFonts w:ascii="Segoe UI" w:hAnsi="Segoe UI" w:hint="default"/>
        <w:b/>
        <w:i w:val="0"/>
        <w:sz w:val="36"/>
        <w:szCs w:val="96"/>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130E2EF9"/>
    <w:multiLevelType w:val="hybridMultilevel"/>
    <w:tmpl w:val="A132758A"/>
    <w:lvl w:ilvl="0" w:tplc="D408B966">
      <w:start w:val="1"/>
      <w:numFmt w:val="bullet"/>
      <w:pStyle w:val="TableExp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625D8B"/>
    <w:multiLevelType w:val="hybridMultilevel"/>
    <w:tmpl w:val="2F0C2ADE"/>
    <w:lvl w:ilvl="0" w:tplc="E402D1DE">
      <w:start w:val="1"/>
      <w:numFmt w:val="decimal"/>
      <w:lvlText w:val="%1."/>
      <w:lvlJc w:val="left"/>
      <w:pPr>
        <w:ind w:left="340" w:hanging="340"/>
      </w:pPr>
      <w:rPr>
        <w:rFonts w:ascii="Segoe UI" w:hAnsi="Segoe UI" w:hint="default"/>
        <w:b w:val="0"/>
        <w:i w:val="0"/>
        <w:sz w:val="19"/>
      </w:rPr>
    </w:lvl>
    <w:lvl w:ilvl="1" w:tplc="B11AD308">
      <w:start w:val="1"/>
      <w:numFmt w:val="lowerLetter"/>
      <w:lvlText w:val="%2."/>
      <w:lvlJc w:val="left"/>
      <w:pPr>
        <w:ind w:left="680" w:hanging="340"/>
      </w:pPr>
      <w:rPr>
        <w:rFonts w:ascii="Segoe UI" w:hAnsi="Segoe UI" w:hint="default"/>
        <w:b w:val="0"/>
        <w:i w:val="0"/>
        <w:sz w:val="19"/>
      </w:rPr>
    </w:lvl>
    <w:lvl w:ilvl="2" w:tplc="51045FCA">
      <w:start w:val="1"/>
      <w:numFmt w:val="lowerRoman"/>
      <w:lvlText w:val="%3."/>
      <w:lvlJc w:val="left"/>
      <w:pPr>
        <w:ind w:left="1021" w:hanging="341"/>
      </w:pPr>
      <w:rPr>
        <w:rFonts w:ascii="Segoe UI" w:hAnsi="Segoe UI" w:hint="default"/>
        <w:b w:val="0"/>
        <w:i w:val="0"/>
        <w:sz w:val="19"/>
      </w:rPr>
    </w:lvl>
    <w:lvl w:ilvl="3" w:tplc="29B0B6A6">
      <w:start w:val="1"/>
      <w:numFmt w:val="decimal"/>
      <w:lvlText w:val="%4."/>
      <w:lvlJc w:val="left"/>
      <w:pPr>
        <w:ind w:left="2880" w:hanging="360"/>
      </w:pPr>
      <w:rPr>
        <w:rFonts w:hint="default"/>
      </w:rPr>
    </w:lvl>
    <w:lvl w:ilvl="4" w:tplc="827C3606">
      <w:start w:val="1"/>
      <w:numFmt w:val="lowerLetter"/>
      <w:lvlText w:val="%5."/>
      <w:lvlJc w:val="left"/>
      <w:pPr>
        <w:ind w:left="3600" w:hanging="360"/>
      </w:pPr>
      <w:rPr>
        <w:rFonts w:hint="default"/>
      </w:rPr>
    </w:lvl>
    <w:lvl w:ilvl="5" w:tplc="13BEC7E2">
      <w:start w:val="1"/>
      <w:numFmt w:val="lowerRoman"/>
      <w:lvlText w:val="%6."/>
      <w:lvlJc w:val="right"/>
      <w:pPr>
        <w:ind w:left="4320" w:hanging="180"/>
      </w:pPr>
      <w:rPr>
        <w:rFonts w:hint="default"/>
      </w:rPr>
    </w:lvl>
    <w:lvl w:ilvl="6" w:tplc="B5343062">
      <w:start w:val="1"/>
      <w:numFmt w:val="decimal"/>
      <w:lvlText w:val="%7."/>
      <w:lvlJc w:val="left"/>
      <w:pPr>
        <w:ind w:left="5040" w:hanging="360"/>
      </w:pPr>
      <w:rPr>
        <w:rFonts w:hint="default"/>
      </w:rPr>
    </w:lvl>
    <w:lvl w:ilvl="7" w:tplc="ABDC857A">
      <w:start w:val="1"/>
      <w:numFmt w:val="lowerLetter"/>
      <w:lvlText w:val="%8."/>
      <w:lvlJc w:val="left"/>
      <w:pPr>
        <w:ind w:left="5760" w:hanging="360"/>
      </w:pPr>
      <w:rPr>
        <w:rFonts w:hint="default"/>
      </w:rPr>
    </w:lvl>
    <w:lvl w:ilvl="8" w:tplc="FAE01D48">
      <w:start w:val="1"/>
      <w:numFmt w:val="lowerRoman"/>
      <w:lvlText w:val="%9."/>
      <w:lvlJc w:val="right"/>
      <w:pPr>
        <w:ind w:left="6480" w:hanging="180"/>
      </w:pPr>
      <w:rPr>
        <w:rFonts w:hint="default"/>
      </w:rPr>
    </w:lvl>
  </w:abstractNum>
  <w:abstractNum w:abstractNumId="6" w15:restartNumberingAfterBreak="0">
    <w:nsid w:val="15905FFB"/>
    <w:multiLevelType w:val="multilevel"/>
    <w:tmpl w:val="F2D8D162"/>
    <w:numStyleLink w:val="Listnumberedmultilevel"/>
  </w:abstractNum>
  <w:abstractNum w:abstractNumId="7" w15:restartNumberingAfterBreak="0">
    <w:nsid w:val="1AA13D2D"/>
    <w:multiLevelType w:val="multilevel"/>
    <w:tmpl w:val="F2D8D162"/>
    <w:styleLink w:val="Listnumberedmultilevel"/>
    <w:lvl w:ilvl="0">
      <w:start w:val="1"/>
      <w:numFmt w:val="decimal"/>
      <w:pStyle w:val="Listnumbered"/>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sz w:val="20"/>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8" w15:restartNumberingAfterBreak="0">
    <w:nsid w:val="1E4C0020"/>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2CB061B"/>
    <w:multiLevelType w:val="hybridMultilevel"/>
    <w:tmpl w:val="0D8AD0BE"/>
    <w:lvl w:ilvl="0" w:tplc="F8C2F798">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76A2698"/>
    <w:multiLevelType w:val="hybridMultilevel"/>
    <w:tmpl w:val="EA2AD29E"/>
    <w:lvl w:ilvl="0" w:tplc="B7629D38">
      <w:start w:val="1"/>
      <w:numFmt w:val="decimal"/>
      <w:lvlText w:val="%1."/>
      <w:lvlJc w:val="left"/>
      <w:pPr>
        <w:ind w:left="284" w:hanging="284"/>
      </w:pPr>
      <w:rPr>
        <w:rFonts w:asciiTheme="minorHAnsi" w:hAnsiTheme="minorHAnsi" w:cstheme="minorHAnsi"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58344202">
      <w:start w:val="1"/>
      <w:numFmt w:val="lowerLetter"/>
      <w:lvlText w:val="%2."/>
      <w:lvlJc w:val="left"/>
      <w:pPr>
        <w:ind w:left="510" w:hanging="283"/>
      </w:pPr>
      <w:rPr>
        <w:rFonts w:hint="default"/>
      </w:rPr>
    </w:lvl>
    <w:lvl w:ilvl="2" w:tplc="C25824DE">
      <w:start w:val="1"/>
      <w:numFmt w:val="lowerRoman"/>
      <w:lvlText w:val="%3."/>
      <w:lvlJc w:val="right"/>
      <w:pPr>
        <w:ind w:left="737" w:hanging="113"/>
      </w:pPr>
      <w:rPr>
        <w:rFonts w:hint="default"/>
      </w:rPr>
    </w:lvl>
    <w:lvl w:ilvl="3" w:tplc="CAE2BAE2" w:tentative="1">
      <w:start w:val="1"/>
      <w:numFmt w:val="decimal"/>
      <w:lvlText w:val="%4."/>
      <w:lvlJc w:val="left"/>
      <w:pPr>
        <w:ind w:left="2880" w:hanging="360"/>
      </w:pPr>
    </w:lvl>
    <w:lvl w:ilvl="4" w:tplc="15F81DDE" w:tentative="1">
      <w:start w:val="1"/>
      <w:numFmt w:val="lowerLetter"/>
      <w:lvlText w:val="%5."/>
      <w:lvlJc w:val="left"/>
      <w:pPr>
        <w:ind w:left="3600" w:hanging="360"/>
      </w:pPr>
    </w:lvl>
    <w:lvl w:ilvl="5" w:tplc="50C29066" w:tentative="1">
      <w:start w:val="1"/>
      <w:numFmt w:val="lowerRoman"/>
      <w:lvlText w:val="%6."/>
      <w:lvlJc w:val="right"/>
      <w:pPr>
        <w:ind w:left="4320" w:hanging="180"/>
      </w:pPr>
    </w:lvl>
    <w:lvl w:ilvl="6" w:tplc="2342F63C" w:tentative="1">
      <w:start w:val="1"/>
      <w:numFmt w:val="decimal"/>
      <w:lvlText w:val="%7."/>
      <w:lvlJc w:val="left"/>
      <w:pPr>
        <w:ind w:left="5040" w:hanging="360"/>
      </w:pPr>
    </w:lvl>
    <w:lvl w:ilvl="7" w:tplc="E3642B88" w:tentative="1">
      <w:start w:val="1"/>
      <w:numFmt w:val="lowerLetter"/>
      <w:lvlText w:val="%8."/>
      <w:lvlJc w:val="left"/>
      <w:pPr>
        <w:ind w:left="5760" w:hanging="360"/>
      </w:pPr>
    </w:lvl>
    <w:lvl w:ilvl="8" w:tplc="4628DD04" w:tentative="1">
      <w:start w:val="1"/>
      <w:numFmt w:val="lowerRoman"/>
      <w:lvlText w:val="%9."/>
      <w:lvlJc w:val="right"/>
      <w:pPr>
        <w:ind w:left="6480" w:hanging="180"/>
      </w:pPr>
    </w:lvl>
  </w:abstractNum>
  <w:abstractNum w:abstractNumId="11" w15:restartNumberingAfterBreak="0">
    <w:nsid w:val="39D1413D"/>
    <w:multiLevelType w:val="multilevel"/>
    <w:tmpl w:val="CB6ED078"/>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2" w15:restartNumberingAfterBreak="0">
    <w:nsid w:val="3C29393C"/>
    <w:multiLevelType w:val="hybridMultilevel"/>
    <w:tmpl w:val="F684D6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E2959D7"/>
    <w:multiLevelType w:val="hybridMultilevel"/>
    <w:tmpl w:val="CB6ED078"/>
    <w:lvl w:ilvl="0" w:tplc="CE78608C">
      <w:numFmt w:val="decimal"/>
      <w:lvlText w:val=""/>
      <w:lvlJc w:val="left"/>
      <w:pPr>
        <w:ind w:left="227" w:hanging="227"/>
      </w:pPr>
      <w:rPr>
        <w:rFonts w:ascii="Symbol" w:hAnsi="Symbol" w:hint="default"/>
        <w:color w:val="auto"/>
        <w:position w:val="4"/>
        <w:sz w:val="16"/>
      </w:rPr>
    </w:lvl>
    <w:lvl w:ilvl="1" w:tplc="64663BF4">
      <w:numFmt w:val="decimal"/>
      <w:lvlText w:val=""/>
      <w:lvlJc w:val="left"/>
      <w:pPr>
        <w:ind w:left="510" w:hanging="226"/>
      </w:pPr>
      <w:rPr>
        <w:rFonts w:ascii="Symbol" w:hAnsi="Symbol" w:hint="default"/>
        <w:color w:val="auto"/>
        <w:position w:val="4"/>
        <w:sz w:val="16"/>
      </w:rPr>
    </w:lvl>
    <w:lvl w:ilvl="2" w:tplc="8C1227F6">
      <w:numFmt w:val="decimal"/>
      <w:lvlText w:val=""/>
      <w:lvlJc w:val="left"/>
      <w:pPr>
        <w:ind w:left="794" w:hanging="227"/>
      </w:pPr>
      <w:rPr>
        <w:rFonts w:ascii="Symbol" w:hAnsi="Symbol" w:hint="default"/>
        <w:color w:val="auto"/>
        <w:position w:val="4"/>
        <w:sz w:val="16"/>
      </w:rPr>
    </w:lvl>
    <w:lvl w:ilvl="3" w:tplc="5BA438D0">
      <w:numFmt w:val="decimal"/>
      <w:lvlText w:val=""/>
      <w:lvlJc w:val="left"/>
      <w:pPr>
        <w:ind w:left="680" w:hanging="170"/>
      </w:pPr>
      <w:rPr>
        <w:rFonts w:ascii="Wingdings 2" w:hAnsi="Wingdings 2" w:hint="default"/>
        <w:color w:val="404040" w:themeColor="text1" w:themeTint="BF"/>
        <w:position w:val="4"/>
        <w:sz w:val="10"/>
      </w:rPr>
    </w:lvl>
    <w:lvl w:ilvl="4" w:tplc="E6701B58">
      <w:start w:val="1"/>
      <w:numFmt w:val="lowerLetter"/>
      <w:lvlText w:val="(%5)"/>
      <w:lvlJc w:val="left"/>
      <w:pPr>
        <w:ind w:left="850" w:hanging="170"/>
      </w:pPr>
    </w:lvl>
    <w:lvl w:ilvl="5" w:tplc="59A6B2A0">
      <w:start w:val="1"/>
      <w:numFmt w:val="lowerRoman"/>
      <w:lvlText w:val="(%6)"/>
      <w:lvlJc w:val="left"/>
      <w:pPr>
        <w:ind w:left="1020" w:hanging="170"/>
      </w:pPr>
    </w:lvl>
    <w:lvl w:ilvl="6" w:tplc="45AC659C">
      <w:start w:val="1"/>
      <w:numFmt w:val="decimal"/>
      <w:lvlText w:val="%7."/>
      <w:lvlJc w:val="left"/>
      <w:pPr>
        <w:ind w:left="1190" w:hanging="170"/>
      </w:pPr>
    </w:lvl>
    <w:lvl w:ilvl="7" w:tplc="A920DA74">
      <w:start w:val="1"/>
      <w:numFmt w:val="lowerLetter"/>
      <w:lvlText w:val="%8."/>
      <w:lvlJc w:val="left"/>
      <w:pPr>
        <w:ind w:left="1360" w:hanging="170"/>
      </w:pPr>
    </w:lvl>
    <w:lvl w:ilvl="8" w:tplc="3440E5DC">
      <w:start w:val="1"/>
      <w:numFmt w:val="lowerRoman"/>
      <w:lvlText w:val="%9."/>
      <w:lvlJc w:val="left"/>
      <w:pPr>
        <w:ind w:left="1530" w:hanging="170"/>
      </w:pPr>
    </w:lvl>
  </w:abstractNum>
  <w:abstractNum w:abstractNumId="14" w15:restartNumberingAfterBreak="0">
    <w:nsid w:val="3E835F98"/>
    <w:multiLevelType w:val="hybridMultilevel"/>
    <w:tmpl w:val="6726B962"/>
    <w:lvl w:ilvl="0" w:tplc="0C090019">
      <w:start w:val="1"/>
      <w:numFmt w:val="decimal"/>
      <w:lvlText w:val="%1."/>
      <w:lvlJc w:val="left"/>
      <w:pPr>
        <w:ind w:left="720" w:hanging="360"/>
      </w:pPr>
      <w:rPr>
        <w:rFonts w:hint="default"/>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28C2FDF"/>
    <w:multiLevelType w:val="hybridMultilevel"/>
    <w:tmpl w:val="F79E27E0"/>
    <w:lvl w:ilvl="0" w:tplc="0C09000F">
      <w:start w:val="1"/>
      <w:numFmt w:val="bullet"/>
      <w:pStyle w:val="longformcalloutbullet"/>
      <w:lvlText w:val=""/>
      <w:lvlJc w:val="left"/>
      <w:pPr>
        <w:ind w:left="720" w:hanging="360"/>
      </w:pPr>
      <w:rPr>
        <w:rFonts w:ascii="Symbol" w:hAnsi="Symbol" w:hint="default"/>
        <w:color w:val="00264D" w:themeColor="background2"/>
        <w:sz w:val="12"/>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6" w15:restartNumberingAfterBreak="0">
    <w:nsid w:val="4AB30710"/>
    <w:multiLevelType w:val="hybridMultilevel"/>
    <w:tmpl w:val="7DA0F9D0"/>
    <w:lvl w:ilvl="0" w:tplc="370EA3D8">
      <w:start w:val="1"/>
      <w:numFmt w:val="decimal"/>
      <w:pStyle w:val="longformcalloutnumber"/>
      <w:lvlText w:val="%1."/>
      <w:lvlJc w:val="left"/>
      <w:pPr>
        <w:ind w:left="720" w:hanging="360"/>
      </w:pPr>
      <w:rPr>
        <w:rFonts w:hint="default"/>
        <w:b w:val="0"/>
        <w:color w:val="00264D" w:themeColor="background2"/>
        <w:sz w:val="18"/>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17" w15:restartNumberingAfterBreak="0">
    <w:nsid w:val="4B3D2157"/>
    <w:multiLevelType w:val="multilevel"/>
    <w:tmpl w:val="310876F2"/>
    <w:lvl w:ilvl="0">
      <w:start w:val="1"/>
      <w:numFmt w:val="decimal"/>
      <w:pStyle w:val="introductionlist"/>
      <w:lvlText w:val="%1."/>
      <w:lvlJc w:val="left"/>
      <w:pPr>
        <w:ind w:left="357" w:hanging="357"/>
      </w:pPr>
      <w:rPr>
        <w:rFonts w:hint="default"/>
        <w:b w:val="0"/>
      </w:rPr>
    </w:lvl>
    <w:lvl w:ilvl="1">
      <w:start w:val="1"/>
      <w:numFmt w:val="lowerLetter"/>
      <w:lvlText w:val="%2."/>
      <w:lvlJc w:val="left"/>
      <w:pPr>
        <w:ind w:left="720" w:hanging="363"/>
      </w:pPr>
      <w:rPr>
        <w:rFonts w:hint="default"/>
      </w:rPr>
    </w:lvl>
    <w:lvl w:ilvl="2">
      <w:start w:val="1"/>
      <w:numFmt w:val="lowerRoman"/>
      <w:lvlText w:val="%3."/>
      <w:lvlJc w:val="righ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54C55940"/>
    <w:multiLevelType w:val="multilevel"/>
    <w:tmpl w:val="D3261AAA"/>
    <w:lvl w:ilvl="0">
      <w:start w:val="1"/>
      <w:numFmt w:val="bullet"/>
      <w:pStyle w:val="intoductionbullet"/>
      <w:lvlText w:val=""/>
      <w:lvlJc w:val="left"/>
      <w:pPr>
        <w:ind w:left="357" w:hanging="357"/>
      </w:pPr>
      <w:rPr>
        <w:rFonts w:ascii="Symbol" w:hAnsi="Symbol" w:hint="default"/>
        <w:color w:val="00264D" w:themeColor="background2"/>
      </w:rPr>
    </w:lvl>
    <w:lvl w:ilvl="1">
      <w:start w:val="1"/>
      <w:numFmt w:val="bullet"/>
      <w:lvlText w:val=""/>
      <w:lvlJc w:val="left"/>
      <w:pPr>
        <w:ind w:left="720" w:hanging="363"/>
      </w:pPr>
      <w:rPr>
        <w:rFonts w:ascii="Symbol" w:hAnsi="Symbol" w:hint="default"/>
        <w:color w:val="00264D" w:themeColor="background2"/>
      </w:rPr>
    </w:lvl>
    <w:lvl w:ilvl="2">
      <w:start w:val="1"/>
      <w:numFmt w:val="bullet"/>
      <w:lvlText w:val=""/>
      <w:lvlJc w:val="left"/>
      <w:pPr>
        <w:ind w:left="1077" w:hanging="357"/>
      </w:pPr>
      <w:rPr>
        <w:rFonts w:ascii="Symbol" w:hAnsi="Symbol" w:hint="default"/>
        <w:color w:val="00264D" w:themeColor="background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8B030FE"/>
    <w:multiLevelType w:val="multilevel"/>
    <w:tmpl w:val="A40495DC"/>
    <w:styleLink w:val="TableNListnumberedmultilevel"/>
    <w:lvl w:ilvl="0">
      <w:start w:val="1"/>
      <w:numFmt w:val="decimal"/>
      <w:pStyle w:val="TableNListnumbered"/>
      <w:lvlText w:val="%1."/>
      <w:lvlJc w:val="left"/>
      <w:pPr>
        <w:ind w:left="227" w:hanging="227"/>
      </w:pPr>
      <w:rPr>
        <w:rFonts w:ascii="Segoe UI" w:hAnsi="Segoe UI" w:hint="default"/>
        <w:b w:val="0"/>
        <w:i w:val="0"/>
        <w:sz w:val="17"/>
      </w:rPr>
    </w:lvl>
    <w:lvl w:ilvl="1">
      <w:start w:val="1"/>
      <w:numFmt w:val="lowerLetter"/>
      <w:lvlText w:val="%2."/>
      <w:lvlJc w:val="left"/>
      <w:pPr>
        <w:ind w:left="454" w:hanging="227"/>
      </w:pPr>
      <w:rPr>
        <w:rFonts w:ascii="Segoe UI" w:hAnsi="Segoe UI" w:hint="default"/>
        <w:b w:val="0"/>
        <w:i w:val="0"/>
        <w:sz w:val="17"/>
      </w:rPr>
    </w:lvl>
    <w:lvl w:ilvl="2">
      <w:start w:val="1"/>
      <w:numFmt w:val="lowerRoman"/>
      <w:lvlText w:val="%3."/>
      <w:lvlJc w:val="left"/>
      <w:pPr>
        <w:ind w:left="680" w:hanging="226"/>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4B821CA"/>
    <w:multiLevelType w:val="hybridMultilevel"/>
    <w:tmpl w:val="03484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1A16EBA"/>
    <w:multiLevelType w:val="multilevel"/>
    <w:tmpl w:val="C4CA085E"/>
    <w:lvl w:ilvl="0">
      <w:start w:val="1"/>
      <w:numFmt w:val="upperLetter"/>
      <w:pStyle w:val="xAppendixLevel1"/>
      <w:lvlText w:val="Appendix %1"/>
      <w:lvlJc w:val="left"/>
      <w:pPr>
        <w:ind w:left="2268" w:hanging="2268"/>
      </w:pPr>
      <w:rPr>
        <w:rFonts w:hint="default"/>
        <w:color w:val="00264D"/>
        <w:sz w:val="44"/>
        <w:szCs w:val="44"/>
      </w:rPr>
    </w:lvl>
    <w:lvl w:ilvl="1">
      <w:start w:val="1"/>
      <w:numFmt w:val="decimal"/>
      <w:pStyle w:val="xAppendixLevel2"/>
      <w:lvlText w:val="%1.%2"/>
      <w:lvlJc w:val="left"/>
      <w:pPr>
        <w:ind w:left="851" w:hanging="851"/>
      </w:pPr>
      <w:rPr>
        <w:rFonts w:hint="default"/>
        <w:color w:val="00264D"/>
        <w:sz w:val="34"/>
        <w:szCs w:val="34"/>
      </w:rPr>
    </w:lvl>
    <w:lvl w:ilvl="2">
      <w:start w:val="1"/>
      <w:numFmt w:val="decimal"/>
      <w:pStyle w:val="xAppendixLevel3"/>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7ED2013"/>
    <w:multiLevelType w:val="hybridMultilevel"/>
    <w:tmpl w:val="8BDAD1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79B7218E"/>
    <w:multiLevelType w:val="multilevel"/>
    <w:tmpl w:val="114C1886"/>
    <w:lvl w:ilvl="0">
      <w:start w:val="1"/>
      <w:numFmt w:val="bullet"/>
      <w:pStyle w:val="Bullet"/>
      <w:lvlText w:val=""/>
      <w:lvlJc w:val="left"/>
      <w:pPr>
        <w:ind w:left="340" w:hanging="340"/>
      </w:pPr>
      <w:rPr>
        <w:rFonts w:ascii="Symbol" w:hAnsi="Symbol"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1"/>
  </w:num>
  <w:num w:numId="2">
    <w:abstractNumId w:val="23"/>
  </w:num>
  <w:num w:numId="3">
    <w:abstractNumId w:val="4"/>
  </w:num>
  <w:num w:numId="4">
    <w:abstractNumId w:val="1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17"/>
  </w:num>
  <w:num w:numId="7">
    <w:abstractNumId w:val="15"/>
  </w:num>
  <w:num w:numId="8">
    <w:abstractNumId w:val="16"/>
  </w:num>
  <w:num w:numId="9">
    <w:abstractNumId w:val="2"/>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19"/>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3"/>
  </w:num>
  <w:num w:numId="19">
    <w:abstractNumId w:val="11"/>
  </w:num>
  <w:num w:numId="20">
    <w:abstractNumId w:val="10"/>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12"/>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10"/>
    <w:lvlOverride w:ilvl="0">
      <w:startOverride w:val="1"/>
    </w:lvlOverride>
  </w:num>
  <w:num w:numId="29">
    <w:abstractNumId w:val="10"/>
    <w:lvlOverride w:ilvl="0">
      <w:startOverride w:val="1"/>
    </w:lvlOverride>
  </w:num>
  <w:num w:numId="30">
    <w:abstractNumId w:val="10"/>
    <w:lvlOverride w:ilvl="0">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num>
  <w:num w:numId="34">
    <w:abstractNumId w:val="22"/>
  </w:num>
  <w:num w:numId="35">
    <w:abstractNumId w:val="20"/>
  </w:num>
  <w:num w:numId="36">
    <w:abstractNumId w:val="0"/>
  </w:num>
  <w:num w:numId="37">
    <w:abstractNumId w:val="9"/>
  </w:num>
  <w:num w:numId="38">
    <w:abstractNumId w:val="1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num>
  <w:num w:numId="40">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1"/>
  <w:drawingGridVerticalSpacing w:val="181"/>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FC8"/>
    <w:rsid w:val="000004B9"/>
    <w:rsid w:val="0000059A"/>
    <w:rsid w:val="00000A9B"/>
    <w:rsid w:val="00000B24"/>
    <w:rsid w:val="00000F50"/>
    <w:rsid w:val="00001141"/>
    <w:rsid w:val="0000115C"/>
    <w:rsid w:val="00001425"/>
    <w:rsid w:val="0000198E"/>
    <w:rsid w:val="00001C61"/>
    <w:rsid w:val="00001D25"/>
    <w:rsid w:val="00001F29"/>
    <w:rsid w:val="00002025"/>
    <w:rsid w:val="00002426"/>
    <w:rsid w:val="00002471"/>
    <w:rsid w:val="00002919"/>
    <w:rsid w:val="00002982"/>
    <w:rsid w:val="00002A7B"/>
    <w:rsid w:val="00002AA0"/>
    <w:rsid w:val="00002B42"/>
    <w:rsid w:val="00002F4B"/>
    <w:rsid w:val="0000318E"/>
    <w:rsid w:val="000034BC"/>
    <w:rsid w:val="00003B58"/>
    <w:rsid w:val="00003B73"/>
    <w:rsid w:val="00003C6B"/>
    <w:rsid w:val="000040BB"/>
    <w:rsid w:val="00004672"/>
    <w:rsid w:val="00004678"/>
    <w:rsid w:val="00004EE3"/>
    <w:rsid w:val="00005588"/>
    <w:rsid w:val="00005640"/>
    <w:rsid w:val="000058D6"/>
    <w:rsid w:val="0000593E"/>
    <w:rsid w:val="00005CD5"/>
    <w:rsid w:val="00005D84"/>
    <w:rsid w:val="00005FFA"/>
    <w:rsid w:val="0000638F"/>
    <w:rsid w:val="00006CB0"/>
    <w:rsid w:val="00006CEC"/>
    <w:rsid w:val="00007034"/>
    <w:rsid w:val="00007044"/>
    <w:rsid w:val="0000775B"/>
    <w:rsid w:val="000079C6"/>
    <w:rsid w:val="00007B67"/>
    <w:rsid w:val="00007D85"/>
    <w:rsid w:val="00007F0F"/>
    <w:rsid w:val="000100DD"/>
    <w:rsid w:val="00010AE3"/>
    <w:rsid w:val="00010D36"/>
    <w:rsid w:val="0001154D"/>
    <w:rsid w:val="000116F5"/>
    <w:rsid w:val="000118FD"/>
    <w:rsid w:val="000119B6"/>
    <w:rsid w:val="00011A08"/>
    <w:rsid w:val="00011B7C"/>
    <w:rsid w:val="00011E3C"/>
    <w:rsid w:val="00011ED0"/>
    <w:rsid w:val="00011F02"/>
    <w:rsid w:val="00011F51"/>
    <w:rsid w:val="00012473"/>
    <w:rsid w:val="000124FE"/>
    <w:rsid w:val="00012646"/>
    <w:rsid w:val="00012650"/>
    <w:rsid w:val="00012772"/>
    <w:rsid w:val="00012AFF"/>
    <w:rsid w:val="00013003"/>
    <w:rsid w:val="00013394"/>
    <w:rsid w:val="0001359C"/>
    <w:rsid w:val="000136B3"/>
    <w:rsid w:val="00013A41"/>
    <w:rsid w:val="00013A78"/>
    <w:rsid w:val="00013BF4"/>
    <w:rsid w:val="00013BFE"/>
    <w:rsid w:val="00013C3E"/>
    <w:rsid w:val="00013E20"/>
    <w:rsid w:val="00013E45"/>
    <w:rsid w:val="00013E58"/>
    <w:rsid w:val="0001471F"/>
    <w:rsid w:val="000147F6"/>
    <w:rsid w:val="00014979"/>
    <w:rsid w:val="00014B18"/>
    <w:rsid w:val="00014C5B"/>
    <w:rsid w:val="00014F6D"/>
    <w:rsid w:val="000151B0"/>
    <w:rsid w:val="00015ACE"/>
    <w:rsid w:val="00016056"/>
    <w:rsid w:val="0001669D"/>
    <w:rsid w:val="00016751"/>
    <w:rsid w:val="0001680C"/>
    <w:rsid w:val="00016983"/>
    <w:rsid w:val="00016A10"/>
    <w:rsid w:val="00016BF5"/>
    <w:rsid w:val="000177ED"/>
    <w:rsid w:val="00017ACC"/>
    <w:rsid w:val="0002029D"/>
    <w:rsid w:val="000203FE"/>
    <w:rsid w:val="00020752"/>
    <w:rsid w:val="00020BB1"/>
    <w:rsid w:val="000213BA"/>
    <w:rsid w:val="000214E4"/>
    <w:rsid w:val="000216A6"/>
    <w:rsid w:val="00021BAF"/>
    <w:rsid w:val="00021CBE"/>
    <w:rsid w:val="00021F25"/>
    <w:rsid w:val="00021F62"/>
    <w:rsid w:val="0002234C"/>
    <w:rsid w:val="00022496"/>
    <w:rsid w:val="00022C67"/>
    <w:rsid w:val="00022D20"/>
    <w:rsid w:val="00023414"/>
    <w:rsid w:val="0002351E"/>
    <w:rsid w:val="0002390E"/>
    <w:rsid w:val="00023C32"/>
    <w:rsid w:val="00023D94"/>
    <w:rsid w:val="000243AB"/>
    <w:rsid w:val="000245A7"/>
    <w:rsid w:val="000247CF"/>
    <w:rsid w:val="00024829"/>
    <w:rsid w:val="00024A70"/>
    <w:rsid w:val="000254DB"/>
    <w:rsid w:val="00025670"/>
    <w:rsid w:val="000256BA"/>
    <w:rsid w:val="0002639C"/>
    <w:rsid w:val="000267A5"/>
    <w:rsid w:val="000267D2"/>
    <w:rsid w:val="00026B06"/>
    <w:rsid w:val="000273A4"/>
    <w:rsid w:val="000273CD"/>
    <w:rsid w:val="00027686"/>
    <w:rsid w:val="00027A8E"/>
    <w:rsid w:val="00027BD5"/>
    <w:rsid w:val="00027BE9"/>
    <w:rsid w:val="00027FB3"/>
    <w:rsid w:val="00030462"/>
    <w:rsid w:val="000305CA"/>
    <w:rsid w:val="00030A27"/>
    <w:rsid w:val="00030D1B"/>
    <w:rsid w:val="00030ECA"/>
    <w:rsid w:val="00031801"/>
    <w:rsid w:val="00031CD4"/>
    <w:rsid w:val="00031DB7"/>
    <w:rsid w:val="000322D2"/>
    <w:rsid w:val="00032445"/>
    <w:rsid w:val="00032453"/>
    <w:rsid w:val="00032585"/>
    <w:rsid w:val="00032C26"/>
    <w:rsid w:val="00032C5A"/>
    <w:rsid w:val="00032EFE"/>
    <w:rsid w:val="00032F80"/>
    <w:rsid w:val="00033617"/>
    <w:rsid w:val="00033898"/>
    <w:rsid w:val="00033E95"/>
    <w:rsid w:val="000343EB"/>
    <w:rsid w:val="00034588"/>
    <w:rsid w:val="000345C9"/>
    <w:rsid w:val="0003473F"/>
    <w:rsid w:val="00035A7A"/>
    <w:rsid w:val="00035DBF"/>
    <w:rsid w:val="00036114"/>
    <w:rsid w:val="00036748"/>
    <w:rsid w:val="00036780"/>
    <w:rsid w:val="000368CB"/>
    <w:rsid w:val="00036D2E"/>
    <w:rsid w:val="00036D68"/>
    <w:rsid w:val="00037006"/>
    <w:rsid w:val="0003704A"/>
    <w:rsid w:val="0003715B"/>
    <w:rsid w:val="0003727B"/>
    <w:rsid w:val="000372A1"/>
    <w:rsid w:val="00037553"/>
    <w:rsid w:val="0003764A"/>
    <w:rsid w:val="000376FE"/>
    <w:rsid w:val="000379B4"/>
    <w:rsid w:val="00037B06"/>
    <w:rsid w:val="00037C2F"/>
    <w:rsid w:val="00037D40"/>
    <w:rsid w:val="00037D5B"/>
    <w:rsid w:val="00040329"/>
    <w:rsid w:val="00040433"/>
    <w:rsid w:val="00040478"/>
    <w:rsid w:val="00040984"/>
    <w:rsid w:val="00040D53"/>
    <w:rsid w:val="00040DE4"/>
    <w:rsid w:val="00040FA8"/>
    <w:rsid w:val="00041343"/>
    <w:rsid w:val="00041356"/>
    <w:rsid w:val="0004135E"/>
    <w:rsid w:val="000414AD"/>
    <w:rsid w:val="000416ED"/>
    <w:rsid w:val="00041991"/>
    <w:rsid w:val="00041E83"/>
    <w:rsid w:val="00042AEC"/>
    <w:rsid w:val="00042DF9"/>
    <w:rsid w:val="00042E00"/>
    <w:rsid w:val="00042FBC"/>
    <w:rsid w:val="00043197"/>
    <w:rsid w:val="0004323F"/>
    <w:rsid w:val="0004446B"/>
    <w:rsid w:val="000446EE"/>
    <w:rsid w:val="00044745"/>
    <w:rsid w:val="00044AA7"/>
    <w:rsid w:val="00044AF7"/>
    <w:rsid w:val="00045289"/>
    <w:rsid w:val="00045508"/>
    <w:rsid w:val="00045551"/>
    <w:rsid w:val="000456AF"/>
    <w:rsid w:val="00045B03"/>
    <w:rsid w:val="00045C1A"/>
    <w:rsid w:val="00045C8A"/>
    <w:rsid w:val="00045C8D"/>
    <w:rsid w:val="00046605"/>
    <w:rsid w:val="00046C99"/>
    <w:rsid w:val="00046CA5"/>
    <w:rsid w:val="0004710C"/>
    <w:rsid w:val="000472FE"/>
    <w:rsid w:val="0004793D"/>
    <w:rsid w:val="00047D10"/>
    <w:rsid w:val="00047D2A"/>
    <w:rsid w:val="00047DFA"/>
    <w:rsid w:val="000503F4"/>
    <w:rsid w:val="00050673"/>
    <w:rsid w:val="00050832"/>
    <w:rsid w:val="00050A7E"/>
    <w:rsid w:val="00050E08"/>
    <w:rsid w:val="0005195D"/>
    <w:rsid w:val="00052008"/>
    <w:rsid w:val="000522EF"/>
    <w:rsid w:val="0005241E"/>
    <w:rsid w:val="000524EF"/>
    <w:rsid w:val="0005257B"/>
    <w:rsid w:val="000525B7"/>
    <w:rsid w:val="00052A10"/>
    <w:rsid w:val="00052B0D"/>
    <w:rsid w:val="00052DEA"/>
    <w:rsid w:val="00052F58"/>
    <w:rsid w:val="000530AD"/>
    <w:rsid w:val="00053163"/>
    <w:rsid w:val="000532EA"/>
    <w:rsid w:val="00053419"/>
    <w:rsid w:val="000536C6"/>
    <w:rsid w:val="000537B7"/>
    <w:rsid w:val="00053AFC"/>
    <w:rsid w:val="00053C3D"/>
    <w:rsid w:val="00053F07"/>
    <w:rsid w:val="00054219"/>
    <w:rsid w:val="00054225"/>
    <w:rsid w:val="00054534"/>
    <w:rsid w:val="0005474D"/>
    <w:rsid w:val="000547C0"/>
    <w:rsid w:val="00054C44"/>
    <w:rsid w:val="000550C6"/>
    <w:rsid w:val="0005521F"/>
    <w:rsid w:val="0005564D"/>
    <w:rsid w:val="0005575C"/>
    <w:rsid w:val="00055789"/>
    <w:rsid w:val="00055A53"/>
    <w:rsid w:val="00055B5E"/>
    <w:rsid w:val="00055C41"/>
    <w:rsid w:val="0005628B"/>
    <w:rsid w:val="00056524"/>
    <w:rsid w:val="000566A3"/>
    <w:rsid w:val="00056914"/>
    <w:rsid w:val="00056BBD"/>
    <w:rsid w:val="00057026"/>
    <w:rsid w:val="0005718F"/>
    <w:rsid w:val="000573CC"/>
    <w:rsid w:val="000574C3"/>
    <w:rsid w:val="0005789D"/>
    <w:rsid w:val="00057BCF"/>
    <w:rsid w:val="00057C8C"/>
    <w:rsid w:val="00057F21"/>
    <w:rsid w:val="00060003"/>
    <w:rsid w:val="000601EC"/>
    <w:rsid w:val="0006049D"/>
    <w:rsid w:val="000604C1"/>
    <w:rsid w:val="000605D3"/>
    <w:rsid w:val="00060967"/>
    <w:rsid w:val="00060C61"/>
    <w:rsid w:val="00060E1B"/>
    <w:rsid w:val="00061B55"/>
    <w:rsid w:val="0006208E"/>
    <w:rsid w:val="0006209B"/>
    <w:rsid w:val="00062486"/>
    <w:rsid w:val="000625AC"/>
    <w:rsid w:val="0006264F"/>
    <w:rsid w:val="00062680"/>
    <w:rsid w:val="00062741"/>
    <w:rsid w:val="00062EB2"/>
    <w:rsid w:val="000637A6"/>
    <w:rsid w:val="00063914"/>
    <w:rsid w:val="00063A46"/>
    <w:rsid w:val="00063AFC"/>
    <w:rsid w:val="00063B77"/>
    <w:rsid w:val="00063B86"/>
    <w:rsid w:val="00063D52"/>
    <w:rsid w:val="00063F28"/>
    <w:rsid w:val="00063FB0"/>
    <w:rsid w:val="00064769"/>
    <w:rsid w:val="000647C4"/>
    <w:rsid w:val="00064B4F"/>
    <w:rsid w:val="00065025"/>
    <w:rsid w:val="00065348"/>
    <w:rsid w:val="00065880"/>
    <w:rsid w:val="00065B89"/>
    <w:rsid w:val="00065F95"/>
    <w:rsid w:val="000661D6"/>
    <w:rsid w:val="00066672"/>
    <w:rsid w:val="000668AD"/>
    <w:rsid w:val="0006692D"/>
    <w:rsid w:val="00066969"/>
    <w:rsid w:val="00066A8C"/>
    <w:rsid w:val="00067271"/>
    <w:rsid w:val="00067285"/>
    <w:rsid w:val="00067907"/>
    <w:rsid w:val="0006793B"/>
    <w:rsid w:val="000679C0"/>
    <w:rsid w:val="00067B11"/>
    <w:rsid w:val="00067BE9"/>
    <w:rsid w:val="00067F61"/>
    <w:rsid w:val="00067FDA"/>
    <w:rsid w:val="00070241"/>
    <w:rsid w:val="00070437"/>
    <w:rsid w:val="00070863"/>
    <w:rsid w:val="000709AB"/>
    <w:rsid w:val="00070B17"/>
    <w:rsid w:val="00070BAE"/>
    <w:rsid w:val="00070C03"/>
    <w:rsid w:val="00070F7C"/>
    <w:rsid w:val="000712E9"/>
    <w:rsid w:val="000719A5"/>
    <w:rsid w:val="00071BC2"/>
    <w:rsid w:val="00071C5C"/>
    <w:rsid w:val="00071C91"/>
    <w:rsid w:val="00071CB8"/>
    <w:rsid w:val="00071FA2"/>
    <w:rsid w:val="00072663"/>
    <w:rsid w:val="00072897"/>
    <w:rsid w:val="00072A9E"/>
    <w:rsid w:val="000730CE"/>
    <w:rsid w:val="00073482"/>
    <w:rsid w:val="00073BEB"/>
    <w:rsid w:val="0007436A"/>
    <w:rsid w:val="00074AD0"/>
    <w:rsid w:val="00074DCD"/>
    <w:rsid w:val="00075213"/>
    <w:rsid w:val="000753FA"/>
    <w:rsid w:val="0007553A"/>
    <w:rsid w:val="00075600"/>
    <w:rsid w:val="00075617"/>
    <w:rsid w:val="00075AEF"/>
    <w:rsid w:val="00075F68"/>
    <w:rsid w:val="000762CD"/>
    <w:rsid w:val="00076316"/>
    <w:rsid w:val="00076605"/>
    <w:rsid w:val="0007699C"/>
    <w:rsid w:val="00077056"/>
    <w:rsid w:val="000770A7"/>
    <w:rsid w:val="000776D3"/>
    <w:rsid w:val="000778D1"/>
    <w:rsid w:val="00077BF3"/>
    <w:rsid w:val="00077CBF"/>
    <w:rsid w:val="00077E03"/>
    <w:rsid w:val="00080BD6"/>
    <w:rsid w:val="00080F63"/>
    <w:rsid w:val="0008136B"/>
    <w:rsid w:val="0008145C"/>
    <w:rsid w:val="00081914"/>
    <w:rsid w:val="000819ED"/>
    <w:rsid w:val="00081D98"/>
    <w:rsid w:val="00081E86"/>
    <w:rsid w:val="00082131"/>
    <w:rsid w:val="00082434"/>
    <w:rsid w:val="00082967"/>
    <w:rsid w:val="00082AA4"/>
    <w:rsid w:val="00082B9D"/>
    <w:rsid w:val="00083992"/>
    <w:rsid w:val="00083EA0"/>
    <w:rsid w:val="00083F86"/>
    <w:rsid w:val="00083FFA"/>
    <w:rsid w:val="000840CD"/>
    <w:rsid w:val="00084331"/>
    <w:rsid w:val="000843C9"/>
    <w:rsid w:val="00084A50"/>
    <w:rsid w:val="00084CD7"/>
    <w:rsid w:val="00084EA0"/>
    <w:rsid w:val="00085763"/>
    <w:rsid w:val="00085B95"/>
    <w:rsid w:val="00085BD2"/>
    <w:rsid w:val="00085EA2"/>
    <w:rsid w:val="00086321"/>
    <w:rsid w:val="000863C7"/>
    <w:rsid w:val="000871AA"/>
    <w:rsid w:val="000872B3"/>
    <w:rsid w:val="00087706"/>
    <w:rsid w:val="000900F4"/>
    <w:rsid w:val="0009011B"/>
    <w:rsid w:val="000902D3"/>
    <w:rsid w:val="000908BC"/>
    <w:rsid w:val="00090D4B"/>
    <w:rsid w:val="00090FF7"/>
    <w:rsid w:val="00091321"/>
    <w:rsid w:val="000913AB"/>
    <w:rsid w:val="0009198E"/>
    <w:rsid w:val="00091A2E"/>
    <w:rsid w:val="00091A53"/>
    <w:rsid w:val="00091A80"/>
    <w:rsid w:val="00092124"/>
    <w:rsid w:val="00092129"/>
    <w:rsid w:val="000924A6"/>
    <w:rsid w:val="00092607"/>
    <w:rsid w:val="0009291A"/>
    <w:rsid w:val="000929D2"/>
    <w:rsid w:val="00092E15"/>
    <w:rsid w:val="000932DB"/>
    <w:rsid w:val="000934F2"/>
    <w:rsid w:val="00093582"/>
    <w:rsid w:val="0009358D"/>
    <w:rsid w:val="00093627"/>
    <w:rsid w:val="00093772"/>
    <w:rsid w:val="00093995"/>
    <w:rsid w:val="000939F5"/>
    <w:rsid w:val="00093AF9"/>
    <w:rsid w:val="00093FA9"/>
    <w:rsid w:val="000942CE"/>
    <w:rsid w:val="00094510"/>
    <w:rsid w:val="00094522"/>
    <w:rsid w:val="00094912"/>
    <w:rsid w:val="00094C80"/>
    <w:rsid w:val="00094CE2"/>
    <w:rsid w:val="00094DAD"/>
    <w:rsid w:val="000950B5"/>
    <w:rsid w:val="00095196"/>
    <w:rsid w:val="00095963"/>
    <w:rsid w:val="00095A49"/>
    <w:rsid w:val="00095C95"/>
    <w:rsid w:val="00095D2B"/>
    <w:rsid w:val="00095D32"/>
    <w:rsid w:val="000960E5"/>
    <w:rsid w:val="000962A7"/>
    <w:rsid w:val="00096385"/>
    <w:rsid w:val="0009642F"/>
    <w:rsid w:val="000965E3"/>
    <w:rsid w:val="000967C4"/>
    <w:rsid w:val="00096A52"/>
    <w:rsid w:val="00096F1A"/>
    <w:rsid w:val="00096F8E"/>
    <w:rsid w:val="00097001"/>
    <w:rsid w:val="00097136"/>
    <w:rsid w:val="000971D5"/>
    <w:rsid w:val="00097245"/>
    <w:rsid w:val="0009735E"/>
    <w:rsid w:val="00097757"/>
    <w:rsid w:val="00097AE7"/>
    <w:rsid w:val="00097FF2"/>
    <w:rsid w:val="000A013D"/>
    <w:rsid w:val="000A02A6"/>
    <w:rsid w:val="000A05B9"/>
    <w:rsid w:val="000A0613"/>
    <w:rsid w:val="000A062F"/>
    <w:rsid w:val="000A1328"/>
    <w:rsid w:val="000A13C3"/>
    <w:rsid w:val="000A1479"/>
    <w:rsid w:val="000A1587"/>
    <w:rsid w:val="000A1621"/>
    <w:rsid w:val="000A1780"/>
    <w:rsid w:val="000A181F"/>
    <w:rsid w:val="000A18C9"/>
    <w:rsid w:val="000A1993"/>
    <w:rsid w:val="000A1B18"/>
    <w:rsid w:val="000A1C03"/>
    <w:rsid w:val="000A1EA8"/>
    <w:rsid w:val="000A2109"/>
    <w:rsid w:val="000A225A"/>
    <w:rsid w:val="000A29C6"/>
    <w:rsid w:val="000A2AA0"/>
    <w:rsid w:val="000A2CA2"/>
    <w:rsid w:val="000A3017"/>
    <w:rsid w:val="000A3077"/>
    <w:rsid w:val="000A30C9"/>
    <w:rsid w:val="000A32EA"/>
    <w:rsid w:val="000A386B"/>
    <w:rsid w:val="000A38B7"/>
    <w:rsid w:val="000A39F1"/>
    <w:rsid w:val="000A3AC7"/>
    <w:rsid w:val="000A4491"/>
    <w:rsid w:val="000A45CF"/>
    <w:rsid w:val="000A46BD"/>
    <w:rsid w:val="000A46F6"/>
    <w:rsid w:val="000A4C0A"/>
    <w:rsid w:val="000A4C57"/>
    <w:rsid w:val="000A4D8F"/>
    <w:rsid w:val="000A4EBA"/>
    <w:rsid w:val="000A508C"/>
    <w:rsid w:val="000A508E"/>
    <w:rsid w:val="000A5475"/>
    <w:rsid w:val="000A571D"/>
    <w:rsid w:val="000A590A"/>
    <w:rsid w:val="000A5A35"/>
    <w:rsid w:val="000A5AD7"/>
    <w:rsid w:val="000A5B11"/>
    <w:rsid w:val="000A5C34"/>
    <w:rsid w:val="000A6207"/>
    <w:rsid w:val="000A641B"/>
    <w:rsid w:val="000A678A"/>
    <w:rsid w:val="000A68DF"/>
    <w:rsid w:val="000A6A4C"/>
    <w:rsid w:val="000A6BC5"/>
    <w:rsid w:val="000A6EE3"/>
    <w:rsid w:val="000A6F8A"/>
    <w:rsid w:val="000A7AC6"/>
    <w:rsid w:val="000B0314"/>
    <w:rsid w:val="000B0973"/>
    <w:rsid w:val="000B09E6"/>
    <w:rsid w:val="000B0D28"/>
    <w:rsid w:val="000B0FCF"/>
    <w:rsid w:val="000B13DF"/>
    <w:rsid w:val="000B1A3A"/>
    <w:rsid w:val="000B1B8E"/>
    <w:rsid w:val="000B1CB8"/>
    <w:rsid w:val="000B1E9E"/>
    <w:rsid w:val="000B24A1"/>
    <w:rsid w:val="000B292F"/>
    <w:rsid w:val="000B2BFD"/>
    <w:rsid w:val="000B2C2F"/>
    <w:rsid w:val="000B2DE0"/>
    <w:rsid w:val="000B305B"/>
    <w:rsid w:val="000B3187"/>
    <w:rsid w:val="000B3E43"/>
    <w:rsid w:val="000B3F6A"/>
    <w:rsid w:val="000B40BB"/>
    <w:rsid w:val="000B4E38"/>
    <w:rsid w:val="000B4FDD"/>
    <w:rsid w:val="000B535F"/>
    <w:rsid w:val="000B54D6"/>
    <w:rsid w:val="000B5608"/>
    <w:rsid w:val="000B561E"/>
    <w:rsid w:val="000B5D82"/>
    <w:rsid w:val="000B5EAD"/>
    <w:rsid w:val="000B61FB"/>
    <w:rsid w:val="000B661C"/>
    <w:rsid w:val="000B6656"/>
    <w:rsid w:val="000B6933"/>
    <w:rsid w:val="000B6BED"/>
    <w:rsid w:val="000B6CD2"/>
    <w:rsid w:val="000B6DFB"/>
    <w:rsid w:val="000B6EED"/>
    <w:rsid w:val="000B6FE0"/>
    <w:rsid w:val="000B7164"/>
    <w:rsid w:val="000B72A4"/>
    <w:rsid w:val="000B72D9"/>
    <w:rsid w:val="000B735A"/>
    <w:rsid w:val="000B74A4"/>
    <w:rsid w:val="000B75D9"/>
    <w:rsid w:val="000B7941"/>
    <w:rsid w:val="000B7BCF"/>
    <w:rsid w:val="000B7EEE"/>
    <w:rsid w:val="000C001C"/>
    <w:rsid w:val="000C08E5"/>
    <w:rsid w:val="000C0B97"/>
    <w:rsid w:val="000C1070"/>
    <w:rsid w:val="000C1230"/>
    <w:rsid w:val="000C1D4D"/>
    <w:rsid w:val="000C1E16"/>
    <w:rsid w:val="000C26CA"/>
    <w:rsid w:val="000C276C"/>
    <w:rsid w:val="000C2940"/>
    <w:rsid w:val="000C2A2A"/>
    <w:rsid w:val="000C2CC9"/>
    <w:rsid w:val="000C3383"/>
    <w:rsid w:val="000C36D8"/>
    <w:rsid w:val="000C36EE"/>
    <w:rsid w:val="000C3805"/>
    <w:rsid w:val="000C38CA"/>
    <w:rsid w:val="000C38D8"/>
    <w:rsid w:val="000C3BAA"/>
    <w:rsid w:val="000C3D33"/>
    <w:rsid w:val="000C3DDC"/>
    <w:rsid w:val="000C4643"/>
    <w:rsid w:val="000C4A5D"/>
    <w:rsid w:val="000C4B9E"/>
    <w:rsid w:val="000C4D06"/>
    <w:rsid w:val="000C5128"/>
    <w:rsid w:val="000C5216"/>
    <w:rsid w:val="000C5347"/>
    <w:rsid w:val="000C62C0"/>
    <w:rsid w:val="000C6337"/>
    <w:rsid w:val="000C638B"/>
    <w:rsid w:val="000C6671"/>
    <w:rsid w:val="000C6A6C"/>
    <w:rsid w:val="000C6D89"/>
    <w:rsid w:val="000C6F4B"/>
    <w:rsid w:val="000C6F5A"/>
    <w:rsid w:val="000C71AF"/>
    <w:rsid w:val="000C73C0"/>
    <w:rsid w:val="000C75BE"/>
    <w:rsid w:val="000C7926"/>
    <w:rsid w:val="000C7CC5"/>
    <w:rsid w:val="000C7CD5"/>
    <w:rsid w:val="000C7D0E"/>
    <w:rsid w:val="000C7EAB"/>
    <w:rsid w:val="000D0102"/>
    <w:rsid w:val="000D0A85"/>
    <w:rsid w:val="000D0F4A"/>
    <w:rsid w:val="000D1940"/>
    <w:rsid w:val="000D1C23"/>
    <w:rsid w:val="000D20F5"/>
    <w:rsid w:val="000D2700"/>
    <w:rsid w:val="000D27E0"/>
    <w:rsid w:val="000D2D2B"/>
    <w:rsid w:val="000D2DB9"/>
    <w:rsid w:val="000D2DF9"/>
    <w:rsid w:val="000D3058"/>
    <w:rsid w:val="000D325F"/>
    <w:rsid w:val="000D38AB"/>
    <w:rsid w:val="000D3A17"/>
    <w:rsid w:val="000D3B4D"/>
    <w:rsid w:val="000D3DC8"/>
    <w:rsid w:val="000D3DED"/>
    <w:rsid w:val="000D412A"/>
    <w:rsid w:val="000D4195"/>
    <w:rsid w:val="000D42EF"/>
    <w:rsid w:val="000D438D"/>
    <w:rsid w:val="000D4486"/>
    <w:rsid w:val="000D4BA6"/>
    <w:rsid w:val="000D563E"/>
    <w:rsid w:val="000D568D"/>
    <w:rsid w:val="000D5803"/>
    <w:rsid w:val="000D5CE3"/>
    <w:rsid w:val="000D61AC"/>
    <w:rsid w:val="000D6285"/>
    <w:rsid w:val="000D68EA"/>
    <w:rsid w:val="000D6DBE"/>
    <w:rsid w:val="000D6DEE"/>
    <w:rsid w:val="000D7248"/>
    <w:rsid w:val="000D727C"/>
    <w:rsid w:val="000D7960"/>
    <w:rsid w:val="000D7A68"/>
    <w:rsid w:val="000D7A8B"/>
    <w:rsid w:val="000E07BE"/>
    <w:rsid w:val="000E07CE"/>
    <w:rsid w:val="000E0BC8"/>
    <w:rsid w:val="000E138A"/>
    <w:rsid w:val="000E1452"/>
    <w:rsid w:val="000E179E"/>
    <w:rsid w:val="000E1A2E"/>
    <w:rsid w:val="000E1F3A"/>
    <w:rsid w:val="000E2955"/>
    <w:rsid w:val="000E2D00"/>
    <w:rsid w:val="000E2EA0"/>
    <w:rsid w:val="000E2FD2"/>
    <w:rsid w:val="000E3169"/>
    <w:rsid w:val="000E3842"/>
    <w:rsid w:val="000E38E5"/>
    <w:rsid w:val="000E3D26"/>
    <w:rsid w:val="000E3D55"/>
    <w:rsid w:val="000E434B"/>
    <w:rsid w:val="000E45CB"/>
    <w:rsid w:val="000E4CD8"/>
    <w:rsid w:val="000E56C8"/>
    <w:rsid w:val="000E56D8"/>
    <w:rsid w:val="000E5758"/>
    <w:rsid w:val="000E5AEB"/>
    <w:rsid w:val="000E5B8D"/>
    <w:rsid w:val="000E5BB0"/>
    <w:rsid w:val="000E61DB"/>
    <w:rsid w:val="000E6468"/>
    <w:rsid w:val="000E670A"/>
    <w:rsid w:val="000E68D5"/>
    <w:rsid w:val="000E6CB1"/>
    <w:rsid w:val="000E6CDB"/>
    <w:rsid w:val="000E6EE7"/>
    <w:rsid w:val="000E733A"/>
    <w:rsid w:val="000E7AA2"/>
    <w:rsid w:val="000E7D6A"/>
    <w:rsid w:val="000E7D99"/>
    <w:rsid w:val="000F01CB"/>
    <w:rsid w:val="000F0207"/>
    <w:rsid w:val="000F0338"/>
    <w:rsid w:val="000F08E7"/>
    <w:rsid w:val="000F0ADB"/>
    <w:rsid w:val="000F0B46"/>
    <w:rsid w:val="000F0D5D"/>
    <w:rsid w:val="000F0F7E"/>
    <w:rsid w:val="000F1203"/>
    <w:rsid w:val="000F122C"/>
    <w:rsid w:val="000F18B9"/>
    <w:rsid w:val="000F19F4"/>
    <w:rsid w:val="000F1BCE"/>
    <w:rsid w:val="000F2209"/>
    <w:rsid w:val="000F24F5"/>
    <w:rsid w:val="000F2736"/>
    <w:rsid w:val="000F2A11"/>
    <w:rsid w:val="000F2B5F"/>
    <w:rsid w:val="000F2E91"/>
    <w:rsid w:val="000F3056"/>
    <w:rsid w:val="000F333D"/>
    <w:rsid w:val="000F334D"/>
    <w:rsid w:val="000F3667"/>
    <w:rsid w:val="000F3828"/>
    <w:rsid w:val="000F3987"/>
    <w:rsid w:val="000F39F2"/>
    <w:rsid w:val="000F3D12"/>
    <w:rsid w:val="000F3D8C"/>
    <w:rsid w:val="000F3DF6"/>
    <w:rsid w:val="000F4230"/>
    <w:rsid w:val="000F439B"/>
    <w:rsid w:val="000F5026"/>
    <w:rsid w:val="000F50CE"/>
    <w:rsid w:val="000F52DD"/>
    <w:rsid w:val="000F53B9"/>
    <w:rsid w:val="000F5795"/>
    <w:rsid w:val="000F5B87"/>
    <w:rsid w:val="000F5CEA"/>
    <w:rsid w:val="000F5D81"/>
    <w:rsid w:val="000F5DE6"/>
    <w:rsid w:val="000F604C"/>
    <w:rsid w:val="000F63C5"/>
    <w:rsid w:val="000F6698"/>
    <w:rsid w:val="000F669D"/>
    <w:rsid w:val="000F683E"/>
    <w:rsid w:val="000F6A71"/>
    <w:rsid w:val="000F7258"/>
    <w:rsid w:val="000F769B"/>
    <w:rsid w:val="000F7753"/>
    <w:rsid w:val="000F7888"/>
    <w:rsid w:val="000F7F0C"/>
    <w:rsid w:val="00100178"/>
    <w:rsid w:val="001007AD"/>
    <w:rsid w:val="00100A20"/>
    <w:rsid w:val="00100D9B"/>
    <w:rsid w:val="00100EA4"/>
    <w:rsid w:val="00101067"/>
    <w:rsid w:val="001011F2"/>
    <w:rsid w:val="00101519"/>
    <w:rsid w:val="001018C5"/>
    <w:rsid w:val="001018EF"/>
    <w:rsid w:val="00101A8D"/>
    <w:rsid w:val="00101CCE"/>
    <w:rsid w:val="00101D31"/>
    <w:rsid w:val="00101D93"/>
    <w:rsid w:val="00101F12"/>
    <w:rsid w:val="00102018"/>
    <w:rsid w:val="00102449"/>
    <w:rsid w:val="0010260C"/>
    <w:rsid w:val="00102806"/>
    <w:rsid w:val="0010280A"/>
    <w:rsid w:val="00102895"/>
    <w:rsid w:val="001028FB"/>
    <w:rsid w:val="00102B40"/>
    <w:rsid w:val="00102DA7"/>
    <w:rsid w:val="00102E82"/>
    <w:rsid w:val="00102F8B"/>
    <w:rsid w:val="001032CF"/>
    <w:rsid w:val="001034AF"/>
    <w:rsid w:val="001036BB"/>
    <w:rsid w:val="001036CF"/>
    <w:rsid w:val="00103C3E"/>
    <w:rsid w:val="0010462B"/>
    <w:rsid w:val="001046A7"/>
    <w:rsid w:val="00104C3C"/>
    <w:rsid w:val="00104CCD"/>
    <w:rsid w:val="00104EC6"/>
    <w:rsid w:val="00104F6D"/>
    <w:rsid w:val="00105017"/>
    <w:rsid w:val="0010596D"/>
    <w:rsid w:val="001059FC"/>
    <w:rsid w:val="00106164"/>
    <w:rsid w:val="001062D2"/>
    <w:rsid w:val="001067E5"/>
    <w:rsid w:val="001067E6"/>
    <w:rsid w:val="00106912"/>
    <w:rsid w:val="00106DFA"/>
    <w:rsid w:val="00106F7B"/>
    <w:rsid w:val="0010707C"/>
    <w:rsid w:val="001071DE"/>
    <w:rsid w:val="001075EB"/>
    <w:rsid w:val="00107F44"/>
    <w:rsid w:val="0011048D"/>
    <w:rsid w:val="0011077B"/>
    <w:rsid w:val="001107DE"/>
    <w:rsid w:val="00110AD5"/>
    <w:rsid w:val="00110E18"/>
    <w:rsid w:val="00110E6A"/>
    <w:rsid w:val="001119C3"/>
    <w:rsid w:val="00111DC8"/>
    <w:rsid w:val="0011207F"/>
    <w:rsid w:val="0011221F"/>
    <w:rsid w:val="001122A2"/>
    <w:rsid w:val="0011246B"/>
    <w:rsid w:val="001124FA"/>
    <w:rsid w:val="00112561"/>
    <w:rsid w:val="0011266C"/>
    <w:rsid w:val="00112BDF"/>
    <w:rsid w:val="00112C2A"/>
    <w:rsid w:val="00112E3F"/>
    <w:rsid w:val="00112FD2"/>
    <w:rsid w:val="0011300A"/>
    <w:rsid w:val="0011344D"/>
    <w:rsid w:val="001138B8"/>
    <w:rsid w:val="00113B7E"/>
    <w:rsid w:val="00113CAA"/>
    <w:rsid w:val="00113F91"/>
    <w:rsid w:val="00114123"/>
    <w:rsid w:val="0011426E"/>
    <w:rsid w:val="001147A1"/>
    <w:rsid w:val="00114808"/>
    <w:rsid w:val="00114946"/>
    <w:rsid w:val="001149C8"/>
    <w:rsid w:val="00114BC2"/>
    <w:rsid w:val="0011535B"/>
    <w:rsid w:val="0011554E"/>
    <w:rsid w:val="0011562A"/>
    <w:rsid w:val="0011574C"/>
    <w:rsid w:val="00115C1C"/>
    <w:rsid w:val="00115CC3"/>
    <w:rsid w:val="00115D0B"/>
    <w:rsid w:val="00115F1D"/>
    <w:rsid w:val="0011641E"/>
    <w:rsid w:val="0011648F"/>
    <w:rsid w:val="00116683"/>
    <w:rsid w:val="001166A5"/>
    <w:rsid w:val="00116886"/>
    <w:rsid w:val="0011703E"/>
    <w:rsid w:val="0011716E"/>
    <w:rsid w:val="0011742A"/>
    <w:rsid w:val="001176AC"/>
    <w:rsid w:val="001179DA"/>
    <w:rsid w:val="00117EA4"/>
    <w:rsid w:val="00117EC6"/>
    <w:rsid w:val="001203AD"/>
    <w:rsid w:val="001207EE"/>
    <w:rsid w:val="00120D45"/>
    <w:rsid w:val="00120ED8"/>
    <w:rsid w:val="001215FE"/>
    <w:rsid w:val="0012186C"/>
    <w:rsid w:val="00121E31"/>
    <w:rsid w:val="00121EA2"/>
    <w:rsid w:val="00121F53"/>
    <w:rsid w:val="00122170"/>
    <w:rsid w:val="0012228A"/>
    <w:rsid w:val="0012253E"/>
    <w:rsid w:val="00123146"/>
    <w:rsid w:val="001233FB"/>
    <w:rsid w:val="001234F4"/>
    <w:rsid w:val="001238A1"/>
    <w:rsid w:val="001238A9"/>
    <w:rsid w:val="00123C1B"/>
    <w:rsid w:val="00124527"/>
    <w:rsid w:val="00124750"/>
    <w:rsid w:val="00124893"/>
    <w:rsid w:val="00124A83"/>
    <w:rsid w:val="00124B6B"/>
    <w:rsid w:val="00124CC8"/>
    <w:rsid w:val="00124D9A"/>
    <w:rsid w:val="00124DE8"/>
    <w:rsid w:val="00124DF4"/>
    <w:rsid w:val="00124EDC"/>
    <w:rsid w:val="00125306"/>
    <w:rsid w:val="001255C5"/>
    <w:rsid w:val="001257D8"/>
    <w:rsid w:val="00125808"/>
    <w:rsid w:val="00125872"/>
    <w:rsid w:val="001259FD"/>
    <w:rsid w:val="00125E52"/>
    <w:rsid w:val="0012638B"/>
    <w:rsid w:val="0012669D"/>
    <w:rsid w:val="00126A74"/>
    <w:rsid w:val="00126AC1"/>
    <w:rsid w:val="00126C84"/>
    <w:rsid w:val="00126FDA"/>
    <w:rsid w:val="001271D4"/>
    <w:rsid w:val="00127240"/>
    <w:rsid w:val="00127379"/>
    <w:rsid w:val="001273F4"/>
    <w:rsid w:val="0012768F"/>
    <w:rsid w:val="0012793F"/>
    <w:rsid w:val="00127C30"/>
    <w:rsid w:val="00127D87"/>
    <w:rsid w:val="00127DFF"/>
    <w:rsid w:val="0013057B"/>
    <w:rsid w:val="0013097B"/>
    <w:rsid w:val="00130E12"/>
    <w:rsid w:val="00131105"/>
    <w:rsid w:val="001317DD"/>
    <w:rsid w:val="0013199F"/>
    <w:rsid w:val="00131B72"/>
    <w:rsid w:val="00131D25"/>
    <w:rsid w:val="00131EA0"/>
    <w:rsid w:val="00131EB8"/>
    <w:rsid w:val="001320B8"/>
    <w:rsid w:val="001320F7"/>
    <w:rsid w:val="00132360"/>
    <w:rsid w:val="0013254A"/>
    <w:rsid w:val="00132A13"/>
    <w:rsid w:val="00132BE0"/>
    <w:rsid w:val="00132C2F"/>
    <w:rsid w:val="00132C79"/>
    <w:rsid w:val="0013361B"/>
    <w:rsid w:val="001336D4"/>
    <w:rsid w:val="00133706"/>
    <w:rsid w:val="00133C00"/>
    <w:rsid w:val="0013413E"/>
    <w:rsid w:val="00134788"/>
    <w:rsid w:val="00134918"/>
    <w:rsid w:val="00134F8D"/>
    <w:rsid w:val="00134FA2"/>
    <w:rsid w:val="001351BF"/>
    <w:rsid w:val="00135B41"/>
    <w:rsid w:val="00135C1C"/>
    <w:rsid w:val="00135DD7"/>
    <w:rsid w:val="00135F12"/>
    <w:rsid w:val="001361A5"/>
    <w:rsid w:val="001361B0"/>
    <w:rsid w:val="00136526"/>
    <w:rsid w:val="001365E8"/>
    <w:rsid w:val="001367CD"/>
    <w:rsid w:val="00136925"/>
    <w:rsid w:val="00136F14"/>
    <w:rsid w:val="00137027"/>
    <w:rsid w:val="0013719C"/>
    <w:rsid w:val="00137548"/>
    <w:rsid w:val="001379A9"/>
    <w:rsid w:val="00137AA4"/>
    <w:rsid w:val="00137E2C"/>
    <w:rsid w:val="00137F81"/>
    <w:rsid w:val="0014021D"/>
    <w:rsid w:val="00140506"/>
    <w:rsid w:val="00140A45"/>
    <w:rsid w:val="00140A88"/>
    <w:rsid w:val="00140D92"/>
    <w:rsid w:val="00140DC2"/>
    <w:rsid w:val="00140E98"/>
    <w:rsid w:val="00141526"/>
    <w:rsid w:val="00141533"/>
    <w:rsid w:val="00141ACE"/>
    <w:rsid w:val="001420C6"/>
    <w:rsid w:val="00142341"/>
    <w:rsid w:val="00142433"/>
    <w:rsid w:val="001426F2"/>
    <w:rsid w:val="001429B4"/>
    <w:rsid w:val="001429DC"/>
    <w:rsid w:val="001430E5"/>
    <w:rsid w:val="001435F1"/>
    <w:rsid w:val="00143C0B"/>
    <w:rsid w:val="001440AB"/>
    <w:rsid w:val="001449DC"/>
    <w:rsid w:val="00144A02"/>
    <w:rsid w:val="00144ACF"/>
    <w:rsid w:val="00144D55"/>
    <w:rsid w:val="00144FE8"/>
    <w:rsid w:val="001450C6"/>
    <w:rsid w:val="001462AA"/>
    <w:rsid w:val="0014657D"/>
    <w:rsid w:val="001466B7"/>
    <w:rsid w:val="0014679B"/>
    <w:rsid w:val="00146C0F"/>
    <w:rsid w:val="00146FE2"/>
    <w:rsid w:val="001475C7"/>
    <w:rsid w:val="0014760E"/>
    <w:rsid w:val="001479F7"/>
    <w:rsid w:val="00147C75"/>
    <w:rsid w:val="00147E39"/>
    <w:rsid w:val="00147FD5"/>
    <w:rsid w:val="00150618"/>
    <w:rsid w:val="001508B0"/>
    <w:rsid w:val="00150D65"/>
    <w:rsid w:val="0015125F"/>
    <w:rsid w:val="001519B9"/>
    <w:rsid w:val="00151BA9"/>
    <w:rsid w:val="00151CD6"/>
    <w:rsid w:val="00151F7D"/>
    <w:rsid w:val="00151FB2"/>
    <w:rsid w:val="00152660"/>
    <w:rsid w:val="001526C6"/>
    <w:rsid w:val="00152AD9"/>
    <w:rsid w:val="00153172"/>
    <w:rsid w:val="00153255"/>
    <w:rsid w:val="00153850"/>
    <w:rsid w:val="0015385B"/>
    <w:rsid w:val="001539B6"/>
    <w:rsid w:val="001541A1"/>
    <w:rsid w:val="0015432B"/>
    <w:rsid w:val="001544EC"/>
    <w:rsid w:val="001548AF"/>
    <w:rsid w:val="00154B23"/>
    <w:rsid w:val="00154D28"/>
    <w:rsid w:val="00155972"/>
    <w:rsid w:val="00155A2B"/>
    <w:rsid w:val="00155A41"/>
    <w:rsid w:val="00155B48"/>
    <w:rsid w:val="00156152"/>
    <w:rsid w:val="0015619C"/>
    <w:rsid w:val="00156493"/>
    <w:rsid w:val="001565C4"/>
    <w:rsid w:val="00156847"/>
    <w:rsid w:val="00156A7C"/>
    <w:rsid w:val="00156C07"/>
    <w:rsid w:val="00156C1E"/>
    <w:rsid w:val="00156F02"/>
    <w:rsid w:val="001576C2"/>
    <w:rsid w:val="001579D0"/>
    <w:rsid w:val="001608DB"/>
    <w:rsid w:val="00160C95"/>
    <w:rsid w:val="00160DF6"/>
    <w:rsid w:val="00160F83"/>
    <w:rsid w:val="00161052"/>
    <w:rsid w:val="00161707"/>
    <w:rsid w:val="00161A95"/>
    <w:rsid w:val="0016226B"/>
    <w:rsid w:val="001623A4"/>
    <w:rsid w:val="0016251F"/>
    <w:rsid w:val="00162529"/>
    <w:rsid w:val="001625C9"/>
    <w:rsid w:val="00162929"/>
    <w:rsid w:val="00162A8C"/>
    <w:rsid w:val="001630E0"/>
    <w:rsid w:val="001635E1"/>
    <w:rsid w:val="00163653"/>
    <w:rsid w:val="00163A4C"/>
    <w:rsid w:val="00163E17"/>
    <w:rsid w:val="00163E27"/>
    <w:rsid w:val="00164619"/>
    <w:rsid w:val="00164FE3"/>
    <w:rsid w:val="0016510B"/>
    <w:rsid w:val="001657D3"/>
    <w:rsid w:val="00165935"/>
    <w:rsid w:val="00165B55"/>
    <w:rsid w:val="00165C74"/>
    <w:rsid w:val="00165ED4"/>
    <w:rsid w:val="0016636D"/>
    <w:rsid w:val="00166427"/>
    <w:rsid w:val="00167021"/>
    <w:rsid w:val="001675E3"/>
    <w:rsid w:val="00167808"/>
    <w:rsid w:val="00167EF3"/>
    <w:rsid w:val="00167F06"/>
    <w:rsid w:val="00167FEC"/>
    <w:rsid w:val="00170462"/>
    <w:rsid w:val="001706E8"/>
    <w:rsid w:val="00170770"/>
    <w:rsid w:val="0017081C"/>
    <w:rsid w:val="00170E46"/>
    <w:rsid w:val="00170F8A"/>
    <w:rsid w:val="00170F94"/>
    <w:rsid w:val="00171783"/>
    <w:rsid w:val="0017193D"/>
    <w:rsid w:val="00171FC8"/>
    <w:rsid w:val="00172752"/>
    <w:rsid w:val="00172B46"/>
    <w:rsid w:val="00172E7A"/>
    <w:rsid w:val="00172F73"/>
    <w:rsid w:val="00173202"/>
    <w:rsid w:val="00173673"/>
    <w:rsid w:val="001739D4"/>
    <w:rsid w:val="00173B39"/>
    <w:rsid w:val="00174DF8"/>
    <w:rsid w:val="00175327"/>
    <w:rsid w:val="00175639"/>
    <w:rsid w:val="001759DB"/>
    <w:rsid w:val="00175C1A"/>
    <w:rsid w:val="00175FDB"/>
    <w:rsid w:val="00176044"/>
    <w:rsid w:val="00176241"/>
    <w:rsid w:val="00176321"/>
    <w:rsid w:val="0017644C"/>
    <w:rsid w:val="00176748"/>
    <w:rsid w:val="00176A7C"/>
    <w:rsid w:val="00177046"/>
    <w:rsid w:val="001777D2"/>
    <w:rsid w:val="001778E2"/>
    <w:rsid w:val="00177F11"/>
    <w:rsid w:val="00177F66"/>
    <w:rsid w:val="001818CA"/>
    <w:rsid w:val="00181BCD"/>
    <w:rsid w:val="001826EC"/>
    <w:rsid w:val="00182808"/>
    <w:rsid w:val="001829D5"/>
    <w:rsid w:val="00183325"/>
    <w:rsid w:val="00183449"/>
    <w:rsid w:val="0018345F"/>
    <w:rsid w:val="0018378F"/>
    <w:rsid w:val="001838D0"/>
    <w:rsid w:val="001843B1"/>
    <w:rsid w:val="00184678"/>
    <w:rsid w:val="001847C3"/>
    <w:rsid w:val="0018493B"/>
    <w:rsid w:val="001849E2"/>
    <w:rsid w:val="00184B6C"/>
    <w:rsid w:val="00184FD8"/>
    <w:rsid w:val="00185014"/>
    <w:rsid w:val="001851B7"/>
    <w:rsid w:val="0018561A"/>
    <w:rsid w:val="001856B7"/>
    <w:rsid w:val="001856CA"/>
    <w:rsid w:val="00185808"/>
    <w:rsid w:val="00185BA7"/>
    <w:rsid w:val="00185EF8"/>
    <w:rsid w:val="00186331"/>
    <w:rsid w:val="001865BA"/>
    <w:rsid w:val="0018662E"/>
    <w:rsid w:val="0018682D"/>
    <w:rsid w:val="001869B6"/>
    <w:rsid w:val="001869F7"/>
    <w:rsid w:val="00186A37"/>
    <w:rsid w:val="00186D91"/>
    <w:rsid w:val="0018713F"/>
    <w:rsid w:val="0018748E"/>
    <w:rsid w:val="0018758B"/>
    <w:rsid w:val="00187A7B"/>
    <w:rsid w:val="00187B52"/>
    <w:rsid w:val="00187C54"/>
    <w:rsid w:val="00187FD9"/>
    <w:rsid w:val="001905A8"/>
    <w:rsid w:val="00190907"/>
    <w:rsid w:val="00190B7B"/>
    <w:rsid w:val="00190CB0"/>
    <w:rsid w:val="00191111"/>
    <w:rsid w:val="00191591"/>
    <w:rsid w:val="00191CD4"/>
    <w:rsid w:val="00191E88"/>
    <w:rsid w:val="00192114"/>
    <w:rsid w:val="0019244B"/>
    <w:rsid w:val="001924B2"/>
    <w:rsid w:val="00192929"/>
    <w:rsid w:val="00192B92"/>
    <w:rsid w:val="00192C4B"/>
    <w:rsid w:val="0019302C"/>
    <w:rsid w:val="00193717"/>
    <w:rsid w:val="001939A1"/>
    <w:rsid w:val="001939FF"/>
    <w:rsid w:val="00193B80"/>
    <w:rsid w:val="00194102"/>
    <w:rsid w:val="001941BC"/>
    <w:rsid w:val="001944E3"/>
    <w:rsid w:val="0019476A"/>
    <w:rsid w:val="00194CC7"/>
    <w:rsid w:val="00195062"/>
    <w:rsid w:val="0019532A"/>
    <w:rsid w:val="00195361"/>
    <w:rsid w:val="00195467"/>
    <w:rsid w:val="001957F9"/>
    <w:rsid w:val="001959CF"/>
    <w:rsid w:val="001962CB"/>
    <w:rsid w:val="00196A6D"/>
    <w:rsid w:val="00196D9C"/>
    <w:rsid w:val="00196E95"/>
    <w:rsid w:val="00196E9A"/>
    <w:rsid w:val="00196FEF"/>
    <w:rsid w:val="00197087"/>
    <w:rsid w:val="0019758D"/>
    <w:rsid w:val="00197CFB"/>
    <w:rsid w:val="00197E3F"/>
    <w:rsid w:val="00197F2C"/>
    <w:rsid w:val="00197F4D"/>
    <w:rsid w:val="001A036C"/>
    <w:rsid w:val="001A114A"/>
    <w:rsid w:val="001A141D"/>
    <w:rsid w:val="001A18FE"/>
    <w:rsid w:val="001A1A22"/>
    <w:rsid w:val="001A1A88"/>
    <w:rsid w:val="001A1B58"/>
    <w:rsid w:val="001A1DF0"/>
    <w:rsid w:val="001A1E0A"/>
    <w:rsid w:val="001A201A"/>
    <w:rsid w:val="001A2051"/>
    <w:rsid w:val="001A21D8"/>
    <w:rsid w:val="001A24FF"/>
    <w:rsid w:val="001A26D5"/>
    <w:rsid w:val="001A3513"/>
    <w:rsid w:val="001A35C0"/>
    <w:rsid w:val="001A4435"/>
    <w:rsid w:val="001A47D8"/>
    <w:rsid w:val="001A4D69"/>
    <w:rsid w:val="001A5482"/>
    <w:rsid w:val="001A553F"/>
    <w:rsid w:val="001A57DA"/>
    <w:rsid w:val="001A58E6"/>
    <w:rsid w:val="001A5F6E"/>
    <w:rsid w:val="001A6789"/>
    <w:rsid w:val="001A6DEF"/>
    <w:rsid w:val="001A6F58"/>
    <w:rsid w:val="001A766F"/>
    <w:rsid w:val="001A78EE"/>
    <w:rsid w:val="001A7AD7"/>
    <w:rsid w:val="001B04BC"/>
    <w:rsid w:val="001B0B18"/>
    <w:rsid w:val="001B103F"/>
    <w:rsid w:val="001B148F"/>
    <w:rsid w:val="001B1AE2"/>
    <w:rsid w:val="001B1CB8"/>
    <w:rsid w:val="001B21DE"/>
    <w:rsid w:val="001B29F6"/>
    <w:rsid w:val="001B2D75"/>
    <w:rsid w:val="001B2ED2"/>
    <w:rsid w:val="001B3075"/>
    <w:rsid w:val="001B3419"/>
    <w:rsid w:val="001B3B3E"/>
    <w:rsid w:val="001B3D45"/>
    <w:rsid w:val="001B41E1"/>
    <w:rsid w:val="001B4818"/>
    <w:rsid w:val="001B4F9F"/>
    <w:rsid w:val="001B5211"/>
    <w:rsid w:val="001B5339"/>
    <w:rsid w:val="001B5476"/>
    <w:rsid w:val="001B5807"/>
    <w:rsid w:val="001B5A7C"/>
    <w:rsid w:val="001B5AAC"/>
    <w:rsid w:val="001B5B82"/>
    <w:rsid w:val="001B60CE"/>
    <w:rsid w:val="001B6297"/>
    <w:rsid w:val="001B6326"/>
    <w:rsid w:val="001B6402"/>
    <w:rsid w:val="001B647C"/>
    <w:rsid w:val="001B691D"/>
    <w:rsid w:val="001B697D"/>
    <w:rsid w:val="001B69EE"/>
    <w:rsid w:val="001B6ABE"/>
    <w:rsid w:val="001B6F3B"/>
    <w:rsid w:val="001B6F69"/>
    <w:rsid w:val="001B7203"/>
    <w:rsid w:val="001B7868"/>
    <w:rsid w:val="001C0AFB"/>
    <w:rsid w:val="001C0B81"/>
    <w:rsid w:val="001C0BEE"/>
    <w:rsid w:val="001C1357"/>
    <w:rsid w:val="001C1380"/>
    <w:rsid w:val="001C13DA"/>
    <w:rsid w:val="001C1417"/>
    <w:rsid w:val="001C18A1"/>
    <w:rsid w:val="001C1921"/>
    <w:rsid w:val="001C1938"/>
    <w:rsid w:val="001C1AF9"/>
    <w:rsid w:val="001C21BE"/>
    <w:rsid w:val="001C23CC"/>
    <w:rsid w:val="001C258F"/>
    <w:rsid w:val="001C26BE"/>
    <w:rsid w:val="001C2733"/>
    <w:rsid w:val="001C2994"/>
    <w:rsid w:val="001C2B24"/>
    <w:rsid w:val="001C30B6"/>
    <w:rsid w:val="001C368D"/>
    <w:rsid w:val="001C37EE"/>
    <w:rsid w:val="001C3A1E"/>
    <w:rsid w:val="001C3B64"/>
    <w:rsid w:val="001C3BF3"/>
    <w:rsid w:val="001C41EA"/>
    <w:rsid w:val="001C45CF"/>
    <w:rsid w:val="001C483C"/>
    <w:rsid w:val="001C53F1"/>
    <w:rsid w:val="001C5553"/>
    <w:rsid w:val="001C575D"/>
    <w:rsid w:val="001C5CCC"/>
    <w:rsid w:val="001C5D3D"/>
    <w:rsid w:val="001C5F59"/>
    <w:rsid w:val="001C615E"/>
    <w:rsid w:val="001C65C2"/>
    <w:rsid w:val="001C6836"/>
    <w:rsid w:val="001C6855"/>
    <w:rsid w:val="001C6870"/>
    <w:rsid w:val="001C6ADB"/>
    <w:rsid w:val="001C6D84"/>
    <w:rsid w:val="001C6FC5"/>
    <w:rsid w:val="001C7180"/>
    <w:rsid w:val="001C71A7"/>
    <w:rsid w:val="001C72C7"/>
    <w:rsid w:val="001C732D"/>
    <w:rsid w:val="001C7423"/>
    <w:rsid w:val="001C7EC1"/>
    <w:rsid w:val="001D013F"/>
    <w:rsid w:val="001D014E"/>
    <w:rsid w:val="001D0723"/>
    <w:rsid w:val="001D0EAE"/>
    <w:rsid w:val="001D1128"/>
    <w:rsid w:val="001D11FF"/>
    <w:rsid w:val="001D1388"/>
    <w:rsid w:val="001D1B5B"/>
    <w:rsid w:val="001D1B84"/>
    <w:rsid w:val="001D1F75"/>
    <w:rsid w:val="001D250D"/>
    <w:rsid w:val="001D2638"/>
    <w:rsid w:val="001D2806"/>
    <w:rsid w:val="001D296E"/>
    <w:rsid w:val="001D2B49"/>
    <w:rsid w:val="001D2C94"/>
    <w:rsid w:val="001D3821"/>
    <w:rsid w:val="001D3900"/>
    <w:rsid w:val="001D3D26"/>
    <w:rsid w:val="001D3D53"/>
    <w:rsid w:val="001D3E21"/>
    <w:rsid w:val="001D4037"/>
    <w:rsid w:val="001D424B"/>
    <w:rsid w:val="001D42CB"/>
    <w:rsid w:val="001D433E"/>
    <w:rsid w:val="001D4618"/>
    <w:rsid w:val="001D467B"/>
    <w:rsid w:val="001D4842"/>
    <w:rsid w:val="001D48BC"/>
    <w:rsid w:val="001D4F0B"/>
    <w:rsid w:val="001D59BD"/>
    <w:rsid w:val="001D59E4"/>
    <w:rsid w:val="001D5A8B"/>
    <w:rsid w:val="001D5ACA"/>
    <w:rsid w:val="001D5B50"/>
    <w:rsid w:val="001D6170"/>
    <w:rsid w:val="001D6470"/>
    <w:rsid w:val="001D6801"/>
    <w:rsid w:val="001D692F"/>
    <w:rsid w:val="001D69CB"/>
    <w:rsid w:val="001D69F5"/>
    <w:rsid w:val="001D6B0A"/>
    <w:rsid w:val="001D75C0"/>
    <w:rsid w:val="001D7707"/>
    <w:rsid w:val="001D77FC"/>
    <w:rsid w:val="001D78C3"/>
    <w:rsid w:val="001D7CA8"/>
    <w:rsid w:val="001E0286"/>
    <w:rsid w:val="001E0424"/>
    <w:rsid w:val="001E07FD"/>
    <w:rsid w:val="001E0828"/>
    <w:rsid w:val="001E1017"/>
    <w:rsid w:val="001E1049"/>
    <w:rsid w:val="001E1067"/>
    <w:rsid w:val="001E1413"/>
    <w:rsid w:val="001E18C2"/>
    <w:rsid w:val="001E1C5C"/>
    <w:rsid w:val="001E2181"/>
    <w:rsid w:val="001E22D0"/>
    <w:rsid w:val="001E2CDD"/>
    <w:rsid w:val="001E31C3"/>
    <w:rsid w:val="001E3264"/>
    <w:rsid w:val="001E346E"/>
    <w:rsid w:val="001E3777"/>
    <w:rsid w:val="001E39F9"/>
    <w:rsid w:val="001E3D6C"/>
    <w:rsid w:val="001E3E28"/>
    <w:rsid w:val="001E4017"/>
    <w:rsid w:val="001E4150"/>
    <w:rsid w:val="001E488A"/>
    <w:rsid w:val="001E4CC8"/>
    <w:rsid w:val="001E5797"/>
    <w:rsid w:val="001E57CD"/>
    <w:rsid w:val="001E57DA"/>
    <w:rsid w:val="001E5BEE"/>
    <w:rsid w:val="001E5F56"/>
    <w:rsid w:val="001E64D1"/>
    <w:rsid w:val="001E6810"/>
    <w:rsid w:val="001E6D34"/>
    <w:rsid w:val="001E6D39"/>
    <w:rsid w:val="001E76E9"/>
    <w:rsid w:val="001E7B4B"/>
    <w:rsid w:val="001E7B8F"/>
    <w:rsid w:val="001E7DF5"/>
    <w:rsid w:val="001E7E57"/>
    <w:rsid w:val="001F0466"/>
    <w:rsid w:val="001F06AC"/>
    <w:rsid w:val="001F06C0"/>
    <w:rsid w:val="001F07B2"/>
    <w:rsid w:val="001F1047"/>
    <w:rsid w:val="001F10AB"/>
    <w:rsid w:val="001F10D7"/>
    <w:rsid w:val="001F115B"/>
    <w:rsid w:val="001F11BF"/>
    <w:rsid w:val="001F12E8"/>
    <w:rsid w:val="001F1312"/>
    <w:rsid w:val="001F1472"/>
    <w:rsid w:val="001F1B1D"/>
    <w:rsid w:val="001F1BAF"/>
    <w:rsid w:val="001F2093"/>
    <w:rsid w:val="001F24B4"/>
    <w:rsid w:val="001F26B5"/>
    <w:rsid w:val="001F26B8"/>
    <w:rsid w:val="001F272B"/>
    <w:rsid w:val="001F2735"/>
    <w:rsid w:val="001F2B65"/>
    <w:rsid w:val="001F359B"/>
    <w:rsid w:val="001F3AA3"/>
    <w:rsid w:val="001F3B2E"/>
    <w:rsid w:val="001F46B3"/>
    <w:rsid w:val="001F47B0"/>
    <w:rsid w:val="001F4F57"/>
    <w:rsid w:val="001F50FE"/>
    <w:rsid w:val="001F5138"/>
    <w:rsid w:val="001F5162"/>
    <w:rsid w:val="001F55D6"/>
    <w:rsid w:val="001F56B1"/>
    <w:rsid w:val="001F591E"/>
    <w:rsid w:val="001F59BD"/>
    <w:rsid w:val="001F5AED"/>
    <w:rsid w:val="001F5C04"/>
    <w:rsid w:val="001F63C8"/>
    <w:rsid w:val="001F6A22"/>
    <w:rsid w:val="001F6A39"/>
    <w:rsid w:val="001F6C3F"/>
    <w:rsid w:val="001F70C5"/>
    <w:rsid w:val="001F71B8"/>
    <w:rsid w:val="001F7240"/>
    <w:rsid w:val="0020000D"/>
    <w:rsid w:val="0020005C"/>
    <w:rsid w:val="002000B0"/>
    <w:rsid w:val="00200260"/>
    <w:rsid w:val="00200391"/>
    <w:rsid w:val="002006FF"/>
    <w:rsid w:val="00200946"/>
    <w:rsid w:val="00200C46"/>
    <w:rsid w:val="00200D1F"/>
    <w:rsid w:val="00200D82"/>
    <w:rsid w:val="00200EA4"/>
    <w:rsid w:val="00201268"/>
    <w:rsid w:val="00201448"/>
    <w:rsid w:val="002017BE"/>
    <w:rsid w:val="00201965"/>
    <w:rsid w:val="00201968"/>
    <w:rsid w:val="00201BC0"/>
    <w:rsid w:val="00201BCC"/>
    <w:rsid w:val="00201C6B"/>
    <w:rsid w:val="00201D76"/>
    <w:rsid w:val="00201E91"/>
    <w:rsid w:val="0020212C"/>
    <w:rsid w:val="002023A4"/>
    <w:rsid w:val="00202608"/>
    <w:rsid w:val="00202EAF"/>
    <w:rsid w:val="00203586"/>
    <w:rsid w:val="00203948"/>
    <w:rsid w:val="00203D76"/>
    <w:rsid w:val="00204015"/>
    <w:rsid w:val="002042E1"/>
    <w:rsid w:val="0020448F"/>
    <w:rsid w:val="00204610"/>
    <w:rsid w:val="00204921"/>
    <w:rsid w:val="00204A21"/>
    <w:rsid w:val="002058FC"/>
    <w:rsid w:val="00205B41"/>
    <w:rsid w:val="00206640"/>
    <w:rsid w:val="0020674B"/>
    <w:rsid w:val="00206E3C"/>
    <w:rsid w:val="00207048"/>
    <w:rsid w:val="002075D3"/>
    <w:rsid w:val="00210337"/>
    <w:rsid w:val="002105E1"/>
    <w:rsid w:val="002107B3"/>
    <w:rsid w:val="00210EC2"/>
    <w:rsid w:val="002111C6"/>
    <w:rsid w:val="002114B8"/>
    <w:rsid w:val="00212037"/>
    <w:rsid w:val="002125B5"/>
    <w:rsid w:val="00212AED"/>
    <w:rsid w:val="00212E61"/>
    <w:rsid w:val="002132E4"/>
    <w:rsid w:val="002135DD"/>
    <w:rsid w:val="00213C66"/>
    <w:rsid w:val="00214074"/>
    <w:rsid w:val="0021423A"/>
    <w:rsid w:val="0021429D"/>
    <w:rsid w:val="0021475E"/>
    <w:rsid w:val="00214C96"/>
    <w:rsid w:val="00214F8E"/>
    <w:rsid w:val="00215493"/>
    <w:rsid w:val="00215C3F"/>
    <w:rsid w:val="00215F34"/>
    <w:rsid w:val="0021605B"/>
    <w:rsid w:val="00216369"/>
    <w:rsid w:val="0021659F"/>
    <w:rsid w:val="00216AFD"/>
    <w:rsid w:val="00216B3F"/>
    <w:rsid w:val="00216C40"/>
    <w:rsid w:val="00216D88"/>
    <w:rsid w:val="002171AA"/>
    <w:rsid w:val="00217592"/>
    <w:rsid w:val="00217B69"/>
    <w:rsid w:val="00217E3F"/>
    <w:rsid w:val="0022012B"/>
    <w:rsid w:val="00220340"/>
    <w:rsid w:val="002204DF"/>
    <w:rsid w:val="00220596"/>
    <w:rsid w:val="00220669"/>
    <w:rsid w:val="0022069D"/>
    <w:rsid w:val="002208BA"/>
    <w:rsid w:val="00220A22"/>
    <w:rsid w:val="002214C4"/>
    <w:rsid w:val="00221718"/>
    <w:rsid w:val="0022184D"/>
    <w:rsid w:val="00221D0F"/>
    <w:rsid w:val="00222003"/>
    <w:rsid w:val="00222765"/>
    <w:rsid w:val="002227C2"/>
    <w:rsid w:val="0022280A"/>
    <w:rsid w:val="00222980"/>
    <w:rsid w:val="00222A08"/>
    <w:rsid w:val="002230E2"/>
    <w:rsid w:val="002232DD"/>
    <w:rsid w:val="00223339"/>
    <w:rsid w:val="0022367C"/>
    <w:rsid w:val="00223A10"/>
    <w:rsid w:val="002241DA"/>
    <w:rsid w:val="00224376"/>
    <w:rsid w:val="00224604"/>
    <w:rsid w:val="00224DE1"/>
    <w:rsid w:val="00225B12"/>
    <w:rsid w:val="00225B1C"/>
    <w:rsid w:val="00225CA6"/>
    <w:rsid w:val="0022658E"/>
    <w:rsid w:val="002265B4"/>
    <w:rsid w:val="002267DF"/>
    <w:rsid w:val="0022724E"/>
    <w:rsid w:val="002273B8"/>
    <w:rsid w:val="00227420"/>
    <w:rsid w:val="002277EF"/>
    <w:rsid w:val="00227895"/>
    <w:rsid w:val="00227915"/>
    <w:rsid w:val="00227ED2"/>
    <w:rsid w:val="002301AE"/>
    <w:rsid w:val="00230A20"/>
    <w:rsid w:val="00230D56"/>
    <w:rsid w:val="00230E12"/>
    <w:rsid w:val="00231035"/>
    <w:rsid w:val="002314A0"/>
    <w:rsid w:val="002319B5"/>
    <w:rsid w:val="00231A5C"/>
    <w:rsid w:val="00231BCF"/>
    <w:rsid w:val="0023211C"/>
    <w:rsid w:val="0023222F"/>
    <w:rsid w:val="00232255"/>
    <w:rsid w:val="00232329"/>
    <w:rsid w:val="002325A5"/>
    <w:rsid w:val="00232A64"/>
    <w:rsid w:val="00233322"/>
    <w:rsid w:val="0023346F"/>
    <w:rsid w:val="00233A62"/>
    <w:rsid w:val="00234065"/>
    <w:rsid w:val="00234A16"/>
    <w:rsid w:val="00235038"/>
    <w:rsid w:val="002351F3"/>
    <w:rsid w:val="00235665"/>
    <w:rsid w:val="002356DC"/>
    <w:rsid w:val="002356FD"/>
    <w:rsid w:val="0023584A"/>
    <w:rsid w:val="00235BB5"/>
    <w:rsid w:val="00235D95"/>
    <w:rsid w:val="00235FFA"/>
    <w:rsid w:val="00235FFF"/>
    <w:rsid w:val="00236001"/>
    <w:rsid w:val="00236360"/>
    <w:rsid w:val="002365E0"/>
    <w:rsid w:val="00236C3F"/>
    <w:rsid w:val="00236E86"/>
    <w:rsid w:val="0023708F"/>
    <w:rsid w:val="0023755B"/>
    <w:rsid w:val="00237DE4"/>
    <w:rsid w:val="00240157"/>
    <w:rsid w:val="002407BC"/>
    <w:rsid w:val="002408DA"/>
    <w:rsid w:val="00240E99"/>
    <w:rsid w:val="00240F03"/>
    <w:rsid w:val="002413A3"/>
    <w:rsid w:val="002414D6"/>
    <w:rsid w:val="00241AF4"/>
    <w:rsid w:val="00241D96"/>
    <w:rsid w:val="002422FA"/>
    <w:rsid w:val="0024245A"/>
    <w:rsid w:val="0024284A"/>
    <w:rsid w:val="00242A24"/>
    <w:rsid w:val="00242B2E"/>
    <w:rsid w:val="0024320A"/>
    <w:rsid w:val="00243301"/>
    <w:rsid w:val="002435E4"/>
    <w:rsid w:val="0024360E"/>
    <w:rsid w:val="00243699"/>
    <w:rsid w:val="00243E9C"/>
    <w:rsid w:val="00243F99"/>
    <w:rsid w:val="0024405F"/>
    <w:rsid w:val="00245182"/>
    <w:rsid w:val="00245566"/>
    <w:rsid w:val="00245717"/>
    <w:rsid w:val="002458DC"/>
    <w:rsid w:val="00245B5B"/>
    <w:rsid w:val="00245B6D"/>
    <w:rsid w:val="00245CBF"/>
    <w:rsid w:val="00245DED"/>
    <w:rsid w:val="00245F23"/>
    <w:rsid w:val="00246202"/>
    <w:rsid w:val="00246666"/>
    <w:rsid w:val="002469FB"/>
    <w:rsid w:val="00246C25"/>
    <w:rsid w:val="00247026"/>
    <w:rsid w:val="0024706D"/>
    <w:rsid w:val="00247074"/>
    <w:rsid w:val="00247101"/>
    <w:rsid w:val="002471D7"/>
    <w:rsid w:val="00247477"/>
    <w:rsid w:val="002476CC"/>
    <w:rsid w:val="00247FEF"/>
    <w:rsid w:val="00250325"/>
    <w:rsid w:val="0025070C"/>
    <w:rsid w:val="0025080D"/>
    <w:rsid w:val="002508B4"/>
    <w:rsid w:val="00250B47"/>
    <w:rsid w:val="00250C83"/>
    <w:rsid w:val="00250E90"/>
    <w:rsid w:val="002510E7"/>
    <w:rsid w:val="002513B2"/>
    <w:rsid w:val="002513D3"/>
    <w:rsid w:val="00251E44"/>
    <w:rsid w:val="00251E9B"/>
    <w:rsid w:val="002521CC"/>
    <w:rsid w:val="002523AD"/>
    <w:rsid w:val="00252858"/>
    <w:rsid w:val="002529C4"/>
    <w:rsid w:val="00252A89"/>
    <w:rsid w:val="00252DE0"/>
    <w:rsid w:val="002530D1"/>
    <w:rsid w:val="00253614"/>
    <w:rsid w:val="002537C9"/>
    <w:rsid w:val="0025395A"/>
    <w:rsid w:val="00253CB2"/>
    <w:rsid w:val="00253D29"/>
    <w:rsid w:val="00253E04"/>
    <w:rsid w:val="00253FE9"/>
    <w:rsid w:val="002540AB"/>
    <w:rsid w:val="002541D9"/>
    <w:rsid w:val="00254256"/>
    <w:rsid w:val="00254315"/>
    <w:rsid w:val="002544F7"/>
    <w:rsid w:val="00254532"/>
    <w:rsid w:val="00254664"/>
    <w:rsid w:val="0025578A"/>
    <w:rsid w:val="002557F9"/>
    <w:rsid w:val="00255AE1"/>
    <w:rsid w:val="00255D34"/>
    <w:rsid w:val="00256300"/>
    <w:rsid w:val="00256895"/>
    <w:rsid w:val="002568DE"/>
    <w:rsid w:val="00256C6E"/>
    <w:rsid w:val="00256E22"/>
    <w:rsid w:val="00256F4E"/>
    <w:rsid w:val="00257207"/>
    <w:rsid w:val="002573F1"/>
    <w:rsid w:val="00257694"/>
    <w:rsid w:val="002576F5"/>
    <w:rsid w:val="0025793A"/>
    <w:rsid w:val="0025796E"/>
    <w:rsid w:val="00257D3D"/>
    <w:rsid w:val="002602EC"/>
    <w:rsid w:val="0026075D"/>
    <w:rsid w:val="00260B69"/>
    <w:rsid w:val="00260B91"/>
    <w:rsid w:val="00260C09"/>
    <w:rsid w:val="002612B2"/>
    <w:rsid w:val="00261923"/>
    <w:rsid w:val="0026205A"/>
    <w:rsid w:val="00262234"/>
    <w:rsid w:val="0026255A"/>
    <w:rsid w:val="00262C21"/>
    <w:rsid w:val="00262C96"/>
    <w:rsid w:val="002631D7"/>
    <w:rsid w:val="00263511"/>
    <w:rsid w:val="00263B6D"/>
    <w:rsid w:val="00263C90"/>
    <w:rsid w:val="00263DFD"/>
    <w:rsid w:val="00263E25"/>
    <w:rsid w:val="0026411F"/>
    <w:rsid w:val="00264186"/>
    <w:rsid w:val="00264C76"/>
    <w:rsid w:val="00265069"/>
    <w:rsid w:val="0026535C"/>
    <w:rsid w:val="002654A8"/>
    <w:rsid w:val="00265A1C"/>
    <w:rsid w:val="00266099"/>
    <w:rsid w:val="0026626D"/>
    <w:rsid w:val="002665B7"/>
    <w:rsid w:val="002665BB"/>
    <w:rsid w:val="002667F4"/>
    <w:rsid w:val="00266887"/>
    <w:rsid w:val="00266DB3"/>
    <w:rsid w:val="00266F10"/>
    <w:rsid w:val="00267469"/>
    <w:rsid w:val="002679EB"/>
    <w:rsid w:val="00267C67"/>
    <w:rsid w:val="0027010D"/>
    <w:rsid w:val="00270485"/>
    <w:rsid w:val="00270A76"/>
    <w:rsid w:val="00270B43"/>
    <w:rsid w:val="00270CB9"/>
    <w:rsid w:val="00270EBC"/>
    <w:rsid w:val="00270F69"/>
    <w:rsid w:val="002711FE"/>
    <w:rsid w:val="002718C1"/>
    <w:rsid w:val="002719D5"/>
    <w:rsid w:val="002724E3"/>
    <w:rsid w:val="00272AA2"/>
    <w:rsid w:val="00272CCC"/>
    <w:rsid w:val="00272DA5"/>
    <w:rsid w:val="00272FF5"/>
    <w:rsid w:val="00273530"/>
    <w:rsid w:val="002736E9"/>
    <w:rsid w:val="0027385A"/>
    <w:rsid w:val="002739D7"/>
    <w:rsid w:val="00273AC3"/>
    <w:rsid w:val="002745C2"/>
    <w:rsid w:val="00274A2F"/>
    <w:rsid w:val="00274F27"/>
    <w:rsid w:val="002751DB"/>
    <w:rsid w:val="0027538C"/>
    <w:rsid w:val="002755BF"/>
    <w:rsid w:val="00275767"/>
    <w:rsid w:val="002758F8"/>
    <w:rsid w:val="00275C93"/>
    <w:rsid w:val="002760E1"/>
    <w:rsid w:val="002768F5"/>
    <w:rsid w:val="00276AD8"/>
    <w:rsid w:val="00276E28"/>
    <w:rsid w:val="00276FDF"/>
    <w:rsid w:val="002771AD"/>
    <w:rsid w:val="00277260"/>
    <w:rsid w:val="00277792"/>
    <w:rsid w:val="002777A1"/>
    <w:rsid w:val="00277CCF"/>
    <w:rsid w:val="00277D96"/>
    <w:rsid w:val="0028007B"/>
    <w:rsid w:val="0028050E"/>
    <w:rsid w:val="00280B16"/>
    <w:rsid w:val="00280D11"/>
    <w:rsid w:val="00280E04"/>
    <w:rsid w:val="00280E43"/>
    <w:rsid w:val="00280EBB"/>
    <w:rsid w:val="00280ECC"/>
    <w:rsid w:val="002812E9"/>
    <w:rsid w:val="00281A59"/>
    <w:rsid w:val="00281B4D"/>
    <w:rsid w:val="00281CFB"/>
    <w:rsid w:val="00281D42"/>
    <w:rsid w:val="00281E42"/>
    <w:rsid w:val="00282115"/>
    <w:rsid w:val="00282234"/>
    <w:rsid w:val="0028267E"/>
    <w:rsid w:val="002826A0"/>
    <w:rsid w:val="00282764"/>
    <w:rsid w:val="00282EB3"/>
    <w:rsid w:val="002831A3"/>
    <w:rsid w:val="002831A7"/>
    <w:rsid w:val="00283234"/>
    <w:rsid w:val="002834FC"/>
    <w:rsid w:val="002838AC"/>
    <w:rsid w:val="00283D12"/>
    <w:rsid w:val="00283D78"/>
    <w:rsid w:val="002843BC"/>
    <w:rsid w:val="0028443E"/>
    <w:rsid w:val="002844F7"/>
    <w:rsid w:val="00284657"/>
    <w:rsid w:val="0028497A"/>
    <w:rsid w:val="00285181"/>
    <w:rsid w:val="00285472"/>
    <w:rsid w:val="00285640"/>
    <w:rsid w:val="002857EC"/>
    <w:rsid w:val="00285862"/>
    <w:rsid w:val="002858D0"/>
    <w:rsid w:val="002858F1"/>
    <w:rsid w:val="002858FB"/>
    <w:rsid w:val="00285C15"/>
    <w:rsid w:val="00286003"/>
    <w:rsid w:val="002862A7"/>
    <w:rsid w:val="0028637B"/>
    <w:rsid w:val="002869C0"/>
    <w:rsid w:val="00286CA6"/>
    <w:rsid w:val="00286E17"/>
    <w:rsid w:val="00287504"/>
    <w:rsid w:val="002877F6"/>
    <w:rsid w:val="00287B3B"/>
    <w:rsid w:val="00287C09"/>
    <w:rsid w:val="00290559"/>
    <w:rsid w:val="00290916"/>
    <w:rsid w:val="00290AF1"/>
    <w:rsid w:val="00290DEE"/>
    <w:rsid w:val="00290E45"/>
    <w:rsid w:val="00291068"/>
    <w:rsid w:val="002912CF"/>
    <w:rsid w:val="0029169C"/>
    <w:rsid w:val="0029245C"/>
    <w:rsid w:val="00292559"/>
    <w:rsid w:val="00292806"/>
    <w:rsid w:val="0029282A"/>
    <w:rsid w:val="00292B66"/>
    <w:rsid w:val="00292C94"/>
    <w:rsid w:val="00292D94"/>
    <w:rsid w:val="0029320C"/>
    <w:rsid w:val="002935BD"/>
    <w:rsid w:val="00293CAA"/>
    <w:rsid w:val="00294135"/>
    <w:rsid w:val="0029414C"/>
    <w:rsid w:val="002944C1"/>
    <w:rsid w:val="002948A9"/>
    <w:rsid w:val="002949C7"/>
    <w:rsid w:val="00294BF2"/>
    <w:rsid w:val="00294CFE"/>
    <w:rsid w:val="00294D26"/>
    <w:rsid w:val="00295177"/>
    <w:rsid w:val="0029522C"/>
    <w:rsid w:val="00295241"/>
    <w:rsid w:val="002953DF"/>
    <w:rsid w:val="00295595"/>
    <w:rsid w:val="0029584E"/>
    <w:rsid w:val="002958C3"/>
    <w:rsid w:val="00295D9D"/>
    <w:rsid w:val="00296012"/>
    <w:rsid w:val="00296540"/>
    <w:rsid w:val="00296622"/>
    <w:rsid w:val="0029672E"/>
    <w:rsid w:val="00296BE1"/>
    <w:rsid w:val="0029707E"/>
    <w:rsid w:val="00297444"/>
    <w:rsid w:val="002974FF"/>
    <w:rsid w:val="002975D7"/>
    <w:rsid w:val="0029784D"/>
    <w:rsid w:val="0029798F"/>
    <w:rsid w:val="002979AB"/>
    <w:rsid w:val="00297CA6"/>
    <w:rsid w:val="002A0368"/>
    <w:rsid w:val="002A0802"/>
    <w:rsid w:val="002A0CD4"/>
    <w:rsid w:val="002A0D5F"/>
    <w:rsid w:val="002A0DE3"/>
    <w:rsid w:val="002A1729"/>
    <w:rsid w:val="002A1894"/>
    <w:rsid w:val="002A1EA4"/>
    <w:rsid w:val="002A1FB7"/>
    <w:rsid w:val="002A2036"/>
    <w:rsid w:val="002A233E"/>
    <w:rsid w:val="002A2812"/>
    <w:rsid w:val="002A303A"/>
    <w:rsid w:val="002A3194"/>
    <w:rsid w:val="002A33A4"/>
    <w:rsid w:val="002A39B1"/>
    <w:rsid w:val="002A3C74"/>
    <w:rsid w:val="002A3F88"/>
    <w:rsid w:val="002A3FDD"/>
    <w:rsid w:val="002A427A"/>
    <w:rsid w:val="002A48EF"/>
    <w:rsid w:val="002A4CAE"/>
    <w:rsid w:val="002A4D82"/>
    <w:rsid w:val="002A5240"/>
    <w:rsid w:val="002A5396"/>
    <w:rsid w:val="002A55B7"/>
    <w:rsid w:val="002A55FF"/>
    <w:rsid w:val="002A56F4"/>
    <w:rsid w:val="002A57A7"/>
    <w:rsid w:val="002A57EC"/>
    <w:rsid w:val="002A5C01"/>
    <w:rsid w:val="002A5CD0"/>
    <w:rsid w:val="002A5E20"/>
    <w:rsid w:val="002A602D"/>
    <w:rsid w:val="002A6032"/>
    <w:rsid w:val="002A62C6"/>
    <w:rsid w:val="002A630B"/>
    <w:rsid w:val="002A647C"/>
    <w:rsid w:val="002A6A26"/>
    <w:rsid w:val="002A6DDF"/>
    <w:rsid w:val="002A6FCE"/>
    <w:rsid w:val="002A70E6"/>
    <w:rsid w:val="002A7151"/>
    <w:rsid w:val="002A73C8"/>
    <w:rsid w:val="002A745B"/>
    <w:rsid w:val="002A7971"/>
    <w:rsid w:val="002A7C8F"/>
    <w:rsid w:val="002A7D8D"/>
    <w:rsid w:val="002B0099"/>
    <w:rsid w:val="002B0449"/>
    <w:rsid w:val="002B0C28"/>
    <w:rsid w:val="002B0DE6"/>
    <w:rsid w:val="002B1041"/>
    <w:rsid w:val="002B13B5"/>
    <w:rsid w:val="002B1582"/>
    <w:rsid w:val="002B15AF"/>
    <w:rsid w:val="002B2040"/>
    <w:rsid w:val="002B2096"/>
    <w:rsid w:val="002B24BD"/>
    <w:rsid w:val="002B26C0"/>
    <w:rsid w:val="002B26FA"/>
    <w:rsid w:val="002B2841"/>
    <w:rsid w:val="002B28F0"/>
    <w:rsid w:val="002B2CC7"/>
    <w:rsid w:val="002B2DF9"/>
    <w:rsid w:val="002B343C"/>
    <w:rsid w:val="002B3771"/>
    <w:rsid w:val="002B37D5"/>
    <w:rsid w:val="002B3E02"/>
    <w:rsid w:val="002B3FC1"/>
    <w:rsid w:val="002B4083"/>
    <w:rsid w:val="002B40EC"/>
    <w:rsid w:val="002B4954"/>
    <w:rsid w:val="002B4CA8"/>
    <w:rsid w:val="002B4D0F"/>
    <w:rsid w:val="002B4DD7"/>
    <w:rsid w:val="002B531B"/>
    <w:rsid w:val="002B57F2"/>
    <w:rsid w:val="002B5822"/>
    <w:rsid w:val="002B5AFC"/>
    <w:rsid w:val="002B5FAC"/>
    <w:rsid w:val="002B5FCF"/>
    <w:rsid w:val="002B628D"/>
    <w:rsid w:val="002B631E"/>
    <w:rsid w:val="002B648D"/>
    <w:rsid w:val="002B649A"/>
    <w:rsid w:val="002B6634"/>
    <w:rsid w:val="002B6766"/>
    <w:rsid w:val="002B6947"/>
    <w:rsid w:val="002B6999"/>
    <w:rsid w:val="002B6B48"/>
    <w:rsid w:val="002B6C42"/>
    <w:rsid w:val="002B6DC8"/>
    <w:rsid w:val="002B742B"/>
    <w:rsid w:val="002B7A6E"/>
    <w:rsid w:val="002B7D9B"/>
    <w:rsid w:val="002B7F3B"/>
    <w:rsid w:val="002B7FE1"/>
    <w:rsid w:val="002B7FF1"/>
    <w:rsid w:val="002C0149"/>
    <w:rsid w:val="002C067D"/>
    <w:rsid w:val="002C06A2"/>
    <w:rsid w:val="002C08A8"/>
    <w:rsid w:val="002C0C2D"/>
    <w:rsid w:val="002C13DA"/>
    <w:rsid w:val="002C1599"/>
    <w:rsid w:val="002C15D1"/>
    <w:rsid w:val="002C1B5B"/>
    <w:rsid w:val="002C1BBD"/>
    <w:rsid w:val="002C1C63"/>
    <w:rsid w:val="002C1DCF"/>
    <w:rsid w:val="002C2095"/>
    <w:rsid w:val="002C2699"/>
    <w:rsid w:val="002C28CE"/>
    <w:rsid w:val="002C2B37"/>
    <w:rsid w:val="002C2C84"/>
    <w:rsid w:val="002C2DE2"/>
    <w:rsid w:val="002C2F76"/>
    <w:rsid w:val="002C2F8F"/>
    <w:rsid w:val="002C3169"/>
    <w:rsid w:val="002C3841"/>
    <w:rsid w:val="002C3B77"/>
    <w:rsid w:val="002C4412"/>
    <w:rsid w:val="002C454F"/>
    <w:rsid w:val="002C455A"/>
    <w:rsid w:val="002C46B2"/>
    <w:rsid w:val="002C471C"/>
    <w:rsid w:val="002C4901"/>
    <w:rsid w:val="002C4F8B"/>
    <w:rsid w:val="002C545F"/>
    <w:rsid w:val="002C5585"/>
    <w:rsid w:val="002C5742"/>
    <w:rsid w:val="002C57C8"/>
    <w:rsid w:val="002C5E23"/>
    <w:rsid w:val="002C603C"/>
    <w:rsid w:val="002C620B"/>
    <w:rsid w:val="002C62B8"/>
    <w:rsid w:val="002C650F"/>
    <w:rsid w:val="002C6943"/>
    <w:rsid w:val="002C6ABA"/>
    <w:rsid w:val="002C6B7F"/>
    <w:rsid w:val="002C6D0E"/>
    <w:rsid w:val="002C70DF"/>
    <w:rsid w:val="002C7487"/>
    <w:rsid w:val="002C74FC"/>
    <w:rsid w:val="002C756E"/>
    <w:rsid w:val="002C7633"/>
    <w:rsid w:val="002C7FBD"/>
    <w:rsid w:val="002D03B3"/>
    <w:rsid w:val="002D0A22"/>
    <w:rsid w:val="002D0AE5"/>
    <w:rsid w:val="002D0BEE"/>
    <w:rsid w:val="002D0E0B"/>
    <w:rsid w:val="002D125A"/>
    <w:rsid w:val="002D1A1E"/>
    <w:rsid w:val="002D1CAA"/>
    <w:rsid w:val="002D1E9E"/>
    <w:rsid w:val="002D1EC7"/>
    <w:rsid w:val="002D204B"/>
    <w:rsid w:val="002D2082"/>
    <w:rsid w:val="002D270F"/>
    <w:rsid w:val="002D2737"/>
    <w:rsid w:val="002D2875"/>
    <w:rsid w:val="002D2A19"/>
    <w:rsid w:val="002D2E84"/>
    <w:rsid w:val="002D2F54"/>
    <w:rsid w:val="002D2FD6"/>
    <w:rsid w:val="002D30F6"/>
    <w:rsid w:val="002D356B"/>
    <w:rsid w:val="002D3A36"/>
    <w:rsid w:val="002D3BE3"/>
    <w:rsid w:val="002D41F5"/>
    <w:rsid w:val="002D4395"/>
    <w:rsid w:val="002D439D"/>
    <w:rsid w:val="002D4445"/>
    <w:rsid w:val="002D4830"/>
    <w:rsid w:val="002D4AA1"/>
    <w:rsid w:val="002D4BAC"/>
    <w:rsid w:val="002D4BF4"/>
    <w:rsid w:val="002D4EFA"/>
    <w:rsid w:val="002D4F3D"/>
    <w:rsid w:val="002D520B"/>
    <w:rsid w:val="002D55A0"/>
    <w:rsid w:val="002D572E"/>
    <w:rsid w:val="002D5B33"/>
    <w:rsid w:val="002D5CE4"/>
    <w:rsid w:val="002D5EBF"/>
    <w:rsid w:val="002D6189"/>
    <w:rsid w:val="002D61AE"/>
    <w:rsid w:val="002D61C2"/>
    <w:rsid w:val="002D633B"/>
    <w:rsid w:val="002D6C70"/>
    <w:rsid w:val="002D73AD"/>
    <w:rsid w:val="002D7862"/>
    <w:rsid w:val="002D7C47"/>
    <w:rsid w:val="002D7C54"/>
    <w:rsid w:val="002E00DF"/>
    <w:rsid w:val="002E0432"/>
    <w:rsid w:val="002E0C05"/>
    <w:rsid w:val="002E0C49"/>
    <w:rsid w:val="002E0D48"/>
    <w:rsid w:val="002E0E1C"/>
    <w:rsid w:val="002E0EC5"/>
    <w:rsid w:val="002E0F51"/>
    <w:rsid w:val="002E11EA"/>
    <w:rsid w:val="002E1817"/>
    <w:rsid w:val="002E23F5"/>
    <w:rsid w:val="002E24AD"/>
    <w:rsid w:val="002E2584"/>
    <w:rsid w:val="002E2628"/>
    <w:rsid w:val="002E267C"/>
    <w:rsid w:val="002E2A13"/>
    <w:rsid w:val="002E2BA6"/>
    <w:rsid w:val="002E2EA8"/>
    <w:rsid w:val="002E2FE3"/>
    <w:rsid w:val="002E325A"/>
    <w:rsid w:val="002E3666"/>
    <w:rsid w:val="002E36B6"/>
    <w:rsid w:val="002E3842"/>
    <w:rsid w:val="002E39BD"/>
    <w:rsid w:val="002E3A27"/>
    <w:rsid w:val="002E3D09"/>
    <w:rsid w:val="002E3F1C"/>
    <w:rsid w:val="002E467D"/>
    <w:rsid w:val="002E4B1D"/>
    <w:rsid w:val="002E4EF7"/>
    <w:rsid w:val="002E5071"/>
    <w:rsid w:val="002E57A2"/>
    <w:rsid w:val="002E5D09"/>
    <w:rsid w:val="002E5F36"/>
    <w:rsid w:val="002E6058"/>
    <w:rsid w:val="002E62C4"/>
    <w:rsid w:val="002E67CD"/>
    <w:rsid w:val="002E688E"/>
    <w:rsid w:val="002E6965"/>
    <w:rsid w:val="002E6A51"/>
    <w:rsid w:val="002E6E19"/>
    <w:rsid w:val="002E6E2E"/>
    <w:rsid w:val="002E6EB8"/>
    <w:rsid w:val="002E6FBC"/>
    <w:rsid w:val="002E72B8"/>
    <w:rsid w:val="002E7394"/>
    <w:rsid w:val="002E754F"/>
    <w:rsid w:val="002E7585"/>
    <w:rsid w:val="002E78E2"/>
    <w:rsid w:val="002E794B"/>
    <w:rsid w:val="002E7A76"/>
    <w:rsid w:val="002F0162"/>
    <w:rsid w:val="002F0315"/>
    <w:rsid w:val="002F032A"/>
    <w:rsid w:val="002F0599"/>
    <w:rsid w:val="002F05B8"/>
    <w:rsid w:val="002F0718"/>
    <w:rsid w:val="002F0810"/>
    <w:rsid w:val="002F0DD6"/>
    <w:rsid w:val="002F15B6"/>
    <w:rsid w:val="002F16E0"/>
    <w:rsid w:val="002F19F1"/>
    <w:rsid w:val="002F1F36"/>
    <w:rsid w:val="002F1F6A"/>
    <w:rsid w:val="002F2255"/>
    <w:rsid w:val="002F298E"/>
    <w:rsid w:val="002F2BF7"/>
    <w:rsid w:val="002F2CA0"/>
    <w:rsid w:val="002F2E32"/>
    <w:rsid w:val="002F3488"/>
    <w:rsid w:val="002F34CC"/>
    <w:rsid w:val="002F3B79"/>
    <w:rsid w:val="002F4C29"/>
    <w:rsid w:val="002F4F0F"/>
    <w:rsid w:val="002F4F78"/>
    <w:rsid w:val="002F5108"/>
    <w:rsid w:val="002F5120"/>
    <w:rsid w:val="002F5340"/>
    <w:rsid w:val="002F53C2"/>
    <w:rsid w:val="002F57CF"/>
    <w:rsid w:val="002F5C85"/>
    <w:rsid w:val="002F6562"/>
    <w:rsid w:val="002F6684"/>
    <w:rsid w:val="002F68E1"/>
    <w:rsid w:val="002F6EE2"/>
    <w:rsid w:val="002F710B"/>
    <w:rsid w:val="002F7465"/>
    <w:rsid w:val="002F7483"/>
    <w:rsid w:val="002F76F5"/>
    <w:rsid w:val="002F7741"/>
    <w:rsid w:val="002F7A2A"/>
    <w:rsid w:val="002F7A90"/>
    <w:rsid w:val="002F7BE1"/>
    <w:rsid w:val="002F7F48"/>
    <w:rsid w:val="0030017F"/>
    <w:rsid w:val="00300409"/>
    <w:rsid w:val="00300413"/>
    <w:rsid w:val="003006B1"/>
    <w:rsid w:val="00300B98"/>
    <w:rsid w:val="003011F3"/>
    <w:rsid w:val="00301210"/>
    <w:rsid w:val="00301583"/>
    <w:rsid w:val="003019B2"/>
    <w:rsid w:val="003019CE"/>
    <w:rsid w:val="00301A95"/>
    <w:rsid w:val="00301C50"/>
    <w:rsid w:val="00301F34"/>
    <w:rsid w:val="00301F4C"/>
    <w:rsid w:val="00302076"/>
    <w:rsid w:val="003022DE"/>
    <w:rsid w:val="0030232E"/>
    <w:rsid w:val="00302848"/>
    <w:rsid w:val="00302F22"/>
    <w:rsid w:val="0030333C"/>
    <w:rsid w:val="003033ED"/>
    <w:rsid w:val="003035B9"/>
    <w:rsid w:val="00303659"/>
    <w:rsid w:val="00303C17"/>
    <w:rsid w:val="00303E3E"/>
    <w:rsid w:val="00304343"/>
    <w:rsid w:val="00304557"/>
    <w:rsid w:val="00304577"/>
    <w:rsid w:val="003045FC"/>
    <w:rsid w:val="00304753"/>
    <w:rsid w:val="00304C50"/>
    <w:rsid w:val="00304DFC"/>
    <w:rsid w:val="00304EE2"/>
    <w:rsid w:val="0030536F"/>
    <w:rsid w:val="00305506"/>
    <w:rsid w:val="00305523"/>
    <w:rsid w:val="00305598"/>
    <w:rsid w:val="0030585F"/>
    <w:rsid w:val="00305CBB"/>
    <w:rsid w:val="00305D79"/>
    <w:rsid w:val="00306220"/>
    <w:rsid w:val="00306A84"/>
    <w:rsid w:val="00306CCC"/>
    <w:rsid w:val="00307192"/>
    <w:rsid w:val="0030735A"/>
    <w:rsid w:val="00307527"/>
    <w:rsid w:val="00307682"/>
    <w:rsid w:val="003076F8"/>
    <w:rsid w:val="003076F9"/>
    <w:rsid w:val="00307B40"/>
    <w:rsid w:val="00307CDA"/>
    <w:rsid w:val="003101D5"/>
    <w:rsid w:val="003104F8"/>
    <w:rsid w:val="003106D7"/>
    <w:rsid w:val="0031070E"/>
    <w:rsid w:val="00310CAE"/>
    <w:rsid w:val="00310CEA"/>
    <w:rsid w:val="00310E6D"/>
    <w:rsid w:val="00310F3D"/>
    <w:rsid w:val="003116B6"/>
    <w:rsid w:val="0031172C"/>
    <w:rsid w:val="0031184D"/>
    <w:rsid w:val="003118CC"/>
    <w:rsid w:val="00311F11"/>
    <w:rsid w:val="00312A3A"/>
    <w:rsid w:val="00312DBD"/>
    <w:rsid w:val="003133D4"/>
    <w:rsid w:val="003135D6"/>
    <w:rsid w:val="00313B84"/>
    <w:rsid w:val="00313C73"/>
    <w:rsid w:val="00314565"/>
    <w:rsid w:val="003148A3"/>
    <w:rsid w:val="00314924"/>
    <w:rsid w:val="00314D2A"/>
    <w:rsid w:val="00315059"/>
    <w:rsid w:val="0031541F"/>
    <w:rsid w:val="0031574F"/>
    <w:rsid w:val="003157A5"/>
    <w:rsid w:val="00315BB1"/>
    <w:rsid w:val="00315E48"/>
    <w:rsid w:val="00316525"/>
    <w:rsid w:val="0031678A"/>
    <w:rsid w:val="00316F1E"/>
    <w:rsid w:val="00316FBF"/>
    <w:rsid w:val="00317112"/>
    <w:rsid w:val="00317180"/>
    <w:rsid w:val="003174D9"/>
    <w:rsid w:val="003175CC"/>
    <w:rsid w:val="0031761F"/>
    <w:rsid w:val="003179A8"/>
    <w:rsid w:val="00317C26"/>
    <w:rsid w:val="00317C87"/>
    <w:rsid w:val="00317C88"/>
    <w:rsid w:val="00317CA2"/>
    <w:rsid w:val="003202D5"/>
    <w:rsid w:val="0032099F"/>
    <w:rsid w:val="0032101A"/>
    <w:rsid w:val="0032113A"/>
    <w:rsid w:val="00321460"/>
    <w:rsid w:val="00321591"/>
    <w:rsid w:val="00321C91"/>
    <w:rsid w:val="00321CA4"/>
    <w:rsid w:val="00321E34"/>
    <w:rsid w:val="003221F7"/>
    <w:rsid w:val="0032252C"/>
    <w:rsid w:val="00322792"/>
    <w:rsid w:val="0032312B"/>
    <w:rsid w:val="003231EF"/>
    <w:rsid w:val="00323358"/>
    <w:rsid w:val="00323712"/>
    <w:rsid w:val="00323B1C"/>
    <w:rsid w:val="00324164"/>
    <w:rsid w:val="00324262"/>
    <w:rsid w:val="00324427"/>
    <w:rsid w:val="0032459C"/>
    <w:rsid w:val="0032487C"/>
    <w:rsid w:val="00324995"/>
    <w:rsid w:val="003253A6"/>
    <w:rsid w:val="003254BC"/>
    <w:rsid w:val="00325E2C"/>
    <w:rsid w:val="00325E7B"/>
    <w:rsid w:val="00325FC9"/>
    <w:rsid w:val="003261AB"/>
    <w:rsid w:val="0032627D"/>
    <w:rsid w:val="003267F2"/>
    <w:rsid w:val="00326989"/>
    <w:rsid w:val="00326C0B"/>
    <w:rsid w:val="003271A3"/>
    <w:rsid w:val="00327521"/>
    <w:rsid w:val="00327E72"/>
    <w:rsid w:val="003300E5"/>
    <w:rsid w:val="003309FB"/>
    <w:rsid w:val="0033129E"/>
    <w:rsid w:val="0033132E"/>
    <w:rsid w:val="0033153D"/>
    <w:rsid w:val="0033165D"/>
    <w:rsid w:val="00331BBF"/>
    <w:rsid w:val="00331FB8"/>
    <w:rsid w:val="00332270"/>
    <w:rsid w:val="0033286A"/>
    <w:rsid w:val="00332A72"/>
    <w:rsid w:val="0033310E"/>
    <w:rsid w:val="00333128"/>
    <w:rsid w:val="003333FB"/>
    <w:rsid w:val="00333538"/>
    <w:rsid w:val="00333AFA"/>
    <w:rsid w:val="00333C64"/>
    <w:rsid w:val="00334165"/>
    <w:rsid w:val="00334385"/>
    <w:rsid w:val="00334541"/>
    <w:rsid w:val="00334EAA"/>
    <w:rsid w:val="003350D6"/>
    <w:rsid w:val="003350E0"/>
    <w:rsid w:val="00335377"/>
    <w:rsid w:val="00335491"/>
    <w:rsid w:val="003356E0"/>
    <w:rsid w:val="0033598F"/>
    <w:rsid w:val="003359AD"/>
    <w:rsid w:val="00335A35"/>
    <w:rsid w:val="00335E04"/>
    <w:rsid w:val="003361C8"/>
    <w:rsid w:val="003362A3"/>
    <w:rsid w:val="003364BF"/>
    <w:rsid w:val="003364E2"/>
    <w:rsid w:val="00336784"/>
    <w:rsid w:val="00336862"/>
    <w:rsid w:val="00336980"/>
    <w:rsid w:val="0033710D"/>
    <w:rsid w:val="00337245"/>
    <w:rsid w:val="003374BE"/>
    <w:rsid w:val="00337C0F"/>
    <w:rsid w:val="00340136"/>
    <w:rsid w:val="0034014F"/>
    <w:rsid w:val="0034019A"/>
    <w:rsid w:val="003401C9"/>
    <w:rsid w:val="00340BA4"/>
    <w:rsid w:val="00341290"/>
    <w:rsid w:val="00341615"/>
    <w:rsid w:val="0034170F"/>
    <w:rsid w:val="00341D34"/>
    <w:rsid w:val="00341D6B"/>
    <w:rsid w:val="00342153"/>
    <w:rsid w:val="00342477"/>
    <w:rsid w:val="0034277E"/>
    <w:rsid w:val="00342C38"/>
    <w:rsid w:val="003430C0"/>
    <w:rsid w:val="003436D3"/>
    <w:rsid w:val="003436FF"/>
    <w:rsid w:val="00343751"/>
    <w:rsid w:val="003437DE"/>
    <w:rsid w:val="00343F69"/>
    <w:rsid w:val="0034442A"/>
    <w:rsid w:val="0034449B"/>
    <w:rsid w:val="00344572"/>
    <w:rsid w:val="00344701"/>
    <w:rsid w:val="0034495B"/>
    <w:rsid w:val="00344AD0"/>
    <w:rsid w:val="00344BE6"/>
    <w:rsid w:val="00344F92"/>
    <w:rsid w:val="003450AB"/>
    <w:rsid w:val="003450C0"/>
    <w:rsid w:val="003456EE"/>
    <w:rsid w:val="003456FD"/>
    <w:rsid w:val="00345BCE"/>
    <w:rsid w:val="00345C49"/>
    <w:rsid w:val="00345CC3"/>
    <w:rsid w:val="00345D17"/>
    <w:rsid w:val="003465F6"/>
    <w:rsid w:val="0034665F"/>
    <w:rsid w:val="00346E63"/>
    <w:rsid w:val="003470CC"/>
    <w:rsid w:val="003470DB"/>
    <w:rsid w:val="0034710A"/>
    <w:rsid w:val="0034759A"/>
    <w:rsid w:val="0034769E"/>
    <w:rsid w:val="00347CA5"/>
    <w:rsid w:val="00347E93"/>
    <w:rsid w:val="00350614"/>
    <w:rsid w:val="00350964"/>
    <w:rsid w:val="00350AC5"/>
    <w:rsid w:val="00350C90"/>
    <w:rsid w:val="00350FA6"/>
    <w:rsid w:val="003515F0"/>
    <w:rsid w:val="003516D7"/>
    <w:rsid w:val="003517C0"/>
    <w:rsid w:val="00351B44"/>
    <w:rsid w:val="00351E7B"/>
    <w:rsid w:val="00352654"/>
    <w:rsid w:val="0035277D"/>
    <w:rsid w:val="003529E6"/>
    <w:rsid w:val="00352CC1"/>
    <w:rsid w:val="00352DFF"/>
    <w:rsid w:val="0035302C"/>
    <w:rsid w:val="0035317F"/>
    <w:rsid w:val="003533B1"/>
    <w:rsid w:val="003533EB"/>
    <w:rsid w:val="00353A18"/>
    <w:rsid w:val="00353B02"/>
    <w:rsid w:val="00353E48"/>
    <w:rsid w:val="00353EB8"/>
    <w:rsid w:val="0035416E"/>
    <w:rsid w:val="0035440F"/>
    <w:rsid w:val="003546F3"/>
    <w:rsid w:val="00354A41"/>
    <w:rsid w:val="00354B01"/>
    <w:rsid w:val="00354D6A"/>
    <w:rsid w:val="00354F2B"/>
    <w:rsid w:val="00355089"/>
    <w:rsid w:val="00355131"/>
    <w:rsid w:val="003552A8"/>
    <w:rsid w:val="003552DC"/>
    <w:rsid w:val="00355CBD"/>
    <w:rsid w:val="00356971"/>
    <w:rsid w:val="00356A1C"/>
    <w:rsid w:val="00356A6D"/>
    <w:rsid w:val="00356C8D"/>
    <w:rsid w:val="0035707E"/>
    <w:rsid w:val="003571C7"/>
    <w:rsid w:val="00357210"/>
    <w:rsid w:val="00357337"/>
    <w:rsid w:val="0035771C"/>
    <w:rsid w:val="00357B80"/>
    <w:rsid w:val="00357C5E"/>
    <w:rsid w:val="00360152"/>
    <w:rsid w:val="0036019B"/>
    <w:rsid w:val="00360684"/>
    <w:rsid w:val="0036083B"/>
    <w:rsid w:val="0036085A"/>
    <w:rsid w:val="003608A3"/>
    <w:rsid w:val="00360B6B"/>
    <w:rsid w:val="00360D93"/>
    <w:rsid w:val="00360F61"/>
    <w:rsid w:val="0036136F"/>
    <w:rsid w:val="00361527"/>
    <w:rsid w:val="003616EF"/>
    <w:rsid w:val="00361C15"/>
    <w:rsid w:val="00361E27"/>
    <w:rsid w:val="003622CA"/>
    <w:rsid w:val="003625A5"/>
    <w:rsid w:val="00362763"/>
    <w:rsid w:val="003627CE"/>
    <w:rsid w:val="00362867"/>
    <w:rsid w:val="00362A13"/>
    <w:rsid w:val="00362E77"/>
    <w:rsid w:val="00362E81"/>
    <w:rsid w:val="003635E2"/>
    <w:rsid w:val="0036382F"/>
    <w:rsid w:val="00363859"/>
    <w:rsid w:val="00363A0C"/>
    <w:rsid w:val="00363CE8"/>
    <w:rsid w:val="003642A1"/>
    <w:rsid w:val="00364AAF"/>
    <w:rsid w:val="00364C6C"/>
    <w:rsid w:val="00364E47"/>
    <w:rsid w:val="00364E9A"/>
    <w:rsid w:val="00364FC9"/>
    <w:rsid w:val="003651F5"/>
    <w:rsid w:val="003652FC"/>
    <w:rsid w:val="003656DF"/>
    <w:rsid w:val="00365711"/>
    <w:rsid w:val="00365720"/>
    <w:rsid w:val="00365C5F"/>
    <w:rsid w:val="00365CD4"/>
    <w:rsid w:val="00365FF6"/>
    <w:rsid w:val="0036614A"/>
    <w:rsid w:val="0036642C"/>
    <w:rsid w:val="003669E7"/>
    <w:rsid w:val="00366D7F"/>
    <w:rsid w:val="00366E07"/>
    <w:rsid w:val="00366FEB"/>
    <w:rsid w:val="003670B8"/>
    <w:rsid w:val="003678CC"/>
    <w:rsid w:val="00367D90"/>
    <w:rsid w:val="00367D9B"/>
    <w:rsid w:val="00367F76"/>
    <w:rsid w:val="003707C0"/>
    <w:rsid w:val="00370CCB"/>
    <w:rsid w:val="00370D7D"/>
    <w:rsid w:val="00371053"/>
    <w:rsid w:val="00371259"/>
    <w:rsid w:val="00371389"/>
    <w:rsid w:val="003713D9"/>
    <w:rsid w:val="003714E5"/>
    <w:rsid w:val="0037181E"/>
    <w:rsid w:val="00371B2C"/>
    <w:rsid w:val="00371E82"/>
    <w:rsid w:val="00372077"/>
    <w:rsid w:val="0037208A"/>
    <w:rsid w:val="0037222D"/>
    <w:rsid w:val="00372461"/>
    <w:rsid w:val="003727A1"/>
    <w:rsid w:val="00372D31"/>
    <w:rsid w:val="00372E05"/>
    <w:rsid w:val="00373278"/>
    <w:rsid w:val="003735C7"/>
    <w:rsid w:val="00373621"/>
    <w:rsid w:val="00373781"/>
    <w:rsid w:val="003738BB"/>
    <w:rsid w:val="00373E35"/>
    <w:rsid w:val="00373EC8"/>
    <w:rsid w:val="00374374"/>
    <w:rsid w:val="00374420"/>
    <w:rsid w:val="0037444D"/>
    <w:rsid w:val="003748C1"/>
    <w:rsid w:val="00374E33"/>
    <w:rsid w:val="00375575"/>
    <w:rsid w:val="003757E9"/>
    <w:rsid w:val="00375A95"/>
    <w:rsid w:val="00375BCD"/>
    <w:rsid w:val="003761DC"/>
    <w:rsid w:val="00376797"/>
    <w:rsid w:val="003767FC"/>
    <w:rsid w:val="0037691C"/>
    <w:rsid w:val="00376DC0"/>
    <w:rsid w:val="0037705E"/>
    <w:rsid w:val="0037707F"/>
    <w:rsid w:val="003770B8"/>
    <w:rsid w:val="00377298"/>
    <w:rsid w:val="003772A9"/>
    <w:rsid w:val="0037780C"/>
    <w:rsid w:val="00380029"/>
    <w:rsid w:val="00380306"/>
    <w:rsid w:val="00380368"/>
    <w:rsid w:val="00380695"/>
    <w:rsid w:val="0038071A"/>
    <w:rsid w:val="00380CD0"/>
    <w:rsid w:val="003811C5"/>
    <w:rsid w:val="00381725"/>
    <w:rsid w:val="0038172F"/>
    <w:rsid w:val="0038179D"/>
    <w:rsid w:val="0038189A"/>
    <w:rsid w:val="00381BD5"/>
    <w:rsid w:val="00381C70"/>
    <w:rsid w:val="00381F31"/>
    <w:rsid w:val="00381FD6"/>
    <w:rsid w:val="00382016"/>
    <w:rsid w:val="00382191"/>
    <w:rsid w:val="00382286"/>
    <w:rsid w:val="003822B7"/>
    <w:rsid w:val="00382347"/>
    <w:rsid w:val="0038275D"/>
    <w:rsid w:val="00382E1F"/>
    <w:rsid w:val="00382FD3"/>
    <w:rsid w:val="00383398"/>
    <w:rsid w:val="003834F8"/>
    <w:rsid w:val="003835ED"/>
    <w:rsid w:val="00383716"/>
    <w:rsid w:val="00383950"/>
    <w:rsid w:val="00383A56"/>
    <w:rsid w:val="00383DCA"/>
    <w:rsid w:val="003847F1"/>
    <w:rsid w:val="00384B24"/>
    <w:rsid w:val="00384EE9"/>
    <w:rsid w:val="003853D3"/>
    <w:rsid w:val="0038570C"/>
    <w:rsid w:val="00385921"/>
    <w:rsid w:val="00385BD6"/>
    <w:rsid w:val="00385C8D"/>
    <w:rsid w:val="00385EF6"/>
    <w:rsid w:val="00385F0E"/>
    <w:rsid w:val="00386143"/>
    <w:rsid w:val="00386D04"/>
    <w:rsid w:val="00386D6D"/>
    <w:rsid w:val="00386EC0"/>
    <w:rsid w:val="00387038"/>
    <w:rsid w:val="0038711D"/>
    <w:rsid w:val="00387D34"/>
    <w:rsid w:val="00387D43"/>
    <w:rsid w:val="00387E51"/>
    <w:rsid w:val="00387F13"/>
    <w:rsid w:val="00387FDC"/>
    <w:rsid w:val="0039010D"/>
    <w:rsid w:val="003901FE"/>
    <w:rsid w:val="0039026C"/>
    <w:rsid w:val="003905A9"/>
    <w:rsid w:val="00390641"/>
    <w:rsid w:val="003908BF"/>
    <w:rsid w:val="00390F0C"/>
    <w:rsid w:val="003910AC"/>
    <w:rsid w:val="003912E2"/>
    <w:rsid w:val="0039171F"/>
    <w:rsid w:val="00391822"/>
    <w:rsid w:val="00392133"/>
    <w:rsid w:val="00392230"/>
    <w:rsid w:val="00392284"/>
    <w:rsid w:val="00392318"/>
    <w:rsid w:val="003925BD"/>
    <w:rsid w:val="0039275D"/>
    <w:rsid w:val="00392964"/>
    <w:rsid w:val="00392DB5"/>
    <w:rsid w:val="00392E07"/>
    <w:rsid w:val="00392FAE"/>
    <w:rsid w:val="003931DF"/>
    <w:rsid w:val="00393536"/>
    <w:rsid w:val="003938AB"/>
    <w:rsid w:val="00393C6A"/>
    <w:rsid w:val="003941A1"/>
    <w:rsid w:val="00394277"/>
    <w:rsid w:val="003947A9"/>
    <w:rsid w:val="00394D89"/>
    <w:rsid w:val="003959D3"/>
    <w:rsid w:val="00395A74"/>
    <w:rsid w:val="00395B89"/>
    <w:rsid w:val="00396078"/>
    <w:rsid w:val="003968F8"/>
    <w:rsid w:val="00396A0E"/>
    <w:rsid w:val="0039701D"/>
    <w:rsid w:val="0039712E"/>
    <w:rsid w:val="0039770D"/>
    <w:rsid w:val="00397C2F"/>
    <w:rsid w:val="00397C5D"/>
    <w:rsid w:val="00397F38"/>
    <w:rsid w:val="003A0075"/>
    <w:rsid w:val="003A068C"/>
    <w:rsid w:val="003A06DB"/>
    <w:rsid w:val="003A0ADD"/>
    <w:rsid w:val="003A0B33"/>
    <w:rsid w:val="003A0D10"/>
    <w:rsid w:val="003A15D7"/>
    <w:rsid w:val="003A1815"/>
    <w:rsid w:val="003A181F"/>
    <w:rsid w:val="003A1ACA"/>
    <w:rsid w:val="003A1CC7"/>
    <w:rsid w:val="003A1E91"/>
    <w:rsid w:val="003A205F"/>
    <w:rsid w:val="003A24E3"/>
    <w:rsid w:val="003A25F5"/>
    <w:rsid w:val="003A26D2"/>
    <w:rsid w:val="003A284C"/>
    <w:rsid w:val="003A2CE6"/>
    <w:rsid w:val="003A2D67"/>
    <w:rsid w:val="003A2FA9"/>
    <w:rsid w:val="003A3C0E"/>
    <w:rsid w:val="003A3F90"/>
    <w:rsid w:val="003A4202"/>
    <w:rsid w:val="003A4D7F"/>
    <w:rsid w:val="003A52CA"/>
    <w:rsid w:val="003A5582"/>
    <w:rsid w:val="003A575B"/>
    <w:rsid w:val="003A5880"/>
    <w:rsid w:val="003A5CE8"/>
    <w:rsid w:val="003A5D9E"/>
    <w:rsid w:val="003A6252"/>
    <w:rsid w:val="003A6935"/>
    <w:rsid w:val="003A6A68"/>
    <w:rsid w:val="003A6A86"/>
    <w:rsid w:val="003A7AD2"/>
    <w:rsid w:val="003B023C"/>
    <w:rsid w:val="003B02C7"/>
    <w:rsid w:val="003B0486"/>
    <w:rsid w:val="003B0875"/>
    <w:rsid w:val="003B0D8A"/>
    <w:rsid w:val="003B1042"/>
    <w:rsid w:val="003B13C5"/>
    <w:rsid w:val="003B13CC"/>
    <w:rsid w:val="003B1674"/>
    <w:rsid w:val="003B16DA"/>
    <w:rsid w:val="003B1978"/>
    <w:rsid w:val="003B1986"/>
    <w:rsid w:val="003B1D5B"/>
    <w:rsid w:val="003B1E97"/>
    <w:rsid w:val="003B248A"/>
    <w:rsid w:val="003B257E"/>
    <w:rsid w:val="003B2722"/>
    <w:rsid w:val="003B29B4"/>
    <w:rsid w:val="003B3036"/>
    <w:rsid w:val="003B354F"/>
    <w:rsid w:val="003B3B2C"/>
    <w:rsid w:val="003B3BF6"/>
    <w:rsid w:val="003B3DC8"/>
    <w:rsid w:val="003B3F09"/>
    <w:rsid w:val="003B41CF"/>
    <w:rsid w:val="003B4A17"/>
    <w:rsid w:val="003B53C9"/>
    <w:rsid w:val="003B5517"/>
    <w:rsid w:val="003B58EE"/>
    <w:rsid w:val="003B59B9"/>
    <w:rsid w:val="003B59BF"/>
    <w:rsid w:val="003B5E31"/>
    <w:rsid w:val="003B5EEF"/>
    <w:rsid w:val="003B5F09"/>
    <w:rsid w:val="003B610D"/>
    <w:rsid w:val="003B6181"/>
    <w:rsid w:val="003B61A4"/>
    <w:rsid w:val="003B67E3"/>
    <w:rsid w:val="003B6842"/>
    <w:rsid w:val="003B690A"/>
    <w:rsid w:val="003B6935"/>
    <w:rsid w:val="003B6A9E"/>
    <w:rsid w:val="003B6BAB"/>
    <w:rsid w:val="003B6C6B"/>
    <w:rsid w:val="003B6E10"/>
    <w:rsid w:val="003B6E5F"/>
    <w:rsid w:val="003B721F"/>
    <w:rsid w:val="003B75AC"/>
    <w:rsid w:val="003B7788"/>
    <w:rsid w:val="003B7A1F"/>
    <w:rsid w:val="003B7B5D"/>
    <w:rsid w:val="003B7BB2"/>
    <w:rsid w:val="003B7EF3"/>
    <w:rsid w:val="003B7F14"/>
    <w:rsid w:val="003C0021"/>
    <w:rsid w:val="003C005E"/>
    <w:rsid w:val="003C00F8"/>
    <w:rsid w:val="003C011E"/>
    <w:rsid w:val="003C01BB"/>
    <w:rsid w:val="003C039A"/>
    <w:rsid w:val="003C086C"/>
    <w:rsid w:val="003C093E"/>
    <w:rsid w:val="003C1726"/>
    <w:rsid w:val="003C18E9"/>
    <w:rsid w:val="003C1D27"/>
    <w:rsid w:val="003C1D29"/>
    <w:rsid w:val="003C1EC8"/>
    <w:rsid w:val="003C240B"/>
    <w:rsid w:val="003C3644"/>
    <w:rsid w:val="003C3AA4"/>
    <w:rsid w:val="003C3B29"/>
    <w:rsid w:val="003C3FB9"/>
    <w:rsid w:val="003C40C0"/>
    <w:rsid w:val="003C429D"/>
    <w:rsid w:val="003C43D4"/>
    <w:rsid w:val="003C4AB3"/>
    <w:rsid w:val="003C4B50"/>
    <w:rsid w:val="003C4DBA"/>
    <w:rsid w:val="003C4E25"/>
    <w:rsid w:val="003C5358"/>
    <w:rsid w:val="003C55CD"/>
    <w:rsid w:val="003C5607"/>
    <w:rsid w:val="003C5D2E"/>
    <w:rsid w:val="003C5F14"/>
    <w:rsid w:val="003C70D6"/>
    <w:rsid w:val="003C742E"/>
    <w:rsid w:val="003C7727"/>
    <w:rsid w:val="003C798E"/>
    <w:rsid w:val="003C79AA"/>
    <w:rsid w:val="003C7C54"/>
    <w:rsid w:val="003D022B"/>
    <w:rsid w:val="003D0277"/>
    <w:rsid w:val="003D0445"/>
    <w:rsid w:val="003D0519"/>
    <w:rsid w:val="003D0663"/>
    <w:rsid w:val="003D070B"/>
    <w:rsid w:val="003D0720"/>
    <w:rsid w:val="003D09A3"/>
    <w:rsid w:val="003D0BEE"/>
    <w:rsid w:val="003D0E39"/>
    <w:rsid w:val="003D1F33"/>
    <w:rsid w:val="003D1F7E"/>
    <w:rsid w:val="003D254A"/>
    <w:rsid w:val="003D289B"/>
    <w:rsid w:val="003D2E58"/>
    <w:rsid w:val="003D2EDB"/>
    <w:rsid w:val="003D3B67"/>
    <w:rsid w:val="003D3D3B"/>
    <w:rsid w:val="003D41D4"/>
    <w:rsid w:val="003D46AE"/>
    <w:rsid w:val="003D4A54"/>
    <w:rsid w:val="003D4B41"/>
    <w:rsid w:val="003D4CE2"/>
    <w:rsid w:val="003D4D46"/>
    <w:rsid w:val="003D5043"/>
    <w:rsid w:val="003D5082"/>
    <w:rsid w:val="003D5243"/>
    <w:rsid w:val="003D5645"/>
    <w:rsid w:val="003D5823"/>
    <w:rsid w:val="003D5915"/>
    <w:rsid w:val="003D5CCA"/>
    <w:rsid w:val="003D60E6"/>
    <w:rsid w:val="003D60EE"/>
    <w:rsid w:val="003D6235"/>
    <w:rsid w:val="003D6424"/>
    <w:rsid w:val="003D642A"/>
    <w:rsid w:val="003D64A4"/>
    <w:rsid w:val="003D64BE"/>
    <w:rsid w:val="003D6BD9"/>
    <w:rsid w:val="003D6FB9"/>
    <w:rsid w:val="003D7763"/>
    <w:rsid w:val="003D77FE"/>
    <w:rsid w:val="003D7AB8"/>
    <w:rsid w:val="003D7D2A"/>
    <w:rsid w:val="003E1034"/>
    <w:rsid w:val="003E14C5"/>
    <w:rsid w:val="003E14CB"/>
    <w:rsid w:val="003E1666"/>
    <w:rsid w:val="003E17F9"/>
    <w:rsid w:val="003E1820"/>
    <w:rsid w:val="003E186E"/>
    <w:rsid w:val="003E1913"/>
    <w:rsid w:val="003E24A6"/>
    <w:rsid w:val="003E26B5"/>
    <w:rsid w:val="003E298C"/>
    <w:rsid w:val="003E2A29"/>
    <w:rsid w:val="003E2E40"/>
    <w:rsid w:val="003E3075"/>
    <w:rsid w:val="003E3079"/>
    <w:rsid w:val="003E3627"/>
    <w:rsid w:val="003E3771"/>
    <w:rsid w:val="003E3981"/>
    <w:rsid w:val="003E3A3C"/>
    <w:rsid w:val="003E3F2F"/>
    <w:rsid w:val="003E3FED"/>
    <w:rsid w:val="003E4122"/>
    <w:rsid w:val="003E526D"/>
    <w:rsid w:val="003E547C"/>
    <w:rsid w:val="003E5745"/>
    <w:rsid w:val="003E5C34"/>
    <w:rsid w:val="003E5E27"/>
    <w:rsid w:val="003E600E"/>
    <w:rsid w:val="003E604E"/>
    <w:rsid w:val="003E62C5"/>
    <w:rsid w:val="003E654E"/>
    <w:rsid w:val="003E6753"/>
    <w:rsid w:val="003E6AD8"/>
    <w:rsid w:val="003E6CA5"/>
    <w:rsid w:val="003E6E90"/>
    <w:rsid w:val="003E6FF1"/>
    <w:rsid w:val="003E72F7"/>
    <w:rsid w:val="003E7528"/>
    <w:rsid w:val="003E76B7"/>
    <w:rsid w:val="003E7832"/>
    <w:rsid w:val="003E7A36"/>
    <w:rsid w:val="003E7C15"/>
    <w:rsid w:val="003E7C27"/>
    <w:rsid w:val="003E7EC5"/>
    <w:rsid w:val="003E7F6A"/>
    <w:rsid w:val="003F0260"/>
    <w:rsid w:val="003F02A3"/>
    <w:rsid w:val="003F02A6"/>
    <w:rsid w:val="003F0A06"/>
    <w:rsid w:val="003F0A7C"/>
    <w:rsid w:val="003F0BE6"/>
    <w:rsid w:val="003F0FD1"/>
    <w:rsid w:val="003F12F1"/>
    <w:rsid w:val="003F155B"/>
    <w:rsid w:val="003F1763"/>
    <w:rsid w:val="003F18E8"/>
    <w:rsid w:val="003F1DCF"/>
    <w:rsid w:val="003F2066"/>
    <w:rsid w:val="003F233E"/>
    <w:rsid w:val="003F2439"/>
    <w:rsid w:val="003F24AA"/>
    <w:rsid w:val="003F3111"/>
    <w:rsid w:val="003F3258"/>
    <w:rsid w:val="003F335A"/>
    <w:rsid w:val="003F36AB"/>
    <w:rsid w:val="003F38E7"/>
    <w:rsid w:val="003F394F"/>
    <w:rsid w:val="003F3B7E"/>
    <w:rsid w:val="003F3BB9"/>
    <w:rsid w:val="003F3C48"/>
    <w:rsid w:val="003F3CC1"/>
    <w:rsid w:val="003F3E7A"/>
    <w:rsid w:val="003F3F5D"/>
    <w:rsid w:val="003F407A"/>
    <w:rsid w:val="003F443B"/>
    <w:rsid w:val="003F45B8"/>
    <w:rsid w:val="003F465D"/>
    <w:rsid w:val="003F4853"/>
    <w:rsid w:val="003F4943"/>
    <w:rsid w:val="003F4B0C"/>
    <w:rsid w:val="003F4CE2"/>
    <w:rsid w:val="003F4DE0"/>
    <w:rsid w:val="003F4F4E"/>
    <w:rsid w:val="003F520B"/>
    <w:rsid w:val="003F555D"/>
    <w:rsid w:val="003F5953"/>
    <w:rsid w:val="003F5963"/>
    <w:rsid w:val="003F5CF2"/>
    <w:rsid w:val="003F5E7D"/>
    <w:rsid w:val="003F5EA9"/>
    <w:rsid w:val="003F5FA0"/>
    <w:rsid w:val="003F692D"/>
    <w:rsid w:val="003F6F3E"/>
    <w:rsid w:val="003F6F47"/>
    <w:rsid w:val="003F6F7C"/>
    <w:rsid w:val="003F7831"/>
    <w:rsid w:val="003F7874"/>
    <w:rsid w:val="003F7A73"/>
    <w:rsid w:val="004003F3"/>
    <w:rsid w:val="00400656"/>
    <w:rsid w:val="0040087E"/>
    <w:rsid w:val="00400CA5"/>
    <w:rsid w:val="00400ED3"/>
    <w:rsid w:val="0040116C"/>
    <w:rsid w:val="004013CF"/>
    <w:rsid w:val="00401492"/>
    <w:rsid w:val="004016D6"/>
    <w:rsid w:val="00401847"/>
    <w:rsid w:val="00401884"/>
    <w:rsid w:val="00401CBC"/>
    <w:rsid w:val="00402037"/>
    <w:rsid w:val="0040242A"/>
    <w:rsid w:val="00402651"/>
    <w:rsid w:val="004027FB"/>
    <w:rsid w:val="00402D1D"/>
    <w:rsid w:val="00402EDC"/>
    <w:rsid w:val="00403414"/>
    <w:rsid w:val="004037AF"/>
    <w:rsid w:val="00403B11"/>
    <w:rsid w:val="00403F72"/>
    <w:rsid w:val="00404096"/>
    <w:rsid w:val="004040F0"/>
    <w:rsid w:val="00404187"/>
    <w:rsid w:val="0040435E"/>
    <w:rsid w:val="004043E5"/>
    <w:rsid w:val="004044F7"/>
    <w:rsid w:val="00404F94"/>
    <w:rsid w:val="0040506D"/>
    <w:rsid w:val="004052B3"/>
    <w:rsid w:val="0040537C"/>
    <w:rsid w:val="004053E9"/>
    <w:rsid w:val="004057A4"/>
    <w:rsid w:val="00405B4A"/>
    <w:rsid w:val="00405C75"/>
    <w:rsid w:val="00405E71"/>
    <w:rsid w:val="00406091"/>
    <w:rsid w:val="004063A3"/>
    <w:rsid w:val="00406861"/>
    <w:rsid w:val="004069E7"/>
    <w:rsid w:val="00406E4F"/>
    <w:rsid w:val="00406E68"/>
    <w:rsid w:val="00406FEE"/>
    <w:rsid w:val="00407163"/>
    <w:rsid w:val="0040737B"/>
    <w:rsid w:val="004073BD"/>
    <w:rsid w:val="00407733"/>
    <w:rsid w:val="004077A2"/>
    <w:rsid w:val="0040784D"/>
    <w:rsid w:val="00407B67"/>
    <w:rsid w:val="00407E84"/>
    <w:rsid w:val="00407E91"/>
    <w:rsid w:val="00407F33"/>
    <w:rsid w:val="00410206"/>
    <w:rsid w:val="0041045F"/>
    <w:rsid w:val="004104A4"/>
    <w:rsid w:val="004109E9"/>
    <w:rsid w:val="00410BAF"/>
    <w:rsid w:val="00410C62"/>
    <w:rsid w:val="00410C90"/>
    <w:rsid w:val="00410CD4"/>
    <w:rsid w:val="00410DA6"/>
    <w:rsid w:val="00410E91"/>
    <w:rsid w:val="004110FE"/>
    <w:rsid w:val="00411184"/>
    <w:rsid w:val="00411A12"/>
    <w:rsid w:val="00411E10"/>
    <w:rsid w:val="00411F3B"/>
    <w:rsid w:val="0041203B"/>
    <w:rsid w:val="004124B0"/>
    <w:rsid w:val="00412856"/>
    <w:rsid w:val="00413A52"/>
    <w:rsid w:val="00413ACC"/>
    <w:rsid w:val="00413DE4"/>
    <w:rsid w:val="004147A8"/>
    <w:rsid w:val="004148EE"/>
    <w:rsid w:val="00414901"/>
    <w:rsid w:val="00414D40"/>
    <w:rsid w:val="00414FD7"/>
    <w:rsid w:val="00415015"/>
    <w:rsid w:val="004151C9"/>
    <w:rsid w:val="00415279"/>
    <w:rsid w:val="00416273"/>
    <w:rsid w:val="0041652D"/>
    <w:rsid w:val="00416947"/>
    <w:rsid w:val="00416948"/>
    <w:rsid w:val="00416C09"/>
    <w:rsid w:val="00416F52"/>
    <w:rsid w:val="004172D4"/>
    <w:rsid w:val="00417638"/>
    <w:rsid w:val="004176CC"/>
    <w:rsid w:val="004176DA"/>
    <w:rsid w:val="004177D9"/>
    <w:rsid w:val="00417855"/>
    <w:rsid w:val="00417E6A"/>
    <w:rsid w:val="00417F4C"/>
    <w:rsid w:val="00420422"/>
    <w:rsid w:val="0042052C"/>
    <w:rsid w:val="004209EF"/>
    <w:rsid w:val="00420CE4"/>
    <w:rsid w:val="0042112E"/>
    <w:rsid w:val="004211EA"/>
    <w:rsid w:val="00421903"/>
    <w:rsid w:val="00421958"/>
    <w:rsid w:val="00421BA4"/>
    <w:rsid w:val="0042223E"/>
    <w:rsid w:val="0042236C"/>
    <w:rsid w:val="00422645"/>
    <w:rsid w:val="004229CF"/>
    <w:rsid w:val="004229D2"/>
    <w:rsid w:val="004231E0"/>
    <w:rsid w:val="00423667"/>
    <w:rsid w:val="0042366E"/>
    <w:rsid w:val="0042385E"/>
    <w:rsid w:val="00423A77"/>
    <w:rsid w:val="00423AD2"/>
    <w:rsid w:val="00423D7C"/>
    <w:rsid w:val="00423E5A"/>
    <w:rsid w:val="00424056"/>
    <w:rsid w:val="00424B70"/>
    <w:rsid w:val="0042502D"/>
    <w:rsid w:val="00425030"/>
    <w:rsid w:val="00425461"/>
    <w:rsid w:val="00425731"/>
    <w:rsid w:val="00425BFD"/>
    <w:rsid w:val="00425C41"/>
    <w:rsid w:val="00425D19"/>
    <w:rsid w:val="00425F07"/>
    <w:rsid w:val="00426155"/>
    <w:rsid w:val="0042672C"/>
    <w:rsid w:val="0042678B"/>
    <w:rsid w:val="00426B77"/>
    <w:rsid w:val="0042720C"/>
    <w:rsid w:val="00427245"/>
    <w:rsid w:val="0042724D"/>
    <w:rsid w:val="00427408"/>
    <w:rsid w:val="0042762B"/>
    <w:rsid w:val="00427637"/>
    <w:rsid w:val="004276AE"/>
    <w:rsid w:val="0042773B"/>
    <w:rsid w:val="004279B3"/>
    <w:rsid w:val="004279D4"/>
    <w:rsid w:val="00427E2C"/>
    <w:rsid w:val="00427EA3"/>
    <w:rsid w:val="00427F5F"/>
    <w:rsid w:val="00430379"/>
    <w:rsid w:val="0043116F"/>
    <w:rsid w:val="00431266"/>
    <w:rsid w:val="0043155C"/>
    <w:rsid w:val="00431721"/>
    <w:rsid w:val="004319F7"/>
    <w:rsid w:val="00431E0C"/>
    <w:rsid w:val="00431EE7"/>
    <w:rsid w:val="0043247D"/>
    <w:rsid w:val="004326B6"/>
    <w:rsid w:val="00432C69"/>
    <w:rsid w:val="00432CC7"/>
    <w:rsid w:val="00432CEA"/>
    <w:rsid w:val="0043315B"/>
    <w:rsid w:val="004332F1"/>
    <w:rsid w:val="0043352C"/>
    <w:rsid w:val="0043404B"/>
    <w:rsid w:val="004343C3"/>
    <w:rsid w:val="004344EF"/>
    <w:rsid w:val="0043468D"/>
    <w:rsid w:val="00434898"/>
    <w:rsid w:val="00434B5B"/>
    <w:rsid w:val="0043501B"/>
    <w:rsid w:val="00435595"/>
    <w:rsid w:val="00435ABC"/>
    <w:rsid w:val="00435CE4"/>
    <w:rsid w:val="00435F2D"/>
    <w:rsid w:val="0043626F"/>
    <w:rsid w:val="00436406"/>
    <w:rsid w:val="004367C9"/>
    <w:rsid w:val="00436884"/>
    <w:rsid w:val="00436A74"/>
    <w:rsid w:val="00436DA8"/>
    <w:rsid w:val="0043705D"/>
    <w:rsid w:val="004370AA"/>
    <w:rsid w:val="004376B9"/>
    <w:rsid w:val="00437713"/>
    <w:rsid w:val="00437B1D"/>
    <w:rsid w:val="00437B8A"/>
    <w:rsid w:val="00437CCB"/>
    <w:rsid w:val="00437EF0"/>
    <w:rsid w:val="0044019F"/>
    <w:rsid w:val="004407BE"/>
    <w:rsid w:val="004407BF"/>
    <w:rsid w:val="00440805"/>
    <w:rsid w:val="00440B3F"/>
    <w:rsid w:val="00440E16"/>
    <w:rsid w:val="00440F40"/>
    <w:rsid w:val="00441041"/>
    <w:rsid w:val="00441339"/>
    <w:rsid w:val="00441340"/>
    <w:rsid w:val="0044135C"/>
    <w:rsid w:val="00441447"/>
    <w:rsid w:val="00441C9A"/>
    <w:rsid w:val="00441DAE"/>
    <w:rsid w:val="00441EFE"/>
    <w:rsid w:val="00442326"/>
    <w:rsid w:val="004426D8"/>
    <w:rsid w:val="00442914"/>
    <w:rsid w:val="00442C8C"/>
    <w:rsid w:val="00443245"/>
    <w:rsid w:val="0044339F"/>
    <w:rsid w:val="004435CC"/>
    <w:rsid w:val="00443903"/>
    <w:rsid w:val="00443DC1"/>
    <w:rsid w:val="00443E67"/>
    <w:rsid w:val="00444EA5"/>
    <w:rsid w:val="00444F15"/>
    <w:rsid w:val="00444F6C"/>
    <w:rsid w:val="00444FC2"/>
    <w:rsid w:val="00445173"/>
    <w:rsid w:val="0044543F"/>
    <w:rsid w:val="004457C1"/>
    <w:rsid w:val="00445F02"/>
    <w:rsid w:val="0044617E"/>
    <w:rsid w:val="004461B5"/>
    <w:rsid w:val="004462A6"/>
    <w:rsid w:val="00446515"/>
    <w:rsid w:val="0044659F"/>
    <w:rsid w:val="00446688"/>
    <w:rsid w:val="004466E6"/>
    <w:rsid w:val="0044675C"/>
    <w:rsid w:val="00446D9F"/>
    <w:rsid w:val="00446FA2"/>
    <w:rsid w:val="00450091"/>
    <w:rsid w:val="0045028B"/>
    <w:rsid w:val="00450419"/>
    <w:rsid w:val="004509B7"/>
    <w:rsid w:val="00450CF2"/>
    <w:rsid w:val="00450E51"/>
    <w:rsid w:val="004511C4"/>
    <w:rsid w:val="004513EB"/>
    <w:rsid w:val="0045142D"/>
    <w:rsid w:val="004517C2"/>
    <w:rsid w:val="00451C3F"/>
    <w:rsid w:val="00451C8A"/>
    <w:rsid w:val="00451ED3"/>
    <w:rsid w:val="00451F10"/>
    <w:rsid w:val="00452010"/>
    <w:rsid w:val="004526D0"/>
    <w:rsid w:val="0045275D"/>
    <w:rsid w:val="004527BC"/>
    <w:rsid w:val="00452ABC"/>
    <w:rsid w:val="00452FBF"/>
    <w:rsid w:val="004530B7"/>
    <w:rsid w:val="004534DB"/>
    <w:rsid w:val="00453844"/>
    <w:rsid w:val="0045418C"/>
    <w:rsid w:val="004542E5"/>
    <w:rsid w:val="00454546"/>
    <w:rsid w:val="0045465A"/>
    <w:rsid w:val="004546D7"/>
    <w:rsid w:val="0045484A"/>
    <w:rsid w:val="00454BF3"/>
    <w:rsid w:val="00454F8A"/>
    <w:rsid w:val="004552DF"/>
    <w:rsid w:val="00455488"/>
    <w:rsid w:val="00455A03"/>
    <w:rsid w:val="00455B4B"/>
    <w:rsid w:val="00455E8B"/>
    <w:rsid w:val="00456015"/>
    <w:rsid w:val="00456127"/>
    <w:rsid w:val="0045618D"/>
    <w:rsid w:val="004562EC"/>
    <w:rsid w:val="00456C3A"/>
    <w:rsid w:val="00456CB9"/>
    <w:rsid w:val="004570C3"/>
    <w:rsid w:val="004572A5"/>
    <w:rsid w:val="00457422"/>
    <w:rsid w:val="00457594"/>
    <w:rsid w:val="00457650"/>
    <w:rsid w:val="004579D2"/>
    <w:rsid w:val="00457C36"/>
    <w:rsid w:val="00457CFF"/>
    <w:rsid w:val="004605CE"/>
    <w:rsid w:val="004606A6"/>
    <w:rsid w:val="00460848"/>
    <w:rsid w:val="00460DAB"/>
    <w:rsid w:val="00460FFF"/>
    <w:rsid w:val="00461424"/>
    <w:rsid w:val="004615F0"/>
    <w:rsid w:val="004618B0"/>
    <w:rsid w:val="00461B77"/>
    <w:rsid w:val="00461E1A"/>
    <w:rsid w:val="00461F43"/>
    <w:rsid w:val="004622BC"/>
    <w:rsid w:val="004627EB"/>
    <w:rsid w:val="004629BF"/>
    <w:rsid w:val="004635AD"/>
    <w:rsid w:val="00463E57"/>
    <w:rsid w:val="0046425B"/>
    <w:rsid w:val="004643CD"/>
    <w:rsid w:val="004650AF"/>
    <w:rsid w:val="0046513D"/>
    <w:rsid w:val="00465301"/>
    <w:rsid w:val="0046568D"/>
    <w:rsid w:val="004656B7"/>
    <w:rsid w:val="004658EA"/>
    <w:rsid w:val="004658F6"/>
    <w:rsid w:val="00465AAC"/>
    <w:rsid w:val="00465E79"/>
    <w:rsid w:val="00466117"/>
    <w:rsid w:val="004665AF"/>
    <w:rsid w:val="0046676F"/>
    <w:rsid w:val="004668E5"/>
    <w:rsid w:val="00466BA1"/>
    <w:rsid w:val="00466D3F"/>
    <w:rsid w:val="004670EE"/>
    <w:rsid w:val="0046792A"/>
    <w:rsid w:val="00467C4C"/>
    <w:rsid w:val="00467C97"/>
    <w:rsid w:val="00467D4E"/>
    <w:rsid w:val="0047020B"/>
    <w:rsid w:val="00470221"/>
    <w:rsid w:val="00470401"/>
    <w:rsid w:val="00470531"/>
    <w:rsid w:val="00470E0D"/>
    <w:rsid w:val="00471361"/>
    <w:rsid w:val="0047160F"/>
    <w:rsid w:val="004726CD"/>
    <w:rsid w:val="00472E2D"/>
    <w:rsid w:val="00472EBF"/>
    <w:rsid w:val="0047318A"/>
    <w:rsid w:val="004732FD"/>
    <w:rsid w:val="004736C5"/>
    <w:rsid w:val="0047377C"/>
    <w:rsid w:val="004738B6"/>
    <w:rsid w:val="00473941"/>
    <w:rsid w:val="004739E0"/>
    <w:rsid w:val="00473DE6"/>
    <w:rsid w:val="004742D9"/>
    <w:rsid w:val="00474602"/>
    <w:rsid w:val="00474C71"/>
    <w:rsid w:val="00474E02"/>
    <w:rsid w:val="00475618"/>
    <w:rsid w:val="004757C2"/>
    <w:rsid w:val="0047587E"/>
    <w:rsid w:val="00475D65"/>
    <w:rsid w:val="00475FA7"/>
    <w:rsid w:val="004764C4"/>
    <w:rsid w:val="00476590"/>
    <w:rsid w:val="00476607"/>
    <w:rsid w:val="0047681A"/>
    <w:rsid w:val="004769D1"/>
    <w:rsid w:val="00476B1E"/>
    <w:rsid w:val="00476BFD"/>
    <w:rsid w:val="00476C60"/>
    <w:rsid w:val="00476CF6"/>
    <w:rsid w:val="00477048"/>
    <w:rsid w:val="004777CA"/>
    <w:rsid w:val="00477975"/>
    <w:rsid w:val="00477EC6"/>
    <w:rsid w:val="00480038"/>
    <w:rsid w:val="00480109"/>
    <w:rsid w:val="0048033A"/>
    <w:rsid w:val="004804BF"/>
    <w:rsid w:val="0048055A"/>
    <w:rsid w:val="004806EE"/>
    <w:rsid w:val="00480822"/>
    <w:rsid w:val="00480E9B"/>
    <w:rsid w:val="0048102C"/>
    <w:rsid w:val="004811D7"/>
    <w:rsid w:val="00481AF6"/>
    <w:rsid w:val="00481C14"/>
    <w:rsid w:val="00482207"/>
    <w:rsid w:val="004828A7"/>
    <w:rsid w:val="00482D10"/>
    <w:rsid w:val="00483145"/>
    <w:rsid w:val="0048359A"/>
    <w:rsid w:val="00483AFA"/>
    <w:rsid w:val="00483DAA"/>
    <w:rsid w:val="00483EEA"/>
    <w:rsid w:val="00484325"/>
    <w:rsid w:val="00484D05"/>
    <w:rsid w:val="00484DE7"/>
    <w:rsid w:val="00484F89"/>
    <w:rsid w:val="0048508F"/>
    <w:rsid w:val="004851BD"/>
    <w:rsid w:val="004852B6"/>
    <w:rsid w:val="004854F6"/>
    <w:rsid w:val="00485B89"/>
    <w:rsid w:val="00485C37"/>
    <w:rsid w:val="00486045"/>
    <w:rsid w:val="00486549"/>
    <w:rsid w:val="004865DD"/>
    <w:rsid w:val="004866C4"/>
    <w:rsid w:val="00486B68"/>
    <w:rsid w:val="00486E5D"/>
    <w:rsid w:val="00486F61"/>
    <w:rsid w:val="00487093"/>
    <w:rsid w:val="0048714F"/>
    <w:rsid w:val="00487382"/>
    <w:rsid w:val="00487656"/>
    <w:rsid w:val="00487A54"/>
    <w:rsid w:val="00487ABA"/>
    <w:rsid w:val="00490143"/>
    <w:rsid w:val="00490413"/>
    <w:rsid w:val="004904B5"/>
    <w:rsid w:val="0049080A"/>
    <w:rsid w:val="00490BC0"/>
    <w:rsid w:val="00490CC6"/>
    <w:rsid w:val="00491034"/>
    <w:rsid w:val="00491509"/>
    <w:rsid w:val="00491FF1"/>
    <w:rsid w:val="004920E7"/>
    <w:rsid w:val="0049221C"/>
    <w:rsid w:val="00492DB1"/>
    <w:rsid w:val="00493072"/>
    <w:rsid w:val="004930DA"/>
    <w:rsid w:val="00493168"/>
    <w:rsid w:val="0049352C"/>
    <w:rsid w:val="004938F3"/>
    <w:rsid w:val="004939FA"/>
    <w:rsid w:val="00493D06"/>
    <w:rsid w:val="00493D3F"/>
    <w:rsid w:val="00494355"/>
    <w:rsid w:val="00494673"/>
    <w:rsid w:val="0049491A"/>
    <w:rsid w:val="00494EF5"/>
    <w:rsid w:val="00494FCE"/>
    <w:rsid w:val="00494FF8"/>
    <w:rsid w:val="0049538C"/>
    <w:rsid w:val="004958B7"/>
    <w:rsid w:val="00495AC1"/>
    <w:rsid w:val="00496088"/>
    <w:rsid w:val="004962A0"/>
    <w:rsid w:val="00496563"/>
    <w:rsid w:val="00496886"/>
    <w:rsid w:val="004971E2"/>
    <w:rsid w:val="00497624"/>
    <w:rsid w:val="00497685"/>
    <w:rsid w:val="00497735"/>
    <w:rsid w:val="0049779C"/>
    <w:rsid w:val="004978E9"/>
    <w:rsid w:val="00497B58"/>
    <w:rsid w:val="00497F36"/>
    <w:rsid w:val="00497F4E"/>
    <w:rsid w:val="00497FDA"/>
    <w:rsid w:val="004A04AC"/>
    <w:rsid w:val="004A0912"/>
    <w:rsid w:val="004A0A7A"/>
    <w:rsid w:val="004A0B44"/>
    <w:rsid w:val="004A162B"/>
    <w:rsid w:val="004A1A0D"/>
    <w:rsid w:val="004A1C79"/>
    <w:rsid w:val="004A218E"/>
    <w:rsid w:val="004A21C0"/>
    <w:rsid w:val="004A2397"/>
    <w:rsid w:val="004A257E"/>
    <w:rsid w:val="004A25C0"/>
    <w:rsid w:val="004A26B4"/>
    <w:rsid w:val="004A2940"/>
    <w:rsid w:val="004A2A18"/>
    <w:rsid w:val="004A2EC1"/>
    <w:rsid w:val="004A31E0"/>
    <w:rsid w:val="004A37F2"/>
    <w:rsid w:val="004A3D18"/>
    <w:rsid w:val="004A3E6B"/>
    <w:rsid w:val="004A3F58"/>
    <w:rsid w:val="004A441D"/>
    <w:rsid w:val="004A48FA"/>
    <w:rsid w:val="004A4CD0"/>
    <w:rsid w:val="004A507A"/>
    <w:rsid w:val="004A5121"/>
    <w:rsid w:val="004A53B9"/>
    <w:rsid w:val="004A54E6"/>
    <w:rsid w:val="004A571A"/>
    <w:rsid w:val="004A57CC"/>
    <w:rsid w:val="004A58BE"/>
    <w:rsid w:val="004A5A56"/>
    <w:rsid w:val="004A5F1F"/>
    <w:rsid w:val="004A620C"/>
    <w:rsid w:val="004A6319"/>
    <w:rsid w:val="004A6601"/>
    <w:rsid w:val="004A6693"/>
    <w:rsid w:val="004A67F7"/>
    <w:rsid w:val="004A71E7"/>
    <w:rsid w:val="004A7A79"/>
    <w:rsid w:val="004A7EEA"/>
    <w:rsid w:val="004A7F40"/>
    <w:rsid w:val="004B0109"/>
    <w:rsid w:val="004B0C2E"/>
    <w:rsid w:val="004B0C96"/>
    <w:rsid w:val="004B0DBE"/>
    <w:rsid w:val="004B1002"/>
    <w:rsid w:val="004B122D"/>
    <w:rsid w:val="004B1310"/>
    <w:rsid w:val="004B197C"/>
    <w:rsid w:val="004B1C59"/>
    <w:rsid w:val="004B1CC4"/>
    <w:rsid w:val="004B2284"/>
    <w:rsid w:val="004B24CC"/>
    <w:rsid w:val="004B26D4"/>
    <w:rsid w:val="004B280B"/>
    <w:rsid w:val="004B2885"/>
    <w:rsid w:val="004B2A0C"/>
    <w:rsid w:val="004B2CFC"/>
    <w:rsid w:val="004B2D29"/>
    <w:rsid w:val="004B2ECC"/>
    <w:rsid w:val="004B35CA"/>
    <w:rsid w:val="004B39BF"/>
    <w:rsid w:val="004B3B2B"/>
    <w:rsid w:val="004B3BEF"/>
    <w:rsid w:val="004B3D00"/>
    <w:rsid w:val="004B3F61"/>
    <w:rsid w:val="004B400E"/>
    <w:rsid w:val="004B4037"/>
    <w:rsid w:val="004B4376"/>
    <w:rsid w:val="004B4499"/>
    <w:rsid w:val="004B45E4"/>
    <w:rsid w:val="004B4683"/>
    <w:rsid w:val="004B469F"/>
    <w:rsid w:val="004B4759"/>
    <w:rsid w:val="004B5BA3"/>
    <w:rsid w:val="004B5CEC"/>
    <w:rsid w:val="004B5CFD"/>
    <w:rsid w:val="004B5D29"/>
    <w:rsid w:val="004B60F2"/>
    <w:rsid w:val="004B612E"/>
    <w:rsid w:val="004B63B8"/>
    <w:rsid w:val="004B6612"/>
    <w:rsid w:val="004B6B85"/>
    <w:rsid w:val="004B6D03"/>
    <w:rsid w:val="004B6F11"/>
    <w:rsid w:val="004B73A4"/>
    <w:rsid w:val="004B7C19"/>
    <w:rsid w:val="004C017A"/>
    <w:rsid w:val="004C01C4"/>
    <w:rsid w:val="004C06E7"/>
    <w:rsid w:val="004C09F9"/>
    <w:rsid w:val="004C0B5F"/>
    <w:rsid w:val="004C0E88"/>
    <w:rsid w:val="004C1495"/>
    <w:rsid w:val="004C1AC7"/>
    <w:rsid w:val="004C1B38"/>
    <w:rsid w:val="004C1F7E"/>
    <w:rsid w:val="004C2673"/>
    <w:rsid w:val="004C2FDD"/>
    <w:rsid w:val="004C2FE8"/>
    <w:rsid w:val="004C3570"/>
    <w:rsid w:val="004C382A"/>
    <w:rsid w:val="004C3D24"/>
    <w:rsid w:val="004C3E10"/>
    <w:rsid w:val="004C3EA6"/>
    <w:rsid w:val="004C4229"/>
    <w:rsid w:val="004C4350"/>
    <w:rsid w:val="004C497E"/>
    <w:rsid w:val="004C57A1"/>
    <w:rsid w:val="004C59D7"/>
    <w:rsid w:val="004C5D23"/>
    <w:rsid w:val="004C5D96"/>
    <w:rsid w:val="004C62B7"/>
    <w:rsid w:val="004C62FF"/>
    <w:rsid w:val="004C64C7"/>
    <w:rsid w:val="004C6B6A"/>
    <w:rsid w:val="004C7788"/>
    <w:rsid w:val="004C7B43"/>
    <w:rsid w:val="004D0F3C"/>
    <w:rsid w:val="004D0F8C"/>
    <w:rsid w:val="004D10F4"/>
    <w:rsid w:val="004D12AC"/>
    <w:rsid w:val="004D13E3"/>
    <w:rsid w:val="004D13F6"/>
    <w:rsid w:val="004D14C2"/>
    <w:rsid w:val="004D163A"/>
    <w:rsid w:val="004D1E6F"/>
    <w:rsid w:val="004D2074"/>
    <w:rsid w:val="004D20F8"/>
    <w:rsid w:val="004D286C"/>
    <w:rsid w:val="004D2A9A"/>
    <w:rsid w:val="004D2AB5"/>
    <w:rsid w:val="004D2AFF"/>
    <w:rsid w:val="004D2D88"/>
    <w:rsid w:val="004D3586"/>
    <w:rsid w:val="004D36A2"/>
    <w:rsid w:val="004D378C"/>
    <w:rsid w:val="004D3FEA"/>
    <w:rsid w:val="004D46ED"/>
    <w:rsid w:val="004D4BDA"/>
    <w:rsid w:val="004D4D38"/>
    <w:rsid w:val="004D4F1F"/>
    <w:rsid w:val="004D4FAB"/>
    <w:rsid w:val="004D4FF2"/>
    <w:rsid w:val="004D52B8"/>
    <w:rsid w:val="004D5470"/>
    <w:rsid w:val="004D555E"/>
    <w:rsid w:val="004D5799"/>
    <w:rsid w:val="004D5858"/>
    <w:rsid w:val="004D5CA4"/>
    <w:rsid w:val="004D6100"/>
    <w:rsid w:val="004D6212"/>
    <w:rsid w:val="004D65A4"/>
    <w:rsid w:val="004D676D"/>
    <w:rsid w:val="004D6906"/>
    <w:rsid w:val="004D7070"/>
    <w:rsid w:val="004D72C0"/>
    <w:rsid w:val="004D754B"/>
    <w:rsid w:val="004D7658"/>
    <w:rsid w:val="004D776A"/>
    <w:rsid w:val="004D78B4"/>
    <w:rsid w:val="004D7EB4"/>
    <w:rsid w:val="004D7EF0"/>
    <w:rsid w:val="004E044B"/>
    <w:rsid w:val="004E0503"/>
    <w:rsid w:val="004E06AC"/>
    <w:rsid w:val="004E0FAA"/>
    <w:rsid w:val="004E108B"/>
    <w:rsid w:val="004E1209"/>
    <w:rsid w:val="004E13B9"/>
    <w:rsid w:val="004E183B"/>
    <w:rsid w:val="004E1892"/>
    <w:rsid w:val="004E1B0A"/>
    <w:rsid w:val="004E2917"/>
    <w:rsid w:val="004E2AD7"/>
    <w:rsid w:val="004E2BC0"/>
    <w:rsid w:val="004E305C"/>
    <w:rsid w:val="004E309F"/>
    <w:rsid w:val="004E30C3"/>
    <w:rsid w:val="004E3192"/>
    <w:rsid w:val="004E3215"/>
    <w:rsid w:val="004E348E"/>
    <w:rsid w:val="004E3E27"/>
    <w:rsid w:val="004E4183"/>
    <w:rsid w:val="004E4196"/>
    <w:rsid w:val="004E435D"/>
    <w:rsid w:val="004E44E7"/>
    <w:rsid w:val="004E45C7"/>
    <w:rsid w:val="004E4789"/>
    <w:rsid w:val="004E4863"/>
    <w:rsid w:val="004E4912"/>
    <w:rsid w:val="004E4AA4"/>
    <w:rsid w:val="004E4B0A"/>
    <w:rsid w:val="004E5089"/>
    <w:rsid w:val="004E53BA"/>
    <w:rsid w:val="004E58C0"/>
    <w:rsid w:val="004E5A2A"/>
    <w:rsid w:val="004E66F6"/>
    <w:rsid w:val="004E6AF7"/>
    <w:rsid w:val="004E776A"/>
    <w:rsid w:val="004E796B"/>
    <w:rsid w:val="004E7B66"/>
    <w:rsid w:val="004E7EB6"/>
    <w:rsid w:val="004F0674"/>
    <w:rsid w:val="004F09A0"/>
    <w:rsid w:val="004F0B1D"/>
    <w:rsid w:val="004F0C07"/>
    <w:rsid w:val="004F1067"/>
    <w:rsid w:val="004F13DB"/>
    <w:rsid w:val="004F1C46"/>
    <w:rsid w:val="004F1FA5"/>
    <w:rsid w:val="004F1FE7"/>
    <w:rsid w:val="004F20AB"/>
    <w:rsid w:val="004F22C8"/>
    <w:rsid w:val="004F2448"/>
    <w:rsid w:val="004F25DA"/>
    <w:rsid w:val="004F2622"/>
    <w:rsid w:val="004F26D4"/>
    <w:rsid w:val="004F2C50"/>
    <w:rsid w:val="004F3AED"/>
    <w:rsid w:val="004F409B"/>
    <w:rsid w:val="004F40D0"/>
    <w:rsid w:val="004F42B6"/>
    <w:rsid w:val="004F44E2"/>
    <w:rsid w:val="004F5005"/>
    <w:rsid w:val="004F50A3"/>
    <w:rsid w:val="004F5274"/>
    <w:rsid w:val="004F5B9D"/>
    <w:rsid w:val="004F5E62"/>
    <w:rsid w:val="004F5EBB"/>
    <w:rsid w:val="004F61C9"/>
    <w:rsid w:val="004F6238"/>
    <w:rsid w:val="004F6339"/>
    <w:rsid w:val="004F679E"/>
    <w:rsid w:val="004F747D"/>
    <w:rsid w:val="004F7693"/>
    <w:rsid w:val="004F781B"/>
    <w:rsid w:val="004F79B1"/>
    <w:rsid w:val="004F7BB9"/>
    <w:rsid w:val="004F7E3B"/>
    <w:rsid w:val="005004FF"/>
    <w:rsid w:val="00500524"/>
    <w:rsid w:val="00500789"/>
    <w:rsid w:val="005007C1"/>
    <w:rsid w:val="0050094E"/>
    <w:rsid w:val="005009D1"/>
    <w:rsid w:val="00500D38"/>
    <w:rsid w:val="00501229"/>
    <w:rsid w:val="0050158C"/>
    <w:rsid w:val="00501722"/>
    <w:rsid w:val="00501C5E"/>
    <w:rsid w:val="00501CAC"/>
    <w:rsid w:val="00501E88"/>
    <w:rsid w:val="0050212E"/>
    <w:rsid w:val="005021B1"/>
    <w:rsid w:val="00502351"/>
    <w:rsid w:val="00502550"/>
    <w:rsid w:val="005025CD"/>
    <w:rsid w:val="005025DB"/>
    <w:rsid w:val="005026BD"/>
    <w:rsid w:val="00502CFE"/>
    <w:rsid w:val="00502E54"/>
    <w:rsid w:val="00502EAC"/>
    <w:rsid w:val="00502F14"/>
    <w:rsid w:val="00503213"/>
    <w:rsid w:val="005034CF"/>
    <w:rsid w:val="00503500"/>
    <w:rsid w:val="00503A5A"/>
    <w:rsid w:val="00503BDB"/>
    <w:rsid w:val="00503C01"/>
    <w:rsid w:val="00504050"/>
    <w:rsid w:val="00504074"/>
    <w:rsid w:val="0050427D"/>
    <w:rsid w:val="00504324"/>
    <w:rsid w:val="00504FCA"/>
    <w:rsid w:val="00504FDE"/>
    <w:rsid w:val="0050528B"/>
    <w:rsid w:val="0050540A"/>
    <w:rsid w:val="00505620"/>
    <w:rsid w:val="00505CC6"/>
    <w:rsid w:val="005062E6"/>
    <w:rsid w:val="00506347"/>
    <w:rsid w:val="0050673E"/>
    <w:rsid w:val="00506741"/>
    <w:rsid w:val="00506787"/>
    <w:rsid w:val="00507060"/>
    <w:rsid w:val="00507DD0"/>
    <w:rsid w:val="0051009F"/>
    <w:rsid w:val="00510590"/>
    <w:rsid w:val="00510874"/>
    <w:rsid w:val="00510BF5"/>
    <w:rsid w:val="00510CB5"/>
    <w:rsid w:val="00511031"/>
    <w:rsid w:val="0051142D"/>
    <w:rsid w:val="0051146E"/>
    <w:rsid w:val="005115BD"/>
    <w:rsid w:val="005115E7"/>
    <w:rsid w:val="005117E0"/>
    <w:rsid w:val="00511922"/>
    <w:rsid w:val="00511B03"/>
    <w:rsid w:val="00511B74"/>
    <w:rsid w:val="00511B93"/>
    <w:rsid w:val="00511CA1"/>
    <w:rsid w:val="00512BEE"/>
    <w:rsid w:val="00512F8D"/>
    <w:rsid w:val="00513103"/>
    <w:rsid w:val="00513363"/>
    <w:rsid w:val="0051370D"/>
    <w:rsid w:val="00513AF5"/>
    <w:rsid w:val="00513BD9"/>
    <w:rsid w:val="00513DD5"/>
    <w:rsid w:val="005141AC"/>
    <w:rsid w:val="00514330"/>
    <w:rsid w:val="00514362"/>
    <w:rsid w:val="00514612"/>
    <w:rsid w:val="005150CE"/>
    <w:rsid w:val="005155C4"/>
    <w:rsid w:val="00515662"/>
    <w:rsid w:val="00515D0C"/>
    <w:rsid w:val="00515E79"/>
    <w:rsid w:val="0051623F"/>
    <w:rsid w:val="0051630F"/>
    <w:rsid w:val="00516631"/>
    <w:rsid w:val="005166F7"/>
    <w:rsid w:val="00516E3E"/>
    <w:rsid w:val="00516FB1"/>
    <w:rsid w:val="0051750D"/>
    <w:rsid w:val="00517527"/>
    <w:rsid w:val="0051777A"/>
    <w:rsid w:val="00517981"/>
    <w:rsid w:val="00520521"/>
    <w:rsid w:val="00520702"/>
    <w:rsid w:val="00520A5B"/>
    <w:rsid w:val="00520E35"/>
    <w:rsid w:val="00520E43"/>
    <w:rsid w:val="00521027"/>
    <w:rsid w:val="00521109"/>
    <w:rsid w:val="0052118D"/>
    <w:rsid w:val="005214DC"/>
    <w:rsid w:val="0052169A"/>
    <w:rsid w:val="0052178B"/>
    <w:rsid w:val="0052181D"/>
    <w:rsid w:val="00521867"/>
    <w:rsid w:val="00521AEB"/>
    <w:rsid w:val="00521BDB"/>
    <w:rsid w:val="00521E67"/>
    <w:rsid w:val="005227C7"/>
    <w:rsid w:val="00522CE4"/>
    <w:rsid w:val="0052346D"/>
    <w:rsid w:val="0052380A"/>
    <w:rsid w:val="005238AA"/>
    <w:rsid w:val="005238C7"/>
    <w:rsid w:val="005239BB"/>
    <w:rsid w:val="00523C00"/>
    <w:rsid w:val="00523C69"/>
    <w:rsid w:val="00523C84"/>
    <w:rsid w:val="00523E97"/>
    <w:rsid w:val="005245B1"/>
    <w:rsid w:val="00524773"/>
    <w:rsid w:val="00524B41"/>
    <w:rsid w:val="00524B53"/>
    <w:rsid w:val="00524D5B"/>
    <w:rsid w:val="005256C6"/>
    <w:rsid w:val="00525B2C"/>
    <w:rsid w:val="00525BF0"/>
    <w:rsid w:val="00525CB9"/>
    <w:rsid w:val="00525D54"/>
    <w:rsid w:val="0052652E"/>
    <w:rsid w:val="00526754"/>
    <w:rsid w:val="00526952"/>
    <w:rsid w:val="00526FED"/>
    <w:rsid w:val="0052718C"/>
    <w:rsid w:val="0052745F"/>
    <w:rsid w:val="005277A7"/>
    <w:rsid w:val="00527850"/>
    <w:rsid w:val="0052787C"/>
    <w:rsid w:val="00527B34"/>
    <w:rsid w:val="005307DE"/>
    <w:rsid w:val="0053089B"/>
    <w:rsid w:val="005309EA"/>
    <w:rsid w:val="00530C8C"/>
    <w:rsid w:val="005315CB"/>
    <w:rsid w:val="00531654"/>
    <w:rsid w:val="005318F4"/>
    <w:rsid w:val="0053193F"/>
    <w:rsid w:val="00531B92"/>
    <w:rsid w:val="00532762"/>
    <w:rsid w:val="005328E1"/>
    <w:rsid w:val="0053294D"/>
    <w:rsid w:val="005329A5"/>
    <w:rsid w:val="00533B23"/>
    <w:rsid w:val="005342CD"/>
    <w:rsid w:val="00534684"/>
    <w:rsid w:val="00534811"/>
    <w:rsid w:val="005348B3"/>
    <w:rsid w:val="00534A4C"/>
    <w:rsid w:val="00534AD2"/>
    <w:rsid w:val="00534CE6"/>
    <w:rsid w:val="00534FC0"/>
    <w:rsid w:val="00535192"/>
    <w:rsid w:val="00535388"/>
    <w:rsid w:val="005354F3"/>
    <w:rsid w:val="00535581"/>
    <w:rsid w:val="005356EC"/>
    <w:rsid w:val="00535C6C"/>
    <w:rsid w:val="00535E1A"/>
    <w:rsid w:val="00535E1E"/>
    <w:rsid w:val="00535EA2"/>
    <w:rsid w:val="00536178"/>
    <w:rsid w:val="005364A6"/>
    <w:rsid w:val="00536800"/>
    <w:rsid w:val="00536961"/>
    <w:rsid w:val="00536966"/>
    <w:rsid w:val="00536A46"/>
    <w:rsid w:val="00536B7D"/>
    <w:rsid w:val="00536F2B"/>
    <w:rsid w:val="00536F90"/>
    <w:rsid w:val="00536FAE"/>
    <w:rsid w:val="0053777E"/>
    <w:rsid w:val="00537806"/>
    <w:rsid w:val="00537965"/>
    <w:rsid w:val="00537A51"/>
    <w:rsid w:val="00537AF1"/>
    <w:rsid w:val="00537B46"/>
    <w:rsid w:val="00537CF7"/>
    <w:rsid w:val="0054017D"/>
    <w:rsid w:val="00540298"/>
    <w:rsid w:val="005403F3"/>
    <w:rsid w:val="0054042E"/>
    <w:rsid w:val="0054054E"/>
    <w:rsid w:val="005405D2"/>
    <w:rsid w:val="00540765"/>
    <w:rsid w:val="00540AC1"/>
    <w:rsid w:val="00540AF5"/>
    <w:rsid w:val="00540D4E"/>
    <w:rsid w:val="00540E93"/>
    <w:rsid w:val="00540F04"/>
    <w:rsid w:val="005419D2"/>
    <w:rsid w:val="00541F4A"/>
    <w:rsid w:val="00542068"/>
    <w:rsid w:val="00542154"/>
    <w:rsid w:val="005422AC"/>
    <w:rsid w:val="0054247D"/>
    <w:rsid w:val="005424FA"/>
    <w:rsid w:val="005425FA"/>
    <w:rsid w:val="00542AFD"/>
    <w:rsid w:val="0054348A"/>
    <w:rsid w:val="0054374A"/>
    <w:rsid w:val="00543924"/>
    <w:rsid w:val="00543AF4"/>
    <w:rsid w:val="00543AFE"/>
    <w:rsid w:val="00543D16"/>
    <w:rsid w:val="00543F90"/>
    <w:rsid w:val="005443A6"/>
    <w:rsid w:val="005444EF"/>
    <w:rsid w:val="00544BB0"/>
    <w:rsid w:val="005451DE"/>
    <w:rsid w:val="005453BE"/>
    <w:rsid w:val="005453D3"/>
    <w:rsid w:val="00545911"/>
    <w:rsid w:val="005461D2"/>
    <w:rsid w:val="005463B4"/>
    <w:rsid w:val="00546423"/>
    <w:rsid w:val="005469D0"/>
    <w:rsid w:val="00546ED0"/>
    <w:rsid w:val="0054735A"/>
    <w:rsid w:val="00547441"/>
    <w:rsid w:val="00547786"/>
    <w:rsid w:val="005477A3"/>
    <w:rsid w:val="00547BCB"/>
    <w:rsid w:val="00547ED7"/>
    <w:rsid w:val="0055007A"/>
    <w:rsid w:val="005502E2"/>
    <w:rsid w:val="005503F2"/>
    <w:rsid w:val="0055051B"/>
    <w:rsid w:val="005509C5"/>
    <w:rsid w:val="00550AF9"/>
    <w:rsid w:val="00550C94"/>
    <w:rsid w:val="00550DF7"/>
    <w:rsid w:val="00550DF8"/>
    <w:rsid w:val="00551242"/>
    <w:rsid w:val="005513FE"/>
    <w:rsid w:val="00551888"/>
    <w:rsid w:val="00551AB7"/>
    <w:rsid w:val="00551ECA"/>
    <w:rsid w:val="00551F2B"/>
    <w:rsid w:val="00552417"/>
    <w:rsid w:val="00552504"/>
    <w:rsid w:val="005527DB"/>
    <w:rsid w:val="00552B17"/>
    <w:rsid w:val="00552D37"/>
    <w:rsid w:val="00553CAC"/>
    <w:rsid w:val="00554593"/>
    <w:rsid w:val="00554E36"/>
    <w:rsid w:val="00554EB3"/>
    <w:rsid w:val="00555698"/>
    <w:rsid w:val="005559B4"/>
    <w:rsid w:val="005559EB"/>
    <w:rsid w:val="00555B03"/>
    <w:rsid w:val="00555B92"/>
    <w:rsid w:val="00555CFE"/>
    <w:rsid w:val="00555D09"/>
    <w:rsid w:val="00555FDD"/>
    <w:rsid w:val="005561A7"/>
    <w:rsid w:val="00556445"/>
    <w:rsid w:val="0055679A"/>
    <w:rsid w:val="00556C7A"/>
    <w:rsid w:val="00557443"/>
    <w:rsid w:val="00557553"/>
    <w:rsid w:val="0055783F"/>
    <w:rsid w:val="0055784D"/>
    <w:rsid w:val="00560127"/>
    <w:rsid w:val="00560433"/>
    <w:rsid w:val="0056053B"/>
    <w:rsid w:val="0056065B"/>
    <w:rsid w:val="0056069A"/>
    <w:rsid w:val="0056095A"/>
    <w:rsid w:val="005609C8"/>
    <w:rsid w:val="00560E60"/>
    <w:rsid w:val="00561063"/>
    <w:rsid w:val="005611B2"/>
    <w:rsid w:val="005615AA"/>
    <w:rsid w:val="005620BD"/>
    <w:rsid w:val="0056212D"/>
    <w:rsid w:val="00562267"/>
    <w:rsid w:val="0056234E"/>
    <w:rsid w:val="00562785"/>
    <w:rsid w:val="005629DE"/>
    <w:rsid w:val="00562BC7"/>
    <w:rsid w:val="00562DD0"/>
    <w:rsid w:val="00563340"/>
    <w:rsid w:val="00563436"/>
    <w:rsid w:val="0056345E"/>
    <w:rsid w:val="005634A6"/>
    <w:rsid w:val="005636F9"/>
    <w:rsid w:val="0056387E"/>
    <w:rsid w:val="00563B23"/>
    <w:rsid w:val="00563FD7"/>
    <w:rsid w:val="005642EF"/>
    <w:rsid w:val="00564C40"/>
    <w:rsid w:val="00564C58"/>
    <w:rsid w:val="00564CC8"/>
    <w:rsid w:val="005650AA"/>
    <w:rsid w:val="0056537C"/>
    <w:rsid w:val="005653FA"/>
    <w:rsid w:val="00565502"/>
    <w:rsid w:val="00565BD4"/>
    <w:rsid w:val="00565D55"/>
    <w:rsid w:val="00565EF7"/>
    <w:rsid w:val="00566343"/>
    <w:rsid w:val="0056640D"/>
    <w:rsid w:val="00566463"/>
    <w:rsid w:val="00566BDC"/>
    <w:rsid w:val="00566C23"/>
    <w:rsid w:val="00567328"/>
    <w:rsid w:val="005674C8"/>
    <w:rsid w:val="00567746"/>
    <w:rsid w:val="00567A7F"/>
    <w:rsid w:val="00567C6D"/>
    <w:rsid w:val="00567F81"/>
    <w:rsid w:val="0057008E"/>
    <w:rsid w:val="0057012F"/>
    <w:rsid w:val="00570151"/>
    <w:rsid w:val="005701AE"/>
    <w:rsid w:val="005706E8"/>
    <w:rsid w:val="00571368"/>
    <w:rsid w:val="0057197B"/>
    <w:rsid w:val="00571C85"/>
    <w:rsid w:val="00571D4E"/>
    <w:rsid w:val="00571E93"/>
    <w:rsid w:val="0057257F"/>
    <w:rsid w:val="00572815"/>
    <w:rsid w:val="005728B2"/>
    <w:rsid w:val="00572932"/>
    <w:rsid w:val="00572B27"/>
    <w:rsid w:val="00572BF9"/>
    <w:rsid w:val="005732AF"/>
    <w:rsid w:val="005732FC"/>
    <w:rsid w:val="00573355"/>
    <w:rsid w:val="00573367"/>
    <w:rsid w:val="0057357C"/>
    <w:rsid w:val="00573D9B"/>
    <w:rsid w:val="00574313"/>
    <w:rsid w:val="00574542"/>
    <w:rsid w:val="005746EA"/>
    <w:rsid w:val="0057471E"/>
    <w:rsid w:val="005749D0"/>
    <w:rsid w:val="00575420"/>
    <w:rsid w:val="00575645"/>
    <w:rsid w:val="00575C7D"/>
    <w:rsid w:val="00575CF9"/>
    <w:rsid w:val="00575D8F"/>
    <w:rsid w:val="005761DD"/>
    <w:rsid w:val="005764A5"/>
    <w:rsid w:val="00576655"/>
    <w:rsid w:val="0057679D"/>
    <w:rsid w:val="00576B4E"/>
    <w:rsid w:val="00576C96"/>
    <w:rsid w:val="00576D26"/>
    <w:rsid w:val="00576F64"/>
    <w:rsid w:val="00577113"/>
    <w:rsid w:val="005774AE"/>
    <w:rsid w:val="005774ED"/>
    <w:rsid w:val="005778E9"/>
    <w:rsid w:val="00577F1D"/>
    <w:rsid w:val="00577F74"/>
    <w:rsid w:val="0058099A"/>
    <w:rsid w:val="005809C5"/>
    <w:rsid w:val="00580E7E"/>
    <w:rsid w:val="00580EE7"/>
    <w:rsid w:val="00581066"/>
    <w:rsid w:val="005811F0"/>
    <w:rsid w:val="00581410"/>
    <w:rsid w:val="005815A2"/>
    <w:rsid w:val="00581637"/>
    <w:rsid w:val="00581CB3"/>
    <w:rsid w:val="00581CE1"/>
    <w:rsid w:val="0058256C"/>
    <w:rsid w:val="005825E3"/>
    <w:rsid w:val="00582891"/>
    <w:rsid w:val="00582BA1"/>
    <w:rsid w:val="00582E98"/>
    <w:rsid w:val="00582ED9"/>
    <w:rsid w:val="005833E4"/>
    <w:rsid w:val="005839DD"/>
    <w:rsid w:val="00583A4E"/>
    <w:rsid w:val="00583C3F"/>
    <w:rsid w:val="00583FB1"/>
    <w:rsid w:val="005853B9"/>
    <w:rsid w:val="00585653"/>
    <w:rsid w:val="00585AD2"/>
    <w:rsid w:val="00585DE9"/>
    <w:rsid w:val="00585FD6"/>
    <w:rsid w:val="00586016"/>
    <w:rsid w:val="005861AD"/>
    <w:rsid w:val="00586499"/>
    <w:rsid w:val="005869E7"/>
    <w:rsid w:val="005871BC"/>
    <w:rsid w:val="00587890"/>
    <w:rsid w:val="0058791B"/>
    <w:rsid w:val="00587DC6"/>
    <w:rsid w:val="00587ED4"/>
    <w:rsid w:val="00590328"/>
    <w:rsid w:val="00590581"/>
    <w:rsid w:val="00590BA9"/>
    <w:rsid w:val="00590D61"/>
    <w:rsid w:val="00590E7E"/>
    <w:rsid w:val="005913AD"/>
    <w:rsid w:val="005913DD"/>
    <w:rsid w:val="0059191F"/>
    <w:rsid w:val="00591A21"/>
    <w:rsid w:val="005924C7"/>
    <w:rsid w:val="0059251F"/>
    <w:rsid w:val="00592611"/>
    <w:rsid w:val="00592D22"/>
    <w:rsid w:val="005931B1"/>
    <w:rsid w:val="00593F95"/>
    <w:rsid w:val="00594521"/>
    <w:rsid w:val="00594568"/>
    <w:rsid w:val="005945B1"/>
    <w:rsid w:val="00594639"/>
    <w:rsid w:val="00594760"/>
    <w:rsid w:val="00594CDC"/>
    <w:rsid w:val="00594D52"/>
    <w:rsid w:val="00594EEA"/>
    <w:rsid w:val="0059504F"/>
    <w:rsid w:val="00595A75"/>
    <w:rsid w:val="00595A81"/>
    <w:rsid w:val="00595B56"/>
    <w:rsid w:val="00595B9A"/>
    <w:rsid w:val="00595C2E"/>
    <w:rsid w:val="00595D8C"/>
    <w:rsid w:val="005961B3"/>
    <w:rsid w:val="005968FC"/>
    <w:rsid w:val="00596971"/>
    <w:rsid w:val="00596E56"/>
    <w:rsid w:val="00596F5D"/>
    <w:rsid w:val="005972C8"/>
    <w:rsid w:val="00597AC5"/>
    <w:rsid w:val="005A04CE"/>
    <w:rsid w:val="005A0671"/>
    <w:rsid w:val="005A09F3"/>
    <w:rsid w:val="005A0A31"/>
    <w:rsid w:val="005A0AC7"/>
    <w:rsid w:val="005A0BE2"/>
    <w:rsid w:val="005A0CFC"/>
    <w:rsid w:val="005A122A"/>
    <w:rsid w:val="005A1471"/>
    <w:rsid w:val="005A15A8"/>
    <w:rsid w:val="005A181C"/>
    <w:rsid w:val="005A18F3"/>
    <w:rsid w:val="005A1B04"/>
    <w:rsid w:val="005A1E82"/>
    <w:rsid w:val="005A239B"/>
    <w:rsid w:val="005A2577"/>
    <w:rsid w:val="005A2E1C"/>
    <w:rsid w:val="005A350E"/>
    <w:rsid w:val="005A444C"/>
    <w:rsid w:val="005A488D"/>
    <w:rsid w:val="005A4EC8"/>
    <w:rsid w:val="005A51C5"/>
    <w:rsid w:val="005A55CD"/>
    <w:rsid w:val="005A5BB4"/>
    <w:rsid w:val="005A5D04"/>
    <w:rsid w:val="005A6043"/>
    <w:rsid w:val="005A6162"/>
    <w:rsid w:val="005A61DC"/>
    <w:rsid w:val="005A62A1"/>
    <w:rsid w:val="005A641E"/>
    <w:rsid w:val="005A65BE"/>
    <w:rsid w:val="005A6716"/>
    <w:rsid w:val="005A6743"/>
    <w:rsid w:val="005A72A8"/>
    <w:rsid w:val="005A732E"/>
    <w:rsid w:val="005A76FE"/>
    <w:rsid w:val="005A7AB6"/>
    <w:rsid w:val="005B016D"/>
    <w:rsid w:val="005B0458"/>
    <w:rsid w:val="005B061F"/>
    <w:rsid w:val="005B0961"/>
    <w:rsid w:val="005B096C"/>
    <w:rsid w:val="005B09ED"/>
    <w:rsid w:val="005B0BC4"/>
    <w:rsid w:val="005B0D7E"/>
    <w:rsid w:val="005B0E84"/>
    <w:rsid w:val="005B0ED1"/>
    <w:rsid w:val="005B0F16"/>
    <w:rsid w:val="005B0FE7"/>
    <w:rsid w:val="005B108F"/>
    <w:rsid w:val="005B15F6"/>
    <w:rsid w:val="005B19C0"/>
    <w:rsid w:val="005B1CA8"/>
    <w:rsid w:val="005B2746"/>
    <w:rsid w:val="005B2E7B"/>
    <w:rsid w:val="005B2EF3"/>
    <w:rsid w:val="005B367E"/>
    <w:rsid w:val="005B397B"/>
    <w:rsid w:val="005B39FA"/>
    <w:rsid w:val="005B3A62"/>
    <w:rsid w:val="005B3D58"/>
    <w:rsid w:val="005B3E9F"/>
    <w:rsid w:val="005B4766"/>
    <w:rsid w:val="005B48E4"/>
    <w:rsid w:val="005B4D22"/>
    <w:rsid w:val="005B5209"/>
    <w:rsid w:val="005B55F4"/>
    <w:rsid w:val="005B560C"/>
    <w:rsid w:val="005B5753"/>
    <w:rsid w:val="005B5AFC"/>
    <w:rsid w:val="005B6A6B"/>
    <w:rsid w:val="005B6A90"/>
    <w:rsid w:val="005B6E38"/>
    <w:rsid w:val="005B6E3A"/>
    <w:rsid w:val="005B6E41"/>
    <w:rsid w:val="005B735C"/>
    <w:rsid w:val="005B76A9"/>
    <w:rsid w:val="005B7AAE"/>
    <w:rsid w:val="005B7C9D"/>
    <w:rsid w:val="005B7FAD"/>
    <w:rsid w:val="005C0094"/>
    <w:rsid w:val="005C02E4"/>
    <w:rsid w:val="005C05BD"/>
    <w:rsid w:val="005C0770"/>
    <w:rsid w:val="005C07F3"/>
    <w:rsid w:val="005C0A7C"/>
    <w:rsid w:val="005C0D3D"/>
    <w:rsid w:val="005C0F69"/>
    <w:rsid w:val="005C13CC"/>
    <w:rsid w:val="005C14C3"/>
    <w:rsid w:val="005C1579"/>
    <w:rsid w:val="005C177D"/>
    <w:rsid w:val="005C1793"/>
    <w:rsid w:val="005C1848"/>
    <w:rsid w:val="005C194E"/>
    <w:rsid w:val="005C19A6"/>
    <w:rsid w:val="005C1B50"/>
    <w:rsid w:val="005C219F"/>
    <w:rsid w:val="005C27B6"/>
    <w:rsid w:val="005C2CF3"/>
    <w:rsid w:val="005C2F3A"/>
    <w:rsid w:val="005C316E"/>
    <w:rsid w:val="005C35C4"/>
    <w:rsid w:val="005C3720"/>
    <w:rsid w:val="005C3A15"/>
    <w:rsid w:val="005C3C6A"/>
    <w:rsid w:val="005C3CCB"/>
    <w:rsid w:val="005C3EFA"/>
    <w:rsid w:val="005C3FAC"/>
    <w:rsid w:val="005C3FE8"/>
    <w:rsid w:val="005C40E8"/>
    <w:rsid w:val="005C412B"/>
    <w:rsid w:val="005C4344"/>
    <w:rsid w:val="005C43B8"/>
    <w:rsid w:val="005C494C"/>
    <w:rsid w:val="005C4DD2"/>
    <w:rsid w:val="005C4F52"/>
    <w:rsid w:val="005C5897"/>
    <w:rsid w:val="005C5913"/>
    <w:rsid w:val="005C5AB6"/>
    <w:rsid w:val="005C5B8F"/>
    <w:rsid w:val="005C634B"/>
    <w:rsid w:val="005C65F9"/>
    <w:rsid w:val="005C6904"/>
    <w:rsid w:val="005C6C2E"/>
    <w:rsid w:val="005C6C4C"/>
    <w:rsid w:val="005C7108"/>
    <w:rsid w:val="005C729B"/>
    <w:rsid w:val="005C75AB"/>
    <w:rsid w:val="005C78AD"/>
    <w:rsid w:val="005C799F"/>
    <w:rsid w:val="005D032E"/>
    <w:rsid w:val="005D0E4A"/>
    <w:rsid w:val="005D0EFB"/>
    <w:rsid w:val="005D0FBF"/>
    <w:rsid w:val="005D1305"/>
    <w:rsid w:val="005D1983"/>
    <w:rsid w:val="005D1ED4"/>
    <w:rsid w:val="005D2189"/>
    <w:rsid w:val="005D2900"/>
    <w:rsid w:val="005D2A08"/>
    <w:rsid w:val="005D2D03"/>
    <w:rsid w:val="005D2DA0"/>
    <w:rsid w:val="005D305C"/>
    <w:rsid w:val="005D3862"/>
    <w:rsid w:val="005D3993"/>
    <w:rsid w:val="005D3AAC"/>
    <w:rsid w:val="005D3C89"/>
    <w:rsid w:val="005D3D3E"/>
    <w:rsid w:val="005D46C6"/>
    <w:rsid w:val="005D4720"/>
    <w:rsid w:val="005D47E7"/>
    <w:rsid w:val="005D4F82"/>
    <w:rsid w:val="005D5227"/>
    <w:rsid w:val="005D526F"/>
    <w:rsid w:val="005D56A1"/>
    <w:rsid w:val="005D56E8"/>
    <w:rsid w:val="005D5A25"/>
    <w:rsid w:val="005D5B1B"/>
    <w:rsid w:val="005D5F1B"/>
    <w:rsid w:val="005D63A7"/>
    <w:rsid w:val="005D674F"/>
    <w:rsid w:val="005D6818"/>
    <w:rsid w:val="005D6BE7"/>
    <w:rsid w:val="005D7105"/>
    <w:rsid w:val="005D7500"/>
    <w:rsid w:val="005E0064"/>
    <w:rsid w:val="005E03DE"/>
    <w:rsid w:val="005E0795"/>
    <w:rsid w:val="005E0D71"/>
    <w:rsid w:val="005E0FA5"/>
    <w:rsid w:val="005E1517"/>
    <w:rsid w:val="005E36DE"/>
    <w:rsid w:val="005E373C"/>
    <w:rsid w:val="005E3B51"/>
    <w:rsid w:val="005E3B80"/>
    <w:rsid w:val="005E3B9B"/>
    <w:rsid w:val="005E3F0E"/>
    <w:rsid w:val="005E43EC"/>
    <w:rsid w:val="005E458B"/>
    <w:rsid w:val="005E4877"/>
    <w:rsid w:val="005E509F"/>
    <w:rsid w:val="005E50C6"/>
    <w:rsid w:val="005E54CB"/>
    <w:rsid w:val="005E54F8"/>
    <w:rsid w:val="005E5554"/>
    <w:rsid w:val="005E5C66"/>
    <w:rsid w:val="005E5CA8"/>
    <w:rsid w:val="005E5CFA"/>
    <w:rsid w:val="005E621E"/>
    <w:rsid w:val="005E7030"/>
    <w:rsid w:val="005E79EA"/>
    <w:rsid w:val="005E7A9A"/>
    <w:rsid w:val="005E7F75"/>
    <w:rsid w:val="005F0028"/>
    <w:rsid w:val="005F00F7"/>
    <w:rsid w:val="005F018F"/>
    <w:rsid w:val="005F0592"/>
    <w:rsid w:val="005F08D1"/>
    <w:rsid w:val="005F0E1D"/>
    <w:rsid w:val="005F1215"/>
    <w:rsid w:val="005F128F"/>
    <w:rsid w:val="005F1D4A"/>
    <w:rsid w:val="005F1F1C"/>
    <w:rsid w:val="005F2385"/>
    <w:rsid w:val="005F266F"/>
    <w:rsid w:val="005F2839"/>
    <w:rsid w:val="005F2844"/>
    <w:rsid w:val="005F2D8F"/>
    <w:rsid w:val="005F31E8"/>
    <w:rsid w:val="005F3633"/>
    <w:rsid w:val="005F36C2"/>
    <w:rsid w:val="005F382F"/>
    <w:rsid w:val="005F3949"/>
    <w:rsid w:val="005F3F4D"/>
    <w:rsid w:val="005F44F7"/>
    <w:rsid w:val="005F4608"/>
    <w:rsid w:val="005F488C"/>
    <w:rsid w:val="005F4FD8"/>
    <w:rsid w:val="005F50C6"/>
    <w:rsid w:val="005F5542"/>
    <w:rsid w:val="005F5BC5"/>
    <w:rsid w:val="005F5DFF"/>
    <w:rsid w:val="005F63E2"/>
    <w:rsid w:val="005F6BDB"/>
    <w:rsid w:val="005F6E51"/>
    <w:rsid w:val="005F6F56"/>
    <w:rsid w:val="005F7564"/>
    <w:rsid w:val="005F763D"/>
    <w:rsid w:val="0060066C"/>
    <w:rsid w:val="00600770"/>
    <w:rsid w:val="00600846"/>
    <w:rsid w:val="00600873"/>
    <w:rsid w:val="00600B6C"/>
    <w:rsid w:val="00600D83"/>
    <w:rsid w:val="00601034"/>
    <w:rsid w:val="006016A5"/>
    <w:rsid w:val="00601B80"/>
    <w:rsid w:val="00601F4E"/>
    <w:rsid w:val="00602297"/>
    <w:rsid w:val="0060234F"/>
    <w:rsid w:val="00602467"/>
    <w:rsid w:val="00602B34"/>
    <w:rsid w:val="00602B6B"/>
    <w:rsid w:val="00602DA3"/>
    <w:rsid w:val="006030ED"/>
    <w:rsid w:val="00603250"/>
    <w:rsid w:val="006032DC"/>
    <w:rsid w:val="00603396"/>
    <w:rsid w:val="00603AE6"/>
    <w:rsid w:val="00603D60"/>
    <w:rsid w:val="00603D7C"/>
    <w:rsid w:val="00603DA9"/>
    <w:rsid w:val="00603F49"/>
    <w:rsid w:val="006043AA"/>
    <w:rsid w:val="00604440"/>
    <w:rsid w:val="0060476B"/>
    <w:rsid w:val="00604975"/>
    <w:rsid w:val="00604BD8"/>
    <w:rsid w:val="00604C0C"/>
    <w:rsid w:val="00604D51"/>
    <w:rsid w:val="00604F26"/>
    <w:rsid w:val="00605286"/>
    <w:rsid w:val="00605C5C"/>
    <w:rsid w:val="00605DA7"/>
    <w:rsid w:val="006063C1"/>
    <w:rsid w:val="0060654C"/>
    <w:rsid w:val="00606E5D"/>
    <w:rsid w:val="0060704A"/>
    <w:rsid w:val="00607088"/>
    <w:rsid w:val="00607623"/>
    <w:rsid w:val="00607A63"/>
    <w:rsid w:val="00607AEA"/>
    <w:rsid w:val="00610305"/>
    <w:rsid w:val="00610619"/>
    <w:rsid w:val="0061061D"/>
    <w:rsid w:val="006107E4"/>
    <w:rsid w:val="00611254"/>
    <w:rsid w:val="00611956"/>
    <w:rsid w:val="00611D77"/>
    <w:rsid w:val="00612293"/>
    <w:rsid w:val="0061240E"/>
    <w:rsid w:val="00612476"/>
    <w:rsid w:val="006125CD"/>
    <w:rsid w:val="006125EB"/>
    <w:rsid w:val="00612801"/>
    <w:rsid w:val="00612DA3"/>
    <w:rsid w:val="0061307B"/>
    <w:rsid w:val="006130C8"/>
    <w:rsid w:val="006134B1"/>
    <w:rsid w:val="006134BE"/>
    <w:rsid w:val="00613563"/>
    <w:rsid w:val="0061393F"/>
    <w:rsid w:val="00613A06"/>
    <w:rsid w:val="00613E5C"/>
    <w:rsid w:val="0061472D"/>
    <w:rsid w:val="006148D1"/>
    <w:rsid w:val="0061512D"/>
    <w:rsid w:val="006161A4"/>
    <w:rsid w:val="00616715"/>
    <w:rsid w:val="00616742"/>
    <w:rsid w:val="006168E1"/>
    <w:rsid w:val="00616B20"/>
    <w:rsid w:val="00616C06"/>
    <w:rsid w:val="0061766C"/>
    <w:rsid w:val="0061784E"/>
    <w:rsid w:val="00617AEE"/>
    <w:rsid w:val="00617D70"/>
    <w:rsid w:val="0062037C"/>
    <w:rsid w:val="00620467"/>
    <w:rsid w:val="006206A1"/>
    <w:rsid w:val="0062075A"/>
    <w:rsid w:val="0062079F"/>
    <w:rsid w:val="00620D87"/>
    <w:rsid w:val="00620DBC"/>
    <w:rsid w:val="0062104E"/>
    <w:rsid w:val="00621224"/>
    <w:rsid w:val="0062198B"/>
    <w:rsid w:val="006219A8"/>
    <w:rsid w:val="006219C1"/>
    <w:rsid w:val="006224B5"/>
    <w:rsid w:val="00622A72"/>
    <w:rsid w:val="00622AB5"/>
    <w:rsid w:val="00622BA5"/>
    <w:rsid w:val="0062357A"/>
    <w:rsid w:val="006235CB"/>
    <w:rsid w:val="0062398A"/>
    <w:rsid w:val="00623C12"/>
    <w:rsid w:val="00623CCF"/>
    <w:rsid w:val="00623CE0"/>
    <w:rsid w:val="00623E52"/>
    <w:rsid w:val="00623E8D"/>
    <w:rsid w:val="006240AE"/>
    <w:rsid w:val="006240BB"/>
    <w:rsid w:val="00624613"/>
    <w:rsid w:val="00624679"/>
    <w:rsid w:val="006248F6"/>
    <w:rsid w:val="00624F58"/>
    <w:rsid w:val="00625270"/>
    <w:rsid w:val="006261C3"/>
    <w:rsid w:val="0062661D"/>
    <w:rsid w:val="006266CC"/>
    <w:rsid w:val="006269AC"/>
    <w:rsid w:val="00626DC9"/>
    <w:rsid w:val="006270E2"/>
    <w:rsid w:val="0062746A"/>
    <w:rsid w:val="00627DE6"/>
    <w:rsid w:val="00627EB5"/>
    <w:rsid w:val="006303C8"/>
    <w:rsid w:val="00630A02"/>
    <w:rsid w:val="00630D0E"/>
    <w:rsid w:val="006312F4"/>
    <w:rsid w:val="00631353"/>
    <w:rsid w:val="00631465"/>
    <w:rsid w:val="006315F7"/>
    <w:rsid w:val="00631937"/>
    <w:rsid w:val="00631E82"/>
    <w:rsid w:val="00631F66"/>
    <w:rsid w:val="006322C7"/>
    <w:rsid w:val="00632571"/>
    <w:rsid w:val="00632984"/>
    <w:rsid w:val="00632C53"/>
    <w:rsid w:val="00632CD4"/>
    <w:rsid w:val="0063302C"/>
    <w:rsid w:val="0063310D"/>
    <w:rsid w:val="00633600"/>
    <w:rsid w:val="00633B16"/>
    <w:rsid w:val="00633C1C"/>
    <w:rsid w:val="006351F8"/>
    <w:rsid w:val="006352A4"/>
    <w:rsid w:val="00635382"/>
    <w:rsid w:val="006354FF"/>
    <w:rsid w:val="00635E52"/>
    <w:rsid w:val="006360C1"/>
    <w:rsid w:val="00636332"/>
    <w:rsid w:val="006363C4"/>
    <w:rsid w:val="00636448"/>
    <w:rsid w:val="006366F1"/>
    <w:rsid w:val="00636CC0"/>
    <w:rsid w:val="006374CE"/>
    <w:rsid w:val="006402CC"/>
    <w:rsid w:val="006402DE"/>
    <w:rsid w:val="0064062C"/>
    <w:rsid w:val="0064064A"/>
    <w:rsid w:val="006408FC"/>
    <w:rsid w:val="00640AA7"/>
    <w:rsid w:val="00640B69"/>
    <w:rsid w:val="00640C05"/>
    <w:rsid w:val="00640EA9"/>
    <w:rsid w:val="00640EF0"/>
    <w:rsid w:val="00641130"/>
    <w:rsid w:val="006411E8"/>
    <w:rsid w:val="006414DD"/>
    <w:rsid w:val="006416E4"/>
    <w:rsid w:val="00641F74"/>
    <w:rsid w:val="0064206E"/>
    <w:rsid w:val="00642358"/>
    <w:rsid w:val="00642A99"/>
    <w:rsid w:val="00642B78"/>
    <w:rsid w:val="00642E1F"/>
    <w:rsid w:val="00642EA2"/>
    <w:rsid w:val="00642F92"/>
    <w:rsid w:val="006436E5"/>
    <w:rsid w:val="006438C1"/>
    <w:rsid w:val="00643C08"/>
    <w:rsid w:val="00643DAA"/>
    <w:rsid w:val="00643E99"/>
    <w:rsid w:val="00644018"/>
    <w:rsid w:val="00644207"/>
    <w:rsid w:val="006443AE"/>
    <w:rsid w:val="0064475E"/>
    <w:rsid w:val="006449FF"/>
    <w:rsid w:val="0064534D"/>
    <w:rsid w:val="0064569B"/>
    <w:rsid w:val="00645D4B"/>
    <w:rsid w:val="00645D5B"/>
    <w:rsid w:val="00645F66"/>
    <w:rsid w:val="006461CC"/>
    <w:rsid w:val="006463BD"/>
    <w:rsid w:val="00646DEC"/>
    <w:rsid w:val="00646EA8"/>
    <w:rsid w:val="0064710E"/>
    <w:rsid w:val="00647A02"/>
    <w:rsid w:val="00647B19"/>
    <w:rsid w:val="0065016B"/>
    <w:rsid w:val="006501EB"/>
    <w:rsid w:val="0065026D"/>
    <w:rsid w:val="0065078F"/>
    <w:rsid w:val="00650794"/>
    <w:rsid w:val="00650ECF"/>
    <w:rsid w:val="006511F2"/>
    <w:rsid w:val="0065144D"/>
    <w:rsid w:val="006515FB"/>
    <w:rsid w:val="00651A8A"/>
    <w:rsid w:val="00651BBE"/>
    <w:rsid w:val="00651C80"/>
    <w:rsid w:val="0065232C"/>
    <w:rsid w:val="0065237B"/>
    <w:rsid w:val="006523ED"/>
    <w:rsid w:val="006525DE"/>
    <w:rsid w:val="00652759"/>
    <w:rsid w:val="00652CD0"/>
    <w:rsid w:val="00653089"/>
    <w:rsid w:val="00653106"/>
    <w:rsid w:val="00653135"/>
    <w:rsid w:val="0065326A"/>
    <w:rsid w:val="00653916"/>
    <w:rsid w:val="0065410F"/>
    <w:rsid w:val="0065429C"/>
    <w:rsid w:val="006544F1"/>
    <w:rsid w:val="00654591"/>
    <w:rsid w:val="0065486F"/>
    <w:rsid w:val="00654A97"/>
    <w:rsid w:val="00654B6E"/>
    <w:rsid w:val="00654E49"/>
    <w:rsid w:val="00655316"/>
    <w:rsid w:val="00655D82"/>
    <w:rsid w:val="00655E71"/>
    <w:rsid w:val="00655F7A"/>
    <w:rsid w:val="00656470"/>
    <w:rsid w:val="00656C66"/>
    <w:rsid w:val="00656F26"/>
    <w:rsid w:val="006570C4"/>
    <w:rsid w:val="00657364"/>
    <w:rsid w:val="0065750D"/>
    <w:rsid w:val="0066023E"/>
    <w:rsid w:val="00660601"/>
    <w:rsid w:val="006608C9"/>
    <w:rsid w:val="00660B25"/>
    <w:rsid w:val="00660C25"/>
    <w:rsid w:val="00660D47"/>
    <w:rsid w:val="00660D4A"/>
    <w:rsid w:val="0066126F"/>
    <w:rsid w:val="0066165A"/>
    <w:rsid w:val="00661725"/>
    <w:rsid w:val="006619FB"/>
    <w:rsid w:val="00661BB3"/>
    <w:rsid w:val="00661EA2"/>
    <w:rsid w:val="0066212A"/>
    <w:rsid w:val="00662463"/>
    <w:rsid w:val="00662645"/>
    <w:rsid w:val="00662C4F"/>
    <w:rsid w:val="00662CFA"/>
    <w:rsid w:val="00662E83"/>
    <w:rsid w:val="0066301A"/>
    <w:rsid w:val="0066340A"/>
    <w:rsid w:val="00663713"/>
    <w:rsid w:val="0066385D"/>
    <w:rsid w:val="00663942"/>
    <w:rsid w:val="00663DA9"/>
    <w:rsid w:val="0066435C"/>
    <w:rsid w:val="0066436D"/>
    <w:rsid w:val="006643DE"/>
    <w:rsid w:val="00664627"/>
    <w:rsid w:val="00664A7F"/>
    <w:rsid w:val="00664BBD"/>
    <w:rsid w:val="00664ED1"/>
    <w:rsid w:val="006650F9"/>
    <w:rsid w:val="00665691"/>
    <w:rsid w:val="00665B81"/>
    <w:rsid w:val="00665BF4"/>
    <w:rsid w:val="00665D22"/>
    <w:rsid w:val="00665F70"/>
    <w:rsid w:val="00666208"/>
    <w:rsid w:val="006663A9"/>
    <w:rsid w:val="006665B3"/>
    <w:rsid w:val="00666835"/>
    <w:rsid w:val="00666B06"/>
    <w:rsid w:val="00666D62"/>
    <w:rsid w:val="00666E5E"/>
    <w:rsid w:val="00666ED5"/>
    <w:rsid w:val="006670D5"/>
    <w:rsid w:val="006672FA"/>
    <w:rsid w:val="00667329"/>
    <w:rsid w:val="0066737E"/>
    <w:rsid w:val="006679E1"/>
    <w:rsid w:val="00670095"/>
    <w:rsid w:val="00670422"/>
    <w:rsid w:val="006704F4"/>
    <w:rsid w:val="00670536"/>
    <w:rsid w:val="006705E9"/>
    <w:rsid w:val="00670A95"/>
    <w:rsid w:val="00670CC2"/>
    <w:rsid w:val="006712F4"/>
    <w:rsid w:val="006713A3"/>
    <w:rsid w:val="00671785"/>
    <w:rsid w:val="006719E7"/>
    <w:rsid w:val="00671D42"/>
    <w:rsid w:val="006724AC"/>
    <w:rsid w:val="0067259A"/>
    <w:rsid w:val="006727CD"/>
    <w:rsid w:val="0067295F"/>
    <w:rsid w:val="00672A5C"/>
    <w:rsid w:val="00672E5E"/>
    <w:rsid w:val="0067305A"/>
    <w:rsid w:val="0067336D"/>
    <w:rsid w:val="00673436"/>
    <w:rsid w:val="006734AC"/>
    <w:rsid w:val="00673552"/>
    <w:rsid w:val="0067366D"/>
    <w:rsid w:val="006743C6"/>
    <w:rsid w:val="006746DB"/>
    <w:rsid w:val="00674AE4"/>
    <w:rsid w:val="00674B5A"/>
    <w:rsid w:val="00674C51"/>
    <w:rsid w:val="00674D6D"/>
    <w:rsid w:val="00674EEB"/>
    <w:rsid w:val="006752F8"/>
    <w:rsid w:val="00675642"/>
    <w:rsid w:val="00675687"/>
    <w:rsid w:val="006757D0"/>
    <w:rsid w:val="00675C1F"/>
    <w:rsid w:val="00675FC3"/>
    <w:rsid w:val="0067620E"/>
    <w:rsid w:val="0067626D"/>
    <w:rsid w:val="006763B0"/>
    <w:rsid w:val="00676662"/>
    <w:rsid w:val="006766B2"/>
    <w:rsid w:val="00677028"/>
    <w:rsid w:val="006771C6"/>
    <w:rsid w:val="00677214"/>
    <w:rsid w:val="00677287"/>
    <w:rsid w:val="006773A4"/>
    <w:rsid w:val="0067767F"/>
    <w:rsid w:val="00680447"/>
    <w:rsid w:val="0068045B"/>
    <w:rsid w:val="006804AD"/>
    <w:rsid w:val="006807C1"/>
    <w:rsid w:val="00680883"/>
    <w:rsid w:val="00680B1E"/>
    <w:rsid w:val="006814E6"/>
    <w:rsid w:val="00681626"/>
    <w:rsid w:val="00681DF9"/>
    <w:rsid w:val="00681EF5"/>
    <w:rsid w:val="00681FA1"/>
    <w:rsid w:val="00682026"/>
    <w:rsid w:val="006821A6"/>
    <w:rsid w:val="00682262"/>
    <w:rsid w:val="006825F0"/>
    <w:rsid w:val="00682683"/>
    <w:rsid w:val="006826F8"/>
    <w:rsid w:val="00682A46"/>
    <w:rsid w:val="00682B01"/>
    <w:rsid w:val="00682C9B"/>
    <w:rsid w:val="00682D45"/>
    <w:rsid w:val="006833CE"/>
    <w:rsid w:val="006837CC"/>
    <w:rsid w:val="00683BFD"/>
    <w:rsid w:val="00683E96"/>
    <w:rsid w:val="006844DB"/>
    <w:rsid w:val="00684545"/>
    <w:rsid w:val="00684B62"/>
    <w:rsid w:val="00684DEE"/>
    <w:rsid w:val="00684E14"/>
    <w:rsid w:val="00684F04"/>
    <w:rsid w:val="006854F6"/>
    <w:rsid w:val="00685845"/>
    <w:rsid w:val="006859E6"/>
    <w:rsid w:val="00685E43"/>
    <w:rsid w:val="00685EB3"/>
    <w:rsid w:val="00686016"/>
    <w:rsid w:val="00686179"/>
    <w:rsid w:val="006862F8"/>
    <w:rsid w:val="0068656F"/>
    <w:rsid w:val="006867F6"/>
    <w:rsid w:val="00686DAC"/>
    <w:rsid w:val="00687194"/>
    <w:rsid w:val="006872EC"/>
    <w:rsid w:val="00687390"/>
    <w:rsid w:val="0068774A"/>
    <w:rsid w:val="0068795B"/>
    <w:rsid w:val="00687CB5"/>
    <w:rsid w:val="006900FB"/>
    <w:rsid w:val="006902CB"/>
    <w:rsid w:val="00690396"/>
    <w:rsid w:val="00690599"/>
    <w:rsid w:val="00690989"/>
    <w:rsid w:val="00690ACD"/>
    <w:rsid w:val="00690F3D"/>
    <w:rsid w:val="006911A3"/>
    <w:rsid w:val="0069121B"/>
    <w:rsid w:val="0069159B"/>
    <w:rsid w:val="00691770"/>
    <w:rsid w:val="00691FDA"/>
    <w:rsid w:val="00692173"/>
    <w:rsid w:val="00692487"/>
    <w:rsid w:val="006927FB"/>
    <w:rsid w:val="006928DD"/>
    <w:rsid w:val="00692B0E"/>
    <w:rsid w:val="00692C8C"/>
    <w:rsid w:val="0069345F"/>
    <w:rsid w:val="006937A0"/>
    <w:rsid w:val="006937F9"/>
    <w:rsid w:val="00694325"/>
    <w:rsid w:val="00694A3B"/>
    <w:rsid w:val="00694C36"/>
    <w:rsid w:val="00694F58"/>
    <w:rsid w:val="006956A0"/>
    <w:rsid w:val="00695E2F"/>
    <w:rsid w:val="0069613B"/>
    <w:rsid w:val="00696481"/>
    <w:rsid w:val="00696615"/>
    <w:rsid w:val="0069670A"/>
    <w:rsid w:val="0069718E"/>
    <w:rsid w:val="006976F5"/>
    <w:rsid w:val="00697B6B"/>
    <w:rsid w:val="00697C60"/>
    <w:rsid w:val="00697C9A"/>
    <w:rsid w:val="00697EFF"/>
    <w:rsid w:val="006A0444"/>
    <w:rsid w:val="006A051A"/>
    <w:rsid w:val="006A0965"/>
    <w:rsid w:val="006A0F14"/>
    <w:rsid w:val="006A1317"/>
    <w:rsid w:val="006A1534"/>
    <w:rsid w:val="006A2490"/>
    <w:rsid w:val="006A2918"/>
    <w:rsid w:val="006A2A50"/>
    <w:rsid w:val="006A2DC6"/>
    <w:rsid w:val="006A2FF0"/>
    <w:rsid w:val="006A3762"/>
    <w:rsid w:val="006A3F35"/>
    <w:rsid w:val="006A482C"/>
    <w:rsid w:val="006A4AD7"/>
    <w:rsid w:val="006A518E"/>
    <w:rsid w:val="006A537C"/>
    <w:rsid w:val="006A5690"/>
    <w:rsid w:val="006A589C"/>
    <w:rsid w:val="006A5D1D"/>
    <w:rsid w:val="006A5D59"/>
    <w:rsid w:val="006A5DD6"/>
    <w:rsid w:val="006A5EC0"/>
    <w:rsid w:val="006A5F9D"/>
    <w:rsid w:val="006A614B"/>
    <w:rsid w:val="006A6457"/>
    <w:rsid w:val="006A6A2F"/>
    <w:rsid w:val="006A736F"/>
    <w:rsid w:val="006A7A5A"/>
    <w:rsid w:val="006B0012"/>
    <w:rsid w:val="006B0490"/>
    <w:rsid w:val="006B0915"/>
    <w:rsid w:val="006B0EF3"/>
    <w:rsid w:val="006B1018"/>
    <w:rsid w:val="006B10D0"/>
    <w:rsid w:val="006B13F4"/>
    <w:rsid w:val="006B1975"/>
    <w:rsid w:val="006B1981"/>
    <w:rsid w:val="006B1BED"/>
    <w:rsid w:val="006B1F70"/>
    <w:rsid w:val="006B20F4"/>
    <w:rsid w:val="006B2165"/>
    <w:rsid w:val="006B22C2"/>
    <w:rsid w:val="006B2446"/>
    <w:rsid w:val="006B262C"/>
    <w:rsid w:val="006B2B7A"/>
    <w:rsid w:val="006B2B9D"/>
    <w:rsid w:val="006B3134"/>
    <w:rsid w:val="006B3135"/>
    <w:rsid w:val="006B3465"/>
    <w:rsid w:val="006B34E6"/>
    <w:rsid w:val="006B3528"/>
    <w:rsid w:val="006B35A3"/>
    <w:rsid w:val="006B37F8"/>
    <w:rsid w:val="006B3AB7"/>
    <w:rsid w:val="006B3B09"/>
    <w:rsid w:val="006B459E"/>
    <w:rsid w:val="006B4689"/>
    <w:rsid w:val="006B4692"/>
    <w:rsid w:val="006B469F"/>
    <w:rsid w:val="006B4F86"/>
    <w:rsid w:val="006B4FDA"/>
    <w:rsid w:val="006B547C"/>
    <w:rsid w:val="006B5577"/>
    <w:rsid w:val="006B58CC"/>
    <w:rsid w:val="006B59DF"/>
    <w:rsid w:val="006B5AEE"/>
    <w:rsid w:val="006B5D2C"/>
    <w:rsid w:val="006B5F10"/>
    <w:rsid w:val="006B62DD"/>
    <w:rsid w:val="006B6530"/>
    <w:rsid w:val="006B690D"/>
    <w:rsid w:val="006B6A24"/>
    <w:rsid w:val="006B6C1A"/>
    <w:rsid w:val="006B6D57"/>
    <w:rsid w:val="006B6ED0"/>
    <w:rsid w:val="006B6F22"/>
    <w:rsid w:val="006B71B8"/>
    <w:rsid w:val="006B7375"/>
    <w:rsid w:val="006B7B4B"/>
    <w:rsid w:val="006B7B66"/>
    <w:rsid w:val="006B7E4B"/>
    <w:rsid w:val="006B7EA7"/>
    <w:rsid w:val="006C013E"/>
    <w:rsid w:val="006C01C8"/>
    <w:rsid w:val="006C0845"/>
    <w:rsid w:val="006C0A6C"/>
    <w:rsid w:val="006C0C21"/>
    <w:rsid w:val="006C0DDA"/>
    <w:rsid w:val="006C11F4"/>
    <w:rsid w:val="006C174C"/>
    <w:rsid w:val="006C177B"/>
    <w:rsid w:val="006C1AB8"/>
    <w:rsid w:val="006C1BC0"/>
    <w:rsid w:val="006C1FFE"/>
    <w:rsid w:val="006C20D2"/>
    <w:rsid w:val="006C2262"/>
    <w:rsid w:val="006C25E7"/>
    <w:rsid w:val="006C266C"/>
    <w:rsid w:val="006C2894"/>
    <w:rsid w:val="006C28D6"/>
    <w:rsid w:val="006C3EEF"/>
    <w:rsid w:val="006C4017"/>
    <w:rsid w:val="006C415C"/>
    <w:rsid w:val="006C4332"/>
    <w:rsid w:val="006C45C9"/>
    <w:rsid w:val="006C466B"/>
    <w:rsid w:val="006C4817"/>
    <w:rsid w:val="006C48AB"/>
    <w:rsid w:val="006C492D"/>
    <w:rsid w:val="006C4A97"/>
    <w:rsid w:val="006C4B18"/>
    <w:rsid w:val="006C4B6E"/>
    <w:rsid w:val="006C4C7C"/>
    <w:rsid w:val="006C4CD5"/>
    <w:rsid w:val="006C534C"/>
    <w:rsid w:val="006C5385"/>
    <w:rsid w:val="006C5511"/>
    <w:rsid w:val="006C5A63"/>
    <w:rsid w:val="006C5C38"/>
    <w:rsid w:val="006C5D3B"/>
    <w:rsid w:val="006C6067"/>
    <w:rsid w:val="006C6161"/>
    <w:rsid w:val="006C6553"/>
    <w:rsid w:val="006C672F"/>
    <w:rsid w:val="006C6807"/>
    <w:rsid w:val="006C6F54"/>
    <w:rsid w:val="006C766F"/>
    <w:rsid w:val="006C7E60"/>
    <w:rsid w:val="006D008E"/>
    <w:rsid w:val="006D05D4"/>
    <w:rsid w:val="006D0699"/>
    <w:rsid w:val="006D07E2"/>
    <w:rsid w:val="006D0BBF"/>
    <w:rsid w:val="006D0EE5"/>
    <w:rsid w:val="006D0FE0"/>
    <w:rsid w:val="006D1861"/>
    <w:rsid w:val="006D1BD0"/>
    <w:rsid w:val="006D1CD4"/>
    <w:rsid w:val="006D1D46"/>
    <w:rsid w:val="006D21F9"/>
    <w:rsid w:val="006D2716"/>
    <w:rsid w:val="006D2CB0"/>
    <w:rsid w:val="006D2ECA"/>
    <w:rsid w:val="006D3134"/>
    <w:rsid w:val="006D3595"/>
    <w:rsid w:val="006D35D4"/>
    <w:rsid w:val="006D37D4"/>
    <w:rsid w:val="006D3ED8"/>
    <w:rsid w:val="006D3F3B"/>
    <w:rsid w:val="006D3FD9"/>
    <w:rsid w:val="006D4502"/>
    <w:rsid w:val="006D4920"/>
    <w:rsid w:val="006D4A11"/>
    <w:rsid w:val="006D4B41"/>
    <w:rsid w:val="006D4DE5"/>
    <w:rsid w:val="006D4E46"/>
    <w:rsid w:val="006D4F4C"/>
    <w:rsid w:val="006D4FD4"/>
    <w:rsid w:val="006D5050"/>
    <w:rsid w:val="006D549E"/>
    <w:rsid w:val="006D54BA"/>
    <w:rsid w:val="006D54FB"/>
    <w:rsid w:val="006D56C2"/>
    <w:rsid w:val="006D56DF"/>
    <w:rsid w:val="006D5858"/>
    <w:rsid w:val="006D58E0"/>
    <w:rsid w:val="006D5B52"/>
    <w:rsid w:val="006D5FDD"/>
    <w:rsid w:val="006D64D1"/>
    <w:rsid w:val="006D6864"/>
    <w:rsid w:val="006D6B6C"/>
    <w:rsid w:val="006D6F7E"/>
    <w:rsid w:val="006D73C8"/>
    <w:rsid w:val="006D7726"/>
    <w:rsid w:val="006D7B3F"/>
    <w:rsid w:val="006E03A6"/>
    <w:rsid w:val="006E06ED"/>
    <w:rsid w:val="006E0A4E"/>
    <w:rsid w:val="006E0E7E"/>
    <w:rsid w:val="006E1312"/>
    <w:rsid w:val="006E15B9"/>
    <w:rsid w:val="006E1716"/>
    <w:rsid w:val="006E19BD"/>
    <w:rsid w:val="006E1DE7"/>
    <w:rsid w:val="006E1FDB"/>
    <w:rsid w:val="006E2239"/>
    <w:rsid w:val="006E2331"/>
    <w:rsid w:val="006E24BD"/>
    <w:rsid w:val="006E2544"/>
    <w:rsid w:val="006E260B"/>
    <w:rsid w:val="006E38DC"/>
    <w:rsid w:val="006E3AB7"/>
    <w:rsid w:val="006E3F1D"/>
    <w:rsid w:val="006E436A"/>
    <w:rsid w:val="006E45DB"/>
    <w:rsid w:val="006E48E1"/>
    <w:rsid w:val="006E59FE"/>
    <w:rsid w:val="006E6044"/>
    <w:rsid w:val="006E6321"/>
    <w:rsid w:val="006E65B8"/>
    <w:rsid w:val="006E6B4C"/>
    <w:rsid w:val="006E6B7B"/>
    <w:rsid w:val="006E6CB7"/>
    <w:rsid w:val="006E6DCD"/>
    <w:rsid w:val="006E70C6"/>
    <w:rsid w:val="006E7285"/>
    <w:rsid w:val="006E7292"/>
    <w:rsid w:val="006E769D"/>
    <w:rsid w:val="006E7803"/>
    <w:rsid w:val="006E7821"/>
    <w:rsid w:val="006E7EDA"/>
    <w:rsid w:val="006F0050"/>
    <w:rsid w:val="006F014C"/>
    <w:rsid w:val="006F0242"/>
    <w:rsid w:val="006F02CF"/>
    <w:rsid w:val="006F0B57"/>
    <w:rsid w:val="006F0BBE"/>
    <w:rsid w:val="006F0E1A"/>
    <w:rsid w:val="006F0EE8"/>
    <w:rsid w:val="006F0FB8"/>
    <w:rsid w:val="006F100C"/>
    <w:rsid w:val="006F1299"/>
    <w:rsid w:val="006F1555"/>
    <w:rsid w:val="006F15FB"/>
    <w:rsid w:val="006F1EBF"/>
    <w:rsid w:val="006F1F7A"/>
    <w:rsid w:val="006F27C0"/>
    <w:rsid w:val="006F28AA"/>
    <w:rsid w:val="006F2CF4"/>
    <w:rsid w:val="006F2F22"/>
    <w:rsid w:val="006F32D4"/>
    <w:rsid w:val="006F336D"/>
    <w:rsid w:val="006F3606"/>
    <w:rsid w:val="006F37EB"/>
    <w:rsid w:val="006F3AF7"/>
    <w:rsid w:val="006F3FFD"/>
    <w:rsid w:val="006F43BE"/>
    <w:rsid w:val="006F43EB"/>
    <w:rsid w:val="006F4470"/>
    <w:rsid w:val="006F4C0D"/>
    <w:rsid w:val="006F4D76"/>
    <w:rsid w:val="006F519D"/>
    <w:rsid w:val="006F564A"/>
    <w:rsid w:val="006F576C"/>
    <w:rsid w:val="006F5A6B"/>
    <w:rsid w:val="006F5B5A"/>
    <w:rsid w:val="006F635C"/>
    <w:rsid w:val="006F71E9"/>
    <w:rsid w:val="006F74FC"/>
    <w:rsid w:val="006F7729"/>
    <w:rsid w:val="006F77F5"/>
    <w:rsid w:val="006F7A21"/>
    <w:rsid w:val="007000FD"/>
    <w:rsid w:val="0070055A"/>
    <w:rsid w:val="007006BE"/>
    <w:rsid w:val="00700859"/>
    <w:rsid w:val="0070095F"/>
    <w:rsid w:val="0070099A"/>
    <w:rsid w:val="00700BA1"/>
    <w:rsid w:val="00700C1F"/>
    <w:rsid w:val="007015F5"/>
    <w:rsid w:val="007015F7"/>
    <w:rsid w:val="007016AF"/>
    <w:rsid w:val="0070172F"/>
    <w:rsid w:val="007017F3"/>
    <w:rsid w:val="00701BDF"/>
    <w:rsid w:val="007026CF"/>
    <w:rsid w:val="00702DED"/>
    <w:rsid w:val="0070368E"/>
    <w:rsid w:val="00703797"/>
    <w:rsid w:val="00703B05"/>
    <w:rsid w:val="00703CF4"/>
    <w:rsid w:val="00704191"/>
    <w:rsid w:val="007042ED"/>
    <w:rsid w:val="00704785"/>
    <w:rsid w:val="007047AF"/>
    <w:rsid w:val="0070487B"/>
    <w:rsid w:val="00704964"/>
    <w:rsid w:val="00704C0E"/>
    <w:rsid w:val="00704CE0"/>
    <w:rsid w:val="00704EE8"/>
    <w:rsid w:val="00704FC4"/>
    <w:rsid w:val="00705490"/>
    <w:rsid w:val="007055DD"/>
    <w:rsid w:val="007057A4"/>
    <w:rsid w:val="00705E2B"/>
    <w:rsid w:val="00706018"/>
    <w:rsid w:val="00706046"/>
    <w:rsid w:val="00706211"/>
    <w:rsid w:val="0070630A"/>
    <w:rsid w:val="0070637D"/>
    <w:rsid w:val="007063F7"/>
    <w:rsid w:val="00706698"/>
    <w:rsid w:val="00706B5A"/>
    <w:rsid w:val="00706F99"/>
    <w:rsid w:val="0070702A"/>
    <w:rsid w:val="0070793C"/>
    <w:rsid w:val="00707A21"/>
    <w:rsid w:val="00707AD8"/>
    <w:rsid w:val="00707B01"/>
    <w:rsid w:val="007104A8"/>
    <w:rsid w:val="0071087F"/>
    <w:rsid w:val="0071098B"/>
    <w:rsid w:val="00710EA9"/>
    <w:rsid w:val="00710F56"/>
    <w:rsid w:val="00711154"/>
    <w:rsid w:val="00711416"/>
    <w:rsid w:val="00711755"/>
    <w:rsid w:val="00711808"/>
    <w:rsid w:val="00711845"/>
    <w:rsid w:val="00711CD5"/>
    <w:rsid w:val="00711D84"/>
    <w:rsid w:val="00712C6C"/>
    <w:rsid w:val="00712D87"/>
    <w:rsid w:val="00713132"/>
    <w:rsid w:val="0071365B"/>
    <w:rsid w:val="00713683"/>
    <w:rsid w:val="007139E5"/>
    <w:rsid w:val="00713C4F"/>
    <w:rsid w:val="00713F26"/>
    <w:rsid w:val="00714424"/>
    <w:rsid w:val="007144B9"/>
    <w:rsid w:val="007149E2"/>
    <w:rsid w:val="00714B03"/>
    <w:rsid w:val="00714DC6"/>
    <w:rsid w:val="00714DF4"/>
    <w:rsid w:val="00714F7E"/>
    <w:rsid w:val="007151DB"/>
    <w:rsid w:val="007159FC"/>
    <w:rsid w:val="00715C55"/>
    <w:rsid w:val="00716245"/>
    <w:rsid w:val="00716531"/>
    <w:rsid w:val="00716C04"/>
    <w:rsid w:val="00716E5D"/>
    <w:rsid w:val="00716FC3"/>
    <w:rsid w:val="0071719A"/>
    <w:rsid w:val="00717718"/>
    <w:rsid w:val="00717863"/>
    <w:rsid w:val="00717AF9"/>
    <w:rsid w:val="00717EB4"/>
    <w:rsid w:val="0072021C"/>
    <w:rsid w:val="00720298"/>
    <w:rsid w:val="0072099E"/>
    <w:rsid w:val="007209AE"/>
    <w:rsid w:val="0072127E"/>
    <w:rsid w:val="00721359"/>
    <w:rsid w:val="0072196F"/>
    <w:rsid w:val="00721EF2"/>
    <w:rsid w:val="00721FBC"/>
    <w:rsid w:val="0072214B"/>
    <w:rsid w:val="0072271C"/>
    <w:rsid w:val="00722A23"/>
    <w:rsid w:val="00723210"/>
    <w:rsid w:val="00723215"/>
    <w:rsid w:val="007235ED"/>
    <w:rsid w:val="00723A37"/>
    <w:rsid w:val="00724542"/>
    <w:rsid w:val="00724725"/>
    <w:rsid w:val="007247F3"/>
    <w:rsid w:val="00724F7D"/>
    <w:rsid w:val="007250F9"/>
    <w:rsid w:val="00725150"/>
    <w:rsid w:val="0072524C"/>
    <w:rsid w:val="007252F9"/>
    <w:rsid w:val="00725B02"/>
    <w:rsid w:val="00725DD7"/>
    <w:rsid w:val="00726033"/>
    <w:rsid w:val="007267E5"/>
    <w:rsid w:val="007268E4"/>
    <w:rsid w:val="00726B8A"/>
    <w:rsid w:val="00726BD3"/>
    <w:rsid w:val="00727519"/>
    <w:rsid w:val="007278EC"/>
    <w:rsid w:val="00727BD9"/>
    <w:rsid w:val="00727C97"/>
    <w:rsid w:val="00727EBA"/>
    <w:rsid w:val="0073033D"/>
    <w:rsid w:val="0073066A"/>
    <w:rsid w:val="00730705"/>
    <w:rsid w:val="00730708"/>
    <w:rsid w:val="007307F2"/>
    <w:rsid w:val="007311BB"/>
    <w:rsid w:val="0073165F"/>
    <w:rsid w:val="00731A43"/>
    <w:rsid w:val="00731E59"/>
    <w:rsid w:val="00731EA0"/>
    <w:rsid w:val="00731FAF"/>
    <w:rsid w:val="00732386"/>
    <w:rsid w:val="0073277A"/>
    <w:rsid w:val="00732B6C"/>
    <w:rsid w:val="00732D17"/>
    <w:rsid w:val="00732F2C"/>
    <w:rsid w:val="007333AF"/>
    <w:rsid w:val="007333C4"/>
    <w:rsid w:val="00733B00"/>
    <w:rsid w:val="00733B9A"/>
    <w:rsid w:val="00733C67"/>
    <w:rsid w:val="00733D19"/>
    <w:rsid w:val="00733E36"/>
    <w:rsid w:val="00733E8E"/>
    <w:rsid w:val="00733ED0"/>
    <w:rsid w:val="00733FA2"/>
    <w:rsid w:val="0073413E"/>
    <w:rsid w:val="00734B30"/>
    <w:rsid w:val="00734D8D"/>
    <w:rsid w:val="00735228"/>
    <w:rsid w:val="007352B9"/>
    <w:rsid w:val="00735A96"/>
    <w:rsid w:val="00735F0E"/>
    <w:rsid w:val="00736123"/>
    <w:rsid w:val="00736164"/>
    <w:rsid w:val="007365C6"/>
    <w:rsid w:val="007366EB"/>
    <w:rsid w:val="00736B08"/>
    <w:rsid w:val="00736B4C"/>
    <w:rsid w:val="00737445"/>
    <w:rsid w:val="007375B0"/>
    <w:rsid w:val="00737EDC"/>
    <w:rsid w:val="00737F2C"/>
    <w:rsid w:val="00740610"/>
    <w:rsid w:val="00740614"/>
    <w:rsid w:val="0074096D"/>
    <w:rsid w:val="00740BF7"/>
    <w:rsid w:val="00740C3E"/>
    <w:rsid w:val="00740CF7"/>
    <w:rsid w:val="00740E6A"/>
    <w:rsid w:val="00740FD5"/>
    <w:rsid w:val="00741717"/>
    <w:rsid w:val="007418D2"/>
    <w:rsid w:val="00741BE0"/>
    <w:rsid w:val="00741CE6"/>
    <w:rsid w:val="0074219E"/>
    <w:rsid w:val="00742AF5"/>
    <w:rsid w:val="00742C70"/>
    <w:rsid w:val="00742F5A"/>
    <w:rsid w:val="00742FD5"/>
    <w:rsid w:val="0074312B"/>
    <w:rsid w:val="007432E2"/>
    <w:rsid w:val="0074390A"/>
    <w:rsid w:val="00743F55"/>
    <w:rsid w:val="007441DA"/>
    <w:rsid w:val="007444D0"/>
    <w:rsid w:val="00744693"/>
    <w:rsid w:val="00745376"/>
    <w:rsid w:val="0074574E"/>
    <w:rsid w:val="00745832"/>
    <w:rsid w:val="00745C16"/>
    <w:rsid w:val="00745C31"/>
    <w:rsid w:val="00745D5B"/>
    <w:rsid w:val="007460F1"/>
    <w:rsid w:val="00746282"/>
    <w:rsid w:val="00746369"/>
    <w:rsid w:val="007464B7"/>
    <w:rsid w:val="007465ED"/>
    <w:rsid w:val="00746C15"/>
    <w:rsid w:val="00746D5A"/>
    <w:rsid w:val="00746E20"/>
    <w:rsid w:val="00746E40"/>
    <w:rsid w:val="007472C3"/>
    <w:rsid w:val="00747893"/>
    <w:rsid w:val="00747A7C"/>
    <w:rsid w:val="00747A9D"/>
    <w:rsid w:val="00747F18"/>
    <w:rsid w:val="00747FC8"/>
    <w:rsid w:val="00750054"/>
    <w:rsid w:val="007500B4"/>
    <w:rsid w:val="007500F5"/>
    <w:rsid w:val="0075059E"/>
    <w:rsid w:val="007509CC"/>
    <w:rsid w:val="00750A1C"/>
    <w:rsid w:val="00750AD8"/>
    <w:rsid w:val="00750D93"/>
    <w:rsid w:val="00750E3C"/>
    <w:rsid w:val="00750FDF"/>
    <w:rsid w:val="00751229"/>
    <w:rsid w:val="007512C8"/>
    <w:rsid w:val="007515EF"/>
    <w:rsid w:val="0075166C"/>
    <w:rsid w:val="00751AC0"/>
    <w:rsid w:val="00751D21"/>
    <w:rsid w:val="00751DF6"/>
    <w:rsid w:val="007521C5"/>
    <w:rsid w:val="007521FE"/>
    <w:rsid w:val="00752228"/>
    <w:rsid w:val="00752987"/>
    <w:rsid w:val="00752BDE"/>
    <w:rsid w:val="00752D05"/>
    <w:rsid w:val="00752D1E"/>
    <w:rsid w:val="00752E3E"/>
    <w:rsid w:val="00752F87"/>
    <w:rsid w:val="0075340C"/>
    <w:rsid w:val="007534B4"/>
    <w:rsid w:val="007535C4"/>
    <w:rsid w:val="0075368F"/>
    <w:rsid w:val="0075393F"/>
    <w:rsid w:val="007539A9"/>
    <w:rsid w:val="00753BC2"/>
    <w:rsid w:val="00753E32"/>
    <w:rsid w:val="00753EC9"/>
    <w:rsid w:val="007542BF"/>
    <w:rsid w:val="0075441A"/>
    <w:rsid w:val="007548D7"/>
    <w:rsid w:val="00754AAA"/>
    <w:rsid w:val="00754ACD"/>
    <w:rsid w:val="0075509B"/>
    <w:rsid w:val="0075579E"/>
    <w:rsid w:val="0075597C"/>
    <w:rsid w:val="007561FA"/>
    <w:rsid w:val="00756408"/>
    <w:rsid w:val="0075663F"/>
    <w:rsid w:val="00756653"/>
    <w:rsid w:val="00756804"/>
    <w:rsid w:val="00756BC4"/>
    <w:rsid w:val="007570A8"/>
    <w:rsid w:val="0075738D"/>
    <w:rsid w:val="007573A5"/>
    <w:rsid w:val="00757457"/>
    <w:rsid w:val="00757863"/>
    <w:rsid w:val="00757D07"/>
    <w:rsid w:val="00760457"/>
    <w:rsid w:val="00760525"/>
    <w:rsid w:val="00760735"/>
    <w:rsid w:val="00760847"/>
    <w:rsid w:val="007608A0"/>
    <w:rsid w:val="00760AFB"/>
    <w:rsid w:val="00760F1E"/>
    <w:rsid w:val="00761777"/>
    <w:rsid w:val="00761AB0"/>
    <w:rsid w:val="00761EBF"/>
    <w:rsid w:val="00761F56"/>
    <w:rsid w:val="0076201C"/>
    <w:rsid w:val="00762448"/>
    <w:rsid w:val="0076254A"/>
    <w:rsid w:val="0076296E"/>
    <w:rsid w:val="00762EB2"/>
    <w:rsid w:val="007638BA"/>
    <w:rsid w:val="00763A79"/>
    <w:rsid w:val="00763C1D"/>
    <w:rsid w:val="00763C3E"/>
    <w:rsid w:val="00764226"/>
    <w:rsid w:val="00764769"/>
    <w:rsid w:val="007648BC"/>
    <w:rsid w:val="007648D4"/>
    <w:rsid w:val="00764A6F"/>
    <w:rsid w:val="00764BE1"/>
    <w:rsid w:val="0076515E"/>
    <w:rsid w:val="007652BB"/>
    <w:rsid w:val="00765359"/>
    <w:rsid w:val="00765387"/>
    <w:rsid w:val="00765529"/>
    <w:rsid w:val="0076576D"/>
    <w:rsid w:val="00765792"/>
    <w:rsid w:val="007657BA"/>
    <w:rsid w:val="0076580D"/>
    <w:rsid w:val="00765ACE"/>
    <w:rsid w:val="00765C83"/>
    <w:rsid w:val="00765F31"/>
    <w:rsid w:val="007662FA"/>
    <w:rsid w:val="007663C4"/>
    <w:rsid w:val="00766B78"/>
    <w:rsid w:val="00766DC4"/>
    <w:rsid w:val="00766F03"/>
    <w:rsid w:val="007672FC"/>
    <w:rsid w:val="007676DB"/>
    <w:rsid w:val="007676E3"/>
    <w:rsid w:val="00767AB4"/>
    <w:rsid w:val="00767B28"/>
    <w:rsid w:val="00767B7A"/>
    <w:rsid w:val="00767F8A"/>
    <w:rsid w:val="00770042"/>
    <w:rsid w:val="0077035A"/>
    <w:rsid w:val="00770B09"/>
    <w:rsid w:val="00770D20"/>
    <w:rsid w:val="00770F5E"/>
    <w:rsid w:val="0077110E"/>
    <w:rsid w:val="00771156"/>
    <w:rsid w:val="007713E5"/>
    <w:rsid w:val="007714B6"/>
    <w:rsid w:val="007718C3"/>
    <w:rsid w:val="00771FCE"/>
    <w:rsid w:val="00772786"/>
    <w:rsid w:val="00772990"/>
    <w:rsid w:val="007729F5"/>
    <w:rsid w:val="00772B25"/>
    <w:rsid w:val="00772D00"/>
    <w:rsid w:val="00772FA8"/>
    <w:rsid w:val="00773E1C"/>
    <w:rsid w:val="00773EB2"/>
    <w:rsid w:val="00774026"/>
    <w:rsid w:val="007741A9"/>
    <w:rsid w:val="0077447F"/>
    <w:rsid w:val="00774490"/>
    <w:rsid w:val="007745CA"/>
    <w:rsid w:val="0077490F"/>
    <w:rsid w:val="007749BA"/>
    <w:rsid w:val="00775012"/>
    <w:rsid w:val="00775364"/>
    <w:rsid w:val="007757EA"/>
    <w:rsid w:val="00775C56"/>
    <w:rsid w:val="00775C8B"/>
    <w:rsid w:val="00775D31"/>
    <w:rsid w:val="00775D54"/>
    <w:rsid w:val="00776726"/>
    <w:rsid w:val="007767A8"/>
    <w:rsid w:val="00776B88"/>
    <w:rsid w:val="00776D80"/>
    <w:rsid w:val="00776ED7"/>
    <w:rsid w:val="00776F12"/>
    <w:rsid w:val="0077730A"/>
    <w:rsid w:val="00777517"/>
    <w:rsid w:val="00777624"/>
    <w:rsid w:val="00777919"/>
    <w:rsid w:val="0078006A"/>
    <w:rsid w:val="0078025C"/>
    <w:rsid w:val="007803D3"/>
    <w:rsid w:val="00780621"/>
    <w:rsid w:val="00780B51"/>
    <w:rsid w:val="00780D88"/>
    <w:rsid w:val="00780F23"/>
    <w:rsid w:val="00780F4C"/>
    <w:rsid w:val="007812DA"/>
    <w:rsid w:val="007815E5"/>
    <w:rsid w:val="007818D3"/>
    <w:rsid w:val="00781F53"/>
    <w:rsid w:val="007820C5"/>
    <w:rsid w:val="0078235F"/>
    <w:rsid w:val="00782535"/>
    <w:rsid w:val="0078269F"/>
    <w:rsid w:val="00782CC4"/>
    <w:rsid w:val="00782F09"/>
    <w:rsid w:val="00782F9A"/>
    <w:rsid w:val="00782FA2"/>
    <w:rsid w:val="007830BC"/>
    <w:rsid w:val="00783487"/>
    <w:rsid w:val="0078365E"/>
    <w:rsid w:val="0078368E"/>
    <w:rsid w:val="00783922"/>
    <w:rsid w:val="00783A33"/>
    <w:rsid w:val="00783A51"/>
    <w:rsid w:val="00783C1D"/>
    <w:rsid w:val="00783F3A"/>
    <w:rsid w:val="00784001"/>
    <w:rsid w:val="007842C4"/>
    <w:rsid w:val="00784830"/>
    <w:rsid w:val="00784891"/>
    <w:rsid w:val="00784958"/>
    <w:rsid w:val="00784BF2"/>
    <w:rsid w:val="00784D12"/>
    <w:rsid w:val="007855DB"/>
    <w:rsid w:val="00785768"/>
    <w:rsid w:val="00785924"/>
    <w:rsid w:val="00785FDB"/>
    <w:rsid w:val="007860B7"/>
    <w:rsid w:val="007863C5"/>
    <w:rsid w:val="00786B53"/>
    <w:rsid w:val="00786B5E"/>
    <w:rsid w:val="00786DEE"/>
    <w:rsid w:val="00786E44"/>
    <w:rsid w:val="007876C0"/>
    <w:rsid w:val="007878AA"/>
    <w:rsid w:val="007902C3"/>
    <w:rsid w:val="00790617"/>
    <w:rsid w:val="00790CAE"/>
    <w:rsid w:val="00790DB8"/>
    <w:rsid w:val="00790FB7"/>
    <w:rsid w:val="0079107F"/>
    <w:rsid w:val="007913D7"/>
    <w:rsid w:val="007915AA"/>
    <w:rsid w:val="00791639"/>
    <w:rsid w:val="00791925"/>
    <w:rsid w:val="00792245"/>
    <w:rsid w:val="007925BB"/>
    <w:rsid w:val="00792723"/>
    <w:rsid w:val="00792A16"/>
    <w:rsid w:val="00792A87"/>
    <w:rsid w:val="00792DD9"/>
    <w:rsid w:val="00793450"/>
    <w:rsid w:val="0079356A"/>
    <w:rsid w:val="00793600"/>
    <w:rsid w:val="007937DD"/>
    <w:rsid w:val="0079394A"/>
    <w:rsid w:val="00793F1D"/>
    <w:rsid w:val="00794085"/>
    <w:rsid w:val="0079418A"/>
    <w:rsid w:val="00794307"/>
    <w:rsid w:val="0079456E"/>
    <w:rsid w:val="00794601"/>
    <w:rsid w:val="00794836"/>
    <w:rsid w:val="00794949"/>
    <w:rsid w:val="0079498F"/>
    <w:rsid w:val="00794C3E"/>
    <w:rsid w:val="00794E7B"/>
    <w:rsid w:val="00794FBE"/>
    <w:rsid w:val="007959DF"/>
    <w:rsid w:val="00795CD3"/>
    <w:rsid w:val="00796009"/>
    <w:rsid w:val="00796064"/>
    <w:rsid w:val="0079644D"/>
    <w:rsid w:val="00796780"/>
    <w:rsid w:val="0079683D"/>
    <w:rsid w:val="00796886"/>
    <w:rsid w:val="007968F9"/>
    <w:rsid w:val="00796BAA"/>
    <w:rsid w:val="00796D76"/>
    <w:rsid w:val="0079754B"/>
    <w:rsid w:val="0079785A"/>
    <w:rsid w:val="00797E6E"/>
    <w:rsid w:val="007A0144"/>
    <w:rsid w:val="007A01B8"/>
    <w:rsid w:val="007A0568"/>
    <w:rsid w:val="007A076D"/>
    <w:rsid w:val="007A077D"/>
    <w:rsid w:val="007A104B"/>
    <w:rsid w:val="007A1263"/>
    <w:rsid w:val="007A13F0"/>
    <w:rsid w:val="007A1413"/>
    <w:rsid w:val="007A1AF7"/>
    <w:rsid w:val="007A1BB5"/>
    <w:rsid w:val="007A1C01"/>
    <w:rsid w:val="007A1DEA"/>
    <w:rsid w:val="007A1FA1"/>
    <w:rsid w:val="007A20E4"/>
    <w:rsid w:val="007A23E8"/>
    <w:rsid w:val="007A246D"/>
    <w:rsid w:val="007A2526"/>
    <w:rsid w:val="007A28F3"/>
    <w:rsid w:val="007A303D"/>
    <w:rsid w:val="007A3301"/>
    <w:rsid w:val="007A3856"/>
    <w:rsid w:val="007A387D"/>
    <w:rsid w:val="007A3DFA"/>
    <w:rsid w:val="007A46AD"/>
    <w:rsid w:val="007A498D"/>
    <w:rsid w:val="007A4AF1"/>
    <w:rsid w:val="007A503F"/>
    <w:rsid w:val="007A50F1"/>
    <w:rsid w:val="007A52A4"/>
    <w:rsid w:val="007A5A19"/>
    <w:rsid w:val="007A5C59"/>
    <w:rsid w:val="007A5E23"/>
    <w:rsid w:val="007A5F03"/>
    <w:rsid w:val="007A5F1E"/>
    <w:rsid w:val="007A65C7"/>
    <w:rsid w:val="007A6B63"/>
    <w:rsid w:val="007A6C1C"/>
    <w:rsid w:val="007A6D83"/>
    <w:rsid w:val="007A7329"/>
    <w:rsid w:val="007A79BF"/>
    <w:rsid w:val="007A7A31"/>
    <w:rsid w:val="007A7E46"/>
    <w:rsid w:val="007A7ED1"/>
    <w:rsid w:val="007A7FB6"/>
    <w:rsid w:val="007B00D9"/>
    <w:rsid w:val="007B0350"/>
    <w:rsid w:val="007B042B"/>
    <w:rsid w:val="007B0860"/>
    <w:rsid w:val="007B0CAB"/>
    <w:rsid w:val="007B0D45"/>
    <w:rsid w:val="007B0E04"/>
    <w:rsid w:val="007B0F53"/>
    <w:rsid w:val="007B1BD7"/>
    <w:rsid w:val="007B1C87"/>
    <w:rsid w:val="007B1D35"/>
    <w:rsid w:val="007B21EF"/>
    <w:rsid w:val="007B2404"/>
    <w:rsid w:val="007B29F3"/>
    <w:rsid w:val="007B2C4A"/>
    <w:rsid w:val="007B2D56"/>
    <w:rsid w:val="007B2F26"/>
    <w:rsid w:val="007B3582"/>
    <w:rsid w:val="007B3914"/>
    <w:rsid w:val="007B3958"/>
    <w:rsid w:val="007B3BCC"/>
    <w:rsid w:val="007B3DDE"/>
    <w:rsid w:val="007B3F58"/>
    <w:rsid w:val="007B4387"/>
    <w:rsid w:val="007B44DD"/>
    <w:rsid w:val="007B485D"/>
    <w:rsid w:val="007B4C1D"/>
    <w:rsid w:val="007B4CDC"/>
    <w:rsid w:val="007B4E44"/>
    <w:rsid w:val="007B4F90"/>
    <w:rsid w:val="007B5694"/>
    <w:rsid w:val="007B5DE7"/>
    <w:rsid w:val="007B5E6E"/>
    <w:rsid w:val="007B6046"/>
    <w:rsid w:val="007B615E"/>
    <w:rsid w:val="007B63C3"/>
    <w:rsid w:val="007B6427"/>
    <w:rsid w:val="007B661A"/>
    <w:rsid w:val="007B66FA"/>
    <w:rsid w:val="007B6740"/>
    <w:rsid w:val="007B6792"/>
    <w:rsid w:val="007B6BCB"/>
    <w:rsid w:val="007B6BCD"/>
    <w:rsid w:val="007C032B"/>
    <w:rsid w:val="007C0D11"/>
    <w:rsid w:val="007C1A40"/>
    <w:rsid w:val="007C1B10"/>
    <w:rsid w:val="007C1E30"/>
    <w:rsid w:val="007C22B2"/>
    <w:rsid w:val="007C2578"/>
    <w:rsid w:val="007C2893"/>
    <w:rsid w:val="007C2959"/>
    <w:rsid w:val="007C29D5"/>
    <w:rsid w:val="007C2C08"/>
    <w:rsid w:val="007C310A"/>
    <w:rsid w:val="007C37CD"/>
    <w:rsid w:val="007C381A"/>
    <w:rsid w:val="007C38B7"/>
    <w:rsid w:val="007C3BFF"/>
    <w:rsid w:val="007C4545"/>
    <w:rsid w:val="007C4877"/>
    <w:rsid w:val="007C49AF"/>
    <w:rsid w:val="007C4B30"/>
    <w:rsid w:val="007C4C7E"/>
    <w:rsid w:val="007C4DAE"/>
    <w:rsid w:val="007C4F85"/>
    <w:rsid w:val="007C4FEF"/>
    <w:rsid w:val="007C5065"/>
    <w:rsid w:val="007C51D4"/>
    <w:rsid w:val="007C52D0"/>
    <w:rsid w:val="007C5480"/>
    <w:rsid w:val="007C558C"/>
    <w:rsid w:val="007C574B"/>
    <w:rsid w:val="007C5971"/>
    <w:rsid w:val="007C5C54"/>
    <w:rsid w:val="007C5E9B"/>
    <w:rsid w:val="007C5F39"/>
    <w:rsid w:val="007C6452"/>
    <w:rsid w:val="007C66CE"/>
    <w:rsid w:val="007C68DA"/>
    <w:rsid w:val="007C6B33"/>
    <w:rsid w:val="007C6B74"/>
    <w:rsid w:val="007C6F80"/>
    <w:rsid w:val="007C73B8"/>
    <w:rsid w:val="007C740B"/>
    <w:rsid w:val="007C7483"/>
    <w:rsid w:val="007C76E8"/>
    <w:rsid w:val="007C7945"/>
    <w:rsid w:val="007C7B8A"/>
    <w:rsid w:val="007C7DBB"/>
    <w:rsid w:val="007C7F47"/>
    <w:rsid w:val="007D02A4"/>
    <w:rsid w:val="007D0375"/>
    <w:rsid w:val="007D060B"/>
    <w:rsid w:val="007D0683"/>
    <w:rsid w:val="007D1236"/>
    <w:rsid w:val="007D12A9"/>
    <w:rsid w:val="007D14B5"/>
    <w:rsid w:val="007D1778"/>
    <w:rsid w:val="007D181B"/>
    <w:rsid w:val="007D1B75"/>
    <w:rsid w:val="007D22A8"/>
    <w:rsid w:val="007D23F2"/>
    <w:rsid w:val="007D282C"/>
    <w:rsid w:val="007D2B64"/>
    <w:rsid w:val="007D343D"/>
    <w:rsid w:val="007D364E"/>
    <w:rsid w:val="007D36C3"/>
    <w:rsid w:val="007D379B"/>
    <w:rsid w:val="007D407D"/>
    <w:rsid w:val="007D4331"/>
    <w:rsid w:val="007D4429"/>
    <w:rsid w:val="007D4971"/>
    <w:rsid w:val="007D4B01"/>
    <w:rsid w:val="007D53BC"/>
    <w:rsid w:val="007D5841"/>
    <w:rsid w:val="007D5863"/>
    <w:rsid w:val="007D60FE"/>
    <w:rsid w:val="007D617D"/>
    <w:rsid w:val="007D6385"/>
    <w:rsid w:val="007D65CE"/>
    <w:rsid w:val="007D673A"/>
    <w:rsid w:val="007D6A14"/>
    <w:rsid w:val="007D71B5"/>
    <w:rsid w:val="007D721E"/>
    <w:rsid w:val="007D7289"/>
    <w:rsid w:val="007D72F9"/>
    <w:rsid w:val="007D742C"/>
    <w:rsid w:val="007D763A"/>
    <w:rsid w:val="007D785F"/>
    <w:rsid w:val="007D7C19"/>
    <w:rsid w:val="007E01C5"/>
    <w:rsid w:val="007E052E"/>
    <w:rsid w:val="007E0C83"/>
    <w:rsid w:val="007E1054"/>
    <w:rsid w:val="007E15D9"/>
    <w:rsid w:val="007E1763"/>
    <w:rsid w:val="007E185E"/>
    <w:rsid w:val="007E188F"/>
    <w:rsid w:val="007E262E"/>
    <w:rsid w:val="007E276D"/>
    <w:rsid w:val="007E29D7"/>
    <w:rsid w:val="007E2A88"/>
    <w:rsid w:val="007E2A9A"/>
    <w:rsid w:val="007E2B9E"/>
    <w:rsid w:val="007E2D0F"/>
    <w:rsid w:val="007E2D3C"/>
    <w:rsid w:val="007E3479"/>
    <w:rsid w:val="007E39E5"/>
    <w:rsid w:val="007E3DA2"/>
    <w:rsid w:val="007E421D"/>
    <w:rsid w:val="007E43E3"/>
    <w:rsid w:val="007E4511"/>
    <w:rsid w:val="007E4782"/>
    <w:rsid w:val="007E489E"/>
    <w:rsid w:val="007E4900"/>
    <w:rsid w:val="007E4919"/>
    <w:rsid w:val="007E4DF3"/>
    <w:rsid w:val="007E4F1C"/>
    <w:rsid w:val="007E5412"/>
    <w:rsid w:val="007E565B"/>
    <w:rsid w:val="007E580B"/>
    <w:rsid w:val="007E5B21"/>
    <w:rsid w:val="007E5E8E"/>
    <w:rsid w:val="007E6203"/>
    <w:rsid w:val="007E6232"/>
    <w:rsid w:val="007E6376"/>
    <w:rsid w:val="007E63CC"/>
    <w:rsid w:val="007E653A"/>
    <w:rsid w:val="007E6EB8"/>
    <w:rsid w:val="007E6EEF"/>
    <w:rsid w:val="007E742A"/>
    <w:rsid w:val="007E74B3"/>
    <w:rsid w:val="007E7650"/>
    <w:rsid w:val="007E771F"/>
    <w:rsid w:val="007E784A"/>
    <w:rsid w:val="007E7A15"/>
    <w:rsid w:val="007F02C2"/>
    <w:rsid w:val="007F0514"/>
    <w:rsid w:val="007F0743"/>
    <w:rsid w:val="007F090A"/>
    <w:rsid w:val="007F0AC2"/>
    <w:rsid w:val="007F0E62"/>
    <w:rsid w:val="007F0F17"/>
    <w:rsid w:val="007F12AB"/>
    <w:rsid w:val="007F165C"/>
    <w:rsid w:val="007F1981"/>
    <w:rsid w:val="007F19B8"/>
    <w:rsid w:val="007F1D05"/>
    <w:rsid w:val="007F1FC8"/>
    <w:rsid w:val="007F22D6"/>
    <w:rsid w:val="007F294D"/>
    <w:rsid w:val="007F2F8F"/>
    <w:rsid w:val="007F3252"/>
    <w:rsid w:val="007F32B8"/>
    <w:rsid w:val="007F32FA"/>
    <w:rsid w:val="007F33E1"/>
    <w:rsid w:val="007F34F8"/>
    <w:rsid w:val="007F382E"/>
    <w:rsid w:val="007F3B63"/>
    <w:rsid w:val="007F3FCF"/>
    <w:rsid w:val="007F4520"/>
    <w:rsid w:val="007F4587"/>
    <w:rsid w:val="007F45BD"/>
    <w:rsid w:val="007F460D"/>
    <w:rsid w:val="007F49B7"/>
    <w:rsid w:val="007F4A6E"/>
    <w:rsid w:val="007F4CB3"/>
    <w:rsid w:val="007F4D3B"/>
    <w:rsid w:val="007F4EE5"/>
    <w:rsid w:val="007F4FCA"/>
    <w:rsid w:val="007F53CE"/>
    <w:rsid w:val="007F56E2"/>
    <w:rsid w:val="007F601D"/>
    <w:rsid w:val="007F61C3"/>
    <w:rsid w:val="007F6334"/>
    <w:rsid w:val="007F670D"/>
    <w:rsid w:val="007F6717"/>
    <w:rsid w:val="007F7031"/>
    <w:rsid w:val="007F76D2"/>
    <w:rsid w:val="007F7B0B"/>
    <w:rsid w:val="007F7F8B"/>
    <w:rsid w:val="008007A1"/>
    <w:rsid w:val="00800C4A"/>
    <w:rsid w:val="00800D8A"/>
    <w:rsid w:val="00800E4B"/>
    <w:rsid w:val="00800F04"/>
    <w:rsid w:val="0080171C"/>
    <w:rsid w:val="00801777"/>
    <w:rsid w:val="00801812"/>
    <w:rsid w:val="00801B7E"/>
    <w:rsid w:val="00801BC3"/>
    <w:rsid w:val="00801DB6"/>
    <w:rsid w:val="00801FB3"/>
    <w:rsid w:val="00802695"/>
    <w:rsid w:val="00802C78"/>
    <w:rsid w:val="00802C87"/>
    <w:rsid w:val="00803F00"/>
    <w:rsid w:val="00804055"/>
    <w:rsid w:val="00804124"/>
    <w:rsid w:val="00804A4D"/>
    <w:rsid w:val="00804C2E"/>
    <w:rsid w:val="00804F94"/>
    <w:rsid w:val="008051ED"/>
    <w:rsid w:val="008053FF"/>
    <w:rsid w:val="008055D6"/>
    <w:rsid w:val="00805908"/>
    <w:rsid w:val="00805A55"/>
    <w:rsid w:val="00805B77"/>
    <w:rsid w:val="00805D24"/>
    <w:rsid w:val="00805EAB"/>
    <w:rsid w:val="00805FAC"/>
    <w:rsid w:val="00806021"/>
    <w:rsid w:val="00806608"/>
    <w:rsid w:val="00806984"/>
    <w:rsid w:val="0080702C"/>
    <w:rsid w:val="00807329"/>
    <w:rsid w:val="00807493"/>
    <w:rsid w:val="00807C62"/>
    <w:rsid w:val="00810B71"/>
    <w:rsid w:val="00810D74"/>
    <w:rsid w:val="00810E4F"/>
    <w:rsid w:val="0081104D"/>
    <w:rsid w:val="008112C3"/>
    <w:rsid w:val="008113F7"/>
    <w:rsid w:val="00811FFC"/>
    <w:rsid w:val="008122B7"/>
    <w:rsid w:val="0081234F"/>
    <w:rsid w:val="00812871"/>
    <w:rsid w:val="00812BED"/>
    <w:rsid w:val="00813060"/>
    <w:rsid w:val="008130E2"/>
    <w:rsid w:val="0081313C"/>
    <w:rsid w:val="008132E9"/>
    <w:rsid w:val="008133B6"/>
    <w:rsid w:val="008133D0"/>
    <w:rsid w:val="00813588"/>
    <w:rsid w:val="00813FC7"/>
    <w:rsid w:val="00814830"/>
    <w:rsid w:val="00814D3E"/>
    <w:rsid w:val="00814F5C"/>
    <w:rsid w:val="0081531F"/>
    <w:rsid w:val="00815783"/>
    <w:rsid w:val="00815FD9"/>
    <w:rsid w:val="008163F1"/>
    <w:rsid w:val="00816653"/>
    <w:rsid w:val="00816838"/>
    <w:rsid w:val="00816F9B"/>
    <w:rsid w:val="00817DCC"/>
    <w:rsid w:val="00817E77"/>
    <w:rsid w:val="0082000E"/>
    <w:rsid w:val="00820A5D"/>
    <w:rsid w:val="00820AB0"/>
    <w:rsid w:val="00820B10"/>
    <w:rsid w:val="00820E06"/>
    <w:rsid w:val="00820E18"/>
    <w:rsid w:val="00820E3D"/>
    <w:rsid w:val="008210A0"/>
    <w:rsid w:val="00821317"/>
    <w:rsid w:val="008213C3"/>
    <w:rsid w:val="008215DD"/>
    <w:rsid w:val="00821D80"/>
    <w:rsid w:val="00821E1D"/>
    <w:rsid w:val="00821FF1"/>
    <w:rsid w:val="008222AF"/>
    <w:rsid w:val="00822BB3"/>
    <w:rsid w:val="008231A8"/>
    <w:rsid w:val="00823315"/>
    <w:rsid w:val="00823368"/>
    <w:rsid w:val="0082344A"/>
    <w:rsid w:val="008236D5"/>
    <w:rsid w:val="00823932"/>
    <w:rsid w:val="00823A7F"/>
    <w:rsid w:val="00823EB1"/>
    <w:rsid w:val="00824530"/>
    <w:rsid w:val="008249E8"/>
    <w:rsid w:val="00825174"/>
    <w:rsid w:val="00825470"/>
    <w:rsid w:val="00825A19"/>
    <w:rsid w:val="00825E58"/>
    <w:rsid w:val="00826025"/>
    <w:rsid w:val="00826379"/>
    <w:rsid w:val="008264FB"/>
    <w:rsid w:val="0082677B"/>
    <w:rsid w:val="00826800"/>
    <w:rsid w:val="00826A83"/>
    <w:rsid w:val="00826ADC"/>
    <w:rsid w:val="00826C96"/>
    <w:rsid w:val="00826F4F"/>
    <w:rsid w:val="008271D6"/>
    <w:rsid w:val="0082742F"/>
    <w:rsid w:val="00827852"/>
    <w:rsid w:val="00827A3E"/>
    <w:rsid w:val="00827B8A"/>
    <w:rsid w:val="00827E0E"/>
    <w:rsid w:val="00830009"/>
    <w:rsid w:val="008300F6"/>
    <w:rsid w:val="0083015E"/>
    <w:rsid w:val="008303B7"/>
    <w:rsid w:val="00830B31"/>
    <w:rsid w:val="00831219"/>
    <w:rsid w:val="008312E3"/>
    <w:rsid w:val="008313A1"/>
    <w:rsid w:val="008313CC"/>
    <w:rsid w:val="00831821"/>
    <w:rsid w:val="0083192F"/>
    <w:rsid w:val="00831947"/>
    <w:rsid w:val="00831954"/>
    <w:rsid w:val="00831A18"/>
    <w:rsid w:val="00831A49"/>
    <w:rsid w:val="00831EEB"/>
    <w:rsid w:val="00831FF1"/>
    <w:rsid w:val="008320C8"/>
    <w:rsid w:val="0083287C"/>
    <w:rsid w:val="00832D9D"/>
    <w:rsid w:val="008330A2"/>
    <w:rsid w:val="00833E25"/>
    <w:rsid w:val="00833EFF"/>
    <w:rsid w:val="0083427F"/>
    <w:rsid w:val="008343A8"/>
    <w:rsid w:val="0083464F"/>
    <w:rsid w:val="00834AA9"/>
    <w:rsid w:val="00834D2B"/>
    <w:rsid w:val="00834E34"/>
    <w:rsid w:val="00834E43"/>
    <w:rsid w:val="00834E5E"/>
    <w:rsid w:val="00834F42"/>
    <w:rsid w:val="008357AF"/>
    <w:rsid w:val="00835B03"/>
    <w:rsid w:val="00835E2E"/>
    <w:rsid w:val="00835F51"/>
    <w:rsid w:val="008360D1"/>
    <w:rsid w:val="0083628B"/>
    <w:rsid w:val="008365DE"/>
    <w:rsid w:val="008367F2"/>
    <w:rsid w:val="008369B9"/>
    <w:rsid w:val="00836FCB"/>
    <w:rsid w:val="0083733E"/>
    <w:rsid w:val="008373F4"/>
    <w:rsid w:val="0083755D"/>
    <w:rsid w:val="00837680"/>
    <w:rsid w:val="008376B5"/>
    <w:rsid w:val="008377E4"/>
    <w:rsid w:val="00837921"/>
    <w:rsid w:val="00837C2A"/>
    <w:rsid w:val="0084004F"/>
    <w:rsid w:val="00840B2A"/>
    <w:rsid w:val="00840BE0"/>
    <w:rsid w:val="008413CF"/>
    <w:rsid w:val="00841AD9"/>
    <w:rsid w:val="00841B23"/>
    <w:rsid w:val="00841BDB"/>
    <w:rsid w:val="00841E1D"/>
    <w:rsid w:val="00842046"/>
    <w:rsid w:val="00842143"/>
    <w:rsid w:val="00842161"/>
    <w:rsid w:val="00842862"/>
    <w:rsid w:val="00842930"/>
    <w:rsid w:val="0084293B"/>
    <w:rsid w:val="008429E0"/>
    <w:rsid w:val="00842A27"/>
    <w:rsid w:val="00842BDD"/>
    <w:rsid w:val="00842D1E"/>
    <w:rsid w:val="008431DE"/>
    <w:rsid w:val="008434C2"/>
    <w:rsid w:val="00843717"/>
    <w:rsid w:val="00843764"/>
    <w:rsid w:val="008437C3"/>
    <w:rsid w:val="008438BB"/>
    <w:rsid w:val="0084393E"/>
    <w:rsid w:val="00843B42"/>
    <w:rsid w:val="00844637"/>
    <w:rsid w:val="0084467F"/>
    <w:rsid w:val="008446A3"/>
    <w:rsid w:val="00844E4F"/>
    <w:rsid w:val="00845245"/>
    <w:rsid w:val="008452A7"/>
    <w:rsid w:val="008453E3"/>
    <w:rsid w:val="00845894"/>
    <w:rsid w:val="00845EC7"/>
    <w:rsid w:val="00845EFA"/>
    <w:rsid w:val="0084630B"/>
    <w:rsid w:val="008463A4"/>
    <w:rsid w:val="008463BC"/>
    <w:rsid w:val="00846448"/>
    <w:rsid w:val="008464FA"/>
    <w:rsid w:val="00846685"/>
    <w:rsid w:val="00846BC6"/>
    <w:rsid w:val="00847103"/>
    <w:rsid w:val="0084721F"/>
    <w:rsid w:val="008473D9"/>
    <w:rsid w:val="008474DD"/>
    <w:rsid w:val="00847561"/>
    <w:rsid w:val="00847649"/>
    <w:rsid w:val="0084798D"/>
    <w:rsid w:val="00847A31"/>
    <w:rsid w:val="00847A4D"/>
    <w:rsid w:val="008508F6"/>
    <w:rsid w:val="00850DB2"/>
    <w:rsid w:val="00850F63"/>
    <w:rsid w:val="008511C5"/>
    <w:rsid w:val="0085125E"/>
    <w:rsid w:val="008519E9"/>
    <w:rsid w:val="00851CF1"/>
    <w:rsid w:val="00852A2F"/>
    <w:rsid w:val="00852A30"/>
    <w:rsid w:val="00852B94"/>
    <w:rsid w:val="00852DEF"/>
    <w:rsid w:val="008530EC"/>
    <w:rsid w:val="008535FE"/>
    <w:rsid w:val="00853E23"/>
    <w:rsid w:val="008542F4"/>
    <w:rsid w:val="0085478B"/>
    <w:rsid w:val="00854937"/>
    <w:rsid w:val="00855402"/>
    <w:rsid w:val="00855899"/>
    <w:rsid w:val="00855D81"/>
    <w:rsid w:val="00855E8A"/>
    <w:rsid w:val="00855E96"/>
    <w:rsid w:val="008563A3"/>
    <w:rsid w:val="00856872"/>
    <w:rsid w:val="00856899"/>
    <w:rsid w:val="0085694E"/>
    <w:rsid w:val="0085696B"/>
    <w:rsid w:val="00856CED"/>
    <w:rsid w:val="00856D1B"/>
    <w:rsid w:val="00856F1E"/>
    <w:rsid w:val="00857136"/>
    <w:rsid w:val="00857295"/>
    <w:rsid w:val="00857392"/>
    <w:rsid w:val="00857558"/>
    <w:rsid w:val="008576CC"/>
    <w:rsid w:val="00857B09"/>
    <w:rsid w:val="00857CBF"/>
    <w:rsid w:val="00857E6C"/>
    <w:rsid w:val="00857FC1"/>
    <w:rsid w:val="00860571"/>
    <w:rsid w:val="0086097D"/>
    <w:rsid w:val="00860D00"/>
    <w:rsid w:val="00861106"/>
    <w:rsid w:val="00861145"/>
    <w:rsid w:val="00861156"/>
    <w:rsid w:val="0086136F"/>
    <w:rsid w:val="008613B9"/>
    <w:rsid w:val="008617B4"/>
    <w:rsid w:val="00861868"/>
    <w:rsid w:val="00861952"/>
    <w:rsid w:val="00861A0C"/>
    <w:rsid w:val="00861AC9"/>
    <w:rsid w:val="00862189"/>
    <w:rsid w:val="0086232F"/>
    <w:rsid w:val="00862366"/>
    <w:rsid w:val="00863199"/>
    <w:rsid w:val="00863C90"/>
    <w:rsid w:val="00863E09"/>
    <w:rsid w:val="008645C4"/>
    <w:rsid w:val="00864B6F"/>
    <w:rsid w:val="00864FC2"/>
    <w:rsid w:val="00865641"/>
    <w:rsid w:val="00865A66"/>
    <w:rsid w:val="00865D26"/>
    <w:rsid w:val="00865D29"/>
    <w:rsid w:val="00866002"/>
    <w:rsid w:val="0086618F"/>
    <w:rsid w:val="008662C2"/>
    <w:rsid w:val="00866BFA"/>
    <w:rsid w:val="00866C92"/>
    <w:rsid w:val="00866CD6"/>
    <w:rsid w:val="0086715E"/>
    <w:rsid w:val="00867265"/>
    <w:rsid w:val="00867704"/>
    <w:rsid w:val="00867780"/>
    <w:rsid w:val="00867899"/>
    <w:rsid w:val="008678AD"/>
    <w:rsid w:val="0087001C"/>
    <w:rsid w:val="008703FA"/>
    <w:rsid w:val="0087057C"/>
    <w:rsid w:val="0087085E"/>
    <w:rsid w:val="00870887"/>
    <w:rsid w:val="00870D03"/>
    <w:rsid w:val="00870F70"/>
    <w:rsid w:val="008715E4"/>
    <w:rsid w:val="008715ED"/>
    <w:rsid w:val="008719AB"/>
    <w:rsid w:val="00871DBC"/>
    <w:rsid w:val="008720A3"/>
    <w:rsid w:val="00872133"/>
    <w:rsid w:val="008721A5"/>
    <w:rsid w:val="00872342"/>
    <w:rsid w:val="0087249B"/>
    <w:rsid w:val="00872672"/>
    <w:rsid w:val="008726DF"/>
    <w:rsid w:val="00872A76"/>
    <w:rsid w:val="00872BAD"/>
    <w:rsid w:val="00872C8C"/>
    <w:rsid w:val="008732E4"/>
    <w:rsid w:val="00873ADE"/>
    <w:rsid w:val="00873C9E"/>
    <w:rsid w:val="00873DB4"/>
    <w:rsid w:val="00873DE6"/>
    <w:rsid w:val="008750C3"/>
    <w:rsid w:val="008756C8"/>
    <w:rsid w:val="0087573F"/>
    <w:rsid w:val="00875918"/>
    <w:rsid w:val="00875A5C"/>
    <w:rsid w:val="00875B4C"/>
    <w:rsid w:val="00875C08"/>
    <w:rsid w:val="00875F03"/>
    <w:rsid w:val="00876106"/>
    <w:rsid w:val="00876470"/>
    <w:rsid w:val="0087655E"/>
    <w:rsid w:val="0087663D"/>
    <w:rsid w:val="00876700"/>
    <w:rsid w:val="00876992"/>
    <w:rsid w:val="00876A1C"/>
    <w:rsid w:val="00876CA7"/>
    <w:rsid w:val="00876CF9"/>
    <w:rsid w:val="008770CC"/>
    <w:rsid w:val="008770E2"/>
    <w:rsid w:val="008773DA"/>
    <w:rsid w:val="00877AD2"/>
    <w:rsid w:val="00877AE9"/>
    <w:rsid w:val="0088062B"/>
    <w:rsid w:val="0088074C"/>
    <w:rsid w:val="00880849"/>
    <w:rsid w:val="00880CE4"/>
    <w:rsid w:val="008810BC"/>
    <w:rsid w:val="0088152B"/>
    <w:rsid w:val="008817E5"/>
    <w:rsid w:val="008820CD"/>
    <w:rsid w:val="0088223D"/>
    <w:rsid w:val="008824F4"/>
    <w:rsid w:val="00882758"/>
    <w:rsid w:val="0088284E"/>
    <w:rsid w:val="00882AE4"/>
    <w:rsid w:val="00882B5B"/>
    <w:rsid w:val="00882CE5"/>
    <w:rsid w:val="00882D87"/>
    <w:rsid w:val="0088312D"/>
    <w:rsid w:val="008833BE"/>
    <w:rsid w:val="0088377A"/>
    <w:rsid w:val="008839EF"/>
    <w:rsid w:val="00884117"/>
    <w:rsid w:val="008844F7"/>
    <w:rsid w:val="008853AC"/>
    <w:rsid w:val="00885435"/>
    <w:rsid w:val="00885462"/>
    <w:rsid w:val="00885C93"/>
    <w:rsid w:val="00885E59"/>
    <w:rsid w:val="0088632B"/>
    <w:rsid w:val="008863CE"/>
    <w:rsid w:val="0088684B"/>
    <w:rsid w:val="00887CF1"/>
    <w:rsid w:val="00887E7C"/>
    <w:rsid w:val="008903CE"/>
    <w:rsid w:val="008906E4"/>
    <w:rsid w:val="00890C5C"/>
    <w:rsid w:val="00890D51"/>
    <w:rsid w:val="00891494"/>
    <w:rsid w:val="008915A0"/>
    <w:rsid w:val="00891696"/>
    <w:rsid w:val="00891703"/>
    <w:rsid w:val="00891F97"/>
    <w:rsid w:val="00891FAB"/>
    <w:rsid w:val="0089238F"/>
    <w:rsid w:val="00892471"/>
    <w:rsid w:val="00892879"/>
    <w:rsid w:val="00892A0C"/>
    <w:rsid w:val="00892D46"/>
    <w:rsid w:val="00893525"/>
    <w:rsid w:val="008935A8"/>
    <w:rsid w:val="008936D9"/>
    <w:rsid w:val="0089375F"/>
    <w:rsid w:val="008939CB"/>
    <w:rsid w:val="00893ADE"/>
    <w:rsid w:val="00893E8E"/>
    <w:rsid w:val="00894058"/>
    <w:rsid w:val="008943C8"/>
    <w:rsid w:val="00894822"/>
    <w:rsid w:val="00894A66"/>
    <w:rsid w:val="00894BEF"/>
    <w:rsid w:val="00894EA9"/>
    <w:rsid w:val="00894F21"/>
    <w:rsid w:val="0089522E"/>
    <w:rsid w:val="0089523C"/>
    <w:rsid w:val="008955CC"/>
    <w:rsid w:val="00895804"/>
    <w:rsid w:val="00895BC7"/>
    <w:rsid w:val="00895E4C"/>
    <w:rsid w:val="00895FE7"/>
    <w:rsid w:val="008960BB"/>
    <w:rsid w:val="0089610F"/>
    <w:rsid w:val="00896158"/>
    <w:rsid w:val="00896516"/>
    <w:rsid w:val="0089662F"/>
    <w:rsid w:val="008969C9"/>
    <w:rsid w:val="00896C78"/>
    <w:rsid w:val="00896E33"/>
    <w:rsid w:val="00896E36"/>
    <w:rsid w:val="0089765F"/>
    <w:rsid w:val="008977C6"/>
    <w:rsid w:val="008977CA"/>
    <w:rsid w:val="00897B2C"/>
    <w:rsid w:val="008A002C"/>
    <w:rsid w:val="008A00AF"/>
    <w:rsid w:val="008A0456"/>
    <w:rsid w:val="008A053E"/>
    <w:rsid w:val="008A06EB"/>
    <w:rsid w:val="008A0735"/>
    <w:rsid w:val="008A07FF"/>
    <w:rsid w:val="008A08AC"/>
    <w:rsid w:val="008A09C2"/>
    <w:rsid w:val="008A09E1"/>
    <w:rsid w:val="008A0E24"/>
    <w:rsid w:val="008A0EC3"/>
    <w:rsid w:val="008A114D"/>
    <w:rsid w:val="008A1364"/>
    <w:rsid w:val="008A1693"/>
    <w:rsid w:val="008A17C6"/>
    <w:rsid w:val="008A1DD3"/>
    <w:rsid w:val="008A2113"/>
    <w:rsid w:val="008A2304"/>
    <w:rsid w:val="008A233F"/>
    <w:rsid w:val="008A2B8F"/>
    <w:rsid w:val="008A2C7A"/>
    <w:rsid w:val="008A2F8D"/>
    <w:rsid w:val="008A313C"/>
    <w:rsid w:val="008A324E"/>
    <w:rsid w:val="008A343E"/>
    <w:rsid w:val="008A3A9A"/>
    <w:rsid w:val="008A3D7F"/>
    <w:rsid w:val="008A3E24"/>
    <w:rsid w:val="008A3EC6"/>
    <w:rsid w:val="008A3F7D"/>
    <w:rsid w:val="008A4613"/>
    <w:rsid w:val="008A4E6E"/>
    <w:rsid w:val="008A4E96"/>
    <w:rsid w:val="008A55C6"/>
    <w:rsid w:val="008A610C"/>
    <w:rsid w:val="008A6311"/>
    <w:rsid w:val="008A6471"/>
    <w:rsid w:val="008A6F72"/>
    <w:rsid w:val="008A7102"/>
    <w:rsid w:val="008A7866"/>
    <w:rsid w:val="008A7ABB"/>
    <w:rsid w:val="008A7B3C"/>
    <w:rsid w:val="008A7CBD"/>
    <w:rsid w:val="008A7D65"/>
    <w:rsid w:val="008B01BC"/>
    <w:rsid w:val="008B0276"/>
    <w:rsid w:val="008B036F"/>
    <w:rsid w:val="008B0F7D"/>
    <w:rsid w:val="008B16D0"/>
    <w:rsid w:val="008B16EE"/>
    <w:rsid w:val="008B1946"/>
    <w:rsid w:val="008B1AA7"/>
    <w:rsid w:val="008B1B95"/>
    <w:rsid w:val="008B1DCD"/>
    <w:rsid w:val="008B229C"/>
    <w:rsid w:val="008B2348"/>
    <w:rsid w:val="008B260E"/>
    <w:rsid w:val="008B267E"/>
    <w:rsid w:val="008B28E5"/>
    <w:rsid w:val="008B2B2D"/>
    <w:rsid w:val="008B2BE8"/>
    <w:rsid w:val="008B2DAC"/>
    <w:rsid w:val="008B3080"/>
    <w:rsid w:val="008B3492"/>
    <w:rsid w:val="008B385D"/>
    <w:rsid w:val="008B3D20"/>
    <w:rsid w:val="008B3F7E"/>
    <w:rsid w:val="008B4283"/>
    <w:rsid w:val="008B437D"/>
    <w:rsid w:val="008B4435"/>
    <w:rsid w:val="008B471E"/>
    <w:rsid w:val="008B482E"/>
    <w:rsid w:val="008B4BAF"/>
    <w:rsid w:val="008B521D"/>
    <w:rsid w:val="008B5532"/>
    <w:rsid w:val="008B55CF"/>
    <w:rsid w:val="008B566A"/>
    <w:rsid w:val="008B5C83"/>
    <w:rsid w:val="008B5EAE"/>
    <w:rsid w:val="008B6418"/>
    <w:rsid w:val="008B6B25"/>
    <w:rsid w:val="008B6CB6"/>
    <w:rsid w:val="008B6D6C"/>
    <w:rsid w:val="008B6FB1"/>
    <w:rsid w:val="008B7022"/>
    <w:rsid w:val="008B770B"/>
    <w:rsid w:val="008B7AB5"/>
    <w:rsid w:val="008B7B1C"/>
    <w:rsid w:val="008B7CED"/>
    <w:rsid w:val="008C0582"/>
    <w:rsid w:val="008C0A20"/>
    <w:rsid w:val="008C0A2C"/>
    <w:rsid w:val="008C0BAA"/>
    <w:rsid w:val="008C0E20"/>
    <w:rsid w:val="008C10E6"/>
    <w:rsid w:val="008C12FB"/>
    <w:rsid w:val="008C17F4"/>
    <w:rsid w:val="008C1A89"/>
    <w:rsid w:val="008C1B77"/>
    <w:rsid w:val="008C1E8B"/>
    <w:rsid w:val="008C26CB"/>
    <w:rsid w:val="008C27DC"/>
    <w:rsid w:val="008C3325"/>
    <w:rsid w:val="008C347D"/>
    <w:rsid w:val="008C366D"/>
    <w:rsid w:val="008C3914"/>
    <w:rsid w:val="008C3E22"/>
    <w:rsid w:val="008C3ED9"/>
    <w:rsid w:val="008C4010"/>
    <w:rsid w:val="008C4A63"/>
    <w:rsid w:val="008C57F7"/>
    <w:rsid w:val="008C5E65"/>
    <w:rsid w:val="008C61EA"/>
    <w:rsid w:val="008C6204"/>
    <w:rsid w:val="008C6251"/>
    <w:rsid w:val="008C62ED"/>
    <w:rsid w:val="008C6316"/>
    <w:rsid w:val="008C6757"/>
    <w:rsid w:val="008C69AD"/>
    <w:rsid w:val="008C69EE"/>
    <w:rsid w:val="008C7058"/>
    <w:rsid w:val="008C74F8"/>
    <w:rsid w:val="008C757E"/>
    <w:rsid w:val="008C791F"/>
    <w:rsid w:val="008C7A37"/>
    <w:rsid w:val="008C7D69"/>
    <w:rsid w:val="008C7F45"/>
    <w:rsid w:val="008D0619"/>
    <w:rsid w:val="008D1401"/>
    <w:rsid w:val="008D1804"/>
    <w:rsid w:val="008D191C"/>
    <w:rsid w:val="008D196F"/>
    <w:rsid w:val="008D1A0F"/>
    <w:rsid w:val="008D1D4F"/>
    <w:rsid w:val="008D1F2D"/>
    <w:rsid w:val="008D22E6"/>
    <w:rsid w:val="008D2335"/>
    <w:rsid w:val="008D24FB"/>
    <w:rsid w:val="008D2521"/>
    <w:rsid w:val="008D2926"/>
    <w:rsid w:val="008D29E9"/>
    <w:rsid w:val="008D2B3C"/>
    <w:rsid w:val="008D308E"/>
    <w:rsid w:val="008D30D6"/>
    <w:rsid w:val="008D3542"/>
    <w:rsid w:val="008D3A27"/>
    <w:rsid w:val="008D3AB9"/>
    <w:rsid w:val="008D3E77"/>
    <w:rsid w:val="008D4505"/>
    <w:rsid w:val="008D4637"/>
    <w:rsid w:val="008D4952"/>
    <w:rsid w:val="008D4A2C"/>
    <w:rsid w:val="008D4D4F"/>
    <w:rsid w:val="008D4EC4"/>
    <w:rsid w:val="008D5424"/>
    <w:rsid w:val="008D5572"/>
    <w:rsid w:val="008D5A72"/>
    <w:rsid w:val="008D5E5C"/>
    <w:rsid w:val="008D67F8"/>
    <w:rsid w:val="008D690E"/>
    <w:rsid w:val="008D7739"/>
    <w:rsid w:val="008D7ADA"/>
    <w:rsid w:val="008D7E5C"/>
    <w:rsid w:val="008E0B69"/>
    <w:rsid w:val="008E0E37"/>
    <w:rsid w:val="008E0ECB"/>
    <w:rsid w:val="008E1175"/>
    <w:rsid w:val="008E11DA"/>
    <w:rsid w:val="008E142D"/>
    <w:rsid w:val="008E1527"/>
    <w:rsid w:val="008E1CA5"/>
    <w:rsid w:val="008E224D"/>
    <w:rsid w:val="008E2A0E"/>
    <w:rsid w:val="008E2B1E"/>
    <w:rsid w:val="008E2BDD"/>
    <w:rsid w:val="008E2CA3"/>
    <w:rsid w:val="008E3485"/>
    <w:rsid w:val="008E392E"/>
    <w:rsid w:val="008E39FE"/>
    <w:rsid w:val="008E3B0B"/>
    <w:rsid w:val="008E43FC"/>
    <w:rsid w:val="008E48C0"/>
    <w:rsid w:val="008E4988"/>
    <w:rsid w:val="008E4A2F"/>
    <w:rsid w:val="008E4B12"/>
    <w:rsid w:val="008E4BD4"/>
    <w:rsid w:val="008E4EFF"/>
    <w:rsid w:val="008E54BA"/>
    <w:rsid w:val="008E560F"/>
    <w:rsid w:val="008E5D97"/>
    <w:rsid w:val="008E5E0F"/>
    <w:rsid w:val="008E6189"/>
    <w:rsid w:val="008E6439"/>
    <w:rsid w:val="008E6541"/>
    <w:rsid w:val="008E6FD8"/>
    <w:rsid w:val="008E70E4"/>
    <w:rsid w:val="008E710C"/>
    <w:rsid w:val="008E7423"/>
    <w:rsid w:val="008E75F0"/>
    <w:rsid w:val="008E7971"/>
    <w:rsid w:val="008E7C41"/>
    <w:rsid w:val="008E7E19"/>
    <w:rsid w:val="008F054D"/>
    <w:rsid w:val="008F086C"/>
    <w:rsid w:val="008F0C06"/>
    <w:rsid w:val="008F1124"/>
    <w:rsid w:val="008F1157"/>
    <w:rsid w:val="008F14AF"/>
    <w:rsid w:val="008F14E6"/>
    <w:rsid w:val="008F152C"/>
    <w:rsid w:val="008F17A8"/>
    <w:rsid w:val="008F1995"/>
    <w:rsid w:val="008F1FBD"/>
    <w:rsid w:val="008F21E0"/>
    <w:rsid w:val="008F2248"/>
    <w:rsid w:val="008F22A6"/>
    <w:rsid w:val="008F2AF1"/>
    <w:rsid w:val="008F2BFC"/>
    <w:rsid w:val="008F313F"/>
    <w:rsid w:val="008F3923"/>
    <w:rsid w:val="008F3AC5"/>
    <w:rsid w:val="008F3BCC"/>
    <w:rsid w:val="008F4432"/>
    <w:rsid w:val="008F45C1"/>
    <w:rsid w:val="008F4630"/>
    <w:rsid w:val="008F4CC7"/>
    <w:rsid w:val="008F4F97"/>
    <w:rsid w:val="008F52BC"/>
    <w:rsid w:val="008F56CA"/>
    <w:rsid w:val="008F5E79"/>
    <w:rsid w:val="008F6233"/>
    <w:rsid w:val="008F64A3"/>
    <w:rsid w:val="008F6640"/>
    <w:rsid w:val="008F6B44"/>
    <w:rsid w:val="008F6F91"/>
    <w:rsid w:val="008F6FC1"/>
    <w:rsid w:val="008F73B5"/>
    <w:rsid w:val="008F74B3"/>
    <w:rsid w:val="008F7575"/>
    <w:rsid w:val="008F75CA"/>
    <w:rsid w:val="008F7649"/>
    <w:rsid w:val="008F77D1"/>
    <w:rsid w:val="0090012A"/>
    <w:rsid w:val="0090029B"/>
    <w:rsid w:val="0090045F"/>
    <w:rsid w:val="009009A5"/>
    <w:rsid w:val="009009F0"/>
    <w:rsid w:val="00900C68"/>
    <w:rsid w:val="0090110B"/>
    <w:rsid w:val="0090146F"/>
    <w:rsid w:val="0090150D"/>
    <w:rsid w:val="00901B7C"/>
    <w:rsid w:val="00901DA6"/>
    <w:rsid w:val="00902142"/>
    <w:rsid w:val="00902385"/>
    <w:rsid w:val="009027F0"/>
    <w:rsid w:val="00902E28"/>
    <w:rsid w:val="00902F4C"/>
    <w:rsid w:val="009035DB"/>
    <w:rsid w:val="009036F7"/>
    <w:rsid w:val="009037D9"/>
    <w:rsid w:val="00903930"/>
    <w:rsid w:val="00903A93"/>
    <w:rsid w:val="00903BD5"/>
    <w:rsid w:val="00903D8C"/>
    <w:rsid w:val="0090423A"/>
    <w:rsid w:val="00904713"/>
    <w:rsid w:val="009047E9"/>
    <w:rsid w:val="00904888"/>
    <w:rsid w:val="009049BE"/>
    <w:rsid w:val="00904B4B"/>
    <w:rsid w:val="00904D88"/>
    <w:rsid w:val="00904E17"/>
    <w:rsid w:val="00905107"/>
    <w:rsid w:val="0090530B"/>
    <w:rsid w:val="009056C1"/>
    <w:rsid w:val="00905719"/>
    <w:rsid w:val="00905744"/>
    <w:rsid w:val="00905771"/>
    <w:rsid w:val="0090590E"/>
    <w:rsid w:val="009059A5"/>
    <w:rsid w:val="00905B56"/>
    <w:rsid w:val="00905DF7"/>
    <w:rsid w:val="00905EB8"/>
    <w:rsid w:val="00906D77"/>
    <w:rsid w:val="00907043"/>
    <w:rsid w:val="009073EA"/>
    <w:rsid w:val="00907454"/>
    <w:rsid w:val="00907547"/>
    <w:rsid w:val="009075CE"/>
    <w:rsid w:val="009075DE"/>
    <w:rsid w:val="00907FE1"/>
    <w:rsid w:val="009101F4"/>
    <w:rsid w:val="0091086F"/>
    <w:rsid w:val="00910931"/>
    <w:rsid w:val="00910969"/>
    <w:rsid w:val="00911014"/>
    <w:rsid w:val="009110BD"/>
    <w:rsid w:val="00911E20"/>
    <w:rsid w:val="00911FAE"/>
    <w:rsid w:val="00911FBC"/>
    <w:rsid w:val="009121FE"/>
    <w:rsid w:val="00912712"/>
    <w:rsid w:val="0091292A"/>
    <w:rsid w:val="00912BD1"/>
    <w:rsid w:val="00912CD5"/>
    <w:rsid w:val="00912CE5"/>
    <w:rsid w:val="00912E9B"/>
    <w:rsid w:val="0091339A"/>
    <w:rsid w:val="009135D3"/>
    <w:rsid w:val="00913B0F"/>
    <w:rsid w:val="00913CB6"/>
    <w:rsid w:val="00913EB2"/>
    <w:rsid w:val="00913F7F"/>
    <w:rsid w:val="009140D6"/>
    <w:rsid w:val="00914685"/>
    <w:rsid w:val="009146BF"/>
    <w:rsid w:val="009148F0"/>
    <w:rsid w:val="009150F4"/>
    <w:rsid w:val="00915CEF"/>
    <w:rsid w:val="00915EAE"/>
    <w:rsid w:val="009162B1"/>
    <w:rsid w:val="009163AF"/>
    <w:rsid w:val="00916532"/>
    <w:rsid w:val="009165EE"/>
    <w:rsid w:val="009167FE"/>
    <w:rsid w:val="00916807"/>
    <w:rsid w:val="00916873"/>
    <w:rsid w:val="00916B41"/>
    <w:rsid w:val="00916C03"/>
    <w:rsid w:val="00916D73"/>
    <w:rsid w:val="00916DE4"/>
    <w:rsid w:val="00916FDE"/>
    <w:rsid w:val="00917058"/>
    <w:rsid w:val="00917339"/>
    <w:rsid w:val="0091757A"/>
    <w:rsid w:val="00917790"/>
    <w:rsid w:val="009200EF"/>
    <w:rsid w:val="00920868"/>
    <w:rsid w:val="00920B4C"/>
    <w:rsid w:val="009210A4"/>
    <w:rsid w:val="00921332"/>
    <w:rsid w:val="00921403"/>
    <w:rsid w:val="00921425"/>
    <w:rsid w:val="0092158F"/>
    <w:rsid w:val="0092164D"/>
    <w:rsid w:val="009218CB"/>
    <w:rsid w:val="009219D6"/>
    <w:rsid w:val="00921B25"/>
    <w:rsid w:val="00921CA5"/>
    <w:rsid w:val="00921F04"/>
    <w:rsid w:val="00921F63"/>
    <w:rsid w:val="00922016"/>
    <w:rsid w:val="00922461"/>
    <w:rsid w:val="009227A4"/>
    <w:rsid w:val="00922D93"/>
    <w:rsid w:val="00922EB7"/>
    <w:rsid w:val="00922FBA"/>
    <w:rsid w:val="00923430"/>
    <w:rsid w:val="009237D5"/>
    <w:rsid w:val="0092394C"/>
    <w:rsid w:val="00923D33"/>
    <w:rsid w:val="00923FEB"/>
    <w:rsid w:val="009240F0"/>
    <w:rsid w:val="00924343"/>
    <w:rsid w:val="0092474B"/>
    <w:rsid w:val="00924DC4"/>
    <w:rsid w:val="00925168"/>
    <w:rsid w:val="009253BF"/>
    <w:rsid w:val="009253D4"/>
    <w:rsid w:val="0092551C"/>
    <w:rsid w:val="009257A5"/>
    <w:rsid w:val="00925D88"/>
    <w:rsid w:val="00925E10"/>
    <w:rsid w:val="00925E24"/>
    <w:rsid w:val="0092600B"/>
    <w:rsid w:val="0092633B"/>
    <w:rsid w:val="0092635B"/>
    <w:rsid w:val="009263F9"/>
    <w:rsid w:val="00926455"/>
    <w:rsid w:val="009264A7"/>
    <w:rsid w:val="00926C22"/>
    <w:rsid w:val="00926C64"/>
    <w:rsid w:val="00926E36"/>
    <w:rsid w:val="00926FCA"/>
    <w:rsid w:val="0092742D"/>
    <w:rsid w:val="00927617"/>
    <w:rsid w:val="009278ED"/>
    <w:rsid w:val="00927A56"/>
    <w:rsid w:val="00927B73"/>
    <w:rsid w:val="009301B1"/>
    <w:rsid w:val="0093042D"/>
    <w:rsid w:val="00931121"/>
    <w:rsid w:val="009311F2"/>
    <w:rsid w:val="0093120B"/>
    <w:rsid w:val="00931265"/>
    <w:rsid w:val="009313F6"/>
    <w:rsid w:val="00931F14"/>
    <w:rsid w:val="009321AC"/>
    <w:rsid w:val="0093239C"/>
    <w:rsid w:val="00932B2E"/>
    <w:rsid w:val="00932E4C"/>
    <w:rsid w:val="00932E92"/>
    <w:rsid w:val="00933110"/>
    <w:rsid w:val="00933373"/>
    <w:rsid w:val="00933531"/>
    <w:rsid w:val="009336C8"/>
    <w:rsid w:val="009336FD"/>
    <w:rsid w:val="00933806"/>
    <w:rsid w:val="0093382F"/>
    <w:rsid w:val="009338D0"/>
    <w:rsid w:val="00933B8F"/>
    <w:rsid w:val="00933BA4"/>
    <w:rsid w:val="00933CD0"/>
    <w:rsid w:val="00933DF2"/>
    <w:rsid w:val="0093410A"/>
    <w:rsid w:val="009344A4"/>
    <w:rsid w:val="009346EA"/>
    <w:rsid w:val="009349F3"/>
    <w:rsid w:val="00934BD6"/>
    <w:rsid w:val="00934BF9"/>
    <w:rsid w:val="00934C49"/>
    <w:rsid w:val="009351DA"/>
    <w:rsid w:val="00935899"/>
    <w:rsid w:val="00935AA1"/>
    <w:rsid w:val="00935C63"/>
    <w:rsid w:val="00935D2B"/>
    <w:rsid w:val="0093621D"/>
    <w:rsid w:val="009362AF"/>
    <w:rsid w:val="009362F9"/>
    <w:rsid w:val="00936545"/>
    <w:rsid w:val="00936549"/>
    <w:rsid w:val="00936C8A"/>
    <w:rsid w:val="00936FA4"/>
    <w:rsid w:val="00937032"/>
    <w:rsid w:val="0093754E"/>
    <w:rsid w:val="00937747"/>
    <w:rsid w:val="00937B5F"/>
    <w:rsid w:val="00937BA7"/>
    <w:rsid w:val="00940991"/>
    <w:rsid w:val="00940A36"/>
    <w:rsid w:val="00940BE8"/>
    <w:rsid w:val="00940C05"/>
    <w:rsid w:val="00941043"/>
    <w:rsid w:val="00941230"/>
    <w:rsid w:val="00941339"/>
    <w:rsid w:val="00941965"/>
    <w:rsid w:val="00941F08"/>
    <w:rsid w:val="009421B1"/>
    <w:rsid w:val="0094237C"/>
    <w:rsid w:val="0094295C"/>
    <w:rsid w:val="00942C95"/>
    <w:rsid w:val="00942DB2"/>
    <w:rsid w:val="00943186"/>
    <w:rsid w:val="00943311"/>
    <w:rsid w:val="009435EE"/>
    <w:rsid w:val="009438C2"/>
    <w:rsid w:val="0094394A"/>
    <w:rsid w:val="00943B34"/>
    <w:rsid w:val="00943DB7"/>
    <w:rsid w:val="009440E2"/>
    <w:rsid w:val="0094415E"/>
    <w:rsid w:val="009442CB"/>
    <w:rsid w:val="00944D22"/>
    <w:rsid w:val="0094570D"/>
    <w:rsid w:val="00945A8C"/>
    <w:rsid w:val="00946070"/>
    <w:rsid w:val="009460EE"/>
    <w:rsid w:val="0094617C"/>
    <w:rsid w:val="00946374"/>
    <w:rsid w:val="00946954"/>
    <w:rsid w:val="009469D6"/>
    <w:rsid w:val="00946AC8"/>
    <w:rsid w:val="00946B08"/>
    <w:rsid w:val="00946B1B"/>
    <w:rsid w:val="00947034"/>
    <w:rsid w:val="00947146"/>
    <w:rsid w:val="00947275"/>
    <w:rsid w:val="0094746C"/>
    <w:rsid w:val="0094765A"/>
    <w:rsid w:val="0094798D"/>
    <w:rsid w:val="00947EC8"/>
    <w:rsid w:val="009500D3"/>
    <w:rsid w:val="0095056F"/>
    <w:rsid w:val="00950F2C"/>
    <w:rsid w:val="0095114F"/>
    <w:rsid w:val="00951751"/>
    <w:rsid w:val="0095181A"/>
    <w:rsid w:val="00951E14"/>
    <w:rsid w:val="0095222A"/>
    <w:rsid w:val="009524A1"/>
    <w:rsid w:val="00952AC8"/>
    <w:rsid w:val="00952B40"/>
    <w:rsid w:val="00952D4B"/>
    <w:rsid w:val="00952E83"/>
    <w:rsid w:val="00953663"/>
    <w:rsid w:val="00953E39"/>
    <w:rsid w:val="00953E70"/>
    <w:rsid w:val="00953F2C"/>
    <w:rsid w:val="00954237"/>
    <w:rsid w:val="00954546"/>
    <w:rsid w:val="00954B22"/>
    <w:rsid w:val="00954BC6"/>
    <w:rsid w:val="00954C57"/>
    <w:rsid w:val="00954FF3"/>
    <w:rsid w:val="00955069"/>
    <w:rsid w:val="00955101"/>
    <w:rsid w:val="0095589E"/>
    <w:rsid w:val="00955C37"/>
    <w:rsid w:val="009561B6"/>
    <w:rsid w:val="009563A8"/>
    <w:rsid w:val="00956ABD"/>
    <w:rsid w:val="00956D95"/>
    <w:rsid w:val="009576CE"/>
    <w:rsid w:val="00957BA0"/>
    <w:rsid w:val="00957C67"/>
    <w:rsid w:val="00957F93"/>
    <w:rsid w:val="009602BE"/>
    <w:rsid w:val="00960700"/>
    <w:rsid w:val="00960D84"/>
    <w:rsid w:val="00960FBB"/>
    <w:rsid w:val="009613F7"/>
    <w:rsid w:val="00961623"/>
    <w:rsid w:val="00961878"/>
    <w:rsid w:val="00961F02"/>
    <w:rsid w:val="00962A69"/>
    <w:rsid w:val="00962BDE"/>
    <w:rsid w:val="009632BA"/>
    <w:rsid w:val="009632CB"/>
    <w:rsid w:val="009634DB"/>
    <w:rsid w:val="0096361C"/>
    <w:rsid w:val="0096378B"/>
    <w:rsid w:val="009638A0"/>
    <w:rsid w:val="00963BD8"/>
    <w:rsid w:val="00963C92"/>
    <w:rsid w:val="00964138"/>
    <w:rsid w:val="00964219"/>
    <w:rsid w:val="00964367"/>
    <w:rsid w:val="00964435"/>
    <w:rsid w:val="0096468E"/>
    <w:rsid w:val="009648D7"/>
    <w:rsid w:val="00964B0B"/>
    <w:rsid w:val="00964F0B"/>
    <w:rsid w:val="009651A3"/>
    <w:rsid w:val="00965213"/>
    <w:rsid w:val="009654E8"/>
    <w:rsid w:val="009656E9"/>
    <w:rsid w:val="00965896"/>
    <w:rsid w:val="00965CFA"/>
    <w:rsid w:val="00965D8D"/>
    <w:rsid w:val="00965F2F"/>
    <w:rsid w:val="009660F1"/>
    <w:rsid w:val="009664BD"/>
    <w:rsid w:val="009664E7"/>
    <w:rsid w:val="009667CF"/>
    <w:rsid w:val="009667FA"/>
    <w:rsid w:val="009668C2"/>
    <w:rsid w:val="00966A26"/>
    <w:rsid w:val="00966A28"/>
    <w:rsid w:val="009678C7"/>
    <w:rsid w:val="00967B46"/>
    <w:rsid w:val="0097003D"/>
    <w:rsid w:val="0097009B"/>
    <w:rsid w:val="00970668"/>
    <w:rsid w:val="009707F9"/>
    <w:rsid w:val="009709B7"/>
    <w:rsid w:val="009710C8"/>
    <w:rsid w:val="009711E3"/>
    <w:rsid w:val="0097137D"/>
    <w:rsid w:val="00971836"/>
    <w:rsid w:val="00971F5B"/>
    <w:rsid w:val="00972010"/>
    <w:rsid w:val="009722E1"/>
    <w:rsid w:val="00972302"/>
    <w:rsid w:val="0097262D"/>
    <w:rsid w:val="009727D4"/>
    <w:rsid w:val="00972953"/>
    <w:rsid w:val="00972AE9"/>
    <w:rsid w:val="00972CB0"/>
    <w:rsid w:val="00972D56"/>
    <w:rsid w:val="00972DAB"/>
    <w:rsid w:val="00972E6E"/>
    <w:rsid w:val="00973154"/>
    <w:rsid w:val="00973787"/>
    <w:rsid w:val="00973891"/>
    <w:rsid w:val="00973A0B"/>
    <w:rsid w:val="00973D88"/>
    <w:rsid w:val="00973D96"/>
    <w:rsid w:val="009747AD"/>
    <w:rsid w:val="009747EE"/>
    <w:rsid w:val="00974AF4"/>
    <w:rsid w:val="00974F8B"/>
    <w:rsid w:val="0097517E"/>
    <w:rsid w:val="009756FF"/>
    <w:rsid w:val="0097599C"/>
    <w:rsid w:val="00975BC3"/>
    <w:rsid w:val="00975C57"/>
    <w:rsid w:val="009769ED"/>
    <w:rsid w:val="00976FDE"/>
    <w:rsid w:val="0097702A"/>
    <w:rsid w:val="009770E7"/>
    <w:rsid w:val="0097728D"/>
    <w:rsid w:val="00977423"/>
    <w:rsid w:val="00977855"/>
    <w:rsid w:val="00980194"/>
    <w:rsid w:val="009802E3"/>
    <w:rsid w:val="00980563"/>
    <w:rsid w:val="009809BF"/>
    <w:rsid w:val="009809FE"/>
    <w:rsid w:val="00980AEF"/>
    <w:rsid w:val="00980CDB"/>
    <w:rsid w:val="009814E6"/>
    <w:rsid w:val="009814FD"/>
    <w:rsid w:val="00981ABB"/>
    <w:rsid w:val="00981F10"/>
    <w:rsid w:val="00982378"/>
    <w:rsid w:val="00982392"/>
    <w:rsid w:val="009823B2"/>
    <w:rsid w:val="0098248A"/>
    <w:rsid w:val="009825A2"/>
    <w:rsid w:val="00982B17"/>
    <w:rsid w:val="00982E06"/>
    <w:rsid w:val="00982F64"/>
    <w:rsid w:val="00983151"/>
    <w:rsid w:val="00983204"/>
    <w:rsid w:val="0098383E"/>
    <w:rsid w:val="00983CF8"/>
    <w:rsid w:val="0098400F"/>
    <w:rsid w:val="00984240"/>
    <w:rsid w:val="00984273"/>
    <w:rsid w:val="00984488"/>
    <w:rsid w:val="00984495"/>
    <w:rsid w:val="009845B7"/>
    <w:rsid w:val="0098468C"/>
    <w:rsid w:val="00984DE1"/>
    <w:rsid w:val="00984E0A"/>
    <w:rsid w:val="00984E94"/>
    <w:rsid w:val="00984EB1"/>
    <w:rsid w:val="009857BF"/>
    <w:rsid w:val="00985A66"/>
    <w:rsid w:val="00985ADE"/>
    <w:rsid w:val="00985C1F"/>
    <w:rsid w:val="00985DBC"/>
    <w:rsid w:val="009860DB"/>
    <w:rsid w:val="0098673B"/>
    <w:rsid w:val="009869FC"/>
    <w:rsid w:val="00986D47"/>
    <w:rsid w:val="0098715B"/>
    <w:rsid w:val="00987550"/>
    <w:rsid w:val="009876A1"/>
    <w:rsid w:val="0098784C"/>
    <w:rsid w:val="00987BD4"/>
    <w:rsid w:val="00987CBB"/>
    <w:rsid w:val="00987D4F"/>
    <w:rsid w:val="00987EC7"/>
    <w:rsid w:val="00987F6E"/>
    <w:rsid w:val="00990103"/>
    <w:rsid w:val="009902CF"/>
    <w:rsid w:val="009907A1"/>
    <w:rsid w:val="00990A72"/>
    <w:rsid w:val="009913A7"/>
    <w:rsid w:val="0099164B"/>
    <w:rsid w:val="00991694"/>
    <w:rsid w:val="00991C07"/>
    <w:rsid w:val="00991C58"/>
    <w:rsid w:val="0099292E"/>
    <w:rsid w:val="00992BE9"/>
    <w:rsid w:val="00992F8B"/>
    <w:rsid w:val="009934AA"/>
    <w:rsid w:val="0099362C"/>
    <w:rsid w:val="009936B9"/>
    <w:rsid w:val="00993B9A"/>
    <w:rsid w:val="0099403C"/>
    <w:rsid w:val="0099422A"/>
    <w:rsid w:val="00994275"/>
    <w:rsid w:val="00995AC3"/>
    <w:rsid w:val="00995B61"/>
    <w:rsid w:val="00995E7D"/>
    <w:rsid w:val="00996D97"/>
    <w:rsid w:val="00997146"/>
    <w:rsid w:val="009978C1"/>
    <w:rsid w:val="009A0B96"/>
    <w:rsid w:val="009A1284"/>
    <w:rsid w:val="009A13E1"/>
    <w:rsid w:val="009A1424"/>
    <w:rsid w:val="009A233F"/>
    <w:rsid w:val="009A2414"/>
    <w:rsid w:val="009A2624"/>
    <w:rsid w:val="009A267B"/>
    <w:rsid w:val="009A26DD"/>
    <w:rsid w:val="009A2A16"/>
    <w:rsid w:val="009A36DA"/>
    <w:rsid w:val="009A37EE"/>
    <w:rsid w:val="009A38ED"/>
    <w:rsid w:val="009A3F28"/>
    <w:rsid w:val="009A47CF"/>
    <w:rsid w:val="009A4BB3"/>
    <w:rsid w:val="009A4BD9"/>
    <w:rsid w:val="009A4D99"/>
    <w:rsid w:val="009A4E69"/>
    <w:rsid w:val="009A4F86"/>
    <w:rsid w:val="009A50A4"/>
    <w:rsid w:val="009A50BA"/>
    <w:rsid w:val="009A5143"/>
    <w:rsid w:val="009A5B4D"/>
    <w:rsid w:val="009A5BA8"/>
    <w:rsid w:val="009A5CBA"/>
    <w:rsid w:val="009A5E02"/>
    <w:rsid w:val="009A62C8"/>
    <w:rsid w:val="009A69F5"/>
    <w:rsid w:val="009A6D9F"/>
    <w:rsid w:val="009A6DB6"/>
    <w:rsid w:val="009A7603"/>
    <w:rsid w:val="009A7788"/>
    <w:rsid w:val="009A7A06"/>
    <w:rsid w:val="009A7AD4"/>
    <w:rsid w:val="009A7DAC"/>
    <w:rsid w:val="009B009C"/>
    <w:rsid w:val="009B0A68"/>
    <w:rsid w:val="009B0D05"/>
    <w:rsid w:val="009B207E"/>
    <w:rsid w:val="009B262D"/>
    <w:rsid w:val="009B2BA7"/>
    <w:rsid w:val="009B2DD4"/>
    <w:rsid w:val="009B2DFE"/>
    <w:rsid w:val="009B328A"/>
    <w:rsid w:val="009B34C1"/>
    <w:rsid w:val="009B3B94"/>
    <w:rsid w:val="009B3D61"/>
    <w:rsid w:val="009B3ED8"/>
    <w:rsid w:val="009B3F0E"/>
    <w:rsid w:val="009B425B"/>
    <w:rsid w:val="009B474A"/>
    <w:rsid w:val="009B752D"/>
    <w:rsid w:val="009B7745"/>
    <w:rsid w:val="009B77DC"/>
    <w:rsid w:val="009B797E"/>
    <w:rsid w:val="009B7C28"/>
    <w:rsid w:val="009B7E21"/>
    <w:rsid w:val="009B7E4A"/>
    <w:rsid w:val="009C0035"/>
    <w:rsid w:val="009C00DB"/>
    <w:rsid w:val="009C0237"/>
    <w:rsid w:val="009C0535"/>
    <w:rsid w:val="009C0685"/>
    <w:rsid w:val="009C079D"/>
    <w:rsid w:val="009C08CE"/>
    <w:rsid w:val="009C0D06"/>
    <w:rsid w:val="009C0D63"/>
    <w:rsid w:val="009C0D9D"/>
    <w:rsid w:val="009C1300"/>
    <w:rsid w:val="009C1554"/>
    <w:rsid w:val="009C15D0"/>
    <w:rsid w:val="009C3069"/>
    <w:rsid w:val="009C3483"/>
    <w:rsid w:val="009C3B2C"/>
    <w:rsid w:val="009C3CD0"/>
    <w:rsid w:val="009C42CB"/>
    <w:rsid w:val="009C4379"/>
    <w:rsid w:val="009C4500"/>
    <w:rsid w:val="009C4EC7"/>
    <w:rsid w:val="009C59AD"/>
    <w:rsid w:val="009C603D"/>
    <w:rsid w:val="009C662A"/>
    <w:rsid w:val="009C66A9"/>
    <w:rsid w:val="009C710B"/>
    <w:rsid w:val="009C750F"/>
    <w:rsid w:val="009C76B6"/>
    <w:rsid w:val="009C7C37"/>
    <w:rsid w:val="009D027B"/>
    <w:rsid w:val="009D0588"/>
    <w:rsid w:val="009D068E"/>
    <w:rsid w:val="009D0727"/>
    <w:rsid w:val="009D112A"/>
    <w:rsid w:val="009D1145"/>
    <w:rsid w:val="009D13A1"/>
    <w:rsid w:val="009D1507"/>
    <w:rsid w:val="009D19AF"/>
    <w:rsid w:val="009D1E1E"/>
    <w:rsid w:val="009D2851"/>
    <w:rsid w:val="009D2857"/>
    <w:rsid w:val="009D3115"/>
    <w:rsid w:val="009D318C"/>
    <w:rsid w:val="009D31DB"/>
    <w:rsid w:val="009D354D"/>
    <w:rsid w:val="009D3C30"/>
    <w:rsid w:val="009D3ECD"/>
    <w:rsid w:val="009D406A"/>
    <w:rsid w:val="009D442C"/>
    <w:rsid w:val="009D49DA"/>
    <w:rsid w:val="009D4A32"/>
    <w:rsid w:val="009D4EDC"/>
    <w:rsid w:val="009D4F25"/>
    <w:rsid w:val="009D4FAD"/>
    <w:rsid w:val="009D526E"/>
    <w:rsid w:val="009D53D0"/>
    <w:rsid w:val="009D55F2"/>
    <w:rsid w:val="009D5911"/>
    <w:rsid w:val="009D5A3B"/>
    <w:rsid w:val="009D5B34"/>
    <w:rsid w:val="009D60A6"/>
    <w:rsid w:val="009D6142"/>
    <w:rsid w:val="009D6329"/>
    <w:rsid w:val="009D632E"/>
    <w:rsid w:val="009D65B3"/>
    <w:rsid w:val="009D65C7"/>
    <w:rsid w:val="009D69DA"/>
    <w:rsid w:val="009D6D5D"/>
    <w:rsid w:val="009D7075"/>
    <w:rsid w:val="009D7233"/>
    <w:rsid w:val="009D77A1"/>
    <w:rsid w:val="009D787A"/>
    <w:rsid w:val="009D78D2"/>
    <w:rsid w:val="009D79FF"/>
    <w:rsid w:val="009D7ABA"/>
    <w:rsid w:val="009D7B5F"/>
    <w:rsid w:val="009D7C17"/>
    <w:rsid w:val="009D7D32"/>
    <w:rsid w:val="009D7EF9"/>
    <w:rsid w:val="009E0394"/>
    <w:rsid w:val="009E0EF3"/>
    <w:rsid w:val="009E0FB9"/>
    <w:rsid w:val="009E1020"/>
    <w:rsid w:val="009E1083"/>
    <w:rsid w:val="009E175E"/>
    <w:rsid w:val="009E17A0"/>
    <w:rsid w:val="009E17A4"/>
    <w:rsid w:val="009E1A12"/>
    <w:rsid w:val="009E1A7E"/>
    <w:rsid w:val="009E1AE5"/>
    <w:rsid w:val="009E1E93"/>
    <w:rsid w:val="009E2792"/>
    <w:rsid w:val="009E282C"/>
    <w:rsid w:val="009E35A7"/>
    <w:rsid w:val="009E3613"/>
    <w:rsid w:val="009E3661"/>
    <w:rsid w:val="009E3829"/>
    <w:rsid w:val="009E387B"/>
    <w:rsid w:val="009E3A94"/>
    <w:rsid w:val="009E4AFC"/>
    <w:rsid w:val="009E4C86"/>
    <w:rsid w:val="009E4D05"/>
    <w:rsid w:val="009E51B4"/>
    <w:rsid w:val="009E52E3"/>
    <w:rsid w:val="009E5368"/>
    <w:rsid w:val="009E5571"/>
    <w:rsid w:val="009E5856"/>
    <w:rsid w:val="009E5E12"/>
    <w:rsid w:val="009E6179"/>
    <w:rsid w:val="009E6512"/>
    <w:rsid w:val="009E6721"/>
    <w:rsid w:val="009E696E"/>
    <w:rsid w:val="009E7158"/>
    <w:rsid w:val="009E7316"/>
    <w:rsid w:val="009E740F"/>
    <w:rsid w:val="009E7426"/>
    <w:rsid w:val="009E7AB7"/>
    <w:rsid w:val="009E7BE5"/>
    <w:rsid w:val="009F0164"/>
    <w:rsid w:val="009F02F9"/>
    <w:rsid w:val="009F03D5"/>
    <w:rsid w:val="009F054C"/>
    <w:rsid w:val="009F06AF"/>
    <w:rsid w:val="009F0CB5"/>
    <w:rsid w:val="009F14BA"/>
    <w:rsid w:val="009F1544"/>
    <w:rsid w:val="009F1654"/>
    <w:rsid w:val="009F1B3D"/>
    <w:rsid w:val="009F1FC4"/>
    <w:rsid w:val="009F200A"/>
    <w:rsid w:val="009F20E4"/>
    <w:rsid w:val="009F2131"/>
    <w:rsid w:val="009F2198"/>
    <w:rsid w:val="009F2210"/>
    <w:rsid w:val="009F22C1"/>
    <w:rsid w:val="009F2480"/>
    <w:rsid w:val="009F29FD"/>
    <w:rsid w:val="009F2A15"/>
    <w:rsid w:val="009F2D3F"/>
    <w:rsid w:val="009F2D43"/>
    <w:rsid w:val="009F2EF0"/>
    <w:rsid w:val="009F3793"/>
    <w:rsid w:val="009F39B4"/>
    <w:rsid w:val="009F3F3B"/>
    <w:rsid w:val="009F445E"/>
    <w:rsid w:val="009F497F"/>
    <w:rsid w:val="009F518D"/>
    <w:rsid w:val="009F533F"/>
    <w:rsid w:val="009F57D8"/>
    <w:rsid w:val="009F587A"/>
    <w:rsid w:val="009F5B75"/>
    <w:rsid w:val="009F5C9E"/>
    <w:rsid w:val="009F5FA5"/>
    <w:rsid w:val="009F64C0"/>
    <w:rsid w:val="009F674E"/>
    <w:rsid w:val="009F6CE8"/>
    <w:rsid w:val="009F6E68"/>
    <w:rsid w:val="009F71E7"/>
    <w:rsid w:val="009F7262"/>
    <w:rsid w:val="009F7B4F"/>
    <w:rsid w:val="009F7D30"/>
    <w:rsid w:val="00A00871"/>
    <w:rsid w:val="00A00B6D"/>
    <w:rsid w:val="00A010BF"/>
    <w:rsid w:val="00A01269"/>
    <w:rsid w:val="00A01956"/>
    <w:rsid w:val="00A01C2C"/>
    <w:rsid w:val="00A02104"/>
    <w:rsid w:val="00A0292A"/>
    <w:rsid w:val="00A031C0"/>
    <w:rsid w:val="00A03491"/>
    <w:rsid w:val="00A034E6"/>
    <w:rsid w:val="00A03690"/>
    <w:rsid w:val="00A038EE"/>
    <w:rsid w:val="00A03D80"/>
    <w:rsid w:val="00A04185"/>
    <w:rsid w:val="00A043C5"/>
    <w:rsid w:val="00A045B4"/>
    <w:rsid w:val="00A04B03"/>
    <w:rsid w:val="00A04C09"/>
    <w:rsid w:val="00A04D59"/>
    <w:rsid w:val="00A04DA4"/>
    <w:rsid w:val="00A054B9"/>
    <w:rsid w:val="00A05863"/>
    <w:rsid w:val="00A05BF8"/>
    <w:rsid w:val="00A05CE2"/>
    <w:rsid w:val="00A06410"/>
    <w:rsid w:val="00A068AD"/>
    <w:rsid w:val="00A06DEA"/>
    <w:rsid w:val="00A06DFB"/>
    <w:rsid w:val="00A07508"/>
    <w:rsid w:val="00A0758C"/>
    <w:rsid w:val="00A079A0"/>
    <w:rsid w:val="00A07B0F"/>
    <w:rsid w:val="00A07D1A"/>
    <w:rsid w:val="00A07DD5"/>
    <w:rsid w:val="00A1079A"/>
    <w:rsid w:val="00A10907"/>
    <w:rsid w:val="00A1103C"/>
    <w:rsid w:val="00A1108E"/>
    <w:rsid w:val="00A11147"/>
    <w:rsid w:val="00A11166"/>
    <w:rsid w:val="00A11967"/>
    <w:rsid w:val="00A11F4C"/>
    <w:rsid w:val="00A1211C"/>
    <w:rsid w:val="00A12319"/>
    <w:rsid w:val="00A12A55"/>
    <w:rsid w:val="00A12AEF"/>
    <w:rsid w:val="00A12D15"/>
    <w:rsid w:val="00A13024"/>
    <w:rsid w:val="00A136E7"/>
    <w:rsid w:val="00A13B58"/>
    <w:rsid w:val="00A13BDB"/>
    <w:rsid w:val="00A14264"/>
    <w:rsid w:val="00A145BC"/>
    <w:rsid w:val="00A147E3"/>
    <w:rsid w:val="00A147EB"/>
    <w:rsid w:val="00A14834"/>
    <w:rsid w:val="00A148AE"/>
    <w:rsid w:val="00A14A36"/>
    <w:rsid w:val="00A14CF2"/>
    <w:rsid w:val="00A14D60"/>
    <w:rsid w:val="00A14DBE"/>
    <w:rsid w:val="00A14E07"/>
    <w:rsid w:val="00A14F9B"/>
    <w:rsid w:val="00A14FB9"/>
    <w:rsid w:val="00A15DDC"/>
    <w:rsid w:val="00A163A8"/>
    <w:rsid w:val="00A163AA"/>
    <w:rsid w:val="00A164A9"/>
    <w:rsid w:val="00A16ADA"/>
    <w:rsid w:val="00A16C92"/>
    <w:rsid w:val="00A16D3E"/>
    <w:rsid w:val="00A16D47"/>
    <w:rsid w:val="00A16FB9"/>
    <w:rsid w:val="00A17700"/>
    <w:rsid w:val="00A2004C"/>
    <w:rsid w:val="00A2036C"/>
    <w:rsid w:val="00A205DE"/>
    <w:rsid w:val="00A20936"/>
    <w:rsid w:val="00A20A84"/>
    <w:rsid w:val="00A20FD6"/>
    <w:rsid w:val="00A2153C"/>
    <w:rsid w:val="00A215BB"/>
    <w:rsid w:val="00A21DE9"/>
    <w:rsid w:val="00A221C5"/>
    <w:rsid w:val="00A2241D"/>
    <w:rsid w:val="00A224D3"/>
    <w:rsid w:val="00A224F5"/>
    <w:rsid w:val="00A22607"/>
    <w:rsid w:val="00A2288A"/>
    <w:rsid w:val="00A22A83"/>
    <w:rsid w:val="00A22C55"/>
    <w:rsid w:val="00A22CE7"/>
    <w:rsid w:val="00A22DA8"/>
    <w:rsid w:val="00A235FE"/>
    <w:rsid w:val="00A236B2"/>
    <w:rsid w:val="00A23DC3"/>
    <w:rsid w:val="00A23F9B"/>
    <w:rsid w:val="00A2411D"/>
    <w:rsid w:val="00A24756"/>
    <w:rsid w:val="00A249F3"/>
    <w:rsid w:val="00A24B6C"/>
    <w:rsid w:val="00A24BA0"/>
    <w:rsid w:val="00A2599D"/>
    <w:rsid w:val="00A259B2"/>
    <w:rsid w:val="00A25ADE"/>
    <w:rsid w:val="00A25B2F"/>
    <w:rsid w:val="00A25FE2"/>
    <w:rsid w:val="00A263E5"/>
    <w:rsid w:val="00A26480"/>
    <w:rsid w:val="00A265AF"/>
    <w:rsid w:val="00A26E73"/>
    <w:rsid w:val="00A2756C"/>
    <w:rsid w:val="00A279D5"/>
    <w:rsid w:val="00A27A89"/>
    <w:rsid w:val="00A27B6A"/>
    <w:rsid w:val="00A301DB"/>
    <w:rsid w:val="00A3020E"/>
    <w:rsid w:val="00A30844"/>
    <w:rsid w:val="00A30A82"/>
    <w:rsid w:val="00A30DF6"/>
    <w:rsid w:val="00A31391"/>
    <w:rsid w:val="00A31971"/>
    <w:rsid w:val="00A31CA9"/>
    <w:rsid w:val="00A31E33"/>
    <w:rsid w:val="00A31E49"/>
    <w:rsid w:val="00A3200D"/>
    <w:rsid w:val="00A321BB"/>
    <w:rsid w:val="00A3226B"/>
    <w:rsid w:val="00A326CD"/>
    <w:rsid w:val="00A326E3"/>
    <w:rsid w:val="00A32FBB"/>
    <w:rsid w:val="00A33034"/>
    <w:rsid w:val="00A33037"/>
    <w:rsid w:val="00A3326C"/>
    <w:rsid w:val="00A33380"/>
    <w:rsid w:val="00A3358F"/>
    <w:rsid w:val="00A336CF"/>
    <w:rsid w:val="00A33929"/>
    <w:rsid w:val="00A33B54"/>
    <w:rsid w:val="00A33BB7"/>
    <w:rsid w:val="00A33BDC"/>
    <w:rsid w:val="00A33F2C"/>
    <w:rsid w:val="00A34209"/>
    <w:rsid w:val="00A34545"/>
    <w:rsid w:val="00A34649"/>
    <w:rsid w:val="00A347DE"/>
    <w:rsid w:val="00A3481D"/>
    <w:rsid w:val="00A348A5"/>
    <w:rsid w:val="00A34998"/>
    <w:rsid w:val="00A34B51"/>
    <w:rsid w:val="00A34EF2"/>
    <w:rsid w:val="00A35225"/>
    <w:rsid w:val="00A35294"/>
    <w:rsid w:val="00A359EC"/>
    <w:rsid w:val="00A361CA"/>
    <w:rsid w:val="00A369BB"/>
    <w:rsid w:val="00A36A5F"/>
    <w:rsid w:val="00A36BF8"/>
    <w:rsid w:val="00A36CAA"/>
    <w:rsid w:val="00A36D3D"/>
    <w:rsid w:val="00A36EC7"/>
    <w:rsid w:val="00A36F81"/>
    <w:rsid w:val="00A374F4"/>
    <w:rsid w:val="00A37609"/>
    <w:rsid w:val="00A378CA"/>
    <w:rsid w:val="00A37A02"/>
    <w:rsid w:val="00A37AFA"/>
    <w:rsid w:val="00A37C42"/>
    <w:rsid w:val="00A402D1"/>
    <w:rsid w:val="00A4040D"/>
    <w:rsid w:val="00A40886"/>
    <w:rsid w:val="00A40D5A"/>
    <w:rsid w:val="00A4167A"/>
    <w:rsid w:val="00A41811"/>
    <w:rsid w:val="00A418FF"/>
    <w:rsid w:val="00A41A0C"/>
    <w:rsid w:val="00A41BB1"/>
    <w:rsid w:val="00A41D17"/>
    <w:rsid w:val="00A41E3B"/>
    <w:rsid w:val="00A41E5C"/>
    <w:rsid w:val="00A41E73"/>
    <w:rsid w:val="00A41FB0"/>
    <w:rsid w:val="00A42195"/>
    <w:rsid w:val="00A42DCE"/>
    <w:rsid w:val="00A43091"/>
    <w:rsid w:val="00A435ED"/>
    <w:rsid w:val="00A4362B"/>
    <w:rsid w:val="00A437ED"/>
    <w:rsid w:val="00A43C96"/>
    <w:rsid w:val="00A44202"/>
    <w:rsid w:val="00A44451"/>
    <w:rsid w:val="00A44790"/>
    <w:rsid w:val="00A44CED"/>
    <w:rsid w:val="00A44F32"/>
    <w:rsid w:val="00A4510F"/>
    <w:rsid w:val="00A4533E"/>
    <w:rsid w:val="00A4581B"/>
    <w:rsid w:val="00A458E9"/>
    <w:rsid w:val="00A45F41"/>
    <w:rsid w:val="00A46711"/>
    <w:rsid w:val="00A467D1"/>
    <w:rsid w:val="00A46B24"/>
    <w:rsid w:val="00A46C9E"/>
    <w:rsid w:val="00A46DCC"/>
    <w:rsid w:val="00A4729A"/>
    <w:rsid w:val="00A475AB"/>
    <w:rsid w:val="00A47886"/>
    <w:rsid w:val="00A47FA5"/>
    <w:rsid w:val="00A50340"/>
    <w:rsid w:val="00A505DC"/>
    <w:rsid w:val="00A505E3"/>
    <w:rsid w:val="00A50767"/>
    <w:rsid w:val="00A507BC"/>
    <w:rsid w:val="00A50B2F"/>
    <w:rsid w:val="00A50BAE"/>
    <w:rsid w:val="00A50F73"/>
    <w:rsid w:val="00A51201"/>
    <w:rsid w:val="00A512F8"/>
    <w:rsid w:val="00A51302"/>
    <w:rsid w:val="00A51C58"/>
    <w:rsid w:val="00A51F3D"/>
    <w:rsid w:val="00A51FAB"/>
    <w:rsid w:val="00A5207C"/>
    <w:rsid w:val="00A52241"/>
    <w:rsid w:val="00A52C70"/>
    <w:rsid w:val="00A531D3"/>
    <w:rsid w:val="00A5397E"/>
    <w:rsid w:val="00A53B6A"/>
    <w:rsid w:val="00A53BED"/>
    <w:rsid w:val="00A53CAD"/>
    <w:rsid w:val="00A53F35"/>
    <w:rsid w:val="00A53FB1"/>
    <w:rsid w:val="00A5420E"/>
    <w:rsid w:val="00A54347"/>
    <w:rsid w:val="00A5436F"/>
    <w:rsid w:val="00A5455F"/>
    <w:rsid w:val="00A546E8"/>
    <w:rsid w:val="00A5484F"/>
    <w:rsid w:val="00A54DE1"/>
    <w:rsid w:val="00A54F96"/>
    <w:rsid w:val="00A558A0"/>
    <w:rsid w:val="00A558AA"/>
    <w:rsid w:val="00A559A9"/>
    <w:rsid w:val="00A55E72"/>
    <w:rsid w:val="00A560DD"/>
    <w:rsid w:val="00A56AED"/>
    <w:rsid w:val="00A56D68"/>
    <w:rsid w:val="00A56DCA"/>
    <w:rsid w:val="00A56F20"/>
    <w:rsid w:val="00A57051"/>
    <w:rsid w:val="00A570CF"/>
    <w:rsid w:val="00A576FC"/>
    <w:rsid w:val="00A57AB4"/>
    <w:rsid w:val="00A60086"/>
    <w:rsid w:val="00A60457"/>
    <w:rsid w:val="00A605CA"/>
    <w:rsid w:val="00A60956"/>
    <w:rsid w:val="00A60A13"/>
    <w:rsid w:val="00A61549"/>
    <w:rsid w:val="00A6160D"/>
    <w:rsid w:val="00A62141"/>
    <w:rsid w:val="00A62AA3"/>
    <w:rsid w:val="00A62B3A"/>
    <w:rsid w:val="00A6307C"/>
    <w:rsid w:val="00A630A0"/>
    <w:rsid w:val="00A632F3"/>
    <w:rsid w:val="00A6369F"/>
    <w:rsid w:val="00A641E0"/>
    <w:rsid w:val="00A6424C"/>
    <w:rsid w:val="00A645E1"/>
    <w:rsid w:val="00A64810"/>
    <w:rsid w:val="00A64B04"/>
    <w:rsid w:val="00A64B28"/>
    <w:rsid w:val="00A64BF8"/>
    <w:rsid w:val="00A6506D"/>
    <w:rsid w:val="00A65297"/>
    <w:rsid w:val="00A653B8"/>
    <w:rsid w:val="00A65411"/>
    <w:rsid w:val="00A65CE0"/>
    <w:rsid w:val="00A65D31"/>
    <w:rsid w:val="00A65D33"/>
    <w:rsid w:val="00A65FBB"/>
    <w:rsid w:val="00A65FF6"/>
    <w:rsid w:val="00A660A9"/>
    <w:rsid w:val="00A662EE"/>
    <w:rsid w:val="00A6671F"/>
    <w:rsid w:val="00A66857"/>
    <w:rsid w:val="00A672B9"/>
    <w:rsid w:val="00A6744D"/>
    <w:rsid w:val="00A6763F"/>
    <w:rsid w:val="00A67677"/>
    <w:rsid w:val="00A679E8"/>
    <w:rsid w:val="00A700E2"/>
    <w:rsid w:val="00A7023E"/>
    <w:rsid w:val="00A70290"/>
    <w:rsid w:val="00A70417"/>
    <w:rsid w:val="00A709A7"/>
    <w:rsid w:val="00A70BED"/>
    <w:rsid w:val="00A70E60"/>
    <w:rsid w:val="00A71540"/>
    <w:rsid w:val="00A71604"/>
    <w:rsid w:val="00A71623"/>
    <w:rsid w:val="00A7164E"/>
    <w:rsid w:val="00A7176A"/>
    <w:rsid w:val="00A71AB4"/>
    <w:rsid w:val="00A71B19"/>
    <w:rsid w:val="00A71D22"/>
    <w:rsid w:val="00A71ED1"/>
    <w:rsid w:val="00A71F7C"/>
    <w:rsid w:val="00A7220F"/>
    <w:rsid w:val="00A723AA"/>
    <w:rsid w:val="00A7250B"/>
    <w:rsid w:val="00A72639"/>
    <w:rsid w:val="00A72C55"/>
    <w:rsid w:val="00A72D25"/>
    <w:rsid w:val="00A72E28"/>
    <w:rsid w:val="00A7313E"/>
    <w:rsid w:val="00A73455"/>
    <w:rsid w:val="00A735F6"/>
    <w:rsid w:val="00A739D9"/>
    <w:rsid w:val="00A73A2D"/>
    <w:rsid w:val="00A73D5A"/>
    <w:rsid w:val="00A748FE"/>
    <w:rsid w:val="00A74A36"/>
    <w:rsid w:val="00A74D3D"/>
    <w:rsid w:val="00A74FF1"/>
    <w:rsid w:val="00A754BC"/>
    <w:rsid w:val="00A75589"/>
    <w:rsid w:val="00A75948"/>
    <w:rsid w:val="00A75B39"/>
    <w:rsid w:val="00A76102"/>
    <w:rsid w:val="00A76540"/>
    <w:rsid w:val="00A7682A"/>
    <w:rsid w:val="00A76C22"/>
    <w:rsid w:val="00A76FF2"/>
    <w:rsid w:val="00A77132"/>
    <w:rsid w:val="00A771A9"/>
    <w:rsid w:val="00A77491"/>
    <w:rsid w:val="00A7781C"/>
    <w:rsid w:val="00A7794A"/>
    <w:rsid w:val="00A77E38"/>
    <w:rsid w:val="00A803AA"/>
    <w:rsid w:val="00A804BD"/>
    <w:rsid w:val="00A806ED"/>
    <w:rsid w:val="00A806F0"/>
    <w:rsid w:val="00A809BC"/>
    <w:rsid w:val="00A80E4A"/>
    <w:rsid w:val="00A81284"/>
    <w:rsid w:val="00A815B4"/>
    <w:rsid w:val="00A81A2F"/>
    <w:rsid w:val="00A81B30"/>
    <w:rsid w:val="00A82400"/>
    <w:rsid w:val="00A82409"/>
    <w:rsid w:val="00A824B3"/>
    <w:rsid w:val="00A8275E"/>
    <w:rsid w:val="00A827D0"/>
    <w:rsid w:val="00A82B2D"/>
    <w:rsid w:val="00A82FBF"/>
    <w:rsid w:val="00A82FF2"/>
    <w:rsid w:val="00A83587"/>
    <w:rsid w:val="00A837CD"/>
    <w:rsid w:val="00A838AB"/>
    <w:rsid w:val="00A83911"/>
    <w:rsid w:val="00A83DFE"/>
    <w:rsid w:val="00A83E3A"/>
    <w:rsid w:val="00A83E4F"/>
    <w:rsid w:val="00A84522"/>
    <w:rsid w:val="00A84853"/>
    <w:rsid w:val="00A8491C"/>
    <w:rsid w:val="00A849B7"/>
    <w:rsid w:val="00A84B9E"/>
    <w:rsid w:val="00A84D5C"/>
    <w:rsid w:val="00A84F51"/>
    <w:rsid w:val="00A84F53"/>
    <w:rsid w:val="00A850E9"/>
    <w:rsid w:val="00A852CC"/>
    <w:rsid w:val="00A85748"/>
    <w:rsid w:val="00A85877"/>
    <w:rsid w:val="00A85923"/>
    <w:rsid w:val="00A8595C"/>
    <w:rsid w:val="00A859A6"/>
    <w:rsid w:val="00A85A16"/>
    <w:rsid w:val="00A85AFB"/>
    <w:rsid w:val="00A861D5"/>
    <w:rsid w:val="00A86AD4"/>
    <w:rsid w:val="00A86B6B"/>
    <w:rsid w:val="00A86E33"/>
    <w:rsid w:val="00A8705A"/>
    <w:rsid w:val="00A87498"/>
    <w:rsid w:val="00A87FDF"/>
    <w:rsid w:val="00A90FF4"/>
    <w:rsid w:val="00A912EE"/>
    <w:rsid w:val="00A915B4"/>
    <w:rsid w:val="00A915F8"/>
    <w:rsid w:val="00A91762"/>
    <w:rsid w:val="00A91B24"/>
    <w:rsid w:val="00A9205F"/>
    <w:rsid w:val="00A921DC"/>
    <w:rsid w:val="00A927D0"/>
    <w:rsid w:val="00A92DB2"/>
    <w:rsid w:val="00A92E2C"/>
    <w:rsid w:val="00A9326E"/>
    <w:rsid w:val="00A933A2"/>
    <w:rsid w:val="00A93770"/>
    <w:rsid w:val="00A9380A"/>
    <w:rsid w:val="00A93BF3"/>
    <w:rsid w:val="00A94439"/>
    <w:rsid w:val="00A945D7"/>
    <w:rsid w:val="00A945D8"/>
    <w:rsid w:val="00A9461D"/>
    <w:rsid w:val="00A94789"/>
    <w:rsid w:val="00A94AB2"/>
    <w:rsid w:val="00A94AE5"/>
    <w:rsid w:val="00A94D1B"/>
    <w:rsid w:val="00A94D63"/>
    <w:rsid w:val="00A95203"/>
    <w:rsid w:val="00A95961"/>
    <w:rsid w:val="00A95983"/>
    <w:rsid w:val="00A959FC"/>
    <w:rsid w:val="00A95BBB"/>
    <w:rsid w:val="00A95E6C"/>
    <w:rsid w:val="00A965DD"/>
    <w:rsid w:val="00A96D49"/>
    <w:rsid w:val="00A96DB7"/>
    <w:rsid w:val="00A96FF7"/>
    <w:rsid w:val="00A971C7"/>
    <w:rsid w:val="00A97467"/>
    <w:rsid w:val="00A974D2"/>
    <w:rsid w:val="00A9763B"/>
    <w:rsid w:val="00A9783E"/>
    <w:rsid w:val="00A978B2"/>
    <w:rsid w:val="00A97C8A"/>
    <w:rsid w:val="00A97E35"/>
    <w:rsid w:val="00AA0148"/>
    <w:rsid w:val="00AA05D9"/>
    <w:rsid w:val="00AA0A1B"/>
    <w:rsid w:val="00AA0CE3"/>
    <w:rsid w:val="00AA0FC4"/>
    <w:rsid w:val="00AA10BF"/>
    <w:rsid w:val="00AA10CB"/>
    <w:rsid w:val="00AA11C4"/>
    <w:rsid w:val="00AA13A8"/>
    <w:rsid w:val="00AA1411"/>
    <w:rsid w:val="00AA160D"/>
    <w:rsid w:val="00AA1800"/>
    <w:rsid w:val="00AA199A"/>
    <w:rsid w:val="00AA1C6B"/>
    <w:rsid w:val="00AA1CB7"/>
    <w:rsid w:val="00AA2307"/>
    <w:rsid w:val="00AA23AE"/>
    <w:rsid w:val="00AA2492"/>
    <w:rsid w:val="00AA26DC"/>
    <w:rsid w:val="00AA2BCB"/>
    <w:rsid w:val="00AA2D3E"/>
    <w:rsid w:val="00AA328E"/>
    <w:rsid w:val="00AA33FD"/>
    <w:rsid w:val="00AA353D"/>
    <w:rsid w:val="00AA36F6"/>
    <w:rsid w:val="00AA37FC"/>
    <w:rsid w:val="00AA386F"/>
    <w:rsid w:val="00AA3ED6"/>
    <w:rsid w:val="00AA41FD"/>
    <w:rsid w:val="00AA4A3A"/>
    <w:rsid w:val="00AA4B08"/>
    <w:rsid w:val="00AA4C23"/>
    <w:rsid w:val="00AA4E66"/>
    <w:rsid w:val="00AA5625"/>
    <w:rsid w:val="00AA56BB"/>
    <w:rsid w:val="00AA5CFF"/>
    <w:rsid w:val="00AA6088"/>
    <w:rsid w:val="00AA60E2"/>
    <w:rsid w:val="00AA63BF"/>
    <w:rsid w:val="00AA6654"/>
    <w:rsid w:val="00AA68F6"/>
    <w:rsid w:val="00AA6DAD"/>
    <w:rsid w:val="00AA6F37"/>
    <w:rsid w:val="00AA78FC"/>
    <w:rsid w:val="00AA7C7F"/>
    <w:rsid w:val="00AA7E33"/>
    <w:rsid w:val="00AB0096"/>
    <w:rsid w:val="00AB015F"/>
    <w:rsid w:val="00AB0B63"/>
    <w:rsid w:val="00AB0DDC"/>
    <w:rsid w:val="00AB0EC7"/>
    <w:rsid w:val="00AB1228"/>
    <w:rsid w:val="00AB1230"/>
    <w:rsid w:val="00AB1C66"/>
    <w:rsid w:val="00AB1E21"/>
    <w:rsid w:val="00AB2375"/>
    <w:rsid w:val="00AB241B"/>
    <w:rsid w:val="00AB2510"/>
    <w:rsid w:val="00AB25A4"/>
    <w:rsid w:val="00AB26CC"/>
    <w:rsid w:val="00AB2834"/>
    <w:rsid w:val="00AB2C88"/>
    <w:rsid w:val="00AB2DEA"/>
    <w:rsid w:val="00AB313A"/>
    <w:rsid w:val="00AB3571"/>
    <w:rsid w:val="00AB3829"/>
    <w:rsid w:val="00AB3D8C"/>
    <w:rsid w:val="00AB3E77"/>
    <w:rsid w:val="00AB419D"/>
    <w:rsid w:val="00AB42A3"/>
    <w:rsid w:val="00AB42BE"/>
    <w:rsid w:val="00AB43A8"/>
    <w:rsid w:val="00AB46FA"/>
    <w:rsid w:val="00AB48AF"/>
    <w:rsid w:val="00AB50B9"/>
    <w:rsid w:val="00AB51DC"/>
    <w:rsid w:val="00AB5363"/>
    <w:rsid w:val="00AB55EB"/>
    <w:rsid w:val="00AB5C5A"/>
    <w:rsid w:val="00AB5CB3"/>
    <w:rsid w:val="00AB5E1A"/>
    <w:rsid w:val="00AB5FD2"/>
    <w:rsid w:val="00AB67E2"/>
    <w:rsid w:val="00AB6A22"/>
    <w:rsid w:val="00AB6E82"/>
    <w:rsid w:val="00AB6F0F"/>
    <w:rsid w:val="00AB746C"/>
    <w:rsid w:val="00AB7622"/>
    <w:rsid w:val="00AC0026"/>
    <w:rsid w:val="00AC003E"/>
    <w:rsid w:val="00AC0070"/>
    <w:rsid w:val="00AC012D"/>
    <w:rsid w:val="00AC0501"/>
    <w:rsid w:val="00AC0683"/>
    <w:rsid w:val="00AC0BFD"/>
    <w:rsid w:val="00AC0D5E"/>
    <w:rsid w:val="00AC11CC"/>
    <w:rsid w:val="00AC1560"/>
    <w:rsid w:val="00AC1616"/>
    <w:rsid w:val="00AC16B6"/>
    <w:rsid w:val="00AC17B1"/>
    <w:rsid w:val="00AC1A06"/>
    <w:rsid w:val="00AC1A60"/>
    <w:rsid w:val="00AC1ABA"/>
    <w:rsid w:val="00AC2034"/>
    <w:rsid w:val="00AC2270"/>
    <w:rsid w:val="00AC2A08"/>
    <w:rsid w:val="00AC2F02"/>
    <w:rsid w:val="00AC2F7A"/>
    <w:rsid w:val="00AC3629"/>
    <w:rsid w:val="00AC373D"/>
    <w:rsid w:val="00AC3BF6"/>
    <w:rsid w:val="00AC41F0"/>
    <w:rsid w:val="00AC420E"/>
    <w:rsid w:val="00AC45A0"/>
    <w:rsid w:val="00AC45A6"/>
    <w:rsid w:val="00AC4747"/>
    <w:rsid w:val="00AC4957"/>
    <w:rsid w:val="00AC4B29"/>
    <w:rsid w:val="00AC5076"/>
    <w:rsid w:val="00AC59F2"/>
    <w:rsid w:val="00AC5DB7"/>
    <w:rsid w:val="00AC5DCF"/>
    <w:rsid w:val="00AC62A3"/>
    <w:rsid w:val="00AC6369"/>
    <w:rsid w:val="00AC6397"/>
    <w:rsid w:val="00AC64AC"/>
    <w:rsid w:val="00AC6797"/>
    <w:rsid w:val="00AC67DF"/>
    <w:rsid w:val="00AC6841"/>
    <w:rsid w:val="00AC69B6"/>
    <w:rsid w:val="00AC6A16"/>
    <w:rsid w:val="00AC6A5F"/>
    <w:rsid w:val="00AC6DB6"/>
    <w:rsid w:val="00AC7392"/>
    <w:rsid w:val="00AC74E3"/>
    <w:rsid w:val="00AC77C0"/>
    <w:rsid w:val="00AC789A"/>
    <w:rsid w:val="00AC7EB5"/>
    <w:rsid w:val="00AD0598"/>
    <w:rsid w:val="00AD0C18"/>
    <w:rsid w:val="00AD0F2C"/>
    <w:rsid w:val="00AD1282"/>
    <w:rsid w:val="00AD1317"/>
    <w:rsid w:val="00AD195D"/>
    <w:rsid w:val="00AD1E37"/>
    <w:rsid w:val="00AD2375"/>
    <w:rsid w:val="00AD266F"/>
    <w:rsid w:val="00AD2856"/>
    <w:rsid w:val="00AD290D"/>
    <w:rsid w:val="00AD2DDB"/>
    <w:rsid w:val="00AD3972"/>
    <w:rsid w:val="00AD3A01"/>
    <w:rsid w:val="00AD3B87"/>
    <w:rsid w:val="00AD3E8C"/>
    <w:rsid w:val="00AD4012"/>
    <w:rsid w:val="00AD40C3"/>
    <w:rsid w:val="00AD45D4"/>
    <w:rsid w:val="00AD46BB"/>
    <w:rsid w:val="00AD476E"/>
    <w:rsid w:val="00AD476F"/>
    <w:rsid w:val="00AD484F"/>
    <w:rsid w:val="00AD4B1C"/>
    <w:rsid w:val="00AD5015"/>
    <w:rsid w:val="00AD50FC"/>
    <w:rsid w:val="00AD554D"/>
    <w:rsid w:val="00AD5770"/>
    <w:rsid w:val="00AD5B51"/>
    <w:rsid w:val="00AD5F21"/>
    <w:rsid w:val="00AD64C1"/>
    <w:rsid w:val="00AD6B5C"/>
    <w:rsid w:val="00AD6D15"/>
    <w:rsid w:val="00AD6E59"/>
    <w:rsid w:val="00AD7400"/>
    <w:rsid w:val="00AD778B"/>
    <w:rsid w:val="00AD79E7"/>
    <w:rsid w:val="00AD7D60"/>
    <w:rsid w:val="00AE009F"/>
    <w:rsid w:val="00AE070D"/>
    <w:rsid w:val="00AE076D"/>
    <w:rsid w:val="00AE08FD"/>
    <w:rsid w:val="00AE0B50"/>
    <w:rsid w:val="00AE0DCC"/>
    <w:rsid w:val="00AE1029"/>
    <w:rsid w:val="00AE1109"/>
    <w:rsid w:val="00AE1632"/>
    <w:rsid w:val="00AE171A"/>
    <w:rsid w:val="00AE17D1"/>
    <w:rsid w:val="00AE1817"/>
    <w:rsid w:val="00AE19CE"/>
    <w:rsid w:val="00AE1BB5"/>
    <w:rsid w:val="00AE21CE"/>
    <w:rsid w:val="00AE2551"/>
    <w:rsid w:val="00AE28D7"/>
    <w:rsid w:val="00AE2F55"/>
    <w:rsid w:val="00AE3353"/>
    <w:rsid w:val="00AE3839"/>
    <w:rsid w:val="00AE397C"/>
    <w:rsid w:val="00AE3C8E"/>
    <w:rsid w:val="00AE3DC2"/>
    <w:rsid w:val="00AE41C3"/>
    <w:rsid w:val="00AE4355"/>
    <w:rsid w:val="00AE447D"/>
    <w:rsid w:val="00AE47C9"/>
    <w:rsid w:val="00AE4BA6"/>
    <w:rsid w:val="00AE4C15"/>
    <w:rsid w:val="00AE4CDC"/>
    <w:rsid w:val="00AE4DE0"/>
    <w:rsid w:val="00AE4F4C"/>
    <w:rsid w:val="00AE5263"/>
    <w:rsid w:val="00AE5520"/>
    <w:rsid w:val="00AE5756"/>
    <w:rsid w:val="00AE5CEC"/>
    <w:rsid w:val="00AE651A"/>
    <w:rsid w:val="00AE6EC3"/>
    <w:rsid w:val="00AE77E2"/>
    <w:rsid w:val="00AE780B"/>
    <w:rsid w:val="00AE7D30"/>
    <w:rsid w:val="00AE7E42"/>
    <w:rsid w:val="00AE7EE0"/>
    <w:rsid w:val="00AF00F3"/>
    <w:rsid w:val="00AF0843"/>
    <w:rsid w:val="00AF0A4B"/>
    <w:rsid w:val="00AF0D03"/>
    <w:rsid w:val="00AF0D38"/>
    <w:rsid w:val="00AF1492"/>
    <w:rsid w:val="00AF14E1"/>
    <w:rsid w:val="00AF14E7"/>
    <w:rsid w:val="00AF22AA"/>
    <w:rsid w:val="00AF25EB"/>
    <w:rsid w:val="00AF25ED"/>
    <w:rsid w:val="00AF2721"/>
    <w:rsid w:val="00AF2747"/>
    <w:rsid w:val="00AF2909"/>
    <w:rsid w:val="00AF2C2A"/>
    <w:rsid w:val="00AF2E1E"/>
    <w:rsid w:val="00AF2E75"/>
    <w:rsid w:val="00AF2FB1"/>
    <w:rsid w:val="00AF3665"/>
    <w:rsid w:val="00AF38DE"/>
    <w:rsid w:val="00AF3A2B"/>
    <w:rsid w:val="00AF3AE2"/>
    <w:rsid w:val="00AF3CEE"/>
    <w:rsid w:val="00AF3EA9"/>
    <w:rsid w:val="00AF40DD"/>
    <w:rsid w:val="00AF423F"/>
    <w:rsid w:val="00AF4451"/>
    <w:rsid w:val="00AF492E"/>
    <w:rsid w:val="00AF4ACC"/>
    <w:rsid w:val="00AF5054"/>
    <w:rsid w:val="00AF5156"/>
    <w:rsid w:val="00AF5A12"/>
    <w:rsid w:val="00AF5E6F"/>
    <w:rsid w:val="00AF5EF4"/>
    <w:rsid w:val="00AF61D5"/>
    <w:rsid w:val="00AF63E1"/>
    <w:rsid w:val="00AF63F6"/>
    <w:rsid w:val="00AF6801"/>
    <w:rsid w:val="00AF6B19"/>
    <w:rsid w:val="00AF6BED"/>
    <w:rsid w:val="00AF79C5"/>
    <w:rsid w:val="00AF79FB"/>
    <w:rsid w:val="00B0002C"/>
    <w:rsid w:val="00B000F1"/>
    <w:rsid w:val="00B0017E"/>
    <w:rsid w:val="00B003AC"/>
    <w:rsid w:val="00B009E0"/>
    <w:rsid w:val="00B01035"/>
    <w:rsid w:val="00B0110C"/>
    <w:rsid w:val="00B01394"/>
    <w:rsid w:val="00B0181F"/>
    <w:rsid w:val="00B01821"/>
    <w:rsid w:val="00B01950"/>
    <w:rsid w:val="00B01A24"/>
    <w:rsid w:val="00B01DD3"/>
    <w:rsid w:val="00B02053"/>
    <w:rsid w:val="00B021D0"/>
    <w:rsid w:val="00B02B28"/>
    <w:rsid w:val="00B03275"/>
    <w:rsid w:val="00B0327E"/>
    <w:rsid w:val="00B03476"/>
    <w:rsid w:val="00B036B1"/>
    <w:rsid w:val="00B03DD8"/>
    <w:rsid w:val="00B03EA0"/>
    <w:rsid w:val="00B04024"/>
    <w:rsid w:val="00B043FA"/>
    <w:rsid w:val="00B0493E"/>
    <w:rsid w:val="00B0496D"/>
    <w:rsid w:val="00B04C5C"/>
    <w:rsid w:val="00B04E51"/>
    <w:rsid w:val="00B05052"/>
    <w:rsid w:val="00B056DD"/>
    <w:rsid w:val="00B05897"/>
    <w:rsid w:val="00B05BF4"/>
    <w:rsid w:val="00B05ED3"/>
    <w:rsid w:val="00B063AD"/>
    <w:rsid w:val="00B064B1"/>
    <w:rsid w:val="00B068D2"/>
    <w:rsid w:val="00B06A10"/>
    <w:rsid w:val="00B06B4F"/>
    <w:rsid w:val="00B06FBC"/>
    <w:rsid w:val="00B07002"/>
    <w:rsid w:val="00B0724C"/>
    <w:rsid w:val="00B072AE"/>
    <w:rsid w:val="00B0784F"/>
    <w:rsid w:val="00B07CFF"/>
    <w:rsid w:val="00B07DC4"/>
    <w:rsid w:val="00B07E1E"/>
    <w:rsid w:val="00B07F0B"/>
    <w:rsid w:val="00B07FA6"/>
    <w:rsid w:val="00B10001"/>
    <w:rsid w:val="00B102E9"/>
    <w:rsid w:val="00B10814"/>
    <w:rsid w:val="00B10CF4"/>
    <w:rsid w:val="00B113B7"/>
    <w:rsid w:val="00B11715"/>
    <w:rsid w:val="00B12095"/>
    <w:rsid w:val="00B12126"/>
    <w:rsid w:val="00B12215"/>
    <w:rsid w:val="00B1223A"/>
    <w:rsid w:val="00B12A92"/>
    <w:rsid w:val="00B12C6B"/>
    <w:rsid w:val="00B12DBD"/>
    <w:rsid w:val="00B13699"/>
    <w:rsid w:val="00B137FA"/>
    <w:rsid w:val="00B13B23"/>
    <w:rsid w:val="00B14585"/>
    <w:rsid w:val="00B14BCB"/>
    <w:rsid w:val="00B14C8D"/>
    <w:rsid w:val="00B1508E"/>
    <w:rsid w:val="00B15307"/>
    <w:rsid w:val="00B15469"/>
    <w:rsid w:val="00B155E8"/>
    <w:rsid w:val="00B15BA7"/>
    <w:rsid w:val="00B16128"/>
    <w:rsid w:val="00B165E1"/>
    <w:rsid w:val="00B16D28"/>
    <w:rsid w:val="00B16EBE"/>
    <w:rsid w:val="00B16F82"/>
    <w:rsid w:val="00B17342"/>
    <w:rsid w:val="00B17890"/>
    <w:rsid w:val="00B1789D"/>
    <w:rsid w:val="00B178C1"/>
    <w:rsid w:val="00B17B2F"/>
    <w:rsid w:val="00B17EAB"/>
    <w:rsid w:val="00B202F8"/>
    <w:rsid w:val="00B204FC"/>
    <w:rsid w:val="00B20844"/>
    <w:rsid w:val="00B20B4A"/>
    <w:rsid w:val="00B20E7F"/>
    <w:rsid w:val="00B20EBF"/>
    <w:rsid w:val="00B2159F"/>
    <w:rsid w:val="00B215B2"/>
    <w:rsid w:val="00B218F6"/>
    <w:rsid w:val="00B21C9E"/>
    <w:rsid w:val="00B221B2"/>
    <w:rsid w:val="00B22547"/>
    <w:rsid w:val="00B226EC"/>
    <w:rsid w:val="00B22973"/>
    <w:rsid w:val="00B22D03"/>
    <w:rsid w:val="00B22D59"/>
    <w:rsid w:val="00B22E3A"/>
    <w:rsid w:val="00B230FE"/>
    <w:rsid w:val="00B2313F"/>
    <w:rsid w:val="00B231DA"/>
    <w:rsid w:val="00B2374C"/>
    <w:rsid w:val="00B237AF"/>
    <w:rsid w:val="00B23B6F"/>
    <w:rsid w:val="00B23C3A"/>
    <w:rsid w:val="00B23E7D"/>
    <w:rsid w:val="00B23F04"/>
    <w:rsid w:val="00B245CA"/>
    <w:rsid w:val="00B249F0"/>
    <w:rsid w:val="00B24FA6"/>
    <w:rsid w:val="00B253FE"/>
    <w:rsid w:val="00B25427"/>
    <w:rsid w:val="00B2563A"/>
    <w:rsid w:val="00B25691"/>
    <w:rsid w:val="00B25FA6"/>
    <w:rsid w:val="00B260C4"/>
    <w:rsid w:val="00B2650A"/>
    <w:rsid w:val="00B26B42"/>
    <w:rsid w:val="00B26EA4"/>
    <w:rsid w:val="00B27653"/>
    <w:rsid w:val="00B27C39"/>
    <w:rsid w:val="00B27CB6"/>
    <w:rsid w:val="00B30021"/>
    <w:rsid w:val="00B30113"/>
    <w:rsid w:val="00B30844"/>
    <w:rsid w:val="00B30976"/>
    <w:rsid w:val="00B31751"/>
    <w:rsid w:val="00B31812"/>
    <w:rsid w:val="00B31F5C"/>
    <w:rsid w:val="00B3217D"/>
    <w:rsid w:val="00B32992"/>
    <w:rsid w:val="00B32F6D"/>
    <w:rsid w:val="00B335A0"/>
    <w:rsid w:val="00B3364E"/>
    <w:rsid w:val="00B33881"/>
    <w:rsid w:val="00B33C5C"/>
    <w:rsid w:val="00B33CC1"/>
    <w:rsid w:val="00B33CF9"/>
    <w:rsid w:val="00B34450"/>
    <w:rsid w:val="00B3469D"/>
    <w:rsid w:val="00B3472A"/>
    <w:rsid w:val="00B34790"/>
    <w:rsid w:val="00B347A2"/>
    <w:rsid w:val="00B347D1"/>
    <w:rsid w:val="00B3483E"/>
    <w:rsid w:val="00B348D2"/>
    <w:rsid w:val="00B34BC2"/>
    <w:rsid w:val="00B35096"/>
    <w:rsid w:val="00B35313"/>
    <w:rsid w:val="00B353A1"/>
    <w:rsid w:val="00B355C1"/>
    <w:rsid w:val="00B35AC7"/>
    <w:rsid w:val="00B35D16"/>
    <w:rsid w:val="00B363F0"/>
    <w:rsid w:val="00B3641B"/>
    <w:rsid w:val="00B36BA1"/>
    <w:rsid w:val="00B36D10"/>
    <w:rsid w:val="00B3755C"/>
    <w:rsid w:val="00B375EF"/>
    <w:rsid w:val="00B376D6"/>
    <w:rsid w:val="00B37811"/>
    <w:rsid w:val="00B37A22"/>
    <w:rsid w:val="00B40215"/>
    <w:rsid w:val="00B404EF"/>
    <w:rsid w:val="00B40B5C"/>
    <w:rsid w:val="00B40C8B"/>
    <w:rsid w:val="00B40DBB"/>
    <w:rsid w:val="00B40FEB"/>
    <w:rsid w:val="00B417A8"/>
    <w:rsid w:val="00B41E48"/>
    <w:rsid w:val="00B4217B"/>
    <w:rsid w:val="00B42447"/>
    <w:rsid w:val="00B42716"/>
    <w:rsid w:val="00B42799"/>
    <w:rsid w:val="00B42A29"/>
    <w:rsid w:val="00B42B2F"/>
    <w:rsid w:val="00B42CE7"/>
    <w:rsid w:val="00B42EE9"/>
    <w:rsid w:val="00B430D2"/>
    <w:rsid w:val="00B4353D"/>
    <w:rsid w:val="00B44122"/>
    <w:rsid w:val="00B44FCF"/>
    <w:rsid w:val="00B45449"/>
    <w:rsid w:val="00B455C8"/>
    <w:rsid w:val="00B4560E"/>
    <w:rsid w:val="00B456CA"/>
    <w:rsid w:val="00B458D8"/>
    <w:rsid w:val="00B45926"/>
    <w:rsid w:val="00B45927"/>
    <w:rsid w:val="00B45A2C"/>
    <w:rsid w:val="00B45DDD"/>
    <w:rsid w:val="00B4630C"/>
    <w:rsid w:val="00B46551"/>
    <w:rsid w:val="00B46913"/>
    <w:rsid w:val="00B46D69"/>
    <w:rsid w:val="00B4702E"/>
    <w:rsid w:val="00B4727D"/>
    <w:rsid w:val="00B475D0"/>
    <w:rsid w:val="00B47937"/>
    <w:rsid w:val="00B47C09"/>
    <w:rsid w:val="00B47E98"/>
    <w:rsid w:val="00B50085"/>
    <w:rsid w:val="00B50189"/>
    <w:rsid w:val="00B50D28"/>
    <w:rsid w:val="00B50E7A"/>
    <w:rsid w:val="00B513BF"/>
    <w:rsid w:val="00B515D3"/>
    <w:rsid w:val="00B51A73"/>
    <w:rsid w:val="00B51E77"/>
    <w:rsid w:val="00B51E7F"/>
    <w:rsid w:val="00B520DA"/>
    <w:rsid w:val="00B525CD"/>
    <w:rsid w:val="00B526C2"/>
    <w:rsid w:val="00B5293A"/>
    <w:rsid w:val="00B52A3B"/>
    <w:rsid w:val="00B52C4D"/>
    <w:rsid w:val="00B52F30"/>
    <w:rsid w:val="00B5328C"/>
    <w:rsid w:val="00B532E8"/>
    <w:rsid w:val="00B5392E"/>
    <w:rsid w:val="00B53A66"/>
    <w:rsid w:val="00B53BDB"/>
    <w:rsid w:val="00B53EAF"/>
    <w:rsid w:val="00B54A5F"/>
    <w:rsid w:val="00B54C20"/>
    <w:rsid w:val="00B553B6"/>
    <w:rsid w:val="00B55B41"/>
    <w:rsid w:val="00B55BB8"/>
    <w:rsid w:val="00B55E22"/>
    <w:rsid w:val="00B560B8"/>
    <w:rsid w:val="00B56525"/>
    <w:rsid w:val="00B568A8"/>
    <w:rsid w:val="00B56E25"/>
    <w:rsid w:val="00B56F65"/>
    <w:rsid w:val="00B56FF5"/>
    <w:rsid w:val="00B574FB"/>
    <w:rsid w:val="00B576CB"/>
    <w:rsid w:val="00B57792"/>
    <w:rsid w:val="00B578FF"/>
    <w:rsid w:val="00B57B4A"/>
    <w:rsid w:val="00B614EC"/>
    <w:rsid w:val="00B61C03"/>
    <w:rsid w:val="00B61E33"/>
    <w:rsid w:val="00B61F46"/>
    <w:rsid w:val="00B61F57"/>
    <w:rsid w:val="00B623F4"/>
    <w:rsid w:val="00B6244B"/>
    <w:rsid w:val="00B626F0"/>
    <w:rsid w:val="00B62A0F"/>
    <w:rsid w:val="00B63340"/>
    <w:rsid w:val="00B6368D"/>
    <w:rsid w:val="00B63A78"/>
    <w:rsid w:val="00B63B0C"/>
    <w:rsid w:val="00B64119"/>
    <w:rsid w:val="00B64974"/>
    <w:rsid w:val="00B64BED"/>
    <w:rsid w:val="00B657F9"/>
    <w:rsid w:val="00B65970"/>
    <w:rsid w:val="00B65C52"/>
    <w:rsid w:val="00B66243"/>
    <w:rsid w:val="00B66A41"/>
    <w:rsid w:val="00B66D4F"/>
    <w:rsid w:val="00B671B1"/>
    <w:rsid w:val="00B6731F"/>
    <w:rsid w:val="00B67370"/>
    <w:rsid w:val="00B67502"/>
    <w:rsid w:val="00B67898"/>
    <w:rsid w:val="00B67994"/>
    <w:rsid w:val="00B679F7"/>
    <w:rsid w:val="00B67B6C"/>
    <w:rsid w:val="00B67CA0"/>
    <w:rsid w:val="00B67EE1"/>
    <w:rsid w:val="00B703BA"/>
    <w:rsid w:val="00B7049C"/>
    <w:rsid w:val="00B70677"/>
    <w:rsid w:val="00B7078D"/>
    <w:rsid w:val="00B708C2"/>
    <w:rsid w:val="00B70997"/>
    <w:rsid w:val="00B70D1F"/>
    <w:rsid w:val="00B70D55"/>
    <w:rsid w:val="00B71031"/>
    <w:rsid w:val="00B712AF"/>
    <w:rsid w:val="00B713F8"/>
    <w:rsid w:val="00B714E5"/>
    <w:rsid w:val="00B716FF"/>
    <w:rsid w:val="00B71B7F"/>
    <w:rsid w:val="00B71C1F"/>
    <w:rsid w:val="00B71DF3"/>
    <w:rsid w:val="00B72160"/>
    <w:rsid w:val="00B726D9"/>
    <w:rsid w:val="00B72AE5"/>
    <w:rsid w:val="00B730F1"/>
    <w:rsid w:val="00B7377E"/>
    <w:rsid w:val="00B73B4E"/>
    <w:rsid w:val="00B74507"/>
    <w:rsid w:val="00B747C5"/>
    <w:rsid w:val="00B74D6E"/>
    <w:rsid w:val="00B74E09"/>
    <w:rsid w:val="00B74E1B"/>
    <w:rsid w:val="00B75012"/>
    <w:rsid w:val="00B754C7"/>
    <w:rsid w:val="00B75BFE"/>
    <w:rsid w:val="00B75C37"/>
    <w:rsid w:val="00B75F1B"/>
    <w:rsid w:val="00B761FE"/>
    <w:rsid w:val="00B762C6"/>
    <w:rsid w:val="00B76B78"/>
    <w:rsid w:val="00B77220"/>
    <w:rsid w:val="00B77442"/>
    <w:rsid w:val="00B77544"/>
    <w:rsid w:val="00B775E6"/>
    <w:rsid w:val="00B775FE"/>
    <w:rsid w:val="00B77AFF"/>
    <w:rsid w:val="00B77DD7"/>
    <w:rsid w:val="00B77FD4"/>
    <w:rsid w:val="00B8006E"/>
    <w:rsid w:val="00B800E5"/>
    <w:rsid w:val="00B802F7"/>
    <w:rsid w:val="00B80441"/>
    <w:rsid w:val="00B81015"/>
    <w:rsid w:val="00B81038"/>
    <w:rsid w:val="00B81ABD"/>
    <w:rsid w:val="00B81F06"/>
    <w:rsid w:val="00B82530"/>
    <w:rsid w:val="00B82727"/>
    <w:rsid w:val="00B82845"/>
    <w:rsid w:val="00B82978"/>
    <w:rsid w:val="00B829FC"/>
    <w:rsid w:val="00B82FBC"/>
    <w:rsid w:val="00B83DED"/>
    <w:rsid w:val="00B83F34"/>
    <w:rsid w:val="00B8432D"/>
    <w:rsid w:val="00B84452"/>
    <w:rsid w:val="00B8474E"/>
    <w:rsid w:val="00B85319"/>
    <w:rsid w:val="00B8550B"/>
    <w:rsid w:val="00B85846"/>
    <w:rsid w:val="00B859BB"/>
    <w:rsid w:val="00B85B3E"/>
    <w:rsid w:val="00B85CFC"/>
    <w:rsid w:val="00B85EBC"/>
    <w:rsid w:val="00B85FF6"/>
    <w:rsid w:val="00B86158"/>
    <w:rsid w:val="00B862FE"/>
    <w:rsid w:val="00B86548"/>
    <w:rsid w:val="00B8691E"/>
    <w:rsid w:val="00B86F0C"/>
    <w:rsid w:val="00B86F88"/>
    <w:rsid w:val="00B86FA0"/>
    <w:rsid w:val="00B86FF4"/>
    <w:rsid w:val="00B86FF7"/>
    <w:rsid w:val="00B872FB"/>
    <w:rsid w:val="00B878F4"/>
    <w:rsid w:val="00B87B32"/>
    <w:rsid w:val="00B87D5B"/>
    <w:rsid w:val="00B87DF1"/>
    <w:rsid w:val="00B9017B"/>
    <w:rsid w:val="00B902C1"/>
    <w:rsid w:val="00B9054E"/>
    <w:rsid w:val="00B90647"/>
    <w:rsid w:val="00B90BBF"/>
    <w:rsid w:val="00B90C61"/>
    <w:rsid w:val="00B91201"/>
    <w:rsid w:val="00B914E9"/>
    <w:rsid w:val="00B9176D"/>
    <w:rsid w:val="00B91B98"/>
    <w:rsid w:val="00B91D87"/>
    <w:rsid w:val="00B91DF3"/>
    <w:rsid w:val="00B91F68"/>
    <w:rsid w:val="00B92026"/>
    <w:rsid w:val="00B921AC"/>
    <w:rsid w:val="00B92305"/>
    <w:rsid w:val="00B9287B"/>
    <w:rsid w:val="00B92C17"/>
    <w:rsid w:val="00B92DE8"/>
    <w:rsid w:val="00B92EA8"/>
    <w:rsid w:val="00B93981"/>
    <w:rsid w:val="00B93FCF"/>
    <w:rsid w:val="00B946F0"/>
    <w:rsid w:val="00B94916"/>
    <w:rsid w:val="00B94999"/>
    <w:rsid w:val="00B94AE3"/>
    <w:rsid w:val="00B94B59"/>
    <w:rsid w:val="00B94FA6"/>
    <w:rsid w:val="00B95193"/>
    <w:rsid w:val="00B951AA"/>
    <w:rsid w:val="00B95E1F"/>
    <w:rsid w:val="00B95FB9"/>
    <w:rsid w:val="00B96599"/>
    <w:rsid w:val="00B9691D"/>
    <w:rsid w:val="00B96A1B"/>
    <w:rsid w:val="00B96A5F"/>
    <w:rsid w:val="00B96C0F"/>
    <w:rsid w:val="00B96D7B"/>
    <w:rsid w:val="00B96E2D"/>
    <w:rsid w:val="00B97F39"/>
    <w:rsid w:val="00B97FB3"/>
    <w:rsid w:val="00BA079A"/>
    <w:rsid w:val="00BA07C7"/>
    <w:rsid w:val="00BA0E7E"/>
    <w:rsid w:val="00BA0FA0"/>
    <w:rsid w:val="00BA1A10"/>
    <w:rsid w:val="00BA1ABD"/>
    <w:rsid w:val="00BA1D20"/>
    <w:rsid w:val="00BA21FF"/>
    <w:rsid w:val="00BA269F"/>
    <w:rsid w:val="00BA287F"/>
    <w:rsid w:val="00BA28BC"/>
    <w:rsid w:val="00BA2D07"/>
    <w:rsid w:val="00BA2EA9"/>
    <w:rsid w:val="00BA316A"/>
    <w:rsid w:val="00BA330D"/>
    <w:rsid w:val="00BA3683"/>
    <w:rsid w:val="00BA3DB6"/>
    <w:rsid w:val="00BA3E47"/>
    <w:rsid w:val="00BA45B5"/>
    <w:rsid w:val="00BA462E"/>
    <w:rsid w:val="00BA4A9A"/>
    <w:rsid w:val="00BA4BCF"/>
    <w:rsid w:val="00BA4E9A"/>
    <w:rsid w:val="00BA4F64"/>
    <w:rsid w:val="00BA4FF5"/>
    <w:rsid w:val="00BA51C6"/>
    <w:rsid w:val="00BA5252"/>
    <w:rsid w:val="00BA5980"/>
    <w:rsid w:val="00BA6056"/>
    <w:rsid w:val="00BA6087"/>
    <w:rsid w:val="00BA6105"/>
    <w:rsid w:val="00BA61A7"/>
    <w:rsid w:val="00BA6327"/>
    <w:rsid w:val="00BA686D"/>
    <w:rsid w:val="00BA6FDA"/>
    <w:rsid w:val="00BA72C8"/>
    <w:rsid w:val="00BA7DA6"/>
    <w:rsid w:val="00BA7E3A"/>
    <w:rsid w:val="00BA7E84"/>
    <w:rsid w:val="00BB0286"/>
    <w:rsid w:val="00BB08EC"/>
    <w:rsid w:val="00BB0BC1"/>
    <w:rsid w:val="00BB0C0F"/>
    <w:rsid w:val="00BB1881"/>
    <w:rsid w:val="00BB1B60"/>
    <w:rsid w:val="00BB1DDE"/>
    <w:rsid w:val="00BB1E22"/>
    <w:rsid w:val="00BB23E1"/>
    <w:rsid w:val="00BB2480"/>
    <w:rsid w:val="00BB2610"/>
    <w:rsid w:val="00BB275B"/>
    <w:rsid w:val="00BB294A"/>
    <w:rsid w:val="00BB2AD5"/>
    <w:rsid w:val="00BB2D30"/>
    <w:rsid w:val="00BB303E"/>
    <w:rsid w:val="00BB3167"/>
    <w:rsid w:val="00BB33D3"/>
    <w:rsid w:val="00BB348E"/>
    <w:rsid w:val="00BB37E5"/>
    <w:rsid w:val="00BB389F"/>
    <w:rsid w:val="00BB38FE"/>
    <w:rsid w:val="00BB39F7"/>
    <w:rsid w:val="00BB3C4B"/>
    <w:rsid w:val="00BB3EFB"/>
    <w:rsid w:val="00BB4148"/>
    <w:rsid w:val="00BB4875"/>
    <w:rsid w:val="00BB4D66"/>
    <w:rsid w:val="00BB50A6"/>
    <w:rsid w:val="00BB51BA"/>
    <w:rsid w:val="00BB5501"/>
    <w:rsid w:val="00BB578B"/>
    <w:rsid w:val="00BB5EED"/>
    <w:rsid w:val="00BB6473"/>
    <w:rsid w:val="00BB6684"/>
    <w:rsid w:val="00BB6970"/>
    <w:rsid w:val="00BB6C25"/>
    <w:rsid w:val="00BB726D"/>
    <w:rsid w:val="00BB797E"/>
    <w:rsid w:val="00BB79F6"/>
    <w:rsid w:val="00BB7ADE"/>
    <w:rsid w:val="00BB7C46"/>
    <w:rsid w:val="00BB7D76"/>
    <w:rsid w:val="00BB7F5F"/>
    <w:rsid w:val="00BC01B8"/>
    <w:rsid w:val="00BC03A6"/>
    <w:rsid w:val="00BC07FC"/>
    <w:rsid w:val="00BC0911"/>
    <w:rsid w:val="00BC0EE1"/>
    <w:rsid w:val="00BC0F0E"/>
    <w:rsid w:val="00BC1193"/>
    <w:rsid w:val="00BC11C4"/>
    <w:rsid w:val="00BC122E"/>
    <w:rsid w:val="00BC1A8F"/>
    <w:rsid w:val="00BC1B5A"/>
    <w:rsid w:val="00BC2219"/>
    <w:rsid w:val="00BC22D1"/>
    <w:rsid w:val="00BC23F0"/>
    <w:rsid w:val="00BC26CB"/>
    <w:rsid w:val="00BC272B"/>
    <w:rsid w:val="00BC275A"/>
    <w:rsid w:val="00BC27B7"/>
    <w:rsid w:val="00BC2CF3"/>
    <w:rsid w:val="00BC2F12"/>
    <w:rsid w:val="00BC3809"/>
    <w:rsid w:val="00BC3DA4"/>
    <w:rsid w:val="00BC3DC5"/>
    <w:rsid w:val="00BC3EAA"/>
    <w:rsid w:val="00BC405E"/>
    <w:rsid w:val="00BC4108"/>
    <w:rsid w:val="00BC421A"/>
    <w:rsid w:val="00BC4670"/>
    <w:rsid w:val="00BC48B4"/>
    <w:rsid w:val="00BC49D3"/>
    <w:rsid w:val="00BC49E2"/>
    <w:rsid w:val="00BC4E42"/>
    <w:rsid w:val="00BC50F0"/>
    <w:rsid w:val="00BC51AC"/>
    <w:rsid w:val="00BC54AC"/>
    <w:rsid w:val="00BC5921"/>
    <w:rsid w:val="00BC5D0F"/>
    <w:rsid w:val="00BC5E1D"/>
    <w:rsid w:val="00BC61E9"/>
    <w:rsid w:val="00BC6244"/>
    <w:rsid w:val="00BC662C"/>
    <w:rsid w:val="00BC687C"/>
    <w:rsid w:val="00BC692F"/>
    <w:rsid w:val="00BC6B66"/>
    <w:rsid w:val="00BC6BEF"/>
    <w:rsid w:val="00BC6C47"/>
    <w:rsid w:val="00BC6E05"/>
    <w:rsid w:val="00BC6EBD"/>
    <w:rsid w:val="00BC6FEB"/>
    <w:rsid w:val="00BC7072"/>
    <w:rsid w:val="00BC7126"/>
    <w:rsid w:val="00BC73FB"/>
    <w:rsid w:val="00BC7448"/>
    <w:rsid w:val="00BC75DE"/>
    <w:rsid w:val="00BC7646"/>
    <w:rsid w:val="00BC7B5F"/>
    <w:rsid w:val="00BC7C7A"/>
    <w:rsid w:val="00BC7CE7"/>
    <w:rsid w:val="00BD0511"/>
    <w:rsid w:val="00BD08ED"/>
    <w:rsid w:val="00BD0C1D"/>
    <w:rsid w:val="00BD0EFF"/>
    <w:rsid w:val="00BD0F6F"/>
    <w:rsid w:val="00BD1094"/>
    <w:rsid w:val="00BD143C"/>
    <w:rsid w:val="00BD1927"/>
    <w:rsid w:val="00BD21A8"/>
    <w:rsid w:val="00BD23DB"/>
    <w:rsid w:val="00BD2A17"/>
    <w:rsid w:val="00BD2B06"/>
    <w:rsid w:val="00BD3032"/>
    <w:rsid w:val="00BD3368"/>
    <w:rsid w:val="00BD34DF"/>
    <w:rsid w:val="00BD3F1A"/>
    <w:rsid w:val="00BD3FDA"/>
    <w:rsid w:val="00BD45A7"/>
    <w:rsid w:val="00BD4645"/>
    <w:rsid w:val="00BD4943"/>
    <w:rsid w:val="00BD4998"/>
    <w:rsid w:val="00BD4CFC"/>
    <w:rsid w:val="00BD503B"/>
    <w:rsid w:val="00BD526A"/>
    <w:rsid w:val="00BD5468"/>
    <w:rsid w:val="00BD5CD1"/>
    <w:rsid w:val="00BD63BF"/>
    <w:rsid w:val="00BD6944"/>
    <w:rsid w:val="00BD6C5E"/>
    <w:rsid w:val="00BD6D82"/>
    <w:rsid w:val="00BD6E3F"/>
    <w:rsid w:val="00BD746C"/>
    <w:rsid w:val="00BD7547"/>
    <w:rsid w:val="00BE0423"/>
    <w:rsid w:val="00BE0450"/>
    <w:rsid w:val="00BE0970"/>
    <w:rsid w:val="00BE09D8"/>
    <w:rsid w:val="00BE0B52"/>
    <w:rsid w:val="00BE0E85"/>
    <w:rsid w:val="00BE0E8C"/>
    <w:rsid w:val="00BE0EA6"/>
    <w:rsid w:val="00BE1410"/>
    <w:rsid w:val="00BE21EC"/>
    <w:rsid w:val="00BE23B3"/>
    <w:rsid w:val="00BE26C1"/>
    <w:rsid w:val="00BE2903"/>
    <w:rsid w:val="00BE2A18"/>
    <w:rsid w:val="00BE2ADF"/>
    <w:rsid w:val="00BE2EF0"/>
    <w:rsid w:val="00BE3239"/>
    <w:rsid w:val="00BE36EB"/>
    <w:rsid w:val="00BE39F4"/>
    <w:rsid w:val="00BE3FF4"/>
    <w:rsid w:val="00BE4567"/>
    <w:rsid w:val="00BE46AC"/>
    <w:rsid w:val="00BE46C5"/>
    <w:rsid w:val="00BE4870"/>
    <w:rsid w:val="00BE4DA8"/>
    <w:rsid w:val="00BE53A0"/>
    <w:rsid w:val="00BE57D7"/>
    <w:rsid w:val="00BE5E5B"/>
    <w:rsid w:val="00BE6240"/>
    <w:rsid w:val="00BE64D7"/>
    <w:rsid w:val="00BE6558"/>
    <w:rsid w:val="00BE6837"/>
    <w:rsid w:val="00BE6B15"/>
    <w:rsid w:val="00BE6F4E"/>
    <w:rsid w:val="00BE708C"/>
    <w:rsid w:val="00BE7896"/>
    <w:rsid w:val="00BE7984"/>
    <w:rsid w:val="00BE79AD"/>
    <w:rsid w:val="00BF02CC"/>
    <w:rsid w:val="00BF0577"/>
    <w:rsid w:val="00BF0678"/>
    <w:rsid w:val="00BF068C"/>
    <w:rsid w:val="00BF0A97"/>
    <w:rsid w:val="00BF0DB0"/>
    <w:rsid w:val="00BF1070"/>
    <w:rsid w:val="00BF10E6"/>
    <w:rsid w:val="00BF110E"/>
    <w:rsid w:val="00BF14A8"/>
    <w:rsid w:val="00BF1AC8"/>
    <w:rsid w:val="00BF1C30"/>
    <w:rsid w:val="00BF21D8"/>
    <w:rsid w:val="00BF2B68"/>
    <w:rsid w:val="00BF379D"/>
    <w:rsid w:val="00BF382E"/>
    <w:rsid w:val="00BF38CD"/>
    <w:rsid w:val="00BF3D07"/>
    <w:rsid w:val="00BF3F74"/>
    <w:rsid w:val="00BF4309"/>
    <w:rsid w:val="00BF45CD"/>
    <w:rsid w:val="00BF46C3"/>
    <w:rsid w:val="00BF48C3"/>
    <w:rsid w:val="00BF5C84"/>
    <w:rsid w:val="00BF5DA6"/>
    <w:rsid w:val="00BF6198"/>
    <w:rsid w:val="00BF6536"/>
    <w:rsid w:val="00BF6554"/>
    <w:rsid w:val="00BF6583"/>
    <w:rsid w:val="00BF6758"/>
    <w:rsid w:val="00BF6AB8"/>
    <w:rsid w:val="00BF6CA5"/>
    <w:rsid w:val="00BF6F4A"/>
    <w:rsid w:val="00BF7362"/>
    <w:rsid w:val="00BF745C"/>
    <w:rsid w:val="00BF74D0"/>
    <w:rsid w:val="00BF75DA"/>
    <w:rsid w:val="00BF75EF"/>
    <w:rsid w:val="00BF7616"/>
    <w:rsid w:val="00BF7752"/>
    <w:rsid w:val="00BF77C1"/>
    <w:rsid w:val="00C00312"/>
    <w:rsid w:val="00C00A50"/>
    <w:rsid w:val="00C00C2E"/>
    <w:rsid w:val="00C00EA0"/>
    <w:rsid w:val="00C011B1"/>
    <w:rsid w:val="00C011BA"/>
    <w:rsid w:val="00C015DB"/>
    <w:rsid w:val="00C01C0C"/>
    <w:rsid w:val="00C01CDC"/>
    <w:rsid w:val="00C0207A"/>
    <w:rsid w:val="00C027C9"/>
    <w:rsid w:val="00C030C2"/>
    <w:rsid w:val="00C03134"/>
    <w:rsid w:val="00C03CD2"/>
    <w:rsid w:val="00C03D52"/>
    <w:rsid w:val="00C043F0"/>
    <w:rsid w:val="00C04841"/>
    <w:rsid w:val="00C04881"/>
    <w:rsid w:val="00C049D3"/>
    <w:rsid w:val="00C04D85"/>
    <w:rsid w:val="00C0524D"/>
    <w:rsid w:val="00C0541E"/>
    <w:rsid w:val="00C05483"/>
    <w:rsid w:val="00C05716"/>
    <w:rsid w:val="00C05C8C"/>
    <w:rsid w:val="00C05CD0"/>
    <w:rsid w:val="00C06020"/>
    <w:rsid w:val="00C061F4"/>
    <w:rsid w:val="00C064A1"/>
    <w:rsid w:val="00C068B2"/>
    <w:rsid w:val="00C06A28"/>
    <w:rsid w:val="00C06CA5"/>
    <w:rsid w:val="00C06DE8"/>
    <w:rsid w:val="00C06F51"/>
    <w:rsid w:val="00C070D7"/>
    <w:rsid w:val="00C07121"/>
    <w:rsid w:val="00C072CB"/>
    <w:rsid w:val="00C0748E"/>
    <w:rsid w:val="00C0797F"/>
    <w:rsid w:val="00C079B3"/>
    <w:rsid w:val="00C07C76"/>
    <w:rsid w:val="00C07CA7"/>
    <w:rsid w:val="00C07EC7"/>
    <w:rsid w:val="00C07ED9"/>
    <w:rsid w:val="00C10144"/>
    <w:rsid w:val="00C10468"/>
    <w:rsid w:val="00C10926"/>
    <w:rsid w:val="00C10E66"/>
    <w:rsid w:val="00C10E79"/>
    <w:rsid w:val="00C1100C"/>
    <w:rsid w:val="00C1100E"/>
    <w:rsid w:val="00C11250"/>
    <w:rsid w:val="00C1175E"/>
    <w:rsid w:val="00C117A6"/>
    <w:rsid w:val="00C118B0"/>
    <w:rsid w:val="00C1197B"/>
    <w:rsid w:val="00C11CB6"/>
    <w:rsid w:val="00C11D20"/>
    <w:rsid w:val="00C11E32"/>
    <w:rsid w:val="00C11F9C"/>
    <w:rsid w:val="00C121E2"/>
    <w:rsid w:val="00C12D9B"/>
    <w:rsid w:val="00C12DA7"/>
    <w:rsid w:val="00C12E22"/>
    <w:rsid w:val="00C12E52"/>
    <w:rsid w:val="00C12F4B"/>
    <w:rsid w:val="00C12FEE"/>
    <w:rsid w:val="00C13244"/>
    <w:rsid w:val="00C137B2"/>
    <w:rsid w:val="00C13C8E"/>
    <w:rsid w:val="00C13D7D"/>
    <w:rsid w:val="00C13DD4"/>
    <w:rsid w:val="00C14282"/>
    <w:rsid w:val="00C142F4"/>
    <w:rsid w:val="00C145B9"/>
    <w:rsid w:val="00C145D8"/>
    <w:rsid w:val="00C14D6E"/>
    <w:rsid w:val="00C15100"/>
    <w:rsid w:val="00C15578"/>
    <w:rsid w:val="00C15835"/>
    <w:rsid w:val="00C15B33"/>
    <w:rsid w:val="00C15C99"/>
    <w:rsid w:val="00C161E6"/>
    <w:rsid w:val="00C16227"/>
    <w:rsid w:val="00C1626A"/>
    <w:rsid w:val="00C1630F"/>
    <w:rsid w:val="00C16486"/>
    <w:rsid w:val="00C1664C"/>
    <w:rsid w:val="00C166E7"/>
    <w:rsid w:val="00C16BD0"/>
    <w:rsid w:val="00C16DD9"/>
    <w:rsid w:val="00C170FA"/>
    <w:rsid w:val="00C17572"/>
    <w:rsid w:val="00C203F5"/>
    <w:rsid w:val="00C20E4F"/>
    <w:rsid w:val="00C218E6"/>
    <w:rsid w:val="00C21B34"/>
    <w:rsid w:val="00C21EB2"/>
    <w:rsid w:val="00C21ED6"/>
    <w:rsid w:val="00C2252C"/>
    <w:rsid w:val="00C227D0"/>
    <w:rsid w:val="00C22F49"/>
    <w:rsid w:val="00C23171"/>
    <w:rsid w:val="00C23571"/>
    <w:rsid w:val="00C239D5"/>
    <w:rsid w:val="00C23B80"/>
    <w:rsid w:val="00C23D5D"/>
    <w:rsid w:val="00C23D5E"/>
    <w:rsid w:val="00C23D91"/>
    <w:rsid w:val="00C23E85"/>
    <w:rsid w:val="00C23F88"/>
    <w:rsid w:val="00C23FA0"/>
    <w:rsid w:val="00C248D7"/>
    <w:rsid w:val="00C24C55"/>
    <w:rsid w:val="00C24E81"/>
    <w:rsid w:val="00C2505E"/>
    <w:rsid w:val="00C25149"/>
    <w:rsid w:val="00C254DE"/>
    <w:rsid w:val="00C25B45"/>
    <w:rsid w:val="00C264FB"/>
    <w:rsid w:val="00C26548"/>
    <w:rsid w:val="00C267EB"/>
    <w:rsid w:val="00C26A8C"/>
    <w:rsid w:val="00C26B37"/>
    <w:rsid w:val="00C27018"/>
    <w:rsid w:val="00C27860"/>
    <w:rsid w:val="00C27DCC"/>
    <w:rsid w:val="00C27E72"/>
    <w:rsid w:val="00C307F3"/>
    <w:rsid w:val="00C30982"/>
    <w:rsid w:val="00C30984"/>
    <w:rsid w:val="00C309BE"/>
    <w:rsid w:val="00C30C45"/>
    <w:rsid w:val="00C3113E"/>
    <w:rsid w:val="00C31206"/>
    <w:rsid w:val="00C317BE"/>
    <w:rsid w:val="00C31A64"/>
    <w:rsid w:val="00C31B6D"/>
    <w:rsid w:val="00C320B5"/>
    <w:rsid w:val="00C324F6"/>
    <w:rsid w:val="00C32B2C"/>
    <w:rsid w:val="00C3300B"/>
    <w:rsid w:val="00C3317B"/>
    <w:rsid w:val="00C33479"/>
    <w:rsid w:val="00C337AE"/>
    <w:rsid w:val="00C33BDE"/>
    <w:rsid w:val="00C33CE8"/>
    <w:rsid w:val="00C33E53"/>
    <w:rsid w:val="00C3406C"/>
    <w:rsid w:val="00C34156"/>
    <w:rsid w:val="00C342C2"/>
    <w:rsid w:val="00C3440B"/>
    <w:rsid w:val="00C34416"/>
    <w:rsid w:val="00C344FF"/>
    <w:rsid w:val="00C34610"/>
    <w:rsid w:val="00C34C59"/>
    <w:rsid w:val="00C34CA3"/>
    <w:rsid w:val="00C34CBB"/>
    <w:rsid w:val="00C34CC8"/>
    <w:rsid w:val="00C3534A"/>
    <w:rsid w:val="00C355AC"/>
    <w:rsid w:val="00C355C3"/>
    <w:rsid w:val="00C355C8"/>
    <w:rsid w:val="00C357EC"/>
    <w:rsid w:val="00C35CBD"/>
    <w:rsid w:val="00C35D3E"/>
    <w:rsid w:val="00C36062"/>
    <w:rsid w:val="00C363A1"/>
    <w:rsid w:val="00C365DE"/>
    <w:rsid w:val="00C36775"/>
    <w:rsid w:val="00C368CA"/>
    <w:rsid w:val="00C369A1"/>
    <w:rsid w:val="00C369AC"/>
    <w:rsid w:val="00C36B8C"/>
    <w:rsid w:val="00C36E48"/>
    <w:rsid w:val="00C37071"/>
    <w:rsid w:val="00C370F9"/>
    <w:rsid w:val="00C37130"/>
    <w:rsid w:val="00C37299"/>
    <w:rsid w:val="00C372AE"/>
    <w:rsid w:val="00C378CD"/>
    <w:rsid w:val="00C37C04"/>
    <w:rsid w:val="00C37E14"/>
    <w:rsid w:val="00C4057F"/>
    <w:rsid w:val="00C4058B"/>
    <w:rsid w:val="00C40EA2"/>
    <w:rsid w:val="00C40FDB"/>
    <w:rsid w:val="00C41316"/>
    <w:rsid w:val="00C41405"/>
    <w:rsid w:val="00C4176F"/>
    <w:rsid w:val="00C4189E"/>
    <w:rsid w:val="00C41A77"/>
    <w:rsid w:val="00C421C7"/>
    <w:rsid w:val="00C423C4"/>
    <w:rsid w:val="00C42948"/>
    <w:rsid w:val="00C42A37"/>
    <w:rsid w:val="00C42C70"/>
    <w:rsid w:val="00C43631"/>
    <w:rsid w:val="00C4367B"/>
    <w:rsid w:val="00C43DDA"/>
    <w:rsid w:val="00C43EF3"/>
    <w:rsid w:val="00C43F8F"/>
    <w:rsid w:val="00C44949"/>
    <w:rsid w:val="00C449D3"/>
    <w:rsid w:val="00C44DB6"/>
    <w:rsid w:val="00C44FC7"/>
    <w:rsid w:val="00C4526B"/>
    <w:rsid w:val="00C45665"/>
    <w:rsid w:val="00C4579D"/>
    <w:rsid w:val="00C457BE"/>
    <w:rsid w:val="00C45A5C"/>
    <w:rsid w:val="00C45B0C"/>
    <w:rsid w:val="00C45DDE"/>
    <w:rsid w:val="00C45FBE"/>
    <w:rsid w:val="00C46DB5"/>
    <w:rsid w:val="00C47376"/>
    <w:rsid w:val="00C4783D"/>
    <w:rsid w:val="00C478BC"/>
    <w:rsid w:val="00C47E28"/>
    <w:rsid w:val="00C503CD"/>
    <w:rsid w:val="00C50768"/>
    <w:rsid w:val="00C50790"/>
    <w:rsid w:val="00C50970"/>
    <w:rsid w:val="00C50B0B"/>
    <w:rsid w:val="00C50BE2"/>
    <w:rsid w:val="00C50DD4"/>
    <w:rsid w:val="00C51305"/>
    <w:rsid w:val="00C514AC"/>
    <w:rsid w:val="00C519BE"/>
    <w:rsid w:val="00C520C2"/>
    <w:rsid w:val="00C52224"/>
    <w:rsid w:val="00C52787"/>
    <w:rsid w:val="00C5295A"/>
    <w:rsid w:val="00C53414"/>
    <w:rsid w:val="00C53429"/>
    <w:rsid w:val="00C53668"/>
    <w:rsid w:val="00C5368D"/>
    <w:rsid w:val="00C53A4B"/>
    <w:rsid w:val="00C54262"/>
    <w:rsid w:val="00C542F6"/>
    <w:rsid w:val="00C5431E"/>
    <w:rsid w:val="00C54384"/>
    <w:rsid w:val="00C54773"/>
    <w:rsid w:val="00C54986"/>
    <w:rsid w:val="00C54EF8"/>
    <w:rsid w:val="00C55057"/>
    <w:rsid w:val="00C55090"/>
    <w:rsid w:val="00C5542D"/>
    <w:rsid w:val="00C55C02"/>
    <w:rsid w:val="00C55F6F"/>
    <w:rsid w:val="00C56099"/>
    <w:rsid w:val="00C560D5"/>
    <w:rsid w:val="00C563A4"/>
    <w:rsid w:val="00C5670E"/>
    <w:rsid w:val="00C56993"/>
    <w:rsid w:val="00C56E88"/>
    <w:rsid w:val="00C574D0"/>
    <w:rsid w:val="00C5762B"/>
    <w:rsid w:val="00C57645"/>
    <w:rsid w:val="00C576DB"/>
    <w:rsid w:val="00C57CDD"/>
    <w:rsid w:val="00C57E35"/>
    <w:rsid w:val="00C57FAE"/>
    <w:rsid w:val="00C60526"/>
    <w:rsid w:val="00C60BB1"/>
    <w:rsid w:val="00C60D5D"/>
    <w:rsid w:val="00C610BD"/>
    <w:rsid w:val="00C61396"/>
    <w:rsid w:val="00C61A7F"/>
    <w:rsid w:val="00C61EB5"/>
    <w:rsid w:val="00C62051"/>
    <w:rsid w:val="00C62135"/>
    <w:rsid w:val="00C624A0"/>
    <w:rsid w:val="00C6257A"/>
    <w:rsid w:val="00C62867"/>
    <w:rsid w:val="00C6287E"/>
    <w:rsid w:val="00C62BAF"/>
    <w:rsid w:val="00C62CDA"/>
    <w:rsid w:val="00C63162"/>
    <w:rsid w:val="00C6362E"/>
    <w:rsid w:val="00C63E0E"/>
    <w:rsid w:val="00C64224"/>
    <w:rsid w:val="00C646D1"/>
    <w:rsid w:val="00C64918"/>
    <w:rsid w:val="00C64AF4"/>
    <w:rsid w:val="00C64C7B"/>
    <w:rsid w:val="00C64DD6"/>
    <w:rsid w:val="00C64F4F"/>
    <w:rsid w:val="00C64FF8"/>
    <w:rsid w:val="00C652A6"/>
    <w:rsid w:val="00C658BD"/>
    <w:rsid w:val="00C6644F"/>
    <w:rsid w:val="00C66A85"/>
    <w:rsid w:val="00C6726E"/>
    <w:rsid w:val="00C676C8"/>
    <w:rsid w:val="00C6772B"/>
    <w:rsid w:val="00C67955"/>
    <w:rsid w:val="00C67A04"/>
    <w:rsid w:val="00C67D8C"/>
    <w:rsid w:val="00C67DB0"/>
    <w:rsid w:val="00C70930"/>
    <w:rsid w:val="00C70E24"/>
    <w:rsid w:val="00C71108"/>
    <w:rsid w:val="00C71450"/>
    <w:rsid w:val="00C71541"/>
    <w:rsid w:val="00C717DE"/>
    <w:rsid w:val="00C71C9C"/>
    <w:rsid w:val="00C7219A"/>
    <w:rsid w:val="00C72751"/>
    <w:rsid w:val="00C729AE"/>
    <w:rsid w:val="00C72AD5"/>
    <w:rsid w:val="00C72D12"/>
    <w:rsid w:val="00C72E23"/>
    <w:rsid w:val="00C73009"/>
    <w:rsid w:val="00C73461"/>
    <w:rsid w:val="00C737F6"/>
    <w:rsid w:val="00C7392E"/>
    <w:rsid w:val="00C73CCC"/>
    <w:rsid w:val="00C73E18"/>
    <w:rsid w:val="00C73E6E"/>
    <w:rsid w:val="00C7408D"/>
    <w:rsid w:val="00C74425"/>
    <w:rsid w:val="00C74A7F"/>
    <w:rsid w:val="00C74B74"/>
    <w:rsid w:val="00C75045"/>
    <w:rsid w:val="00C755B3"/>
    <w:rsid w:val="00C75695"/>
    <w:rsid w:val="00C757BE"/>
    <w:rsid w:val="00C757E9"/>
    <w:rsid w:val="00C75C36"/>
    <w:rsid w:val="00C75C6A"/>
    <w:rsid w:val="00C75CCE"/>
    <w:rsid w:val="00C7618F"/>
    <w:rsid w:val="00C76193"/>
    <w:rsid w:val="00C76430"/>
    <w:rsid w:val="00C76543"/>
    <w:rsid w:val="00C765E9"/>
    <w:rsid w:val="00C765F6"/>
    <w:rsid w:val="00C7685F"/>
    <w:rsid w:val="00C768FB"/>
    <w:rsid w:val="00C76B8A"/>
    <w:rsid w:val="00C76BC3"/>
    <w:rsid w:val="00C76BF5"/>
    <w:rsid w:val="00C76DCA"/>
    <w:rsid w:val="00C76E0D"/>
    <w:rsid w:val="00C76ED0"/>
    <w:rsid w:val="00C774E9"/>
    <w:rsid w:val="00C7761D"/>
    <w:rsid w:val="00C77639"/>
    <w:rsid w:val="00C77C16"/>
    <w:rsid w:val="00C77CA8"/>
    <w:rsid w:val="00C77E14"/>
    <w:rsid w:val="00C803D9"/>
    <w:rsid w:val="00C8049D"/>
    <w:rsid w:val="00C8068B"/>
    <w:rsid w:val="00C81208"/>
    <w:rsid w:val="00C8143D"/>
    <w:rsid w:val="00C8173D"/>
    <w:rsid w:val="00C81942"/>
    <w:rsid w:val="00C81A43"/>
    <w:rsid w:val="00C81BD8"/>
    <w:rsid w:val="00C821C8"/>
    <w:rsid w:val="00C822E1"/>
    <w:rsid w:val="00C8262C"/>
    <w:rsid w:val="00C828F7"/>
    <w:rsid w:val="00C82BD0"/>
    <w:rsid w:val="00C82E25"/>
    <w:rsid w:val="00C82E2D"/>
    <w:rsid w:val="00C8330B"/>
    <w:rsid w:val="00C83339"/>
    <w:rsid w:val="00C83AD7"/>
    <w:rsid w:val="00C83D2C"/>
    <w:rsid w:val="00C8460B"/>
    <w:rsid w:val="00C847A8"/>
    <w:rsid w:val="00C847F4"/>
    <w:rsid w:val="00C84D0A"/>
    <w:rsid w:val="00C84EB9"/>
    <w:rsid w:val="00C850CE"/>
    <w:rsid w:val="00C851B9"/>
    <w:rsid w:val="00C854B2"/>
    <w:rsid w:val="00C855C1"/>
    <w:rsid w:val="00C8599C"/>
    <w:rsid w:val="00C85EE6"/>
    <w:rsid w:val="00C8603E"/>
    <w:rsid w:val="00C8609C"/>
    <w:rsid w:val="00C86226"/>
    <w:rsid w:val="00C86925"/>
    <w:rsid w:val="00C86B07"/>
    <w:rsid w:val="00C86E23"/>
    <w:rsid w:val="00C8726A"/>
    <w:rsid w:val="00C87278"/>
    <w:rsid w:val="00C87361"/>
    <w:rsid w:val="00C873DE"/>
    <w:rsid w:val="00C874F0"/>
    <w:rsid w:val="00C87621"/>
    <w:rsid w:val="00C87863"/>
    <w:rsid w:val="00C87CD1"/>
    <w:rsid w:val="00C87E8B"/>
    <w:rsid w:val="00C905FC"/>
    <w:rsid w:val="00C90736"/>
    <w:rsid w:val="00C90743"/>
    <w:rsid w:val="00C90787"/>
    <w:rsid w:val="00C909DC"/>
    <w:rsid w:val="00C90C44"/>
    <w:rsid w:val="00C915CC"/>
    <w:rsid w:val="00C915FF"/>
    <w:rsid w:val="00C91960"/>
    <w:rsid w:val="00C91DC7"/>
    <w:rsid w:val="00C92390"/>
    <w:rsid w:val="00C924D0"/>
    <w:rsid w:val="00C925E5"/>
    <w:rsid w:val="00C92C26"/>
    <w:rsid w:val="00C9310E"/>
    <w:rsid w:val="00C932B1"/>
    <w:rsid w:val="00C93607"/>
    <w:rsid w:val="00C93731"/>
    <w:rsid w:val="00C93CD4"/>
    <w:rsid w:val="00C9405C"/>
    <w:rsid w:val="00C943C4"/>
    <w:rsid w:val="00C94789"/>
    <w:rsid w:val="00C94918"/>
    <w:rsid w:val="00C94E81"/>
    <w:rsid w:val="00C951AF"/>
    <w:rsid w:val="00C95331"/>
    <w:rsid w:val="00C9542E"/>
    <w:rsid w:val="00C955BA"/>
    <w:rsid w:val="00C95A8D"/>
    <w:rsid w:val="00C95C42"/>
    <w:rsid w:val="00C95C7C"/>
    <w:rsid w:val="00C95E50"/>
    <w:rsid w:val="00C95E85"/>
    <w:rsid w:val="00C95F8B"/>
    <w:rsid w:val="00C96209"/>
    <w:rsid w:val="00C967E4"/>
    <w:rsid w:val="00C96B1F"/>
    <w:rsid w:val="00C96BEB"/>
    <w:rsid w:val="00C974ED"/>
    <w:rsid w:val="00C976F6"/>
    <w:rsid w:val="00C978B8"/>
    <w:rsid w:val="00C97E5B"/>
    <w:rsid w:val="00CA040A"/>
    <w:rsid w:val="00CA0923"/>
    <w:rsid w:val="00CA0A36"/>
    <w:rsid w:val="00CA10C5"/>
    <w:rsid w:val="00CA14DC"/>
    <w:rsid w:val="00CA1661"/>
    <w:rsid w:val="00CA197B"/>
    <w:rsid w:val="00CA1AAB"/>
    <w:rsid w:val="00CA2001"/>
    <w:rsid w:val="00CA2144"/>
    <w:rsid w:val="00CA2281"/>
    <w:rsid w:val="00CA238E"/>
    <w:rsid w:val="00CA28AF"/>
    <w:rsid w:val="00CA2C14"/>
    <w:rsid w:val="00CA2E68"/>
    <w:rsid w:val="00CA307E"/>
    <w:rsid w:val="00CA34D0"/>
    <w:rsid w:val="00CA355F"/>
    <w:rsid w:val="00CA360C"/>
    <w:rsid w:val="00CA3725"/>
    <w:rsid w:val="00CA3ACE"/>
    <w:rsid w:val="00CA3EAF"/>
    <w:rsid w:val="00CA4884"/>
    <w:rsid w:val="00CA490F"/>
    <w:rsid w:val="00CA4D92"/>
    <w:rsid w:val="00CA508A"/>
    <w:rsid w:val="00CA511F"/>
    <w:rsid w:val="00CA5BC4"/>
    <w:rsid w:val="00CA5D12"/>
    <w:rsid w:val="00CA5F6F"/>
    <w:rsid w:val="00CA5FDC"/>
    <w:rsid w:val="00CA6279"/>
    <w:rsid w:val="00CA67B8"/>
    <w:rsid w:val="00CA6B04"/>
    <w:rsid w:val="00CA6C95"/>
    <w:rsid w:val="00CA73E4"/>
    <w:rsid w:val="00CA745D"/>
    <w:rsid w:val="00CA7913"/>
    <w:rsid w:val="00CA7D8F"/>
    <w:rsid w:val="00CA7F0B"/>
    <w:rsid w:val="00CB1187"/>
    <w:rsid w:val="00CB11FF"/>
    <w:rsid w:val="00CB12B9"/>
    <w:rsid w:val="00CB1884"/>
    <w:rsid w:val="00CB1AFF"/>
    <w:rsid w:val="00CB1C38"/>
    <w:rsid w:val="00CB1C5F"/>
    <w:rsid w:val="00CB2F98"/>
    <w:rsid w:val="00CB308B"/>
    <w:rsid w:val="00CB380E"/>
    <w:rsid w:val="00CB3A73"/>
    <w:rsid w:val="00CB3C16"/>
    <w:rsid w:val="00CB41AF"/>
    <w:rsid w:val="00CB43D1"/>
    <w:rsid w:val="00CB44F0"/>
    <w:rsid w:val="00CB46C6"/>
    <w:rsid w:val="00CB46CA"/>
    <w:rsid w:val="00CB4B13"/>
    <w:rsid w:val="00CB4BE7"/>
    <w:rsid w:val="00CB4C1E"/>
    <w:rsid w:val="00CB511B"/>
    <w:rsid w:val="00CB5136"/>
    <w:rsid w:val="00CB5219"/>
    <w:rsid w:val="00CB5296"/>
    <w:rsid w:val="00CB57C3"/>
    <w:rsid w:val="00CB5B35"/>
    <w:rsid w:val="00CB604C"/>
    <w:rsid w:val="00CB6560"/>
    <w:rsid w:val="00CB6D1A"/>
    <w:rsid w:val="00CB6D7A"/>
    <w:rsid w:val="00CB6EE5"/>
    <w:rsid w:val="00CB709E"/>
    <w:rsid w:val="00CB75B9"/>
    <w:rsid w:val="00CB760C"/>
    <w:rsid w:val="00CB76BC"/>
    <w:rsid w:val="00CB7AD6"/>
    <w:rsid w:val="00CB7B31"/>
    <w:rsid w:val="00CC00A9"/>
    <w:rsid w:val="00CC0693"/>
    <w:rsid w:val="00CC0781"/>
    <w:rsid w:val="00CC0B2C"/>
    <w:rsid w:val="00CC0BFC"/>
    <w:rsid w:val="00CC0EFD"/>
    <w:rsid w:val="00CC1179"/>
    <w:rsid w:val="00CC175D"/>
    <w:rsid w:val="00CC1AF3"/>
    <w:rsid w:val="00CC1BA6"/>
    <w:rsid w:val="00CC20EE"/>
    <w:rsid w:val="00CC2241"/>
    <w:rsid w:val="00CC297C"/>
    <w:rsid w:val="00CC2A60"/>
    <w:rsid w:val="00CC2B6D"/>
    <w:rsid w:val="00CC2E33"/>
    <w:rsid w:val="00CC2E58"/>
    <w:rsid w:val="00CC314D"/>
    <w:rsid w:val="00CC3471"/>
    <w:rsid w:val="00CC355D"/>
    <w:rsid w:val="00CC3670"/>
    <w:rsid w:val="00CC381D"/>
    <w:rsid w:val="00CC3AF2"/>
    <w:rsid w:val="00CC3FE2"/>
    <w:rsid w:val="00CC4140"/>
    <w:rsid w:val="00CC4185"/>
    <w:rsid w:val="00CC4421"/>
    <w:rsid w:val="00CC46F2"/>
    <w:rsid w:val="00CC4AC8"/>
    <w:rsid w:val="00CC4D76"/>
    <w:rsid w:val="00CC4DE5"/>
    <w:rsid w:val="00CC51D9"/>
    <w:rsid w:val="00CC54BC"/>
    <w:rsid w:val="00CC5B8E"/>
    <w:rsid w:val="00CC5E3A"/>
    <w:rsid w:val="00CC6077"/>
    <w:rsid w:val="00CC6090"/>
    <w:rsid w:val="00CC64C7"/>
    <w:rsid w:val="00CC6A77"/>
    <w:rsid w:val="00CC6AC2"/>
    <w:rsid w:val="00CC6F4F"/>
    <w:rsid w:val="00CC714F"/>
    <w:rsid w:val="00CC71CA"/>
    <w:rsid w:val="00CC727C"/>
    <w:rsid w:val="00CC73A6"/>
    <w:rsid w:val="00CC77D1"/>
    <w:rsid w:val="00CC7A32"/>
    <w:rsid w:val="00CD00C0"/>
    <w:rsid w:val="00CD04E0"/>
    <w:rsid w:val="00CD0AC5"/>
    <w:rsid w:val="00CD0E1B"/>
    <w:rsid w:val="00CD107A"/>
    <w:rsid w:val="00CD10D5"/>
    <w:rsid w:val="00CD164C"/>
    <w:rsid w:val="00CD16AB"/>
    <w:rsid w:val="00CD1C84"/>
    <w:rsid w:val="00CD1D70"/>
    <w:rsid w:val="00CD1E1D"/>
    <w:rsid w:val="00CD1E54"/>
    <w:rsid w:val="00CD1F0F"/>
    <w:rsid w:val="00CD24D8"/>
    <w:rsid w:val="00CD26E5"/>
    <w:rsid w:val="00CD2932"/>
    <w:rsid w:val="00CD2A01"/>
    <w:rsid w:val="00CD2A8A"/>
    <w:rsid w:val="00CD2BFA"/>
    <w:rsid w:val="00CD3378"/>
    <w:rsid w:val="00CD3736"/>
    <w:rsid w:val="00CD39C2"/>
    <w:rsid w:val="00CD3C4E"/>
    <w:rsid w:val="00CD4161"/>
    <w:rsid w:val="00CD42BB"/>
    <w:rsid w:val="00CD4470"/>
    <w:rsid w:val="00CD4639"/>
    <w:rsid w:val="00CD4908"/>
    <w:rsid w:val="00CD49F8"/>
    <w:rsid w:val="00CD4A15"/>
    <w:rsid w:val="00CD4F09"/>
    <w:rsid w:val="00CD5033"/>
    <w:rsid w:val="00CD5043"/>
    <w:rsid w:val="00CD5187"/>
    <w:rsid w:val="00CD5286"/>
    <w:rsid w:val="00CD587E"/>
    <w:rsid w:val="00CD5AA5"/>
    <w:rsid w:val="00CD5C1E"/>
    <w:rsid w:val="00CD5ECF"/>
    <w:rsid w:val="00CD5F06"/>
    <w:rsid w:val="00CD60F0"/>
    <w:rsid w:val="00CD63C9"/>
    <w:rsid w:val="00CD6724"/>
    <w:rsid w:val="00CD687D"/>
    <w:rsid w:val="00CD698F"/>
    <w:rsid w:val="00CD6CC4"/>
    <w:rsid w:val="00CD6D0B"/>
    <w:rsid w:val="00CD7235"/>
    <w:rsid w:val="00CD79FA"/>
    <w:rsid w:val="00CD7DE1"/>
    <w:rsid w:val="00CE0266"/>
    <w:rsid w:val="00CE0304"/>
    <w:rsid w:val="00CE03F9"/>
    <w:rsid w:val="00CE06A9"/>
    <w:rsid w:val="00CE08DD"/>
    <w:rsid w:val="00CE0D85"/>
    <w:rsid w:val="00CE0EBF"/>
    <w:rsid w:val="00CE102A"/>
    <w:rsid w:val="00CE12C4"/>
    <w:rsid w:val="00CE13DB"/>
    <w:rsid w:val="00CE1E9F"/>
    <w:rsid w:val="00CE1F20"/>
    <w:rsid w:val="00CE20C7"/>
    <w:rsid w:val="00CE229A"/>
    <w:rsid w:val="00CE2383"/>
    <w:rsid w:val="00CE24DE"/>
    <w:rsid w:val="00CE2943"/>
    <w:rsid w:val="00CE3060"/>
    <w:rsid w:val="00CE30C3"/>
    <w:rsid w:val="00CE335C"/>
    <w:rsid w:val="00CE339C"/>
    <w:rsid w:val="00CE3A89"/>
    <w:rsid w:val="00CE48E0"/>
    <w:rsid w:val="00CE4DE1"/>
    <w:rsid w:val="00CE51AB"/>
    <w:rsid w:val="00CE5266"/>
    <w:rsid w:val="00CE5354"/>
    <w:rsid w:val="00CE5622"/>
    <w:rsid w:val="00CE58B7"/>
    <w:rsid w:val="00CE5DA5"/>
    <w:rsid w:val="00CE5F8E"/>
    <w:rsid w:val="00CE6054"/>
    <w:rsid w:val="00CE6107"/>
    <w:rsid w:val="00CE66C2"/>
    <w:rsid w:val="00CE6E59"/>
    <w:rsid w:val="00CE74BC"/>
    <w:rsid w:val="00CE75F0"/>
    <w:rsid w:val="00CE7843"/>
    <w:rsid w:val="00CF020C"/>
    <w:rsid w:val="00CF06BD"/>
    <w:rsid w:val="00CF07F2"/>
    <w:rsid w:val="00CF08E2"/>
    <w:rsid w:val="00CF115B"/>
    <w:rsid w:val="00CF12E2"/>
    <w:rsid w:val="00CF1CF7"/>
    <w:rsid w:val="00CF2390"/>
    <w:rsid w:val="00CF2561"/>
    <w:rsid w:val="00CF29FA"/>
    <w:rsid w:val="00CF2BFB"/>
    <w:rsid w:val="00CF2FBC"/>
    <w:rsid w:val="00CF314E"/>
    <w:rsid w:val="00CF3360"/>
    <w:rsid w:val="00CF360B"/>
    <w:rsid w:val="00CF3648"/>
    <w:rsid w:val="00CF3C65"/>
    <w:rsid w:val="00CF44F5"/>
    <w:rsid w:val="00CF45F4"/>
    <w:rsid w:val="00CF4629"/>
    <w:rsid w:val="00CF47A2"/>
    <w:rsid w:val="00CF4978"/>
    <w:rsid w:val="00CF4D0D"/>
    <w:rsid w:val="00CF5003"/>
    <w:rsid w:val="00CF508B"/>
    <w:rsid w:val="00CF5093"/>
    <w:rsid w:val="00CF529B"/>
    <w:rsid w:val="00CF5535"/>
    <w:rsid w:val="00CF57FB"/>
    <w:rsid w:val="00CF5816"/>
    <w:rsid w:val="00CF5BC8"/>
    <w:rsid w:val="00CF5E0F"/>
    <w:rsid w:val="00CF5E2B"/>
    <w:rsid w:val="00CF66C3"/>
    <w:rsid w:val="00CF69C8"/>
    <w:rsid w:val="00CF6A68"/>
    <w:rsid w:val="00CF6CF6"/>
    <w:rsid w:val="00CF717B"/>
    <w:rsid w:val="00CF7B2C"/>
    <w:rsid w:val="00CF7C62"/>
    <w:rsid w:val="00CF7C94"/>
    <w:rsid w:val="00CF7F3A"/>
    <w:rsid w:val="00D00121"/>
    <w:rsid w:val="00D0018A"/>
    <w:rsid w:val="00D00431"/>
    <w:rsid w:val="00D0067A"/>
    <w:rsid w:val="00D00815"/>
    <w:rsid w:val="00D00B47"/>
    <w:rsid w:val="00D00C44"/>
    <w:rsid w:val="00D00FB5"/>
    <w:rsid w:val="00D01018"/>
    <w:rsid w:val="00D01810"/>
    <w:rsid w:val="00D019A5"/>
    <w:rsid w:val="00D01EF2"/>
    <w:rsid w:val="00D0221F"/>
    <w:rsid w:val="00D027B9"/>
    <w:rsid w:val="00D02A0E"/>
    <w:rsid w:val="00D02CE7"/>
    <w:rsid w:val="00D03022"/>
    <w:rsid w:val="00D035C6"/>
    <w:rsid w:val="00D036F1"/>
    <w:rsid w:val="00D03DDA"/>
    <w:rsid w:val="00D03EAC"/>
    <w:rsid w:val="00D0412E"/>
    <w:rsid w:val="00D04688"/>
    <w:rsid w:val="00D04A6C"/>
    <w:rsid w:val="00D04CE0"/>
    <w:rsid w:val="00D05080"/>
    <w:rsid w:val="00D051E5"/>
    <w:rsid w:val="00D055CF"/>
    <w:rsid w:val="00D06416"/>
    <w:rsid w:val="00D06DB5"/>
    <w:rsid w:val="00D07299"/>
    <w:rsid w:val="00D073FB"/>
    <w:rsid w:val="00D07644"/>
    <w:rsid w:val="00D07B29"/>
    <w:rsid w:val="00D07BEA"/>
    <w:rsid w:val="00D10146"/>
    <w:rsid w:val="00D1024F"/>
    <w:rsid w:val="00D10537"/>
    <w:rsid w:val="00D1096A"/>
    <w:rsid w:val="00D109D2"/>
    <w:rsid w:val="00D109D9"/>
    <w:rsid w:val="00D10AB7"/>
    <w:rsid w:val="00D10BB6"/>
    <w:rsid w:val="00D10C46"/>
    <w:rsid w:val="00D1115B"/>
    <w:rsid w:val="00D113FE"/>
    <w:rsid w:val="00D1177D"/>
    <w:rsid w:val="00D1195D"/>
    <w:rsid w:val="00D11CC6"/>
    <w:rsid w:val="00D11DC6"/>
    <w:rsid w:val="00D11DDF"/>
    <w:rsid w:val="00D122AE"/>
    <w:rsid w:val="00D12343"/>
    <w:rsid w:val="00D1276D"/>
    <w:rsid w:val="00D12C14"/>
    <w:rsid w:val="00D12FB2"/>
    <w:rsid w:val="00D130BA"/>
    <w:rsid w:val="00D135C3"/>
    <w:rsid w:val="00D135D4"/>
    <w:rsid w:val="00D13821"/>
    <w:rsid w:val="00D13B33"/>
    <w:rsid w:val="00D13CAE"/>
    <w:rsid w:val="00D13CD4"/>
    <w:rsid w:val="00D13DD0"/>
    <w:rsid w:val="00D13E02"/>
    <w:rsid w:val="00D13ED2"/>
    <w:rsid w:val="00D14174"/>
    <w:rsid w:val="00D14C48"/>
    <w:rsid w:val="00D14CC6"/>
    <w:rsid w:val="00D1525D"/>
    <w:rsid w:val="00D152BC"/>
    <w:rsid w:val="00D15413"/>
    <w:rsid w:val="00D1545A"/>
    <w:rsid w:val="00D15B34"/>
    <w:rsid w:val="00D15E11"/>
    <w:rsid w:val="00D15E82"/>
    <w:rsid w:val="00D160C7"/>
    <w:rsid w:val="00D16289"/>
    <w:rsid w:val="00D1640A"/>
    <w:rsid w:val="00D16572"/>
    <w:rsid w:val="00D1660D"/>
    <w:rsid w:val="00D16A9D"/>
    <w:rsid w:val="00D16E6D"/>
    <w:rsid w:val="00D16EA0"/>
    <w:rsid w:val="00D16FF5"/>
    <w:rsid w:val="00D17041"/>
    <w:rsid w:val="00D170A8"/>
    <w:rsid w:val="00D1710D"/>
    <w:rsid w:val="00D178DD"/>
    <w:rsid w:val="00D17B09"/>
    <w:rsid w:val="00D17D1F"/>
    <w:rsid w:val="00D2008A"/>
    <w:rsid w:val="00D2013F"/>
    <w:rsid w:val="00D20215"/>
    <w:rsid w:val="00D2062D"/>
    <w:rsid w:val="00D20857"/>
    <w:rsid w:val="00D20A7D"/>
    <w:rsid w:val="00D20AC7"/>
    <w:rsid w:val="00D20ADD"/>
    <w:rsid w:val="00D20C29"/>
    <w:rsid w:val="00D215EB"/>
    <w:rsid w:val="00D21770"/>
    <w:rsid w:val="00D2183C"/>
    <w:rsid w:val="00D218F4"/>
    <w:rsid w:val="00D21C12"/>
    <w:rsid w:val="00D221D2"/>
    <w:rsid w:val="00D2237C"/>
    <w:rsid w:val="00D2244A"/>
    <w:rsid w:val="00D2279C"/>
    <w:rsid w:val="00D2289D"/>
    <w:rsid w:val="00D23203"/>
    <w:rsid w:val="00D23AB8"/>
    <w:rsid w:val="00D23B3B"/>
    <w:rsid w:val="00D23C87"/>
    <w:rsid w:val="00D23D73"/>
    <w:rsid w:val="00D23F04"/>
    <w:rsid w:val="00D2469C"/>
    <w:rsid w:val="00D2498E"/>
    <w:rsid w:val="00D24B6F"/>
    <w:rsid w:val="00D24C94"/>
    <w:rsid w:val="00D2509B"/>
    <w:rsid w:val="00D253D4"/>
    <w:rsid w:val="00D253E0"/>
    <w:rsid w:val="00D255A7"/>
    <w:rsid w:val="00D255F2"/>
    <w:rsid w:val="00D257B0"/>
    <w:rsid w:val="00D259A2"/>
    <w:rsid w:val="00D25ADD"/>
    <w:rsid w:val="00D25DD9"/>
    <w:rsid w:val="00D25E19"/>
    <w:rsid w:val="00D2613E"/>
    <w:rsid w:val="00D26510"/>
    <w:rsid w:val="00D2672C"/>
    <w:rsid w:val="00D26888"/>
    <w:rsid w:val="00D26A53"/>
    <w:rsid w:val="00D2743A"/>
    <w:rsid w:val="00D27A76"/>
    <w:rsid w:val="00D27C12"/>
    <w:rsid w:val="00D30147"/>
    <w:rsid w:val="00D306B7"/>
    <w:rsid w:val="00D30B06"/>
    <w:rsid w:val="00D30F43"/>
    <w:rsid w:val="00D31174"/>
    <w:rsid w:val="00D31372"/>
    <w:rsid w:val="00D31383"/>
    <w:rsid w:val="00D314FD"/>
    <w:rsid w:val="00D31739"/>
    <w:rsid w:val="00D31BE6"/>
    <w:rsid w:val="00D31BE9"/>
    <w:rsid w:val="00D31C5E"/>
    <w:rsid w:val="00D32345"/>
    <w:rsid w:val="00D32CEE"/>
    <w:rsid w:val="00D334E0"/>
    <w:rsid w:val="00D33520"/>
    <w:rsid w:val="00D335A5"/>
    <w:rsid w:val="00D33682"/>
    <w:rsid w:val="00D33991"/>
    <w:rsid w:val="00D33FF9"/>
    <w:rsid w:val="00D34139"/>
    <w:rsid w:val="00D3468D"/>
    <w:rsid w:val="00D34971"/>
    <w:rsid w:val="00D3512D"/>
    <w:rsid w:val="00D356EE"/>
    <w:rsid w:val="00D3572A"/>
    <w:rsid w:val="00D35934"/>
    <w:rsid w:val="00D35C1D"/>
    <w:rsid w:val="00D36763"/>
    <w:rsid w:val="00D36B9C"/>
    <w:rsid w:val="00D36C72"/>
    <w:rsid w:val="00D36E3B"/>
    <w:rsid w:val="00D3718C"/>
    <w:rsid w:val="00D3733B"/>
    <w:rsid w:val="00D37799"/>
    <w:rsid w:val="00D37878"/>
    <w:rsid w:val="00D37924"/>
    <w:rsid w:val="00D37A57"/>
    <w:rsid w:val="00D37D5D"/>
    <w:rsid w:val="00D37D75"/>
    <w:rsid w:val="00D37D7F"/>
    <w:rsid w:val="00D37FAC"/>
    <w:rsid w:val="00D403DF"/>
    <w:rsid w:val="00D404D6"/>
    <w:rsid w:val="00D4087F"/>
    <w:rsid w:val="00D40E12"/>
    <w:rsid w:val="00D4127E"/>
    <w:rsid w:val="00D4190E"/>
    <w:rsid w:val="00D420D5"/>
    <w:rsid w:val="00D42309"/>
    <w:rsid w:val="00D4241C"/>
    <w:rsid w:val="00D42539"/>
    <w:rsid w:val="00D42636"/>
    <w:rsid w:val="00D42709"/>
    <w:rsid w:val="00D4284F"/>
    <w:rsid w:val="00D42CBE"/>
    <w:rsid w:val="00D430B0"/>
    <w:rsid w:val="00D430B3"/>
    <w:rsid w:val="00D432FA"/>
    <w:rsid w:val="00D43603"/>
    <w:rsid w:val="00D43757"/>
    <w:rsid w:val="00D438CD"/>
    <w:rsid w:val="00D43C97"/>
    <w:rsid w:val="00D4435E"/>
    <w:rsid w:val="00D44BE0"/>
    <w:rsid w:val="00D44CFF"/>
    <w:rsid w:val="00D44DC3"/>
    <w:rsid w:val="00D4502D"/>
    <w:rsid w:val="00D45739"/>
    <w:rsid w:val="00D457DB"/>
    <w:rsid w:val="00D459F3"/>
    <w:rsid w:val="00D45CE2"/>
    <w:rsid w:val="00D45D1C"/>
    <w:rsid w:val="00D46109"/>
    <w:rsid w:val="00D46232"/>
    <w:rsid w:val="00D463D5"/>
    <w:rsid w:val="00D46A41"/>
    <w:rsid w:val="00D46C30"/>
    <w:rsid w:val="00D46F7C"/>
    <w:rsid w:val="00D470BA"/>
    <w:rsid w:val="00D4728F"/>
    <w:rsid w:val="00D4779B"/>
    <w:rsid w:val="00D47B49"/>
    <w:rsid w:val="00D47EDD"/>
    <w:rsid w:val="00D5017E"/>
    <w:rsid w:val="00D50226"/>
    <w:rsid w:val="00D5024E"/>
    <w:rsid w:val="00D50308"/>
    <w:rsid w:val="00D5033A"/>
    <w:rsid w:val="00D5065B"/>
    <w:rsid w:val="00D51007"/>
    <w:rsid w:val="00D512C4"/>
    <w:rsid w:val="00D514A4"/>
    <w:rsid w:val="00D519DB"/>
    <w:rsid w:val="00D519F6"/>
    <w:rsid w:val="00D51D27"/>
    <w:rsid w:val="00D51F5F"/>
    <w:rsid w:val="00D528B1"/>
    <w:rsid w:val="00D52C79"/>
    <w:rsid w:val="00D52C93"/>
    <w:rsid w:val="00D53107"/>
    <w:rsid w:val="00D53216"/>
    <w:rsid w:val="00D532D2"/>
    <w:rsid w:val="00D534CE"/>
    <w:rsid w:val="00D53966"/>
    <w:rsid w:val="00D539DF"/>
    <w:rsid w:val="00D53BB8"/>
    <w:rsid w:val="00D54540"/>
    <w:rsid w:val="00D54792"/>
    <w:rsid w:val="00D547EB"/>
    <w:rsid w:val="00D54EF7"/>
    <w:rsid w:val="00D54F79"/>
    <w:rsid w:val="00D5525C"/>
    <w:rsid w:val="00D5531D"/>
    <w:rsid w:val="00D5541B"/>
    <w:rsid w:val="00D55474"/>
    <w:rsid w:val="00D55713"/>
    <w:rsid w:val="00D558B7"/>
    <w:rsid w:val="00D55A78"/>
    <w:rsid w:val="00D55E07"/>
    <w:rsid w:val="00D55E08"/>
    <w:rsid w:val="00D56337"/>
    <w:rsid w:val="00D563B0"/>
    <w:rsid w:val="00D56506"/>
    <w:rsid w:val="00D568B7"/>
    <w:rsid w:val="00D568D9"/>
    <w:rsid w:val="00D568F7"/>
    <w:rsid w:val="00D56A45"/>
    <w:rsid w:val="00D5702E"/>
    <w:rsid w:val="00D57654"/>
    <w:rsid w:val="00D576C6"/>
    <w:rsid w:val="00D57B1C"/>
    <w:rsid w:val="00D57C7D"/>
    <w:rsid w:val="00D60233"/>
    <w:rsid w:val="00D6035B"/>
    <w:rsid w:val="00D60378"/>
    <w:rsid w:val="00D60AC6"/>
    <w:rsid w:val="00D60B39"/>
    <w:rsid w:val="00D60BFC"/>
    <w:rsid w:val="00D61398"/>
    <w:rsid w:val="00D618F5"/>
    <w:rsid w:val="00D619D0"/>
    <w:rsid w:val="00D61AFB"/>
    <w:rsid w:val="00D61CA4"/>
    <w:rsid w:val="00D61EA3"/>
    <w:rsid w:val="00D625E0"/>
    <w:rsid w:val="00D6282E"/>
    <w:rsid w:val="00D62C2B"/>
    <w:rsid w:val="00D62E8C"/>
    <w:rsid w:val="00D62FB4"/>
    <w:rsid w:val="00D6320B"/>
    <w:rsid w:val="00D633F6"/>
    <w:rsid w:val="00D63727"/>
    <w:rsid w:val="00D63B84"/>
    <w:rsid w:val="00D63BCE"/>
    <w:rsid w:val="00D63C29"/>
    <w:rsid w:val="00D63D34"/>
    <w:rsid w:val="00D63D5A"/>
    <w:rsid w:val="00D64519"/>
    <w:rsid w:val="00D645B7"/>
    <w:rsid w:val="00D64768"/>
    <w:rsid w:val="00D648D6"/>
    <w:rsid w:val="00D65590"/>
    <w:rsid w:val="00D65AF5"/>
    <w:rsid w:val="00D65BA5"/>
    <w:rsid w:val="00D65D0A"/>
    <w:rsid w:val="00D65FD3"/>
    <w:rsid w:val="00D660EE"/>
    <w:rsid w:val="00D66384"/>
    <w:rsid w:val="00D663A9"/>
    <w:rsid w:val="00D669C4"/>
    <w:rsid w:val="00D66BFF"/>
    <w:rsid w:val="00D66DAB"/>
    <w:rsid w:val="00D6758C"/>
    <w:rsid w:val="00D6789D"/>
    <w:rsid w:val="00D678CA"/>
    <w:rsid w:val="00D67F68"/>
    <w:rsid w:val="00D7033B"/>
    <w:rsid w:val="00D70591"/>
    <w:rsid w:val="00D706AD"/>
    <w:rsid w:val="00D707F7"/>
    <w:rsid w:val="00D70AE8"/>
    <w:rsid w:val="00D70B40"/>
    <w:rsid w:val="00D7107E"/>
    <w:rsid w:val="00D71175"/>
    <w:rsid w:val="00D711CA"/>
    <w:rsid w:val="00D7121D"/>
    <w:rsid w:val="00D71A55"/>
    <w:rsid w:val="00D71B01"/>
    <w:rsid w:val="00D727BD"/>
    <w:rsid w:val="00D73096"/>
    <w:rsid w:val="00D736DF"/>
    <w:rsid w:val="00D737D1"/>
    <w:rsid w:val="00D73980"/>
    <w:rsid w:val="00D73A03"/>
    <w:rsid w:val="00D73D06"/>
    <w:rsid w:val="00D740A6"/>
    <w:rsid w:val="00D743E5"/>
    <w:rsid w:val="00D746C3"/>
    <w:rsid w:val="00D7473E"/>
    <w:rsid w:val="00D7488F"/>
    <w:rsid w:val="00D74C1B"/>
    <w:rsid w:val="00D74F91"/>
    <w:rsid w:val="00D75038"/>
    <w:rsid w:val="00D7506D"/>
    <w:rsid w:val="00D754D5"/>
    <w:rsid w:val="00D76043"/>
    <w:rsid w:val="00D7632D"/>
    <w:rsid w:val="00D76473"/>
    <w:rsid w:val="00D76522"/>
    <w:rsid w:val="00D7657C"/>
    <w:rsid w:val="00D765C1"/>
    <w:rsid w:val="00D76804"/>
    <w:rsid w:val="00D76A0E"/>
    <w:rsid w:val="00D76C04"/>
    <w:rsid w:val="00D76CD5"/>
    <w:rsid w:val="00D76D54"/>
    <w:rsid w:val="00D7719A"/>
    <w:rsid w:val="00D7723E"/>
    <w:rsid w:val="00D7744B"/>
    <w:rsid w:val="00D77CF4"/>
    <w:rsid w:val="00D77D49"/>
    <w:rsid w:val="00D80400"/>
    <w:rsid w:val="00D80465"/>
    <w:rsid w:val="00D80578"/>
    <w:rsid w:val="00D8063C"/>
    <w:rsid w:val="00D808C9"/>
    <w:rsid w:val="00D80AD5"/>
    <w:rsid w:val="00D80B32"/>
    <w:rsid w:val="00D80B6C"/>
    <w:rsid w:val="00D80BEE"/>
    <w:rsid w:val="00D80C9C"/>
    <w:rsid w:val="00D80EF3"/>
    <w:rsid w:val="00D80FA0"/>
    <w:rsid w:val="00D81141"/>
    <w:rsid w:val="00D814FA"/>
    <w:rsid w:val="00D81648"/>
    <w:rsid w:val="00D817F1"/>
    <w:rsid w:val="00D81CB0"/>
    <w:rsid w:val="00D824A9"/>
    <w:rsid w:val="00D8292B"/>
    <w:rsid w:val="00D82CAC"/>
    <w:rsid w:val="00D82E62"/>
    <w:rsid w:val="00D82FF0"/>
    <w:rsid w:val="00D8376D"/>
    <w:rsid w:val="00D83934"/>
    <w:rsid w:val="00D839A6"/>
    <w:rsid w:val="00D84A50"/>
    <w:rsid w:val="00D84EA5"/>
    <w:rsid w:val="00D85619"/>
    <w:rsid w:val="00D857AD"/>
    <w:rsid w:val="00D857E7"/>
    <w:rsid w:val="00D85993"/>
    <w:rsid w:val="00D8621F"/>
    <w:rsid w:val="00D8625B"/>
    <w:rsid w:val="00D86270"/>
    <w:rsid w:val="00D86480"/>
    <w:rsid w:val="00D869AA"/>
    <w:rsid w:val="00D86A05"/>
    <w:rsid w:val="00D86A6E"/>
    <w:rsid w:val="00D86AEE"/>
    <w:rsid w:val="00D86C80"/>
    <w:rsid w:val="00D86E22"/>
    <w:rsid w:val="00D86F04"/>
    <w:rsid w:val="00D87290"/>
    <w:rsid w:val="00D875CE"/>
    <w:rsid w:val="00D875DA"/>
    <w:rsid w:val="00D8782D"/>
    <w:rsid w:val="00D900A6"/>
    <w:rsid w:val="00D90474"/>
    <w:rsid w:val="00D904F4"/>
    <w:rsid w:val="00D9070A"/>
    <w:rsid w:val="00D907BB"/>
    <w:rsid w:val="00D90C69"/>
    <w:rsid w:val="00D91191"/>
    <w:rsid w:val="00D91273"/>
    <w:rsid w:val="00D91693"/>
    <w:rsid w:val="00D91C6F"/>
    <w:rsid w:val="00D92B46"/>
    <w:rsid w:val="00D92BD8"/>
    <w:rsid w:val="00D92D50"/>
    <w:rsid w:val="00D92D98"/>
    <w:rsid w:val="00D92F42"/>
    <w:rsid w:val="00D93260"/>
    <w:rsid w:val="00D934B9"/>
    <w:rsid w:val="00D936E5"/>
    <w:rsid w:val="00D93998"/>
    <w:rsid w:val="00D93DE4"/>
    <w:rsid w:val="00D93FB4"/>
    <w:rsid w:val="00D940A0"/>
    <w:rsid w:val="00D941A6"/>
    <w:rsid w:val="00D9426C"/>
    <w:rsid w:val="00D9427F"/>
    <w:rsid w:val="00D94491"/>
    <w:rsid w:val="00D957D4"/>
    <w:rsid w:val="00D95ACC"/>
    <w:rsid w:val="00D95B0F"/>
    <w:rsid w:val="00D95C11"/>
    <w:rsid w:val="00D95C47"/>
    <w:rsid w:val="00D95C52"/>
    <w:rsid w:val="00D961E5"/>
    <w:rsid w:val="00D97033"/>
    <w:rsid w:val="00D9762D"/>
    <w:rsid w:val="00D978B0"/>
    <w:rsid w:val="00D978EB"/>
    <w:rsid w:val="00D97B07"/>
    <w:rsid w:val="00D97C9D"/>
    <w:rsid w:val="00DA01C1"/>
    <w:rsid w:val="00DA04B5"/>
    <w:rsid w:val="00DA07B7"/>
    <w:rsid w:val="00DA0981"/>
    <w:rsid w:val="00DA0CE2"/>
    <w:rsid w:val="00DA0E3E"/>
    <w:rsid w:val="00DA0F0B"/>
    <w:rsid w:val="00DA10B7"/>
    <w:rsid w:val="00DA146F"/>
    <w:rsid w:val="00DA1673"/>
    <w:rsid w:val="00DA1748"/>
    <w:rsid w:val="00DA1828"/>
    <w:rsid w:val="00DA1E95"/>
    <w:rsid w:val="00DA1F47"/>
    <w:rsid w:val="00DA27BE"/>
    <w:rsid w:val="00DA28A2"/>
    <w:rsid w:val="00DA3016"/>
    <w:rsid w:val="00DA3A93"/>
    <w:rsid w:val="00DA3D33"/>
    <w:rsid w:val="00DA4229"/>
    <w:rsid w:val="00DA42F6"/>
    <w:rsid w:val="00DA4372"/>
    <w:rsid w:val="00DA4573"/>
    <w:rsid w:val="00DA477D"/>
    <w:rsid w:val="00DA4B14"/>
    <w:rsid w:val="00DA5128"/>
    <w:rsid w:val="00DA54E5"/>
    <w:rsid w:val="00DA5523"/>
    <w:rsid w:val="00DA5669"/>
    <w:rsid w:val="00DA5C72"/>
    <w:rsid w:val="00DA5E83"/>
    <w:rsid w:val="00DA5FBF"/>
    <w:rsid w:val="00DA6271"/>
    <w:rsid w:val="00DA645F"/>
    <w:rsid w:val="00DA65F1"/>
    <w:rsid w:val="00DA6BDA"/>
    <w:rsid w:val="00DA6DD7"/>
    <w:rsid w:val="00DA6E4B"/>
    <w:rsid w:val="00DA6F91"/>
    <w:rsid w:val="00DA75AB"/>
    <w:rsid w:val="00DA76D0"/>
    <w:rsid w:val="00DA77BB"/>
    <w:rsid w:val="00DA78F8"/>
    <w:rsid w:val="00DB065F"/>
    <w:rsid w:val="00DB0753"/>
    <w:rsid w:val="00DB09C8"/>
    <w:rsid w:val="00DB0A04"/>
    <w:rsid w:val="00DB0DDC"/>
    <w:rsid w:val="00DB107B"/>
    <w:rsid w:val="00DB10E6"/>
    <w:rsid w:val="00DB1183"/>
    <w:rsid w:val="00DB16AD"/>
    <w:rsid w:val="00DB1BCB"/>
    <w:rsid w:val="00DB2142"/>
    <w:rsid w:val="00DB2215"/>
    <w:rsid w:val="00DB2466"/>
    <w:rsid w:val="00DB2534"/>
    <w:rsid w:val="00DB2825"/>
    <w:rsid w:val="00DB2B1F"/>
    <w:rsid w:val="00DB33FD"/>
    <w:rsid w:val="00DB3B32"/>
    <w:rsid w:val="00DB3BEF"/>
    <w:rsid w:val="00DB3E46"/>
    <w:rsid w:val="00DB3F67"/>
    <w:rsid w:val="00DB4074"/>
    <w:rsid w:val="00DB42EC"/>
    <w:rsid w:val="00DB443A"/>
    <w:rsid w:val="00DB4B78"/>
    <w:rsid w:val="00DB4BD7"/>
    <w:rsid w:val="00DB52DB"/>
    <w:rsid w:val="00DB5721"/>
    <w:rsid w:val="00DB5806"/>
    <w:rsid w:val="00DB58FC"/>
    <w:rsid w:val="00DB5A42"/>
    <w:rsid w:val="00DB62A8"/>
    <w:rsid w:val="00DB6456"/>
    <w:rsid w:val="00DB6941"/>
    <w:rsid w:val="00DB69AE"/>
    <w:rsid w:val="00DB6CC2"/>
    <w:rsid w:val="00DB7022"/>
    <w:rsid w:val="00DB72AF"/>
    <w:rsid w:val="00DB73F6"/>
    <w:rsid w:val="00DC11AB"/>
    <w:rsid w:val="00DC1661"/>
    <w:rsid w:val="00DC18A3"/>
    <w:rsid w:val="00DC19A0"/>
    <w:rsid w:val="00DC1F9C"/>
    <w:rsid w:val="00DC1FA5"/>
    <w:rsid w:val="00DC213C"/>
    <w:rsid w:val="00DC2B60"/>
    <w:rsid w:val="00DC2E0E"/>
    <w:rsid w:val="00DC2E83"/>
    <w:rsid w:val="00DC300F"/>
    <w:rsid w:val="00DC3162"/>
    <w:rsid w:val="00DC35A3"/>
    <w:rsid w:val="00DC39C3"/>
    <w:rsid w:val="00DC3A16"/>
    <w:rsid w:val="00DC3B0F"/>
    <w:rsid w:val="00DC3CF0"/>
    <w:rsid w:val="00DC3D08"/>
    <w:rsid w:val="00DC488E"/>
    <w:rsid w:val="00DC4ACB"/>
    <w:rsid w:val="00DC4AF3"/>
    <w:rsid w:val="00DC4D80"/>
    <w:rsid w:val="00DC4E8E"/>
    <w:rsid w:val="00DC5021"/>
    <w:rsid w:val="00DC5125"/>
    <w:rsid w:val="00DC541F"/>
    <w:rsid w:val="00DC5843"/>
    <w:rsid w:val="00DC5C8F"/>
    <w:rsid w:val="00DC5F3E"/>
    <w:rsid w:val="00DC5FE3"/>
    <w:rsid w:val="00DC61D5"/>
    <w:rsid w:val="00DC66BC"/>
    <w:rsid w:val="00DC6719"/>
    <w:rsid w:val="00DC69CE"/>
    <w:rsid w:val="00DC6A61"/>
    <w:rsid w:val="00DC6BE8"/>
    <w:rsid w:val="00DC7014"/>
    <w:rsid w:val="00DC70EE"/>
    <w:rsid w:val="00DC7220"/>
    <w:rsid w:val="00DC7512"/>
    <w:rsid w:val="00DC7668"/>
    <w:rsid w:val="00DC7B9D"/>
    <w:rsid w:val="00DC7BAF"/>
    <w:rsid w:val="00DC7F88"/>
    <w:rsid w:val="00DD02A9"/>
    <w:rsid w:val="00DD02E1"/>
    <w:rsid w:val="00DD053E"/>
    <w:rsid w:val="00DD05C6"/>
    <w:rsid w:val="00DD093D"/>
    <w:rsid w:val="00DD0DF1"/>
    <w:rsid w:val="00DD1761"/>
    <w:rsid w:val="00DD1826"/>
    <w:rsid w:val="00DD1854"/>
    <w:rsid w:val="00DD189F"/>
    <w:rsid w:val="00DD19BA"/>
    <w:rsid w:val="00DD1D03"/>
    <w:rsid w:val="00DD1DAD"/>
    <w:rsid w:val="00DD1E3F"/>
    <w:rsid w:val="00DD23F2"/>
    <w:rsid w:val="00DD240D"/>
    <w:rsid w:val="00DD2BDF"/>
    <w:rsid w:val="00DD2D24"/>
    <w:rsid w:val="00DD2F69"/>
    <w:rsid w:val="00DD3202"/>
    <w:rsid w:val="00DD321F"/>
    <w:rsid w:val="00DD3264"/>
    <w:rsid w:val="00DD3451"/>
    <w:rsid w:val="00DD40B5"/>
    <w:rsid w:val="00DD439C"/>
    <w:rsid w:val="00DD473E"/>
    <w:rsid w:val="00DD4D36"/>
    <w:rsid w:val="00DD50AB"/>
    <w:rsid w:val="00DD5161"/>
    <w:rsid w:val="00DD5268"/>
    <w:rsid w:val="00DD563C"/>
    <w:rsid w:val="00DD5891"/>
    <w:rsid w:val="00DD5923"/>
    <w:rsid w:val="00DD5B47"/>
    <w:rsid w:val="00DD5CE9"/>
    <w:rsid w:val="00DD6341"/>
    <w:rsid w:val="00DD68CB"/>
    <w:rsid w:val="00DD68D2"/>
    <w:rsid w:val="00DD70BA"/>
    <w:rsid w:val="00DD719B"/>
    <w:rsid w:val="00DD735E"/>
    <w:rsid w:val="00DD74C0"/>
    <w:rsid w:val="00DD7523"/>
    <w:rsid w:val="00DE007E"/>
    <w:rsid w:val="00DE01A0"/>
    <w:rsid w:val="00DE0395"/>
    <w:rsid w:val="00DE0CFA"/>
    <w:rsid w:val="00DE0DD8"/>
    <w:rsid w:val="00DE0EB8"/>
    <w:rsid w:val="00DE0F31"/>
    <w:rsid w:val="00DE1021"/>
    <w:rsid w:val="00DE10DC"/>
    <w:rsid w:val="00DE12BA"/>
    <w:rsid w:val="00DE15E0"/>
    <w:rsid w:val="00DE194E"/>
    <w:rsid w:val="00DE2140"/>
    <w:rsid w:val="00DE2315"/>
    <w:rsid w:val="00DE2882"/>
    <w:rsid w:val="00DE2987"/>
    <w:rsid w:val="00DE35C6"/>
    <w:rsid w:val="00DE3605"/>
    <w:rsid w:val="00DE37B6"/>
    <w:rsid w:val="00DE3899"/>
    <w:rsid w:val="00DE3DE7"/>
    <w:rsid w:val="00DE3F7B"/>
    <w:rsid w:val="00DE4242"/>
    <w:rsid w:val="00DE4335"/>
    <w:rsid w:val="00DE478F"/>
    <w:rsid w:val="00DE489A"/>
    <w:rsid w:val="00DE5116"/>
    <w:rsid w:val="00DE518E"/>
    <w:rsid w:val="00DE528A"/>
    <w:rsid w:val="00DE5496"/>
    <w:rsid w:val="00DE5936"/>
    <w:rsid w:val="00DE5986"/>
    <w:rsid w:val="00DE5CB8"/>
    <w:rsid w:val="00DE5E12"/>
    <w:rsid w:val="00DE5E1E"/>
    <w:rsid w:val="00DE619F"/>
    <w:rsid w:val="00DE632F"/>
    <w:rsid w:val="00DE6543"/>
    <w:rsid w:val="00DE677B"/>
    <w:rsid w:val="00DE68FD"/>
    <w:rsid w:val="00DE69DB"/>
    <w:rsid w:val="00DE6ABD"/>
    <w:rsid w:val="00DE6EDD"/>
    <w:rsid w:val="00DE70DD"/>
    <w:rsid w:val="00DE7359"/>
    <w:rsid w:val="00DE76A8"/>
    <w:rsid w:val="00DE7BB1"/>
    <w:rsid w:val="00DF022F"/>
    <w:rsid w:val="00DF10FD"/>
    <w:rsid w:val="00DF13F2"/>
    <w:rsid w:val="00DF1522"/>
    <w:rsid w:val="00DF18A2"/>
    <w:rsid w:val="00DF2205"/>
    <w:rsid w:val="00DF258C"/>
    <w:rsid w:val="00DF25ED"/>
    <w:rsid w:val="00DF2BEE"/>
    <w:rsid w:val="00DF2FCD"/>
    <w:rsid w:val="00DF3506"/>
    <w:rsid w:val="00DF357D"/>
    <w:rsid w:val="00DF379C"/>
    <w:rsid w:val="00DF37B3"/>
    <w:rsid w:val="00DF3D87"/>
    <w:rsid w:val="00DF3EF8"/>
    <w:rsid w:val="00DF4245"/>
    <w:rsid w:val="00DF4AE9"/>
    <w:rsid w:val="00DF4B9E"/>
    <w:rsid w:val="00DF4DBC"/>
    <w:rsid w:val="00DF4E8C"/>
    <w:rsid w:val="00DF52B8"/>
    <w:rsid w:val="00DF5CD8"/>
    <w:rsid w:val="00DF7227"/>
    <w:rsid w:val="00DF743D"/>
    <w:rsid w:val="00DF7615"/>
    <w:rsid w:val="00DF788B"/>
    <w:rsid w:val="00DF78CE"/>
    <w:rsid w:val="00DF7E9A"/>
    <w:rsid w:val="00DF7F28"/>
    <w:rsid w:val="00E0007A"/>
    <w:rsid w:val="00E00080"/>
    <w:rsid w:val="00E00669"/>
    <w:rsid w:val="00E0089B"/>
    <w:rsid w:val="00E008BB"/>
    <w:rsid w:val="00E00AC7"/>
    <w:rsid w:val="00E00BA3"/>
    <w:rsid w:val="00E00C2D"/>
    <w:rsid w:val="00E019F1"/>
    <w:rsid w:val="00E01B1B"/>
    <w:rsid w:val="00E01E7B"/>
    <w:rsid w:val="00E02067"/>
    <w:rsid w:val="00E02214"/>
    <w:rsid w:val="00E0254B"/>
    <w:rsid w:val="00E0259E"/>
    <w:rsid w:val="00E02E56"/>
    <w:rsid w:val="00E02E96"/>
    <w:rsid w:val="00E031CC"/>
    <w:rsid w:val="00E03752"/>
    <w:rsid w:val="00E03CEE"/>
    <w:rsid w:val="00E03D1D"/>
    <w:rsid w:val="00E04054"/>
    <w:rsid w:val="00E04168"/>
    <w:rsid w:val="00E04BBC"/>
    <w:rsid w:val="00E05043"/>
    <w:rsid w:val="00E05082"/>
    <w:rsid w:val="00E052B9"/>
    <w:rsid w:val="00E052C4"/>
    <w:rsid w:val="00E0582B"/>
    <w:rsid w:val="00E06024"/>
    <w:rsid w:val="00E06370"/>
    <w:rsid w:val="00E064FE"/>
    <w:rsid w:val="00E06610"/>
    <w:rsid w:val="00E068FD"/>
    <w:rsid w:val="00E06A85"/>
    <w:rsid w:val="00E06A93"/>
    <w:rsid w:val="00E06B65"/>
    <w:rsid w:val="00E06ECB"/>
    <w:rsid w:val="00E07411"/>
    <w:rsid w:val="00E0763A"/>
    <w:rsid w:val="00E07D40"/>
    <w:rsid w:val="00E10C04"/>
    <w:rsid w:val="00E10DD5"/>
    <w:rsid w:val="00E11438"/>
    <w:rsid w:val="00E11460"/>
    <w:rsid w:val="00E1148D"/>
    <w:rsid w:val="00E1162A"/>
    <w:rsid w:val="00E1172B"/>
    <w:rsid w:val="00E11976"/>
    <w:rsid w:val="00E11C92"/>
    <w:rsid w:val="00E11CDB"/>
    <w:rsid w:val="00E11F0C"/>
    <w:rsid w:val="00E1274F"/>
    <w:rsid w:val="00E12839"/>
    <w:rsid w:val="00E128A2"/>
    <w:rsid w:val="00E13297"/>
    <w:rsid w:val="00E133B2"/>
    <w:rsid w:val="00E133F3"/>
    <w:rsid w:val="00E138B2"/>
    <w:rsid w:val="00E13AC5"/>
    <w:rsid w:val="00E13C2F"/>
    <w:rsid w:val="00E13FC3"/>
    <w:rsid w:val="00E143A1"/>
    <w:rsid w:val="00E147A6"/>
    <w:rsid w:val="00E149CD"/>
    <w:rsid w:val="00E14AFA"/>
    <w:rsid w:val="00E151C0"/>
    <w:rsid w:val="00E156CD"/>
    <w:rsid w:val="00E15737"/>
    <w:rsid w:val="00E15D17"/>
    <w:rsid w:val="00E15D80"/>
    <w:rsid w:val="00E15EEA"/>
    <w:rsid w:val="00E15F26"/>
    <w:rsid w:val="00E15F8C"/>
    <w:rsid w:val="00E160A4"/>
    <w:rsid w:val="00E1621A"/>
    <w:rsid w:val="00E16678"/>
    <w:rsid w:val="00E16AD0"/>
    <w:rsid w:val="00E16EF6"/>
    <w:rsid w:val="00E176D9"/>
    <w:rsid w:val="00E17786"/>
    <w:rsid w:val="00E17A2F"/>
    <w:rsid w:val="00E17A39"/>
    <w:rsid w:val="00E17A5F"/>
    <w:rsid w:val="00E17FB0"/>
    <w:rsid w:val="00E2021C"/>
    <w:rsid w:val="00E20240"/>
    <w:rsid w:val="00E211FA"/>
    <w:rsid w:val="00E21434"/>
    <w:rsid w:val="00E21A9E"/>
    <w:rsid w:val="00E22035"/>
    <w:rsid w:val="00E22100"/>
    <w:rsid w:val="00E22274"/>
    <w:rsid w:val="00E228B5"/>
    <w:rsid w:val="00E22B8B"/>
    <w:rsid w:val="00E22D03"/>
    <w:rsid w:val="00E22D23"/>
    <w:rsid w:val="00E22D45"/>
    <w:rsid w:val="00E232B4"/>
    <w:rsid w:val="00E233A5"/>
    <w:rsid w:val="00E2369C"/>
    <w:rsid w:val="00E23FA5"/>
    <w:rsid w:val="00E23FF1"/>
    <w:rsid w:val="00E23FF5"/>
    <w:rsid w:val="00E24113"/>
    <w:rsid w:val="00E2421F"/>
    <w:rsid w:val="00E245CC"/>
    <w:rsid w:val="00E24741"/>
    <w:rsid w:val="00E249D5"/>
    <w:rsid w:val="00E24A40"/>
    <w:rsid w:val="00E25CA2"/>
    <w:rsid w:val="00E25E05"/>
    <w:rsid w:val="00E2653E"/>
    <w:rsid w:val="00E2681F"/>
    <w:rsid w:val="00E26937"/>
    <w:rsid w:val="00E26BFA"/>
    <w:rsid w:val="00E26CE8"/>
    <w:rsid w:val="00E26D87"/>
    <w:rsid w:val="00E26E0D"/>
    <w:rsid w:val="00E26EA9"/>
    <w:rsid w:val="00E26F68"/>
    <w:rsid w:val="00E27218"/>
    <w:rsid w:val="00E27264"/>
    <w:rsid w:val="00E27407"/>
    <w:rsid w:val="00E27592"/>
    <w:rsid w:val="00E276E9"/>
    <w:rsid w:val="00E2781A"/>
    <w:rsid w:val="00E27A9F"/>
    <w:rsid w:val="00E27DEE"/>
    <w:rsid w:val="00E27F47"/>
    <w:rsid w:val="00E3035C"/>
    <w:rsid w:val="00E311B1"/>
    <w:rsid w:val="00E31304"/>
    <w:rsid w:val="00E31646"/>
    <w:rsid w:val="00E31A4C"/>
    <w:rsid w:val="00E31F86"/>
    <w:rsid w:val="00E32213"/>
    <w:rsid w:val="00E3236B"/>
    <w:rsid w:val="00E32AC6"/>
    <w:rsid w:val="00E32C9A"/>
    <w:rsid w:val="00E333F9"/>
    <w:rsid w:val="00E3350D"/>
    <w:rsid w:val="00E335EB"/>
    <w:rsid w:val="00E33638"/>
    <w:rsid w:val="00E336CD"/>
    <w:rsid w:val="00E3396F"/>
    <w:rsid w:val="00E33D25"/>
    <w:rsid w:val="00E33F61"/>
    <w:rsid w:val="00E3405B"/>
    <w:rsid w:val="00E341FD"/>
    <w:rsid w:val="00E34731"/>
    <w:rsid w:val="00E34D09"/>
    <w:rsid w:val="00E3557F"/>
    <w:rsid w:val="00E3590C"/>
    <w:rsid w:val="00E35C87"/>
    <w:rsid w:val="00E35E9D"/>
    <w:rsid w:val="00E36050"/>
    <w:rsid w:val="00E363C9"/>
    <w:rsid w:val="00E36A83"/>
    <w:rsid w:val="00E37244"/>
    <w:rsid w:val="00E37281"/>
    <w:rsid w:val="00E3758E"/>
    <w:rsid w:val="00E3779F"/>
    <w:rsid w:val="00E377FF"/>
    <w:rsid w:val="00E37C83"/>
    <w:rsid w:val="00E37CDE"/>
    <w:rsid w:val="00E37D29"/>
    <w:rsid w:val="00E37DE6"/>
    <w:rsid w:val="00E37E2E"/>
    <w:rsid w:val="00E37EEC"/>
    <w:rsid w:val="00E402AE"/>
    <w:rsid w:val="00E40333"/>
    <w:rsid w:val="00E40559"/>
    <w:rsid w:val="00E40733"/>
    <w:rsid w:val="00E409BC"/>
    <w:rsid w:val="00E40B2E"/>
    <w:rsid w:val="00E40B3B"/>
    <w:rsid w:val="00E40C55"/>
    <w:rsid w:val="00E40EB0"/>
    <w:rsid w:val="00E40F8A"/>
    <w:rsid w:val="00E40FF8"/>
    <w:rsid w:val="00E41149"/>
    <w:rsid w:val="00E415E1"/>
    <w:rsid w:val="00E41901"/>
    <w:rsid w:val="00E41C91"/>
    <w:rsid w:val="00E4205A"/>
    <w:rsid w:val="00E42196"/>
    <w:rsid w:val="00E42200"/>
    <w:rsid w:val="00E42331"/>
    <w:rsid w:val="00E4256C"/>
    <w:rsid w:val="00E425D1"/>
    <w:rsid w:val="00E42965"/>
    <w:rsid w:val="00E429E6"/>
    <w:rsid w:val="00E42D41"/>
    <w:rsid w:val="00E42E96"/>
    <w:rsid w:val="00E43065"/>
    <w:rsid w:val="00E432B9"/>
    <w:rsid w:val="00E4346A"/>
    <w:rsid w:val="00E4369B"/>
    <w:rsid w:val="00E43898"/>
    <w:rsid w:val="00E43AE3"/>
    <w:rsid w:val="00E43CD2"/>
    <w:rsid w:val="00E43EBE"/>
    <w:rsid w:val="00E43F54"/>
    <w:rsid w:val="00E44014"/>
    <w:rsid w:val="00E44223"/>
    <w:rsid w:val="00E44238"/>
    <w:rsid w:val="00E44516"/>
    <w:rsid w:val="00E44552"/>
    <w:rsid w:val="00E44B5D"/>
    <w:rsid w:val="00E44DE0"/>
    <w:rsid w:val="00E45175"/>
    <w:rsid w:val="00E45486"/>
    <w:rsid w:val="00E4562D"/>
    <w:rsid w:val="00E45853"/>
    <w:rsid w:val="00E458A3"/>
    <w:rsid w:val="00E459B5"/>
    <w:rsid w:val="00E46127"/>
    <w:rsid w:val="00E46459"/>
    <w:rsid w:val="00E464C1"/>
    <w:rsid w:val="00E466FF"/>
    <w:rsid w:val="00E4686A"/>
    <w:rsid w:val="00E46879"/>
    <w:rsid w:val="00E46A58"/>
    <w:rsid w:val="00E46CC9"/>
    <w:rsid w:val="00E46F1A"/>
    <w:rsid w:val="00E47A56"/>
    <w:rsid w:val="00E47C41"/>
    <w:rsid w:val="00E50056"/>
    <w:rsid w:val="00E500AC"/>
    <w:rsid w:val="00E50890"/>
    <w:rsid w:val="00E510E4"/>
    <w:rsid w:val="00E516E0"/>
    <w:rsid w:val="00E51AD3"/>
    <w:rsid w:val="00E51F05"/>
    <w:rsid w:val="00E52351"/>
    <w:rsid w:val="00E52560"/>
    <w:rsid w:val="00E52B18"/>
    <w:rsid w:val="00E52D85"/>
    <w:rsid w:val="00E5339B"/>
    <w:rsid w:val="00E53413"/>
    <w:rsid w:val="00E535BE"/>
    <w:rsid w:val="00E53710"/>
    <w:rsid w:val="00E539DC"/>
    <w:rsid w:val="00E53A4C"/>
    <w:rsid w:val="00E53D39"/>
    <w:rsid w:val="00E53FF2"/>
    <w:rsid w:val="00E5432E"/>
    <w:rsid w:val="00E54DCD"/>
    <w:rsid w:val="00E5532D"/>
    <w:rsid w:val="00E55A1E"/>
    <w:rsid w:val="00E55F49"/>
    <w:rsid w:val="00E56129"/>
    <w:rsid w:val="00E56635"/>
    <w:rsid w:val="00E566A3"/>
    <w:rsid w:val="00E566BE"/>
    <w:rsid w:val="00E568C9"/>
    <w:rsid w:val="00E569E2"/>
    <w:rsid w:val="00E56B9C"/>
    <w:rsid w:val="00E56C75"/>
    <w:rsid w:val="00E56F4D"/>
    <w:rsid w:val="00E575E6"/>
    <w:rsid w:val="00E579EB"/>
    <w:rsid w:val="00E57B0C"/>
    <w:rsid w:val="00E57C42"/>
    <w:rsid w:val="00E57DDD"/>
    <w:rsid w:val="00E6029A"/>
    <w:rsid w:val="00E60659"/>
    <w:rsid w:val="00E6089B"/>
    <w:rsid w:val="00E60916"/>
    <w:rsid w:val="00E60C39"/>
    <w:rsid w:val="00E61971"/>
    <w:rsid w:val="00E61CAA"/>
    <w:rsid w:val="00E61F31"/>
    <w:rsid w:val="00E62405"/>
    <w:rsid w:val="00E62550"/>
    <w:rsid w:val="00E62A51"/>
    <w:rsid w:val="00E62AE2"/>
    <w:rsid w:val="00E62AEB"/>
    <w:rsid w:val="00E62E16"/>
    <w:rsid w:val="00E6315D"/>
    <w:rsid w:val="00E63168"/>
    <w:rsid w:val="00E632B7"/>
    <w:rsid w:val="00E63636"/>
    <w:rsid w:val="00E636DD"/>
    <w:rsid w:val="00E6382D"/>
    <w:rsid w:val="00E6389F"/>
    <w:rsid w:val="00E63AC0"/>
    <w:rsid w:val="00E63D2D"/>
    <w:rsid w:val="00E63D9E"/>
    <w:rsid w:val="00E644E3"/>
    <w:rsid w:val="00E645B2"/>
    <w:rsid w:val="00E6494B"/>
    <w:rsid w:val="00E64A83"/>
    <w:rsid w:val="00E64B21"/>
    <w:rsid w:val="00E64EFF"/>
    <w:rsid w:val="00E64F9F"/>
    <w:rsid w:val="00E65238"/>
    <w:rsid w:val="00E652A8"/>
    <w:rsid w:val="00E652FF"/>
    <w:rsid w:val="00E65381"/>
    <w:rsid w:val="00E6566A"/>
    <w:rsid w:val="00E6567E"/>
    <w:rsid w:val="00E6588A"/>
    <w:rsid w:val="00E65CA6"/>
    <w:rsid w:val="00E660E2"/>
    <w:rsid w:val="00E660F2"/>
    <w:rsid w:val="00E66571"/>
    <w:rsid w:val="00E665C7"/>
    <w:rsid w:val="00E668E7"/>
    <w:rsid w:val="00E6701B"/>
    <w:rsid w:val="00E67572"/>
    <w:rsid w:val="00E6763C"/>
    <w:rsid w:val="00E677CD"/>
    <w:rsid w:val="00E67B14"/>
    <w:rsid w:val="00E67F80"/>
    <w:rsid w:val="00E706AE"/>
    <w:rsid w:val="00E70824"/>
    <w:rsid w:val="00E7093F"/>
    <w:rsid w:val="00E70E4D"/>
    <w:rsid w:val="00E7101D"/>
    <w:rsid w:val="00E71109"/>
    <w:rsid w:val="00E7121C"/>
    <w:rsid w:val="00E712D5"/>
    <w:rsid w:val="00E71302"/>
    <w:rsid w:val="00E71348"/>
    <w:rsid w:val="00E71381"/>
    <w:rsid w:val="00E713E0"/>
    <w:rsid w:val="00E714F9"/>
    <w:rsid w:val="00E71819"/>
    <w:rsid w:val="00E71C60"/>
    <w:rsid w:val="00E71C74"/>
    <w:rsid w:val="00E7223A"/>
    <w:rsid w:val="00E7227A"/>
    <w:rsid w:val="00E725DB"/>
    <w:rsid w:val="00E7266C"/>
    <w:rsid w:val="00E72804"/>
    <w:rsid w:val="00E72E3C"/>
    <w:rsid w:val="00E72F70"/>
    <w:rsid w:val="00E73000"/>
    <w:rsid w:val="00E73325"/>
    <w:rsid w:val="00E7335E"/>
    <w:rsid w:val="00E7359F"/>
    <w:rsid w:val="00E739A2"/>
    <w:rsid w:val="00E73F06"/>
    <w:rsid w:val="00E74AB2"/>
    <w:rsid w:val="00E74EE7"/>
    <w:rsid w:val="00E75715"/>
    <w:rsid w:val="00E7575E"/>
    <w:rsid w:val="00E75DAD"/>
    <w:rsid w:val="00E75E5B"/>
    <w:rsid w:val="00E76217"/>
    <w:rsid w:val="00E765D3"/>
    <w:rsid w:val="00E76704"/>
    <w:rsid w:val="00E7683B"/>
    <w:rsid w:val="00E76872"/>
    <w:rsid w:val="00E76F5A"/>
    <w:rsid w:val="00E772DF"/>
    <w:rsid w:val="00E77501"/>
    <w:rsid w:val="00E77B98"/>
    <w:rsid w:val="00E77D51"/>
    <w:rsid w:val="00E8004D"/>
    <w:rsid w:val="00E8017D"/>
    <w:rsid w:val="00E806C5"/>
    <w:rsid w:val="00E8094E"/>
    <w:rsid w:val="00E80B19"/>
    <w:rsid w:val="00E80BCF"/>
    <w:rsid w:val="00E81080"/>
    <w:rsid w:val="00E81369"/>
    <w:rsid w:val="00E814D6"/>
    <w:rsid w:val="00E81862"/>
    <w:rsid w:val="00E818F9"/>
    <w:rsid w:val="00E81914"/>
    <w:rsid w:val="00E820ED"/>
    <w:rsid w:val="00E823F5"/>
    <w:rsid w:val="00E824CB"/>
    <w:rsid w:val="00E82BE2"/>
    <w:rsid w:val="00E8319D"/>
    <w:rsid w:val="00E83A03"/>
    <w:rsid w:val="00E83DCF"/>
    <w:rsid w:val="00E84050"/>
    <w:rsid w:val="00E84226"/>
    <w:rsid w:val="00E84705"/>
    <w:rsid w:val="00E849C8"/>
    <w:rsid w:val="00E84AA2"/>
    <w:rsid w:val="00E85223"/>
    <w:rsid w:val="00E852B6"/>
    <w:rsid w:val="00E85829"/>
    <w:rsid w:val="00E85D1F"/>
    <w:rsid w:val="00E85D38"/>
    <w:rsid w:val="00E85D72"/>
    <w:rsid w:val="00E86247"/>
    <w:rsid w:val="00E86653"/>
    <w:rsid w:val="00E8677E"/>
    <w:rsid w:val="00E86969"/>
    <w:rsid w:val="00E86F5D"/>
    <w:rsid w:val="00E870EC"/>
    <w:rsid w:val="00E875CE"/>
    <w:rsid w:val="00E87976"/>
    <w:rsid w:val="00E87FA8"/>
    <w:rsid w:val="00E9003F"/>
    <w:rsid w:val="00E90135"/>
    <w:rsid w:val="00E9026C"/>
    <w:rsid w:val="00E9029B"/>
    <w:rsid w:val="00E90B23"/>
    <w:rsid w:val="00E91D20"/>
    <w:rsid w:val="00E91E13"/>
    <w:rsid w:val="00E91F31"/>
    <w:rsid w:val="00E9214E"/>
    <w:rsid w:val="00E9222A"/>
    <w:rsid w:val="00E92C67"/>
    <w:rsid w:val="00E92FD6"/>
    <w:rsid w:val="00E932E6"/>
    <w:rsid w:val="00E93330"/>
    <w:rsid w:val="00E9379C"/>
    <w:rsid w:val="00E93958"/>
    <w:rsid w:val="00E93F27"/>
    <w:rsid w:val="00E94241"/>
    <w:rsid w:val="00E94438"/>
    <w:rsid w:val="00E94E02"/>
    <w:rsid w:val="00E953ED"/>
    <w:rsid w:val="00E953FB"/>
    <w:rsid w:val="00E95544"/>
    <w:rsid w:val="00E956D5"/>
    <w:rsid w:val="00E96586"/>
    <w:rsid w:val="00E96C18"/>
    <w:rsid w:val="00E96C32"/>
    <w:rsid w:val="00E96CD2"/>
    <w:rsid w:val="00E972CE"/>
    <w:rsid w:val="00E97502"/>
    <w:rsid w:val="00E97DB9"/>
    <w:rsid w:val="00E97EFC"/>
    <w:rsid w:val="00EA0038"/>
    <w:rsid w:val="00EA06C3"/>
    <w:rsid w:val="00EA07CC"/>
    <w:rsid w:val="00EA0F30"/>
    <w:rsid w:val="00EA1457"/>
    <w:rsid w:val="00EA14C9"/>
    <w:rsid w:val="00EA165D"/>
    <w:rsid w:val="00EA1B0D"/>
    <w:rsid w:val="00EA1C6E"/>
    <w:rsid w:val="00EA1F25"/>
    <w:rsid w:val="00EA22B4"/>
    <w:rsid w:val="00EA28E7"/>
    <w:rsid w:val="00EA2A32"/>
    <w:rsid w:val="00EA2A81"/>
    <w:rsid w:val="00EA2CA1"/>
    <w:rsid w:val="00EA2F94"/>
    <w:rsid w:val="00EA33B2"/>
    <w:rsid w:val="00EA356E"/>
    <w:rsid w:val="00EA35C0"/>
    <w:rsid w:val="00EA400E"/>
    <w:rsid w:val="00EA449F"/>
    <w:rsid w:val="00EA46CE"/>
    <w:rsid w:val="00EA47DD"/>
    <w:rsid w:val="00EA4ADF"/>
    <w:rsid w:val="00EA4B8F"/>
    <w:rsid w:val="00EA516F"/>
    <w:rsid w:val="00EA5243"/>
    <w:rsid w:val="00EA5453"/>
    <w:rsid w:val="00EA5520"/>
    <w:rsid w:val="00EA5647"/>
    <w:rsid w:val="00EA5874"/>
    <w:rsid w:val="00EA592E"/>
    <w:rsid w:val="00EA5B13"/>
    <w:rsid w:val="00EA5D9F"/>
    <w:rsid w:val="00EA5DD3"/>
    <w:rsid w:val="00EA5E4D"/>
    <w:rsid w:val="00EA61C4"/>
    <w:rsid w:val="00EA61E3"/>
    <w:rsid w:val="00EA6914"/>
    <w:rsid w:val="00EA70F5"/>
    <w:rsid w:val="00EA74BC"/>
    <w:rsid w:val="00EA750C"/>
    <w:rsid w:val="00EA76C0"/>
    <w:rsid w:val="00EA7A28"/>
    <w:rsid w:val="00EA7F6C"/>
    <w:rsid w:val="00EB0304"/>
    <w:rsid w:val="00EB037C"/>
    <w:rsid w:val="00EB0B3C"/>
    <w:rsid w:val="00EB0CE9"/>
    <w:rsid w:val="00EB0E86"/>
    <w:rsid w:val="00EB10A2"/>
    <w:rsid w:val="00EB1497"/>
    <w:rsid w:val="00EB15AE"/>
    <w:rsid w:val="00EB1984"/>
    <w:rsid w:val="00EB1B7B"/>
    <w:rsid w:val="00EB1F01"/>
    <w:rsid w:val="00EB200B"/>
    <w:rsid w:val="00EB2242"/>
    <w:rsid w:val="00EB2905"/>
    <w:rsid w:val="00EB29B6"/>
    <w:rsid w:val="00EB2A49"/>
    <w:rsid w:val="00EB2BA9"/>
    <w:rsid w:val="00EB2C2A"/>
    <w:rsid w:val="00EB2E00"/>
    <w:rsid w:val="00EB3256"/>
    <w:rsid w:val="00EB33D9"/>
    <w:rsid w:val="00EB34D1"/>
    <w:rsid w:val="00EB3644"/>
    <w:rsid w:val="00EB39A9"/>
    <w:rsid w:val="00EB3D40"/>
    <w:rsid w:val="00EB3EF6"/>
    <w:rsid w:val="00EB40D0"/>
    <w:rsid w:val="00EB4123"/>
    <w:rsid w:val="00EB4547"/>
    <w:rsid w:val="00EB45D8"/>
    <w:rsid w:val="00EB4D22"/>
    <w:rsid w:val="00EB5751"/>
    <w:rsid w:val="00EB588B"/>
    <w:rsid w:val="00EB59A4"/>
    <w:rsid w:val="00EB59D7"/>
    <w:rsid w:val="00EB6E29"/>
    <w:rsid w:val="00EB70F9"/>
    <w:rsid w:val="00EB7528"/>
    <w:rsid w:val="00EB773E"/>
    <w:rsid w:val="00EB7786"/>
    <w:rsid w:val="00EB7910"/>
    <w:rsid w:val="00EB7E22"/>
    <w:rsid w:val="00EB7EB2"/>
    <w:rsid w:val="00EC0108"/>
    <w:rsid w:val="00EC03A9"/>
    <w:rsid w:val="00EC03DB"/>
    <w:rsid w:val="00EC09C6"/>
    <w:rsid w:val="00EC0D0D"/>
    <w:rsid w:val="00EC0E28"/>
    <w:rsid w:val="00EC0FBC"/>
    <w:rsid w:val="00EC1008"/>
    <w:rsid w:val="00EC1471"/>
    <w:rsid w:val="00EC18A8"/>
    <w:rsid w:val="00EC1EE9"/>
    <w:rsid w:val="00EC21D3"/>
    <w:rsid w:val="00EC2592"/>
    <w:rsid w:val="00EC2A3E"/>
    <w:rsid w:val="00EC2E3F"/>
    <w:rsid w:val="00EC2FD7"/>
    <w:rsid w:val="00EC36A5"/>
    <w:rsid w:val="00EC37CA"/>
    <w:rsid w:val="00EC3BA0"/>
    <w:rsid w:val="00EC3F45"/>
    <w:rsid w:val="00EC40C6"/>
    <w:rsid w:val="00EC49AA"/>
    <w:rsid w:val="00EC4B45"/>
    <w:rsid w:val="00EC4B62"/>
    <w:rsid w:val="00EC4B77"/>
    <w:rsid w:val="00EC4C00"/>
    <w:rsid w:val="00EC4C77"/>
    <w:rsid w:val="00EC4D12"/>
    <w:rsid w:val="00EC4DA6"/>
    <w:rsid w:val="00EC4DA7"/>
    <w:rsid w:val="00EC4E76"/>
    <w:rsid w:val="00EC4F38"/>
    <w:rsid w:val="00EC551E"/>
    <w:rsid w:val="00EC5741"/>
    <w:rsid w:val="00EC5909"/>
    <w:rsid w:val="00EC5E1D"/>
    <w:rsid w:val="00EC602A"/>
    <w:rsid w:val="00EC6220"/>
    <w:rsid w:val="00EC66DB"/>
    <w:rsid w:val="00EC6B5C"/>
    <w:rsid w:val="00EC70BF"/>
    <w:rsid w:val="00EC7301"/>
    <w:rsid w:val="00EC7320"/>
    <w:rsid w:val="00EC7611"/>
    <w:rsid w:val="00EC76AE"/>
    <w:rsid w:val="00ED0039"/>
    <w:rsid w:val="00ED0134"/>
    <w:rsid w:val="00ED03CF"/>
    <w:rsid w:val="00ED0573"/>
    <w:rsid w:val="00ED0816"/>
    <w:rsid w:val="00ED0884"/>
    <w:rsid w:val="00ED0A66"/>
    <w:rsid w:val="00ED0D48"/>
    <w:rsid w:val="00ED15F4"/>
    <w:rsid w:val="00ED1764"/>
    <w:rsid w:val="00ED18A1"/>
    <w:rsid w:val="00ED1A1D"/>
    <w:rsid w:val="00ED1C98"/>
    <w:rsid w:val="00ED1D4A"/>
    <w:rsid w:val="00ED1EA4"/>
    <w:rsid w:val="00ED1F9B"/>
    <w:rsid w:val="00ED2170"/>
    <w:rsid w:val="00ED2429"/>
    <w:rsid w:val="00ED24D3"/>
    <w:rsid w:val="00ED2761"/>
    <w:rsid w:val="00ED2904"/>
    <w:rsid w:val="00ED2A8E"/>
    <w:rsid w:val="00ED2AEC"/>
    <w:rsid w:val="00ED31A1"/>
    <w:rsid w:val="00ED33B6"/>
    <w:rsid w:val="00ED35EF"/>
    <w:rsid w:val="00ED35F7"/>
    <w:rsid w:val="00ED3BCB"/>
    <w:rsid w:val="00ED3BED"/>
    <w:rsid w:val="00ED3D64"/>
    <w:rsid w:val="00ED3F4D"/>
    <w:rsid w:val="00ED4090"/>
    <w:rsid w:val="00ED4452"/>
    <w:rsid w:val="00ED45EA"/>
    <w:rsid w:val="00ED4BC1"/>
    <w:rsid w:val="00ED4C88"/>
    <w:rsid w:val="00ED4E1A"/>
    <w:rsid w:val="00ED5049"/>
    <w:rsid w:val="00ED508C"/>
    <w:rsid w:val="00ED52A2"/>
    <w:rsid w:val="00ED554F"/>
    <w:rsid w:val="00ED5A7A"/>
    <w:rsid w:val="00ED5BA3"/>
    <w:rsid w:val="00ED644C"/>
    <w:rsid w:val="00ED6468"/>
    <w:rsid w:val="00ED663F"/>
    <w:rsid w:val="00ED6839"/>
    <w:rsid w:val="00ED6BA1"/>
    <w:rsid w:val="00ED6BF9"/>
    <w:rsid w:val="00ED6CDD"/>
    <w:rsid w:val="00ED72E3"/>
    <w:rsid w:val="00ED7658"/>
    <w:rsid w:val="00ED766E"/>
    <w:rsid w:val="00EE023B"/>
    <w:rsid w:val="00EE02DC"/>
    <w:rsid w:val="00EE0359"/>
    <w:rsid w:val="00EE05BD"/>
    <w:rsid w:val="00EE06B9"/>
    <w:rsid w:val="00EE085D"/>
    <w:rsid w:val="00EE0B72"/>
    <w:rsid w:val="00EE0BA8"/>
    <w:rsid w:val="00EE0DFD"/>
    <w:rsid w:val="00EE161E"/>
    <w:rsid w:val="00EE229A"/>
    <w:rsid w:val="00EE2415"/>
    <w:rsid w:val="00EE26F8"/>
    <w:rsid w:val="00EE275F"/>
    <w:rsid w:val="00EE276E"/>
    <w:rsid w:val="00EE28FD"/>
    <w:rsid w:val="00EE33D3"/>
    <w:rsid w:val="00EE35CE"/>
    <w:rsid w:val="00EE3616"/>
    <w:rsid w:val="00EE36F1"/>
    <w:rsid w:val="00EE3858"/>
    <w:rsid w:val="00EE3EA1"/>
    <w:rsid w:val="00EE40E5"/>
    <w:rsid w:val="00EE4252"/>
    <w:rsid w:val="00EE4356"/>
    <w:rsid w:val="00EE45E5"/>
    <w:rsid w:val="00EE513C"/>
    <w:rsid w:val="00EE51FC"/>
    <w:rsid w:val="00EE5389"/>
    <w:rsid w:val="00EE596E"/>
    <w:rsid w:val="00EE5D5C"/>
    <w:rsid w:val="00EE5FED"/>
    <w:rsid w:val="00EE637E"/>
    <w:rsid w:val="00EE6522"/>
    <w:rsid w:val="00EE6571"/>
    <w:rsid w:val="00EE6707"/>
    <w:rsid w:val="00EE6751"/>
    <w:rsid w:val="00EE67C0"/>
    <w:rsid w:val="00EE6840"/>
    <w:rsid w:val="00EE6A7E"/>
    <w:rsid w:val="00EE6DE1"/>
    <w:rsid w:val="00EE7008"/>
    <w:rsid w:val="00EE74C9"/>
    <w:rsid w:val="00EE7504"/>
    <w:rsid w:val="00EE773A"/>
    <w:rsid w:val="00EE7AB2"/>
    <w:rsid w:val="00EE7CA9"/>
    <w:rsid w:val="00EE7F89"/>
    <w:rsid w:val="00EF028B"/>
    <w:rsid w:val="00EF056F"/>
    <w:rsid w:val="00EF0699"/>
    <w:rsid w:val="00EF07B0"/>
    <w:rsid w:val="00EF0A3F"/>
    <w:rsid w:val="00EF0AA6"/>
    <w:rsid w:val="00EF0BF3"/>
    <w:rsid w:val="00EF0CD0"/>
    <w:rsid w:val="00EF0EE6"/>
    <w:rsid w:val="00EF0F3A"/>
    <w:rsid w:val="00EF155D"/>
    <w:rsid w:val="00EF1656"/>
    <w:rsid w:val="00EF1920"/>
    <w:rsid w:val="00EF1AB6"/>
    <w:rsid w:val="00EF1E82"/>
    <w:rsid w:val="00EF21B1"/>
    <w:rsid w:val="00EF2320"/>
    <w:rsid w:val="00EF2379"/>
    <w:rsid w:val="00EF27DF"/>
    <w:rsid w:val="00EF2890"/>
    <w:rsid w:val="00EF2A7E"/>
    <w:rsid w:val="00EF2D87"/>
    <w:rsid w:val="00EF2F24"/>
    <w:rsid w:val="00EF2FFD"/>
    <w:rsid w:val="00EF3809"/>
    <w:rsid w:val="00EF388F"/>
    <w:rsid w:val="00EF3A83"/>
    <w:rsid w:val="00EF3C4D"/>
    <w:rsid w:val="00EF3C5E"/>
    <w:rsid w:val="00EF3E4E"/>
    <w:rsid w:val="00EF44DB"/>
    <w:rsid w:val="00EF46E7"/>
    <w:rsid w:val="00EF484A"/>
    <w:rsid w:val="00EF4875"/>
    <w:rsid w:val="00EF48CA"/>
    <w:rsid w:val="00EF4B96"/>
    <w:rsid w:val="00EF4E64"/>
    <w:rsid w:val="00EF50DC"/>
    <w:rsid w:val="00EF5136"/>
    <w:rsid w:val="00EF5AA6"/>
    <w:rsid w:val="00EF5B3B"/>
    <w:rsid w:val="00EF5CDC"/>
    <w:rsid w:val="00EF5E93"/>
    <w:rsid w:val="00EF601B"/>
    <w:rsid w:val="00EF6227"/>
    <w:rsid w:val="00EF6313"/>
    <w:rsid w:val="00EF64E9"/>
    <w:rsid w:val="00EF6703"/>
    <w:rsid w:val="00EF671C"/>
    <w:rsid w:val="00EF677A"/>
    <w:rsid w:val="00EF67AA"/>
    <w:rsid w:val="00EF6911"/>
    <w:rsid w:val="00EF6A0A"/>
    <w:rsid w:val="00EF6B0C"/>
    <w:rsid w:val="00EF7026"/>
    <w:rsid w:val="00EF71F2"/>
    <w:rsid w:val="00EF735D"/>
    <w:rsid w:val="00EF79F9"/>
    <w:rsid w:val="00EF7ABB"/>
    <w:rsid w:val="00EF7C4F"/>
    <w:rsid w:val="00EF7C8B"/>
    <w:rsid w:val="00F00AB3"/>
    <w:rsid w:val="00F01208"/>
    <w:rsid w:val="00F012DD"/>
    <w:rsid w:val="00F01331"/>
    <w:rsid w:val="00F0155A"/>
    <w:rsid w:val="00F01E06"/>
    <w:rsid w:val="00F01F54"/>
    <w:rsid w:val="00F024AC"/>
    <w:rsid w:val="00F024E2"/>
    <w:rsid w:val="00F0277A"/>
    <w:rsid w:val="00F028C5"/>
    <w:rsid w:val="00F02C4E"/>
    <w:rsid w:val="00F02F3A"/>
    <w:rsid w:val="00F0389E"/>
    <w:rsid w:val="00F03BC8"/>
    <w:rsid w:val="00F03EFE"/>
    <w:rsid w:val="00F04032"/>
    <w:rsid w:val="00F04071"/>
    <w:rsid w:val="00F042E4"/>
    <w:rsid w:val="00F043E1"/>
    <w:rsid w:val="00F0463F"/>
    <w:rsid w:val="00F048B9"/>
    <w:rsid w:val="00F050D4"/>
    <w:rsid w:val="00F051C3"/>
    <w:rsid w:val="00F051F7"/>
    <w:rsid w:val="00F05281"/>
    <w:rsid w:val="00F052C0"/>
    <w:rsid w:val="00F05782"/>
    <w:rsid w:val="00F05A38"/>
    <w:rsid w:val="00F05A74"/>
    <w:rsid w:val="00F05CBB"/>
    <w:rsid w:val="00F05E29"/>
    <w:rsid w:val="00F0613A"/>
    <w:rsid w:val="00F064EA"/>
    <w:rsid w:val="00F06519"/>
    <w:rsid w:val="00F066CA"/>
    <w:rsid w:val="00F06BE5"/>
    <w:rsid w:val="00F0735D"/>
    <w:rsid w:val="00F07A4D"/>
    <w:rsid w:val="00F07ACE"/>
    <w:rsid w:val="00F07D85"/>
    <w:rsid w:val="00F10010"/>
    <w:rsid w:val="00F102AF"/>
    <w:rsid w:val="00F106CC"/>
    <w:rsid w:val="00F1099A"/>
    <w:rsid w:val="00F109DF"/>
    <w:rsid w:val="00F10D95"/>
    <w:rsid w:val="00F10F74"/>
    <w:rsid w:val="00F1149D"/>
    <w:rsid w:val="00F11582"/>
    <w:rsid w:val="00F11D35"/>
    <w:rsid w:val="00F11E4E"/>
    <w:rsid w:val="00F1220F"/>
    <w:rsid w:val="00F122FB"/>
    <w:rsid w:val="00F127BB"/>
    <w:rsid w:val="00F12B6D"/>
    <w:rsid w:val="00F12BD5"/>
    <w:rsid w:val="00F132C8"/>
    <w:rsid w:val="00F14309"/>
    <w:rsid w:val="00F1575A"/>
    <w:rsid w:val="00F15872"/>
    <w:rsid w:val="00F158DA"/>
    <w:rsid w:val="00F15B05"/>
    <w:rsid w:val="00F15BB6"/>
    <w:rsid w:val="00F15D92"/>
    <w:rsid w:val="00F15E06"/>
    <w:rsid w:val="00F15F17"/>
    <w:rsid w:val="00F16001"/>
    <w:rsid w:val="00F16294"/>
    <w:rsid w:val="00F16D2E"/>
    <w:rsid w:val="00F16EDD"/>
    <w:rsid w:val="00F175B7"/>
    <w:rsid w:val="00F17820"/>
    <w:rsid w:val="00F17886"/>
    <w:rsid w:val="00F17C72"/>
    <w:rsid w:val="00F20563"/>
    <w:rsid w:val="00F205D9"/>
    <w:rsid w:val="00F206E4"/>
    <w:rsid w:val="00F20821"/>
    <w:rsid w:val="00F20C16"/>
    <w:rsid w:val="00F210B4"/>
    <w:rsid w:val="00F21214"/>
    <w:rsid w:val="00F21531"/>
    <w:rsid w:val="00F21C06"/>
    <w:rsid w:val="00F21C69"/>
    <w:rsid w:val="00F220CE"/>
    <w:rsid w:val="00F228BD"/>
    <w:rsid w:val="00F229BA"/>
    <w:rsid w:val="00F22A58"/>
    <w:rsid w:val="00F22F95"/>
    <w:rsid w:val="00F22FED"/>
    <w:rsid w:val="00F23470"/>
    <w:rsid w:val="00F23B8C"/>
    <w:rsid w:val="00F23F16"/>
    <w:rsid w:val="00F24163"/>
    <w:rsid w:val="00F24553"/>
    <w:rsid w:val="00F2470B"/>
    <w:rsid w:val="00F24765"/>
    <w:rsid w:val="00F24901"/>
    <w:rsid w:val="00F24D58"/>
    <w:rsid w:val="00F24FB5"/>
    <w:rsid w:val="00F251A3"/>
    <w:rsid w:val="00F25511"/>
    <w:rsid w:val="00F255DA"/>
    <w:rsid w:val="00F25639"/>
    <w:rsid w:val="00F25643"/>
    <w:rsid w:val="00F261AD"/>
    <w:rsid w:val="00F261D8"/>
    <w:rsid w:val="00F261EF"/>
    <w:rsid w:val="00F26901"/>
    <w:rsid w:val="00F26EA3"/>
    <w:rsid w:val="00F26F14"/>
    <w:rsid w:val="00F274D3"/>
    <w:rsid w:val="00F277A8"/>
    <w:rsid w:val="00F279B9"/>
    <w:rsid w:val="00F27C12"/>
    <w:rsid w:val="00F27DC1"/>
    <w:rsid w:val="00F27F81"/>
    <w:rsid w:val="00F30163"/>
    <w:rsid w:val="00F3070E"/>
    <w:rsid w:val="00F30D5C"/>
    <w:rsid w:val="00F310E1"/>
    <w:rsid w:val="00F314E7"/>
    <w:rsid w:val="00F319A5"/>
    <w:rsid w:val="00F319F8"/>
    <w:rsid w:val="00F31BB2"/>
    <w:rsid w:val="00F320A8"/>
    <w:rsid w:val="00F320C4"/>
    <w:rsid w:val="00F325DE"/>
    <w:rsid w:val="00F32B89"/>
    <w:rsid w:val="00F33006"/>
    <w:rsid w:val="00F3308A"/>
    <w:rsid w:val="00F33936"/>
    <w:rsid w:val="00F339A0"/>
    <w:rsid w:val="00F33B6A"/>
    <w:rsid w:val="00F33F23"/>
    <w:rsid w:val="00F34653"/>
    <w:rsid w:val="00F347F7"/>
    <w:rsid w:val="00F348CD"/>
    <w:rsid w:val="00F34B57"/>
    <w:rsid w:val="00F35064"/>
    <w:rsid w:val="00F358D4"/>
    <w:rsid w:val="00F35A3D"/>
    <w:rsid w:val="00F35D09"/>
    <w:rsid w:val="00F35D8B"/>
    <w:rsid w:val="00F3601F"/>
    <w:rsid w:val="00F3606A"/>
    <w:rsid w:val="00F36141"/>
    <w:rsid w:val="00F36261"/>
    <w:rsid w:val="00F3654C"/>
    <w:rsid w:val="00F3679A"/>
    <w:rsid w:val="00F367B3"/>
    <w:rsid w:val="00F36921"/>
    <w:rsid w:val="00F36C61"/>
    <w:rsid w:val="00F36CB8"/>
    <w:rsid w:val="00F36CE4"/>
    <w:rsid w:val="00F37214"/>
    <w:rsid w:val="00F372B3"/>
    <w:rsid w:val="00F37660"/>
    <w:rsid w:val="00F378CE"/>
    <w:rsid w:val="00F37FA0"/>
    <w:rsid w:val="00F40040"/>
    <w:rsid w:val="00F4024C"/>
    <w:rsid w:val="00F40857"/>
    <w:rsid w:val="00F408F8"/>
    <w:rsid w:val="00F409E6"/>
    <w:rsid w:val="00F40A3C"/>
    <w:rsid w:val="00F40BA6"/>
    <w:rsid w:val="00F40D1F"/>
    <w:rsid w:val="00F40DD1"/>
    <w:rsid w:val="00F40F5B"/>
    <w:rsid w:val="00F4108E"/>
    <w:rsid w:val="00F41118"/>
    <w:rsid w:val="00F411FF"/>
    <w:rsid w:val="00F4137B"/>
    <w:rsid w:val="00F41746"/>
    <w:rsid w:val="00F419A5"/>
    <w:rsid w:val="00F41BD8"/>
    <w:rsid w:val="00F41E52"/>
    <w:rsid w:val="00F4270E"/>
    <w:rsid w:val="00F428FC"/>
    <w:rsid w:val="00F43778"/>
    <w:rsid w:val="00F437FD"/>
    <w:rsid w:val="00F4390F"/>
    <w:rsid w:val="00F445AB"/>
    <w:rsid w:val="00F447B5"/>
    <w:rsid w:val="00F449EF"/>
    <w:rsid w:val="00F44C77"/>
    <w:rsid w:val="00F45581"/>
    <w:rsid w:val="00F45B50"/>
    <w:rsid w:val="00F45D9E"/>
    <w:rsid w:val="00F46059"/>
    <w:rsid w:val="00F4617B"/>
    <w:rsid w:val="00F46378"/>
    <w:rsid w:val="00F46549"/>
    <w:rsid w:val="00F467A5"/>
    <w:rsid w:val="00F468D4"/>
    <w:rsid w:val="00F46BB4"/>
    <w:rsid w:val="00F46C6A"/>
    <w:rsid w:val="00F4707C"/>
    <w:rsid w:val="00F471C7"/>
    <w:rsid w:val="00F476B3"/>
    <w:rsid w:val="00F47D4A"/>
    <w:rsid w:val="00F47D9F"/>
    <w:rsid w:val="00F500DD"/>
    <w:rsid w:val="00F50284"/>
    <w:rsid w:val="00F50539"/>
    <w:rsid w:val="00F50AE5"/>
    <w:rsid w:val="00F51636"/>
    <w:rsid w:val="00F517F3"/>
    <w:rsid w:val="00F51914"/>
    <w:rsid w:val="00F51915"/>
    <w:rsid w:val="00F51E64"/>
    <w:rsid w:val="00F52171"/>
    <w:rsid w:val="00F52DF8"/>
    <w:rsid w:val="00F53819"/>
    <w:rsid w:val="00F53A72"/>
    <w:rsid w:val="00F53B28"/>
    <w:rsid w:val="00F53DA4"/>
    <w:rsid w:val="00F53E31"/>
    <w:rsid w:val="00F53F4A"/>
    <w:rsid w:val="00F54BFB"/>
    <w:rsid w:val="00F5505E"/>
    <w:rsid w:val="00F556B6"/>
    <w:rsid w:val="00F55AF0"/>
    <w:rsid w:val="00F55C9D"/>
    <w:rsid w:val="00F55D13"/>
    <w:rsid w:val="00F55D5A"/>
    <w:rsid w:val="00F55DDA"/>
    <w:rsid w:val="00F55E11"/>
    <w:rsid w:val="00F55FF9"/>
    <w:rsid w:val="00F567FF"/>
    <w:rsid w:val="00F56CC0"/>
    <w:rsid w:val="00F56D1C"/>
    <w:rsid w:val="00F56EA0"/>
    <w:rsid w:val="00F5707C"/>
    <w:rsid w:val="00F571C9"/>
    <w:rsid w:val="00F571FB"/>
    <w:rsid w:val="00F57962"/>
    <w:rsid w:val="00F57A7E"/>
    <w:rsid w:val="00F57AA5"/>
    <w:rsid w:val="00F57D6C"/>
    <w:rsid w:val="00F57E99"/>
    <w:rsid w:val="00F600E1"/>
    <w:rsid w:val="00F6033E"/>
    <w:rsid w:val="00F6043C"/>
    <w:rsid w:val="00F60560"/>
    <w:rsid w:val="00F606D3"/>
    <w:rsid w:val="00F6095C"/>
    <w:rsid w:val="00F60BD4"/>
    <w:rsid w:val="00F60E27"/>
    <w:rsid w:val="00F6104D"/>
    <w:rsid w:val="00F61212"/>
    <w:rsid w:val="00F61470"/>
    <w:rsid w:val="00F615B1"/>
    <w:rsid w:val="00F616BA"/>
    <w:rsid w:val="00F61826"/>
    <w:rsid w:val="00F62189"/>
    <w:rsid w:val="00F6220D"/>
    <w:rsid w:val="00F62256"/>
    <w:rsid w:val="00F623FA"/>
    <w:rsid w:val="00F62542"/>
    <w:rsid w:val="00F627F4"/>
    <w:rsid w:val="00F628B5"/>
    <w:rsid w:val="00F62CB3"/>
    <w:rsid w:val="00F62EEE"/>
    <w:rsid w:val="00F62F21"/>
    <w:rsid w:val="00F6308A"/>
    <w:rsid w:val="00F63347"/>
    <w:rsid w:val="00F63367"/>
    <w:rsid w:val="00F6361E"/>
    <w:rsid w:val="00F63B5D"/>
    <w:rsid w:val="00F63CFB"/>
    <w:rsid w:val="00F6408B"/>
    <w:rsid w:val="00F647C4"/>
    <w:rsid w:val="00F64865"/>
    <w:rsid w:val="00F64C30"/>
    <w:rsid w:val="00F64D27"/>
    <w:rsid w:val="00F65126"/>
    <w:rsid w:val="00F65416"/>
    <w:rsid w:val="00F6560B"/>
    <w:rsid w:val="00F659B7"/>
    <w:rsid w:val="00F65BEE"/>
    <w:rsid w:val="00F660A8"/>
    <w:rsid w:val="00F66262"/>
    <w:rsid w:val="00F663D2"/>
    <w:rsid w:val="00F66742"/>
    <w:rsid w:val="00F66BE0"/>
    <w:rsid w:val="00F66DEF"/>
    <w:rsid w:val="00F677C9"/>
    <w:rsid w:val="00F678F5"/>
    <w:rsid w:val="00F67C58"/>
    <w:rsid w:val="00F67E16"/>
    <w:rsid w:val="00F70779"/>
    <w:rsid w:val="00F70ADA"/>
    <w:rsid w:val="00F70B05"/>
    <w:rsid w:val="00F70F88"/>
    <w:rsid w:val="00F71041"/>
    <w:rsid w:val="00F7110E"/>
    <w:rsid w:val="00F71407"/>
    <w:rsid w:val="00F71BA4"/>
    <w:rsid w:val="00F71EC7"/>
    <w:rsid w:val="00F720A9"/>
    <w:rsid w:val="00F725DC"/>
    <w:rsid w:val="00F72632"/>
    <w:rsid w:val="00F726A8"/>
    <w:rsid w:val="00F72722"/>
    <w:rsid w:val="00F728AC"/>
    <w:rsid w:val="00F72F18"/>
    <w:rsid w:val="00F72F77"/>
    <w:rsid w:val="00F73250"/>
    <w:rsid w:val="00F732ED"/>
    <w:rsid w:val="00F7359A"/>
    <w:rsid w:val="00F738E9"/>
    <w:rsid w:val="00F73922"/>
    <w:rsid w:val="00F73BF2"/>
    <w:rsid w:val="00F73C0E"/>
    <w:rsid w:val="00F73D1C"/>
    <w:rsid w:val="00F742CD"/>
    <w:rsid w:val="00F745B9"/>
    <w:rsid w:val="00F74729"/>
    <w:rsid w:val="00F7472C"/>
    <w:rsid w:val="00F74C67"/>
    <w:rsid w:val="00F74E4E"/>
    <w:rsid w:val="00F7552B"/>
    <w:rsid w:val="00F758FF"/>
    <w:rsid w:val="00F75D9A"/>
    <w:rsid w:val="00F75E5B"/>
    <w:rsid w:val="00F75EDB"/>
    <w:rsid w:val="00F7622C"/>
    <w:rsid w:val="00F7625F"/>
    <w:rsid w:val="00F76B80"/>
    <w:rsid w:val="00F76CC8"/>
    <w:rsid w:val="00F7713F"/>
    <w:rsid w:val="00F772DB"/>
    <w:rsid w:val="00F7733E"/>
    <w:rsid w:val="00F773C2"/>
    <w:rsid w:val="00F77405"/>
    <w:rsid w:val="00F7740E"/>
    <w:rsid w:val="00F77D26"/>
    <w:rsid w:val="00F8075F"/>
    <w:rsid w:val="00F80986"/>
    <w:rsid w:val="00F8110F"/>
    <w:rsid w:val="00F81314"/>
    <w:rsid w:val="00F81EDA"/>
    <w:rsid w:val="00F822B3"/>
    <w:rsid w:val="00F82432"/>
    <w:rsid w:val="00F829ED"/>
    <w:rsid w:val="00F82BE2"/>
    <w:rsid w:val="00F83498"/>
    <w:rsid w:val="00F83936"/>
    <w:rsid w:val="00F83F0C"/>
    <w:rsid w:val="00F83F0E"/>
    <w:rsid w:val="00F841D6"/>
    <w:rsid w:val="00F8436E"/>
    <w:rsid w:val="00F84A4C"/>
    <w:rsid w:val="00F84DB2"/>
    <w:rsid w:val="00F84F0D"/>
    <w:rsid w:val="00F850B7"/>
    <w:rsid w:val="00F85601"/>
    <w:rsid w:val="00F857AB"/>
    <w:rsid w:val="00F85C3C"/>
    <w:rsid w:val="00F861F6"/>
    <w:rsid w:val="00F86B83"/>
    <w:rsid w:val="00F86E94"/>
    <w:rsid w:val="00F86EB9"/>
    <w:rsid w:val="00F86F45"/>
    <w:rsid w:val="00F871C5"/>
    <w:rsid w:val="00F8770C"/>
    <w:rsid w:val="00F87724"/>
    <w:rsid w:val="00F87790"/>
    <w:rsid w:val="00F87AFB"/>
    <w:rsid w:val="00F87CF8"/>
    <w:rsid w:val="00F906DC"/>
    <w:rsid w:val="00F910BA"/>
    <w:rsid w:val="00F915A3"/>
    <w:rsid w:val="00F915D0"/>
    <w:rsid w:val="00F918D5"/>
    <w:rsid w:val="00F91DDE"/>
    <w:rsid w:val="00F91E74"/>
    <w:rsid w:val="00F91FDA"/>
    <w:rsid w:val="00F923F0"/>
    <w:rsid w:val="00F9296D"/>
    <w:rsid w:val="00F92A1B"/>
    <w:rsid w:val="00F92D14"/>
    <w:rsid w:val="00F935DB"/>
    <w:rsid w:val="00F93D09"/>
    <w:rsid w:val="00F94047"/>
    <w:rsid w:val="00F943EC"/>
    <w:rsid w:val="00F94578"/>
    <w:rsid w:val="00F9463D"/>
    <w:rsid w:val="00F9496A"/>
    <w:rsid w:val="00F94CBF"/>
    <w:rsid w:val="00F94E2E"/>
    <w:rsid w:val="00F95155"/>
    <w:rsid w:val="00F95167"/>
    <w:rsid w:val="00F951CE"/>
    <w:rsid w:val="00F95677"/>
    <w:rsid w:val="00F95911"/>
    <w:rsid w:val="00F96627"/>
    <w:rsid w:val="00F96CA3"/>
    <w:rsid w:val="00F96FA2"/>
    <w:rsid w:val="00F96FA9"/>
    <w:rsid w:val="00F97451"/>
    <w:rsid w:val="00F978E2"/>
    <w:rsid w:val="00F979A5"/>
    <w:rsid w:val="00FA00ED"/>
    <w:rsid w:val="00FA02B8"/>
    <w:rsid w:val="00FA03D6"/>
    <w:rsid w:val="00FA06BD"/>
    <w:rsid w:val="00FA077F"/>
    <w:rsid w:val="00FA08B9"/>
    <w:rsid w:val="00FA0B98"/>
    <w:rsid w:val="00FA15CD"/>
    <w:rsid w:val="00FA2108"/>
    <w:rsid w:val="00FA22DF"/>
    <w:rsid w:val="00FA2D17"/>
    <w:rsid w:val="00FA2D84"/>
    <w:rsid w:val="00FA34C7"/>
    <w:rsid w:val="00FA3829"/>
    <w:rsid w:val="00FA38D6"/>
    <w:rsid w:val="00FA3BCE"/>
    <w:rsid w:val="00FA3E4B"/>
    <w:rsid w:val="00FA4012"/>
    <w:rsid w:val="00FA41AD"/>
    <w:rsid w:val="00FA43D4"/>
    <w:rsid w:val="00FA460C"/>
    <w:rsid w:val="00FA47D4"/>
    <w:rsid w:val="00FA489E"/>
    <w:rsid w:val="00FA4ADE"/>
    <w:rsid w:val="00FA4DD5"/>
    <w:rsid w:val="00FA54EF"/>
    <w:rsid w:val="00FA581C"/>
    <w:rsid w:val="00FA5F30"/>
    <w:rsid w:val="00FA5F43"/>
    <w:rsid w:val="00FA61ED"/>
    <w:rsid w:val="00FA69AE"/>
    <w:rsid w:val="00FA6E62"/>
    <w:rsid w:val="00FA6FBC"/>
    <w:rsid w:val="00FA76F7"/>
    <w:rsid w:val="00FA77E0"/>
    <w:rsid w:val="00FA7FCA"/>
    <w:rsid w:val="00FB0037"/>
    <w:rsid w:val="00FB0653"/>
    <w:rsid w:val="00FB0E34"/>
    <w:rsid w:val="00FB138B"/>
    <w:rsid w:val="00FB159D"/>
    <w:rsid w:val="00FB18FA"/>
    <w:rsid w:val="00FB1BB5"/>
    <w:rsid w:val="00FB2DB8"/>
    <w:rsid w:val="00FB328F"/>
    <w:rsid w:val="00FB32F1"/>
    <w:rsid w:val="00FB34A8"/>
    <w:rsid w:val="00FB3966"/>
    <w:rsid w:val="00FB3FE1"/>
    <w:rsid w:val="00FB3FF1"/>
    <w:rsid w:val="00FB409E"/>
    <w:rsid w:val="00FB4619"/>
    <w:rsid w:val="00FB4732"/>
    <w:rsid w:val="00FB475C"/>
    <w:rsid w:val="00FB4812"/>
    <w:rsid w:val="00FB4816"/>
    <w:rsid w:val="00FB4829"/>
    <w:rsid w:val="00FB4AAB"/>
    <w:rsid w:val="00FB4BDD"/>
    <w:rsid w:val="00FB4C90"/>
    <w:rsid w:val="00FB4E62"/>
    <w:rsid w:val="00FB4F5B"/>
    <w:rsid w:val="00FB50D9"/>
    <w:rsid w:val="00FB55BD"/>
    <w:rsid w:val="00FB5FED"/>
    <w:rsid w:val="00FB60B9"/>
    <w:rsid w:val="00FB64B1"/>
    <w:rsid w:val="00FB65E5"/>
    <w:rsid w:val="00FB6A15"/>
    <w:rsid w:val="00FB6E2C"/>
    <w:rsid w:val="00FB6F6A"/>
    <w:rsid w:val="00FB7330"/>
    <w:rsid w:val="00FB754F"/>
    <w:rsid w:val="00FB7709"/>
    <w:rsid w:val="00FB7736"/>
    <w:rsid w:val="00FB7791"/>
    <w:rsid w:val="00FB7B01"/>
    <w:rsid w:val="00FB7CD8"/>
    <w:rsid w:val="00FB7F43"/>
    <w:rsid w:val="00FC00A7"/>
    <w:rsid w:val="00FC075A"/>
    <w:rsid w:val="00FC0800"/>
    <w:rsid w:val="00FC0A54"/>
    <w:rsid w:val="00FC0F64"/>
    <w:rsid w:val="00FC1097"/>
    <w:rsid w:val="00FC1653"/>
    <w:rsid w:val="00FC169C"/>
    <w:rsid w:val="00FC19A4"/>
    <w:rsid w:val="00FC19A6"/>
    <w:rsid w:val="00FC1B78"/>
    <w:rsid w:val="00FC1E55"/>
    <w:rsid w:val="00FC21EB"/>
    <w:rsid w:val="00FC2630"/>
    <w:rsid w:val="00FC2930"/>
    <w:rsid w:val="00FC2FCC"/>
    <w:rsid w:val="00FC31BE"/>
    <w:rsid w:val="00FC3260"/>
    <w:rsid w:val="00FC34DA"/>
    <w:rsid w:val="00FC3985"/>
    <w:rsid w:val="00FC3A1D"/>
    <w:rsid w:val="00FC3DFA"/>
    <w:rsid w:val="00FC3F1C"/>
    <w:rsid w:val="00FC408B"/>
    <w:rsid w:val="00FC4719"/>
    <w:rsid w:val="00FC474A"/>
    <w:rsid w:val="00FC4831"/>
    <w:rsid w:val="00FC49B5"/>
    <w:rsid w:val="00FC4BD9"/>
    <w:rsid w:val="00FC50F0"/>
    <w:rsid w:val="00FC527D"/>
    <w:rsid w:val="00FC540B"/>
    <w:rsid w:val="00FC5517"/>
    <w:rsid w:val="00FC5804"/>
    <w:rsid w:val="00FC5A64"/>
    <w:rsid w:val="00FC5A88"/>
    <w:rsid w:val="00FC6239"/>
    <w:rsid w:val="00FC6289"/>
    <w:rsid w:val="00FC631E"/>
    <w:rsid w:val="00FC6378"/>
    <w:rsid w:val="00FC6610"/>
    <w:rsid w:val="00FC663B"/>
    <w:rsid w:val="00FC66DD"/>
    <w:rsid w:val="00FC6E40"/>
    <w:rsid w:val="00FC7321"/>
    <w:rsid w:val="00FC755F"/>
    <w:rsid w:val="00FC7778"/>
    <w:rsid w:val="00FC7FB7"/>
    <w:rsid w:val="00FD0679"/>
    <w:rsid w:val="00FD06B4"/>
    <w:rsid w:val="00FD07F2"/>
    <w:rsid w:val="00FD0B03"/>
    <w:rsid w:val="00FD1560"/>
    <w:rsid w:val="00FD174E"/>
    <w:rsid w:val="00FD18EB"/>
    <w:rsid w:val="00FD1AA4"/>
    <w:rsid w:val="00FD1FCD"/>
    <w:rsid w:val="00FD20F4"/>
    <w:rsid w:val="00FD21CC"/>
    <w:rsid w:val="00FD25A1"/>
    <w:rsid w:val="00FD25D4"/>
    <w:rsid w:val="00FD2B1D"/>
    <w:rsid w:val="00FD2B72"/>
    <w:rsid w:val="00FD3220"/>
    <w:rsid w:val="00FD352A"/>
    <w:rsid w:val="00FD4013"/>
    <w:rsid w:val="00FD40F6"/>
    <w:rsid w:val="00FD445F"/>
    <w:rsid w:val="00FD4B52"/>
    <w:rsid w:val="00FD509B"/>
    <w:rsid w:val="00FD50AF"/>
    <w:rsid w:val="00FD520F"/>
    <w:rsid w:val="00FD5CAE"/>
    <w:rsid w:val="00FD5E75"/>
    <w:rsid w:val="00FD5FAC"/>
    <w:rsid w:val="00FD608A"/>
    <w:rsid w:val="00FD6581"/>
    <w:rsid w:val="00FD6767"/>
    <w:rsid w:val="00FD69DB"/>
    <w:rsid w:val="00FD6C08"/>
    <w:rsid w:val="00FD6D3C"/>
    <w:rsid w:val="00FD7198"/>
    <w:rsid w:val="00FD7244"/>
    <w:rsid w:val="00FD797E"/>
    <w:rsid w:val="00FD7C2C"/>
    <w:rsid w:val="00FD7E0B"/>
    <w:rsid w:val="00FD7E34"/>
    <w:rsid w:val="00FD7E82"/>
    <w:rsid w:val="00FE07B8"/>
    <w:rsid w:val="00FE0847"/>
    <w:rsid w:val="00FE0E07"/>
    <w:rsid w:val="00FE0E18"/>
    <w:rsid w:val="00FE0E78"/>
    <w:rsid w:val="00FE16ED"/>
    <w:rsid w:val="00FE1824"/>
    <w:rsid w:val="00FE1882"/>
    <w:rsid w:val="00FE1A40"/>
    <w:rsid w:val="00FE1A4F"/>
    <w:rsid w:val="00FE1A75"/>
    <w:rsid w:val="00FE1E23"/>
    <w:rsid w:val="00FE1ED4"/>
    <w:rsid w:val="00FE1EF0"/>
    <w:rsid w:val="00FE2338"/>
    <w:rsid w:val="00FE25E8"/>
    <w:rsid w:val="00FE2725"/>
    <w:rsid w:val="00FE2B40"/>
    <w:rsid w:val="00FE2C89"/>
    <w:rsid w:val="00FE32DA"/>
    <w:rsid w:val="00FE34BD"/>
    <w:rsid w:val="00FE389B"/>
    <w:rsid w:val="00FE3C2A"/>
    <w:rsid w:val="00FE3D8C"/>
    <w:rsid w:val="00FE3EBE"/>
    <w:rsid w:val="00FE3ED4"/>
    <w:rsid w:val="00FE4214"/>
    <w:rsid w:val="00FE42C1"/>
    <w:rsid w:val="00FE42D5"/>
    <w:rsid w:val="00FE47A8"/>
    <w:rsid w:val="00FE47E1"/>
    <w:rsid w:val="00FE487A"/>
    <w:rsid w:val="00FE494F"/>
    <w:rsid w:val="00FE4981"/>
    <w:rsid w:val="00FE4AB9"/>
    <w:rsid w:val="00FE4BD3"/>
    <w:rsid w:val="00FE5292"/>
    <w:rsid w:val="00FE5631"/>
    <w:rsid w:val="00FE5671"/>
    <w:rsid w:val="00FE5BE7"/>
    <w:rsid w:val="00FE6B87"/>
    <w:rsid w:val="00FE7737"/>
    <w:rsid w:val="00FE77DD"/>
    <w:rsid w:val="00FE7B45"/>
    <w:rsid w:val="00FE7BAF"/>
    <w:rsid w:val="00FE7D9F"/>
    <w:rsid w:val="00FF02D3"/>
    <w:rsid w:val="00FF0CCC"/>
    <w:rsid w:val="00FF0D36"/>
    <w:rsid w:val="00FF0DEB"/>
    <w:rsid w:val="00FF13F2"/>
    <w:rsid w:val="00FF15D4"/>
    <w:rsid w:val="00FF1A46"/>
    <w:rsid w:val="00FF1B0C"/>
    <w:rsid w:val="00FF207B"/>
    <w:rsid w:val="00FF2334"/>
    <w:rsid w:val="00FF23A3"/>
    <w:rsid w:val="00FF26A3"/>
    <w:rsid w:val="00FF2972"/>
    <w:rsid w:val="00FF2CB1"/>
    <w:rsid w:val="00FF37D9"/>
    <w:rsid w:val="00FF3BB6"/>
    <w:rsid w:val="00FF3C58"/>
    <w:rsid w:val="00FF3ED6"/>
    <w:rsid w:val="00FF3F11"/>
    <w:rsid w:val="00FF41A7"/>
    <w:rsid w:val="00FF458A"/>
    <w:rsid w:val="00FF4A4D"/>
    <w:rsid w:val="00FF4A53"/>
    <w:rsid w:val="00FF5179"/>
    <w:rsid w:val="00FF531B"/>
    <w:rsid w:val="00FF532D"/>
    <w:rsid w:val="00FF53C4"/>
    <w:rsid w:val="00FF56FA"/>
    <w:rsid w:val="00FF586F"/>
    <w:rsid w:val="00FF5995"/>
    <w:rsid w:val="00FF6156"/>
    <w:rsid w:val="00FF63A3"/>
    <w:rsid w:val="00FF6547"/>
    <w:rsid w:val="00FF6548"/>
    <w:rsid w:val="00FF66E6"/>
    <w:rsid w:val="00FF6A5F"/>
    <w:rsid w:val="00FF6E36"/>
    <w:rsid w:val="00FF6F31"/>
    <w:rsid w:val="00FF7098"/>
    <w:rsid w:val="00FF725D"/>
    <w:rsid w:val="00FF7828"/>
    <w:rsid w:val="02A2249A"/>
    <w:rsid w:val="04150927"/>
    <w:rsid w:val="06001504"/>
    <w:rsid w:val="06382AFB"/>
    <w:rsid w:val="064615AE"/>
    <w:rsid w:val="0688A688"/>
    <w:rsid w:val="0713BE5E"/>
    <w:rsid w:val="0A26ED1E"/>
    <w:rsid w:val="10AC2BA6"/>
    <w:rsid w:val="12CF5934"/>
    <w:rsid w:val="159128ED"/>
    <w:rsid w:val="19159AE0"/>
    <w:rsid w:val="19654006"/>
    <w:rsid w:val="1A4ED64E"/>
    <w:rsid w:val="1AF29757"/>
    <w:rsid w:val="1FBD5504"/>
    <w:rsid w:val="21BAA3F5"/>
    <w:rsid w:val="21D89CAA"/>
    <w:rsid w:val="2B3A331F"/>
    <w:rsid w:val="2E135E91"/>
    <w:rsid w:val="33A8D935"/>
    <w:rsid w:val="352C999B"/>
    <w:rsid w:val="36E0363B"/>
    <w:rsid w:val="379D4C61"/>
    <w:rsid w:val="37B2FC5D"/>
    <w:rsid w:val="3C4BEBDE"/>
    <w:rsid w:val="3F19EB1F"/>
    <w:rsid w:val="422B3C37"/>
    <w:rsid w:val="42411A58"/>
    <w:rsid w:val="44131425"/>
    <w:rsid w:val="482B29C9"/>
    <w:rsid w:val="497D599F"/>
    <w:rsid w:val="49B715F5"/>
    <w:rsid w:val="4C928DCB"/>
    <w:rsid w:val="4D0E1627"/>
    <w:rsid w:val="4DACE8D7"/>
    <w:rsid w:val="4E1AC624"/>
    <w:rsid w:val="52400EFE"/>
    <w:rsid w:val="5985E9FE"/>
    <w:rsid w:val="5B8BFA21"/>
    <w:rsid w:val="5D1AFFC8"/>
    <w:rsid w:val="5E84CBCB"/>
    <w:rsid w:val="5FBA05E3"/>
    <w:rsid w:val="62D77C1E"/>
    <w:rsid w:val="6666102F"/>
    <w:rsid w:val="6670ECF3"/>
    <w:rsid w:val="6E2DF19E"/>
    <w:rsid w:val="6F23BD87"/>
    <w:rsid w:val="70D20D08"/>
    <w:rsid w:val="72158D54"/>
    <w:rsid w:val="75FEFCE9"/>
    <w:rsid w:val="77617795"/>
    <w:rsid w:val="7ACFECB3"/>
    <w:rsid w:val="7BF5AD3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2483559"/>
  <w15:chartTrackingRefBased/>
  <w15:docId w15:val="{A54C472F-6AC1-4C92-8819-F96046481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5"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63BD"/>
    <w:pPr>
      <w:spacing w:after="120" w:line="256" w:lineRule="auto"/>
    </w:pPr>
    <w:rPr>
      <w:rFonts w:ascii="Segoe UI" w:hAnsi="Segoe UI"/>
      <w:sz w:val="19"/>
      <w:lang w:val="en-AU"/>
    </w:rPr>
  </w:style>
  <w:style w:type="paragraph" w:styleId="Heading1">
    <w:name w:val="heading 1"/>
    <w:basedOn w:val="Normal"/>
    <w:next w:val="Normal"/>
    <w:link w:val="Heading1Char"/>
    <w:uiPriority w:val="19"/>
    <w:qFormat/>
    <w:rsid w:val="009D65C7"/>
    <w:pPr>
      <w:keepNext/>
      <w:pageBreakBefore/>
      <w:numPr>
        <w:numId w:val="18"/>
      </w:numPr>
      <w:spacing w:after="600" w:line="560" w:lineRule="exact"/>
      <w:outlineLvl w:val="0"/>
    </w:pPr>
    <w:rPr>
      <w:rFonts w:eastAsia="Times New Roman" w:cs="Times New Roman"/>
      <w:b/>
      <w:color w:val="00264D"/>
      <w:sz w:val="36"/>
      <w:szCs w:val="19"/>
      <w:lang w:eastAsia="en-AU"/>
    </w:rPr>
  </w:style>
  <w:style w:type="paragraph" w:styleId="Heading2">
    <w:name w:val="heading 2"/>
    <w:basedOn w:val="Normal"/>
    <w:next w:val="Normal"/>
    <w:link w:val="Heading2Char"/>
    <w:uiPriority w:val="19"/>
    <w:qFormat/>
    <w:rsid w:val="003E3627"/>
    <w:pPr>
      <w:keepNext/>
      <w:numPr>
        <w:ilvl w:val="1"/>
        <w:numId w:val="18"/>
      </w:numPr>
      <w:spacing w:before="480" w:after="180" w:line="380" w:lineRule="exact"/>
      <w:outlineLvl w:val="1"/>
    </w:pPr>
    <w:rPr>
      <w:rFonts w:ascii="Segoe UI Semibold" w:eastAsia="Times New Roman" w:hAnsi="Segoe UI Semibold" w:cs="Times New Roman"/>
      <w:color w:val="00264D"/>
      <w:sz w:val="30"/>
      <w:szCs w:val="19"/>
      <w:lang w:eastAsia="en-AU"/>
    </w:rPr>
  </w:style>
  <w:style w:type="paragraph" w:styleId="Heading3">
    <w:name w:val="heading 3"/>
    <w:basedOn w:val="Normal"/>
    <w:next w:val="Normal"/>
    <w:link w:val="Heading3Char"/>
    <w:uiPriority w:val="19"/>
    <w:qFormat/>
    <w:rsid w:val="003E3627"/>
    <w:pPr>
      <w:keepNext/>
      <w:numPr>
        <w:ilvl w:val="2"/>
        <w:numId w:val="18"/>
      </w:numPr>
      <w:spacing w:before="480" w:after="60"/>
      <w:outlineLvl w:val="2"/>
    </w:pPr>
    <w:rPr>
      <w:rFonts w:ascii="Segoe UI Semibold" w:eastAsia="Times New Roman" w:hAnsi="Segoe UI Semibold" w:cs="Times New Roman"/>
      <w:color w:val="00264D"/>
      <w:sz w:val="26"/>
      <w:szCs w:val="19"/>
      <w:lang w:eastAsia="en-AU"/>
    </w:rPr>
  </w:style>
  <w:style w:type="paragraph" w:styleId="Heading4">
    <w:name w:val="heading 4"/>
    <w:basedOn w:val="Normal"/>
    <w:next w:val="Normal"/>
    <w:link w:val="Heading4Char"/>
    <w:uiPriority w:val="19"/>
    <w:qFormat/>
    <w:rsid w:val="003E3627"/>
    <w:pPr>
      <w:keepNext/>
      <w:spacing w:before="240" w:after="60"/>
      <w:outlineLvl w:val="3"/>
    </w:pPr>
    <w:rPr>
      <w:rFonts w:ascii="Segoe UI Semibold" w:eastAsia="Times New Roman" w:hAnsi="Segoe UI Semibold" w:cs="Times New Roman"/>
      <w:color w:val="00264D" w:themeColor="background2"/>
      <w:sz w:val="22"/>
      <w:szCs w:val="19"/>
      <w:lang w:eastAsia="en-AU"/>
    </w:rPr>
  </w:style>
  <w:style w:type="paragraph" w:styleId="Heading5">
    <w:name w:val="heading 5"/>
    <w:basedOn w:val="Normal"/>
    <w:next w:val="Normal"/>
    <w:link w:val="Heading5Char"/>
    <w:uiPriority w:val="19"/>
    <w:qFormat/>
    <w:rsid w:val="003E3627"/>
    <w:pPr>
      <w:keepNext/>
      <w:numPr>
        <w:ilvl w:val="4"/>
        <w:numId w:val="18"/>
      </w:numPr>
      <w:spacing w:before="240"/>
      <w:outlineLvl w:val="4"/>
    </w:pPr>
    <w:rPr>
      <w:rFonts w:eastAsia="Times New Roman" w:cs="Times New Roman"/>
      <w:b/>
      <w:color w:val="000000" w:themeColor="text1"/>
      <w:sz w:val="20"/>
      <w:szCs w:val="24"/>
      <w:lang w:eastAsia="en-AU"/>
    </w:rPr>
  </w:style>
  <w:style w:type="paragraph" w:styleId="Heading6">
    <w:name w:val="heading 6"/>
    <w:basedOn w:val="Normal"/>
    <w:next w:val="Normal"/>
    <w:link w:val="Heading6Char"/>
    <w:uiPriority w:val="19"/>
    <w:qFormat/>
    <w:rsid w:val="003E3627"/>
    <w:pPr>
      <w:keepNext/>
      <w:keepLines/>
      <w:numPr>
        <w:ilvl w:val="5"/>
        <w:numId w:val="18"/>
      </w:numPr>
      <w:spacing w:before="200" w:after="60"/>
      <w:outlineLvl w:val="5"/>
    </w:pPr>
    <w:rPr>
      <w:rFonts w:eastAsiaTheme="majorEastAsia" w:cstheme="majorBidi"/>
      <w:b/>
      <w:i/>
      <w:iCs/>
      <w:color w:val="000000" w:themeColor="text1"/>
      <w:szCs w:val="19"/>
      <w:lang w:eastAsia="en-AU"/>
    </w:rPr>
  </w:style>
  <w:style w:type="paragraph" w:styleId="Heading7">
    <w:name w:val="heading 7"/>
    <w:basedOn w:val="Normal"/>
    <w:next w:val="Normal"/>
    <w:link w:val="Heading7Char"/>
    <w:uiPriority w:val="19"/>
    <w:semiHidden/>
    <w:rsid w:val="003E3627"/>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3E3627"/>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9"/>
    <w:rsid w:val="00F428FC"/>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9"/>
    <w:rsid w:val="003E3627"/>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9"/>
    <w:rsid w:val="003E3627"/>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9"/>
    <w:rsid w:val="003E3627"/>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9"/>
    <w:rsid w:val="003E3627"/>
    <w:rPr>
      <w:rFonts w:ascii="Segoe UI" w:eastAsia="Times New Roman" w:hAnsi="Segoe UI" w:cs="Times New Roman"/>
      <w:b/>
      <w:color w:val="000000" w:themeColor="text1"/>
      <w:sz w:val="20"/>
      <w:szCs w:val="24"/>
      <w:lang w:val="en-AU" w:eastAsia="en-AU"/>
    </w:rPr>
  </w:style>
  <w:style w:type="character" w:customStyle="1" w:styleId="Heading6Char">
    <w:name w:val="Heading 6 Char"/>
    <w:basedOn w:val="DefaultParagraphFont"/>
    <w:link w:val="Heading6"/>
    <w:uiPriority w:val="19"/>
    <w:rsid w:val="003E3627"/>
    <w:rPr>
      <w:rFonts w:ascii="Segoe UI" w:eastAsiaTheme="majorEastAsia" w:hAnsi="Segoe UI" w:cstheme="majorBidi"/>
      <w:b/>
      <w:i/>
      <w:iCs/>
      <w:color w:val="000000" w:themeColor="text1"/>
      <w:sz w:val="19"/>
      <w:szCs w:val="19"/>
      <w:lang w:val="en-AU" w:eastAsia="en-AU"/>
    </w:rPr>
  </w:style>
  <w:style w:type="paragraph" w:customStyle="1" w:styleId="Bullet">
    <w:name w:val="Bullet"/>
    <w:basedOn w:val="Normal"/>
    <w:link w:val="BulletChar"/>
    <w:uiPriority w:val="2"/>
    <w:qFormat/>
    <w:rsid w:val="009D65C7"/>
    <w:pPr>
      <w:numPr>
        <w:numId w:val="2"/>
      </w:numPr>
      <w:suppressAutoHyphens/>
    </w:pPr>
    <w:rPr>
      <w:rFonts w:eastAsia="Times New Roman" w:cs="Times New Roman"/>
      <w:szCs w:val="19"/>
      <w:lang w:eastAsia="en-AU"/>
    </w:rPr>
  </w:style>
  <w:style w:type="paragraph" w:customStyle="1" w:styleId="TableNheader">
    <w:name w:val="Table N header"/>
    <w:basedOn w:val="Normal"/>
    <w:uiPriority w:val="2"/>
    <w:qFormat/>
    <w:rsid w:val="003E3627"/>
    <w:pPr>
      <w:spacing w:before="40" w:after="40" w:line="240" w:lineRule="auto"/>
    </w:pPr>
    <w:rPr>
      <w:rFonts w:ascii="Segoe UI Semibold" w:hAnsi="Segoe UI Semibold"/>
      <w:color w:val="00264D" w:themeColor="background2"/>
      <w:sz w:val="18"/>
    </w:rPr>
  </w:style>
  <w:style w:type="paragraph" w:customStyle="1" w:styleId="TableNText">
    <w:name w:val="Table N Text"/>
    <w:basedOn w:val="Normal"/>
    <w:link w:val="TableNTextChar"/>
    <w:uiPriority w:val="2"/>
    <w:qFormat/>
    <w:rsid w:val="003E3627"/>
    <w:pPr>
      <w:spacing w:before="60" w:after="60"/>
    </w:pPr>
    <w:rPr>
      <w:sz w:val="17"/>
    </w:rPr>
  </w:style>
  <w:style w:type="paragraph" w:styleId="Header">
    <w:name w:val="header"/>
    <w:basedOn w:val="Normal"/>
    <w:link w:val="HeaderChar"/>
    <w:uiPriority w:val="99"/>
    <w:unhideWhenUsed/>
    <w:rsid w:val="003E3627"/>
    <w:pPr>
      <w:tabs>
        <w:tab w:val="center" w:pos="4513"/>
        <w:tab w:val="right" w:pos="9026"/>
      </w:tabs>
      <w:spacing w:after="0"/>
    </w:pPr>
  </w:style>
  <w:style w:type="character" w:customStyle="1" w:styleId="HeaderChar">
    <w:name w:val="Header Char"/>
    <w:basedOn w:val="DefaultParagraphFont"/>
    <w:link w:val="Header"/>
    <w:uiPriority w:val="99"/>
    <w:rsid w:val="003E3627"/>
    <w:rPr>
      <w:rFonts w:ascii="Segoe UI" w:hAnsi="Segoe UI"/>
      <w:sz w:val="19"/>
      <w:lang w:val="en-AU"/>
    </w:rPr>
  </w:style>
  <w:style w:type="paragraph" w:styleId="Footer">
    <w:name w:val="footer"/>
    <w:aliases w:val="Foot note"/>
    <w:basedOn w:val="Normal"/>
    <w:link w:val="FooterChar"/>
    <w:uiPriority w:val="89"/>
    <w:unhideWhenUsed/>
    <w:rsid w:val="003E3627"/>
    <w:pPr>
      <w:tabs>
        <w:tab w:val="center" w:pos="4513"/>
        <w:tab w:val="right" w:pos="9026"/>
      </w:tabs>
      <w:spacing w:after="0"/>
    </w:pPr>
    <w:rPr>
      <w:sz w:val="15"/>
    </w:rPr>
  </w:style>
  <w:style w:type="character" w:customStyle="1" w:styleId="FooterChar">
    <w:name w:val="Footer Char"/>
    <w:aliases w:val="Foot note Char"/>
    <w:basedOn w:val="DefaultParagraphFont"/>
    <w:link w:val="Footer"/>
    <w:uiPriority w:val="89"/>
    <w:rsid w:val="003E3627"/>
    <w:rPr>
      <w:rFonts w:ascii="Segoe UI" w:hAnsi="Segoe UI"/>
      <w:sz w:val="15"/>
      <w:lang w:val="en-AU"/>
    </w:rPr>
  </w:style>
  <w:style w:type="paragraph" w:styleId="Caption">
    <w:name w:val="caption"/>
    <w:basedOn w:val="Normal"/>
    <w:next w:val="Normal"/>
    <w:link w:val="CaptionChar"/>
    <w:uiPriority w:val="35"/>
    <w:qFormat/>
    <w:rsid w:val="003E3627"/>
    <w:pPr>
      <w:keepNext/>
      <w:spacing w:before="240"/>
    </w:pPr>
    <w:rPr>
      <w:rFonts w:ascii="Segoe UI Semibold" w:hAnsi="Segoe UI Semibold"/>
      <w:bCs/>
      <w:color w:val="00264D" w:themeColor="background2"/>
      <w:szCs w:val="18"/>
    </w:rPr>
  </w:style>
  <w:style w:type="paragraph" w:customStyle="1" w:styleId="TableNBullet">
    <w:name w:val="Table N Bullet"/>
    <w:basedOn w:val="Bullet"/>
    <w:link w:val="TableNBulletChar"/>
    <w:uiPriority w:val="9"/>
    <w:qFormat/>
    <w:rsid w:val="009D65C7"/>
    <w:pPr>
      <w:numPr>
        <w:numId w:val="19"/>
      </w:numPr>
      <w:spacing w:before="60" w:after="60"/>
    </w:pPr>
    <w:rPr>
      <w:sz w:val="17"/>
    </w:rPr>
  </w:style>
  <w:style w:type="paragraph" w:customStyle="1" w:styleId="TableNListnumbered">
    <w:name w:val="Table N List (numbered)"/>
    <w:basedOn w:val="TableNBullet"/>
    <w:uiPriority w:val="2"/>
    <w:qFormat/>
    <w:rsid w:val="009D65C7"/>
    <w:pPr>
      <w:numPr>
        <w:numId w:val="15"/>
      </w:numPr>
    </w:pPr>
  </w:style>
  <w:style w:type="paragraph" w:customStyle="1" w:styleId="xAppendixLevel1">
    <w:name w:val="xAppendix Level 1"/>
    <w:basedOn w:val="Heading1"/>
    <w:next w:val="Normal"/>
    <w:uiPriority w:val="98"/>
    <w:qFormat/>
    <w:rsid w:val="003E3627"/>
    <w:pPr>
      <w:numPr>
        <w:numId w:val="1"/>
      </w:numPr>
    </w:pPr>
    <w:rPr>
      <w:bCs/>
      <w:sz w:val="44"/>
    </w:rPr>
  </w:style>
  <w:style w:type="paragraph" w:customStyle="1" w:styleId="xAppendixLevel2">
    <w:name w:val="xAppendix Level 2"/>
    <w:basedOn w:val="Heading2"/>
    <w:next w:val="Normal"/>
    <w:uiPriority w:val="98"/>
    <w:qFormat/>
    <w:rsid w:val="003E3627"/>
    <w:pPr>
      <w:numPr>
        <w:numId w:val="1"/>
      </w:numPr>
    </w:pPr>
    <w:rPr>
      <w:bCs/>
      <w:sz w:val="34"/>
    </w:rPr>
  </w:style>
  <w:style w:type="paragraph" w:customStyle="1" w:styleId="xAppendixLevel3">
    <w:name w:val="xAppendix Level 3"/>
    <w:basedOn w:val="Heading3"/>
    <w:next w:val="Normal"/>
    <w:uiPriority w:val="98"/>
    <w:qFormat/>
    <w:rsid w:val="003E3627"/>
    <w:pPr>
      <w:numPr>
        <w:numId w:val="1"/>
      </w:numPr>
    </w:pPr>
    <w:rPr>
      <w:bCs/>
    </w:rPr>
  </w:style>
  <w:style w:type="paragraph" w:customStyle="1" w:styleId="Listnumbered">
    <w:name w:val="List (numbered)"/>
    <w:basedOn w:val="Normal"/>
    <w:uiPriority w:val="1"/>
    <w:qFormat/>
    <w:rsid w:val="009D65C7"/>
    <w:pPr>
      <w:numPr>
        <w:numId w:val="16"/>
      </w:numPr>
    </w:pPr>
  </w:style>
  <w:style w:type="paragraph" w:customStyle="1" w:styleId="Source">
    <w:name w:val="Source"/>
    <w:basedOn w:val="Normal"/>
    <w:next w:val="Normal"/>
    <w:link w:val="SourceChar"/>
    <w:uiPriority w:val="39"/>
    <w:rsid w:val="003E3627"/>
    <w:pPr>
      <w:spacing w:before="120" w:after="240"/>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3E3627"/>
    <w:rPr>
      <w:rFonts w:ascii="Segoe UI" w:eastAsia="Times New Roman" w:hAnsi="Segoe UI" w:cs="Times New Roman"/>
      <w:i/>
      <w:sz w:val="17"/>
      <w:szCs w:val="19"/>
      <w:lang w:val="en-AU" w:eastAsia="en-AU"/>
    </w:rPr>
  </w:style>
  <w:style w:type="paragraph" w:customStyle="1" w:styleId="TableExpbullet">
    <w:name w:val="Table Exp bullet"/>
    <w:basedOn w:val="Normal"/>
    <w:uiPriority w:val="3"/>
    <w:qFormat/>
    <w:rsid w:val="003E3627"/>
    <w:pPr>
      <w:numPr>
        <w:numId w:val="3"/>
      </w:numPr>
      <w:spacing w:before="60" w:after="60"/>
    </w:pPr>
    <w:rPr>
      <w:sz w:val="16"/>
    </w:rPr>
  </w:style>
  <w:style w:type="paragraph" w:customStyle="1" w:styleId="Tableexpheader">
    <w:name w:val="Table exp header"/>
    <w:basedOn w:val="Normal"/>
    <w:uiPriority w:val="3"/>
    <w:qFormat/>
    <w:rsid w:val="003E3627"/>
    <w:pPr>
      <w:spacing w:before="40" w:after="40" w:line="240" w:lineRule="auto"/>
    </w:pPr>
    <w:rPr>
      <w:rFonts w:ascii="Segoe UI Semibold" w:hAnsi="Segoe UI Semibold"/>
      <w:sz w:val="17"/>
    </w:rPr>
  </w:style>
  <w:style w:type="paragraph" w:customStyle="1" w:styleId="TableexpListnumbered">
    <w:name w:val="Table exp List (numbered)"/>
    <w:basedOn w:val="Normal"/>
    <w:uiPriority w:val="3"/>
    <w:qFormat/>
    <w:rsid w:val="009D65C7"/>
    <w:pPr>
      <w:numPr>
        <w:numId w:val="9"/>
      </w:numPr>
      <w:spacing w:before="60" w:after="60"/>
    </w:pPr>
    <w:rPr>
      <w:sz w:val="16"/>
    </w:rPr>
  </w:style>
  <w:style w:type="paragraph" w:customStyle="1" w:styleId="TableExpText">
    <w:name w:val="Table Exp Text"/>
    <w:basedOn w:val="Normal"/>
    <w:uiPriority w:val="3"/>
    <w:qFormat/>
    <w:rsid w:val="003E3627"/>
    <w:rPr>
      <w:sz w:val="16"/>
    </w:rPr>
  </w:style>
  <w:style w:type="character" w:customStyle="1" w:styleId="Heading7Char">
    <w:name w:val="Heading 7 Char"/>
    <w:basedOn w:val="DefaultParagraphFont"/>
    <w:link w:val="Heading7"/>
    <w:uiPriority w:val="19"/>
    <w:semiHidden/>
    <w:rsid w:val="003E3627"/>
    <w:rPr>
      <w:rFonts w:ascii="Segoe UI" w:eastAsiaTheme="majorEastAsia" w:hAnsi="Segoe UI" w:cstheme="majorBidi"/>
      <w:i/>
      <w:iCs/>
      <w:color w:val="404040" w:themeColor="text1" w:themeTint="BF"/>
      <w:sz w:val="19"/>
      <w:lang w:val="en-AU"/>
    </w:rPr>
  </w:style>
  <w:style w:type="paragraph" w:customStyle="1" w:styleId="BioName">
    <w:name w:val="Bio Name"/>
    <w:basedOn w:val="Normal"/>
    <w:uiPriority w:val="97"/>
    <w:qFormat/>
    <w:rsid w:val="003E3627"/>
    <w:pPr>
      <w:spacing w:before="60" w:after="60" w:line="240" w:lineRule="auto"/>
      <w:jc w:val="center"/>
    </w:pPr>
    <w:rPr>
      <w:b/>
      <w:caps/>
      <w:color w:val="00264D" w:themeColor="background2"/>
      <w:szCs w:val="19"/>
    </w:rPr>
  </w:style>
  <w:style w:type="paragraph" w:customStyle="1" w:styleId="BioPosition">
    <w:name w:val="Bio Position"/>
    <w:basedOn w:val="Normal"/>
    <w:uiPriority w:val="97"/>
    <w:qFormat/>
    <w:rsid w:val="003E3627"/>
    <w:pPr>
      <w:spacing w:line="240" w:lineRule="auto"/>
      <w:jc w:val="center"/>
    </w:pPr>
    <w:rPr>
      <w:color w:val="00264D" w:themeColor="background2"/>
      <w:szCs w:val="19"/>
    </w:rPr>
  </w:style>
  <w:style w:type="paragraph" w:styleId="BalloonText">
    <w:name w:val="Balloon Text"/>
    <w:basedOn w:val="Normal"/>
    <w:link w:val="BalloonTextChar"/>
    <w:uiPriority w:val="99"/>
    <w:semiHidden/>
    <w:unhideWhenUsed/>
    <w:rsid w:val="003E362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3627"/>
    <w:rPr>
      <w:rFonts w:ascii="Tahoma" w:hAnsi="Tahoma" w:cs="Tahoma"/>
      <w:sz w:val="16"/>
      <w:szCs w:val="16"/>
      <w:lang w:val="en-AU"/>
    </w:rPr>
  </w:style>
  <w:style w:type="table" w:styleId="LightList-Accent5">
    <w:name w:val="Light List Accent 5"/>
    <w:basedOn w:val="TableNormal"/>
    <w:uiPriority w:val="61"/>
    <w:rsid w:val="003E3627"/>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3E3627"/>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9"/>
    <w:rsid w:val="00F428FC"/>
    <w:rPr>
      <w:rFonts w:ascii="Segoe UI" w:eastAsia="Times New Roman" w:hAnsi="Segoe UI" w:cs="Times New Roman"/>
      <w:sz w:val="17"/>
      <w:szCs w:val="19"/>
      <w:lang w:val="en-AU" w:eastAsia="en-AU"/>
    </w:rPr>
  </w:style>
  <w:style w:type="table" w:styleId="TableGrid">
    <w:name w:val="Table Grid"/>
    <w:aliases w:val="Nous Table,Table,NOUS,NOUS Side Header"/>
    <w:basedOn w:val="TableNormal"/>
    <w:uiPriority w:val="39"/>
    <w:rsid w:val="003E3627"/>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Microsoft YaHei Light" w:hAnsi="@Microsoft YaHei Light"/>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Microsoft YaHei" w:hAnsi="Microsoft YaHei"/>
        <w:sz w:val="17"/>
      </w:rPr>
    </w:tblStylePr>
    <w:tblStylePr w:type="band2Horz">
      <w:rPr>
        <w:rFonts w:ascii="Microsoft YaHei" w:hAnsi="Microsoft YaHei"/>
        <w:sz w:val="17"/>
      </w:rPr>
    </w:tblStylePr>
  </w:style>
  <w:style w:type="character" w:customStyle="1" w:styleId="BulletChar">
    <w:name w:val="Bullet Char"/>
    <w:aliases w:val="List Paragraph Char,List Paragraph1 Char,Recommendation Char,List Paragraph11 Char,L Char,1 heading Char,Bullet point Char,Dot point 1.5 line spacing Char,List Paragraph - bullets Char,NFP GP Bulleted List Char,bullet point list Char"/>
    <w:basedOn w:val="DefaultParagraphFont"/>
    <w:link w:val="Bullet"/>
    <w:uiPriority w:val="2"/>
    <w:rsid w:val="003E3627"/>
    <w:rPr>
      <w:rFonts w:ascii="Segoe UI" w:eastAsia="Times New Roman" w:hAnsi="Segoe UI" w:cs="Times New Roman"/>
      <w:sz w:val="19"/>
      <w:szCs w:val="19"/>
      <w:lang w:val="en-AU" w:eastAsia="en-AU"/>
    </w:rPr>
  </w:style>
  <w:style w:type="paragraph" w:customStyle="1" w:styleId="URL-groupcomau">
    <w:name w:val="URL - group.com.au"/>
    <w:basedOn w:val="Normal"/>
    <w:link w:val="URL-groupcomauChar"/>
    <w:uiPriority w:val="89"/>
    <w:semiHidden/>
    <w:qFormat/>
    <w:rsid w:val="003E3627"/>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3E3627"/>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3E3627"/>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3E3627"/>
    <w:rPr>
      <w:rFonts w:ascii="Segoe UI" w:eastAsia="Times New Roman" w:hAnsi="Segoe UI" w:cs="Times New Roman"/>
      <w:color w:val="FF3A40" w:themeColor="accent1"/>
      <w:spacing w:val="20"/>
      <w:sz w:val="14"/>
      <w:szCs w:val="19"/>
      <w:lang w:val="en-AU" w:eastAsia="en-AU"/>
    </w:rPr>
  </w:style>
  <w:style w:type="table" w:customStyle="1" w:styleId="NousTableSide">
    <w:name w:val="Nous Table_Side"/>
    <w:basedOn w:val="TableNormal"/>
    <w:uiPriority w:val="99"/>
    <w:rsid w:val="003E3627"/>
    <w:pPr>
      <w:spacing w:after="0" w:line="240" w:lineRule="auto"/>
    </w:pPr>
    <w:rPr>
      <w:rFonts w:ascii="Segoe UI" w:hAnsi="Segoe UI"/>
      <w:sz w:val="17"/>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blStylePr w:type="firstCol">
      <w:pPr>
        <w:jc w:val="left"/>
      </w:pPr>
      <w:rPr>
        <w:rFonts w:ascii="@Microsoft YaHei Light" w:hAnsi="@Microsoft YaHei Light"/>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3E3627"/>
    <w:rPr>
      <w:rFonts w:ascii="Segoe UI" w:eastAsiaTheme="majorEastAsia" w:hAnsi="Segoe UI" w:cstheme="majorBidi"/>
      <w:color w:val="404040" w:themeColor="text1" w:themeTint="BF"/>
      <w:sz w:val="20"/>
      <w:szCs w:val="20"/>
      <w:lang w:val="en-AU"/>
    </w:rPr>
  </w:style>
  <w:style w:type="character" w:styleId="Hyperlink">
    <w:name w:val="Hyperlink"/>
    <w:basedOn w:val="DefaultParagraphFont"/>
    <w:uiPriority w:val="99"/>
    <w:unhideWhenUsed/>
    <w:rsid w:val="003E3627"/>
    <w:rPr>
      <w:color w:val="00264D" w:themeColor="background2"/>
      <w:u w:val="single"/>
    </w:rPr>
  </w:style>
  <w:style w:type="table" w:customStyle="1" w:styleId="NousTableTopandside">
    <w:name w:val="Nous Table_Top and side"/>
    <w:basedOn w:val="TableNormal"/>
    <w:uiPriority w:val="99"/>
    <w:rsid w:val="003E3627"/>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Microsoft YaHei Light" w:hAnsi="@Microsoft YaHei Light"/>
        <w:b w:val="0"/>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vAlign w:val="center"/>
      </w:tcPr>
    </w:tblStylePr>
    <w:tblStylePr w:type="firstCol">
      <w:pPr>
        <w:jc w:val="left"/>
      </w:pPr>
      <w:rPr>
        <w:rFonts w:ascii="@Microsoft YaHei Light" w:hAnsi="@Microsoft YaHei Light"/>
        <w:b w:val="0"/>
        <w:color w:val="00264D" w:themeColor="background2"/>
        <w:sz w:val="18"/>
      </w:rPr>
      <w:tblPr/>
      <w:tcPr>
        <w:tcBorders>
          <w:left w:val="nil"/>
        </w:tcBorders>
        <w:shd w:val="clear" w:color="auto" w:fill="E6E6E1" w:themeFill="accent5"/>
      </w:tcPr>
    </w:tblStylePr>
  </w:style>
  <w:style w:type="paragraph" w:customStyle="1" w:styleId="BioHeading">
    <w:name w:val="Bio Heading"/>
    <w:basedOn w:val="TableNText"/>
    <w:uiPriority w:val="97"/>
    <w:qFormat/>
    <w:rsid w:val="003E3627"/>
    <w:pPr>
      <w:spacing w:before="240" w:after="120" w:line="240" w:lineRule="auto"/>
    </w:pPr>
    <w:rPr>
      <w:color w:val="00264D" w:themeColor="background2"/>
      <w:sz w:val="19"/>
      <w:szCs w:val="19"/>
    </w:rPr>
  </w:style>
  <w:style w:type="paragraph" w:customStyle="1" w:styleId="Sectionintroduction">
    <w:name w:val="Section introduction"/>
    <w:uiPriority w:val="21"/>
    <w:qFormat/>
    <w:rsid w:val="003E3627"/>
    <w:pPr>
      <w:spacing w:before="120" w:after="120"/>
    </w:pPr>
    <w:rPr>
      <w:rFonts w:ascii="Segoe UI Semilight" w:hAnsi="Segoe UI Semilight"/>
      <w:color w:val="00264D" w:themeColor="background2"/>
      <w:sz w:val="21"/>
      <w:szCs w:val="21"/>
      <w:lang w:val="en-AU"/>
    </w:rPr>
  </w:style>
  <w:style w:type="paragraph" w:customStyle="1" w:styleId="Callout">
    <w:name w:val="Call out"/>
    <w:basedOn w:val="Normal"/>
    <w:uiPriority w:val="98"/>
    <w:qFormat/>
    <w:rsid w:val="003E3627"/>
    <w:pPr>
      <w:pBdr>
        <w:top w:val="single" w:sz="18" w:space="4" w:color="E6E6E1" w:themeColor="accent5"/>
      </w:pBdr>
    </w:pPr>
    <w:rPr>
      <w:rFonts w:ascii="Segoe UI Semilight" w:hAnsi="Segoe UI Semilight"/>
      <w:color w:val="F8981D" w:themeColor="accent3"/>
      <w:kern w:val="24"/>
      <w:sz w:val="22"/>
    </w:rPr>
  </w:style>
  <w:style w:type="paragraph" w:customStyle="1" w:styleId="Longformcallout">
    <w:name w:val="Long form callout"/>
    <w:basedOn w:val="Normal"/>
    <w:uiPriority w:val="20"/>
    <w:qFormat/>
    <w:rsid w:val="003E3627"/>
    <w:pPr>
      <w:spacing w:before="60" w:after="60" w:line="240" w:lineRule="auto"/>
    </w:pPr>
    <w:rPr>
      <w:color w:val="00264D" w:themeColor="background2"/>
      <w:szCs w:val="19"/>
      <w:lang w:eastAsia="en-AU"/>
    </w:rPr>
  </w:style>
  <w:style w:type="paragraph" w:customStyle="1" w:styleId="longformcalloutbullet">
    <w:name w:val="long form call out bullet"/>
    <w:basedOn w:val="Longformcallout"/>
    <w:uiPriority w:val="20"/>
    <w:qFormat/>
    <w:rsid w:val="003E3627"/>
    <w:pPr>
      <w:numPr>
        <w:numId w:val="7"/>
      </w:numPr>
    </w:pPr>
  </w:style>
  <w:style w:type="paragraph" w:customStyle="1" w:styleId="longformcalloutnumber">
    <w:name w:val="long form callout number"/>
    <w:basedOn w:val="longformcalloutbullet"/>
    <w:uiPriority w:val="20"/>
    <w:qFormat/>
    <w:rsid w:val="003E3627"/>
    <w:pPr>
      <w:numPr>
        <w:numId w:val="8"/>
      </w:numPr>
    </w:pPr>
  </w:style>
  <w:style w:type="paragraph" w:customStyle="1" w:styleId="NousFooter">
    <w:name w:val="Nous Footer"/>
    <w:basedOn w:val="Normal"/>
    <w:uiPriority w:val="96"/>
    <w:qFormat/>
    <w:rsid w:val="003E3627"/>
    <w:pPr>
      <w:spacing w:after="0"/>
    </w:pPr>
    <w:rPr>
      <w:color w:val="808080" w:themeColor="background1" w:themeShade="80"/>
      <w:sz w:val="15"/>
      <w:szCs w:val="15"/>
      <w:lang w:eastAsia="en-AU"/>
    </w:rPr>
  </w:style>
  <w:style w:type="paragraph" w:customStyle="1" w:styleId="ContentsHeading">
    <w:name w:val="Contents Heading"/>
    <w:basedOn w:val="Normal"/>
    <w:uiPriority w:val="19"/>
    <w:rsid w:val="003E3627"/>
    <w:pPr>
      <w:spacing w:before="360" w:after="600" w:line="560" w:lineRule="exact"/>
    </w:pPr>
    <w:rPr>
      <w:rFonts w:eastAsia="Times New Roman" w:cs="Segoe UI"/>
      <w:b/>
      <w:color w:val="00264D"/>
      <w:sz w:val="36"/>
      <w:szCs w:val="36"/>
      <w:lang w:eastAsia="en-AU"/>
    </w:rPr>
  </w:style>
  <w:style w:type="paragraph" w:styleId="TOC2">
    <w:name w:val="toc 2"/>
    <w:basedOn w:val="Normal"/>
    <w:next w:val="Normal"/>
    <w:autoRedefine/>
    <w:uiPriority w:val="39"/>
    <w:unhideWhenUsed/>
    <w:rsid w:val="003E3627"/>
    <w:pPr>
      <w:tabs>
        <w:tab w:val="left" w:pos="851"/>
        <w:tab w:val="right" w:leader="dot" w:pos="8920"/>
      </w:tabs>
      <w:spacing w:after="100" w:line="240" w:lineRule="auto"/>
      <w:ind w:left="426"/>
    </w:pPr>
    <w:rPr>
      <w:lang w:val="en-US"/>
    </w:rPr>
  </w:style>
  <w:style w:type="paragraph" w:styleId="TOC1">
    <w:name w:val="toc 1"/>
    <w:basedOn w:val="Normal"/>
    <w:next w:val="Normal"/>
    <w:autoRedefine/>
    <w:uiPriority w:val="39"/>
    <w:unhideWhenUsed/>
    <w:rsid w:val="003E3627"/>
    <w:pPr>
      <w:tabs>
        <w:tab w:val="left" w:pos="426"/>
        <w:tab w:val="left" w:pos="1134"/>
        <w:tab w:val="right" w:leader="dot" w:pos="8920"/>
      </w:tabs>
      <w:spacing w:after="100" w:line="240" w:lineRule="auto"/>
    </w:pPr>
    <w:rPr>
      <w:noProof/>
      <w:lang w:val="en-US"/>
    </w:rPr>
  </w:style>
  <w:style w:type="paragraph" w:customStyle="1" w:styleId="BioQualifications">
    <w:name w:val="Bio Qualifications"/>
    <w:basedOn w:val="Normal"/>
    <w:uiPriority w:val="97"/>
    <w:qFormat/>
    <w:rsid w:val="003E3627"/>
    <w:pPr>
      <w:spacing w:before="240" w:after="60" w:line="240" w:lineRule="auto"/>
      <w:jc w:val="center"/>
    </w:pPr>
    <w:rPr>
      <w:b/>
      <w:color w:val="00264D" w:themeColor="background2"/>
      <w:szCs w:val="17"/>
    </w:rPr>
  </w:style>
  <w:style w:type="character" w:styleId="CommentReference">
    <w:name w:val="annotation reference"/>
    <w:basedOn w:val="DefaultParagraphFont"/>
    <w:uiPriority w:val="99"/>
    <w:semiHidden/>
    <w:unhideWhenUsed/>
    <w:rsid w:val="003E3627"/>
    <w:rPr>
      <w:sz w:val="16"/>
      <w:szCs w:val="16"/>
    </w:rPr>
  </w:style>
  <w:style w:type="paragraph" w:styleId="CommentText">
    <w:name w:val="annotation text"/>
    <w:basedOn w:val="Normal"/>
    <w:link w:val="CommentTextChar"/>
    <w:uiPriority w:val="99"/>
    <w:unhideWhenUsed/>
    <w:rsid w:val="003E3627"/>
    <w:pPr>
      <w:spacing w:line="240" w:lineRule="auto"/>
    </w:pPr>
    <w:rPr>
      <w:sz w:val="20"/>
      <w:szCs w:val="20"/>
    </w:rPr>
  </w:style>
  <w:style w:type="character" w:customStyle="1" w:styleId="CommentTextChar">
    <w:name w:val="Comment Text Char"/>
    <w:basedOn w:val="DefaultParagraphFont"/>
    <w:link w:val="CommentText"/>
    <w:uiPriority w:val="99"/>
    <w:rsid w:val="003E3627"/>
    <w:rPr>
      <w:rFonts w:ascii="Segoe UI" w:hAnsi="Segoe UI"/>
      <w:sz w:val="20"/>
      <w:szCs w:val="20"/>
      <w:lang w:val="en-AU"/>
    </w:rPr>
  </w:style>
  <w:style w:type="paragraph" w:customStyle="1" w:styleId="introductionlist">
    <w:name w:val="introduction list"/>
    <w:basedOn w:val="Sectionintroduction"/>
    <w:uiPriority w:val="21"/>
    <w:qFormat/>
    <w:rsid w:val="003E3627"/>
    <w:pPr>
      <w:numPr>
        <w:numId w:val="6"/>
      </w:numPr>
      <w:spacing w:before="60"/>
    </w:pPr>
  </w:style>
  <w:style w:type="paragraph" w:customStyle="1" w:styleId="intoductionbullet">
    <w:name w:val="intoduction bullet"/>
    <w:basedOn w:val="Sectionintroduction"/>
    <w:uiPriority w:val="21"/>
    <w:qFormat/>
    <w:rsid w:val="003E3627"/>
    <w:pPr>
      <w:numPr>
        <w:numId w:val="5"/>
      </w:numPr>
    </w:pPr>
  </w:style>
  <w:style w:type="paragraph" w:customStyle="1" w:styleId="BioQualificationsText">
    <w:name w:val="Bio Qualifications Text"/>
    <w:basedOn w:val="Normal"/>
    <w:uiPriority w:val="97"/>
    <w:qFormat/>
    <w:rsid w:val="003E3627"/>
    <w:pPr>
      <w:spacing w:line="240" w:lineRule="auto"/>
      <w:jc w:val="center"/>
    </w:pPr>
  </w:style>
  <w:style w:type="paragraph" w:customStyle="1" w:styleId="Covertitle">
    <w:name w:val="Cover title"/>
    <w:basedOn w:val="Normal"/>
    <w:link w:val="CovertitleChar"/>
    <w:uiPriority w:val="99"/>
    <w:semiHidden/>
    <w:rsid w:val="003E3627"/>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3E3627"/>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3E3627"/>
    <w:pPr>
      <w:suppressAutoHyphens/>
      <w:spacing w:before="480" w:after="0" w:line="380" w:lineRule="exact"/>
    </w:pPr>
    <w:rPr>
      <w:rFonts w:eastAsia="Times New Roman" w:cs="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3E3627"/>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3E3627"/>
    <w:pPr>
      <w:suppressAutoHyphens/>
      <w:spacing w:before="320" w:after="0" w:line="280" w:lineRule="exact"/>
    </w:pPr>
    <w:rPr>
      <w:rFonts w:eastAsia="Times New Roman" w:cs="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3E3627"/>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3E3627"/>
    <w:rPr>
      <w:color w:val="808080"/>
    </w:rPr>
  </w:style>
  <w:style w:type="table" w:customStyle="1" w:styleId="Sectionintroductiontable">
    <w:name w:val="Section introduction table"/>
    <w:basedOn w:val="TableNormal"/>
    <w:uiPriority w:val="99"/>
    <w:rsid w:val="009D65C7"/>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Microsoft YaHei UI Light" w:hAnsi="Microsoft YaHei UI Light"/>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numbering" w:customStyle="1" w:styleId="Listnumberedmultilevel">
    <w:name w:val="List (numbered)_multilevel"/>
    <w:uiPriority w:val="99"/>
    <w:rsid w:val="009D65C7"/>
    <w:pPr>
      <w:numPr>
        <w:numId w:val="17"/>
      </w:numPr>
    </w:pPr>
  </w:style>
  <w:style w:type="numbering" w:customStyle="1" w:styleId="TableexpListnumberedmultilevel">
    <w:name w:val="Table exp List (numbered) multilevel"/>
    <w:uiPriority w:val="99"/>
    <w:rsid w:val="009D65C7"/>
    <w:pPr>
      <w:numPr>
        <w:numId w:val="9"/>
      </w:numPr>
    </w:pPr>
  </w:style>
  <w:style w:type="numbering" w:customStyle="1" w:styleId="TableNListnumberedmultilevel">
    <w:name w:val="Table N List (numbered) multilevel"/>
    <w:uiPriority w:val="99"/>
    <w:rsid w:val="009D65C7"/>
    <w:pPr>
      <w:numPr>
        <w:numId w:val="15"/>
      </w:numPr>
    </w:pPr>
  </w:style>
  <w:style w:type="table" w:customStyle="1" w:styleId="NousLongformcallout">
    <w:name w:val="Nous_Long form call out"/>
    <w:basedOn w:val="TableNormal"/>
    <w:uiPriority w:val="99"/>
    <w:rsid w:val="003E3627"/>
    <w:pPr>
      <w:spacing w:after="0" w:line="240" w:lineRule="auto"/>
    </w:pPr>
    <w:rPr>
      <w:color w:val="00264D" w:themeColor="background2"/>
    </w:rPr>
    <w:tblPr>
      <w:tblBorders>
        <w:left w:val="single" w:sz="18" w:space="0" w:color="F8981D" w:themeColor="accent3"/>
      </w:tblBorders>
      <w:tblCellMar>
        <w:top w:w="113" w:type="dxa"/>
        <w:bottom w:w="113" w:type="dxa"/>
      </w:tblCellMar>
    </w:tblPr>
    <w:tcPr>
      <w:shd w:val="clear" w:color="auto" w:fill="E6E6E1" w:themeFill="accent5"/>
    </w:tcPr>
  </w:style>
  <w:style w:type="paragraph" w:styleId="FootnoteText">
    <w:name w:val="footnote text"/>
    <w:basedOn w:val="Normal"/>
    <w:link w:val="FootnoteTextChar"/>
    <w:uiPriority w:val="99"/>
    <w:unhideWhenUsed/>
    <w:rsid w:val="003E3627"/>
    <w:pPr>
      <w:spacing w:after="0" w:line="240" w:lineRule="auto"/>
    </w:pPr>
    <w:rPr>
      <w:sz w:val="15"/>
      <w:szCs w:val="20"/>
    </w:rPr>
  </w:style>
  <w:style w:type="character" w:customStyle="1" w:styleId="FootnoteTextChar">
    <w:name w:val="Footnote Text Char"/>
    <w:basedOn w:val="DefaultParagraphFont"/>
    <w:link w:val="FootnoteText"/>
    <w:uiPriority w:val="99"/>
    <w:rsid w:val="003E3627"/>
    <w:rPr>
      <w:rFonts w:ascii="Segoe UI" w:hAnsi="Segoe UI"/>
      <w:sz w:val="15"/>
      <w:szCs w:val="20"/>
      <w:lang w:val="en-AU"/>
    </w:rPr>
  </w:style>
  <w:style w:type="paragraph" w:customStyle="1" w:styleId="CaseStudytitle">
    <w:name w:val="Case Study title"/>
    <w:basedOn w:val="Normal"/>
    <w:uiPriority w:val="98"/>
    <w:qFormat/>
    <w:rsid w:val="003E3627"/>
    <w:pPr>
      <w:spacing w:line="240" w:lineRule="auto"/>
    </w:pPr>
    <w:rPr>
      <w:rFonts w:asciiTheme="majorHAnsi" w:hAnsiTheme="majorHAnsi"/>
      <w:caps/>
      <w:color w:val="F25E21" w:themeColor="accent2"/>
      <w:sz w:val="24"/>
    </w:rPr>
  </w:style>
  <w:style w:type="character" w:customStyle="1" w:styleId="TableNTextChar">
    <w:name w:val="Table N Text Char"/>
    <w:basedOn w:val="DefaultParagraphFont"/>
    <w:link w:val="TableNText"/>
    <w:uiPriority w:val="2"/>
    <w:rsid w:val="003E3627"/>
    <w:rPr>
      <w:rFonts w:ascii="Segoe UI" w:hAnsi="Segoe UI"/>
      <w:sz w:val="17"/>
      <w:lang w:val="en-AU"/>
    </w:rPr>
  </w:style>
  <w:style w:type="paragraph" w:styleId="ListParagraph">
    <w:name w:val="List Paragraph"/>
    <w:basedOn w:val="Normal"/>
    <w:uiPriority w:val="34"/>
    <w:qFormat/>
    <w:rsid w:val="005D46C6"/>
    <w:pPr>
      <w:ind w:left="720"/>
      <w:contextualSpacing/>
    </w:pPr>
  </w:style>
  <w:style w:type="paragraph" w:styleId="CommentSubject">
    <w:name w:val="annotation subject"/>
    <w:basedOn w:val="CommentText"/>
    <w:next w:val="CommentText"/>
    <w:link w:val="CommentSubjectChar"/>
    <w:uiPriority w:val="99"/>
    <w:semiHidden/>
    <w:unhideWhenUsed/>
    <w:rsid w:val="00F615B1"/>
    <w:rPr>
      <w:b/>
      <w:bCs/>
    </w:rPr>
  </w:style>
  <w:style w:type="character" w:customStyle="1" w:styleId="CommentSubjectChar">
    <w:name w:val="Comment Subject Char"/>
    <w:basedOn w:val="CommentTextChar"/>
    <w:link w:val="CommentSubject"/>
    <w:uiPriority w:val="99"/>
    <w:semiHidden/>
    <w:rsid w:val="00F615B1"/>
    <w:rPr>
      <w:rFonts w:ascii="Segoe UI" w:hAnsi="Segoe UI"/>
      <w:b/>
      <w:bCs/>
      <w:sz w:val="20"/>
      <w:szCs w:val="20"/>
      <w:lang w:val="en-AU"/>
    </w:rPr>
  </w:style>
  <w:style w:type="character" w:customStyle="1" w:styleId="CaptionChar">
    <w:name w:val="Caption Char"/>
    <w:link w:val="Caption"/>
    <w:uiPriority w:val="35"/>
    <w:locked/>
    <w:rsid w:val="001939A1"/>
    <w:rPr>
      <w:rFonts w:ascii="Segoe UI Semibold" w:hAnsi="Segoe UI Semibold"/>
      <w:bCs/>
      <w:color w:val="00264D" w:themeColor="background2"/>
      <w:sz w:val="19"/>
      <w:szCs w:val="18"/>
      <w:lang w:val="en-AU"/>
    </w:rPr>
  </w:style>
  <w:style w:type="table" w:customStyle="1" w:styleId="NOUSSideHeader1">
    <w:name w:val="NOUS Side Header1"/>
    <w:basedOn w:val="TableNormal"/>
    <w:next w:val="TableGrid"/>
    <w:uiPriority w:val="39"/>
    <w:rsid w:val="00AB67E2"/>
    <w:pPr>
      <w:spacing w:after="0" w:line="240" w:lineRule="auto"/>
    </w:pPr>
    <w:rPr>
      <w:rFonts w:ascii="Wingdings" w:hAnsi="Wingdings"/>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Tahoma" w:hAnsi="Tahoma"/>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Tahoma" w:hAnsi="Tahoma"/>
        <w:sz w:val="17"/>
      </w:rPr>
    </w:tblStylePr>
    <w:tblStylePr w:type="band2Horz">
      <w:rPr>
        <w:rFonts w:ascii="Tahoma" w:hAnsi="Tahoma"/>
        <w:sz w:val="17"/>
      </w:rPr>
    </w:tblStylePr>
  </w:style>
  <w:style w:type="character" w:customStyle="1" w:styleId="eop">
    <w:name w:val="eop"/>
    <w:basedOn w:val="DefaultParagraphFont"/>
    <w:rsid w:val="00DD1E3F"/>
  </w:style>
  <w:style w:type="table" w:styleId="TableGridLight">
    <w:name w:val="Grid Table Light"/>
    <w:basedOn w:val="TableNormal"/>
    <w:uiPriority w:val="40"/>
    <w:rsid w:val="004B1C5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406091"/>
    <w:pPr>
      <w:spacing w:before="100" w:beforeAutospacing="1" w:after="100" w:afterAutospacing="1" w:line="240" w:lineRule="auto"/>
    </w:pPr>
    <w:rPr>
      <w:rFonts w:ascii="Courier New" w:eastAsia="Courier New" w:hAnsi="Courier New" w:cs="Courier New"/>
      <w:sz w:val="24"/>
      <w:szCs w:val="24"/>
      <w:lang w:eastAsia="en-AU"/>
    </w:rPr>
  </w:style>
  <w:style w:type="character" w:styleId="FootnoteReference">
    <w:name w:val="footnote reference"/>
    <w:basedOn w:val="DefaultParagraphFont"/>
    <w:uiPriority w:val="99"/>
    <w:unhideWhenUsed/>
    <w:rsid w:val="00561063"/>
    <w:rPr>
      <w:vertAlign w:val="superscript"/>
    </w:rPr>
  </w:style>
  <w:style w:type="character" w:customStyle="1" w:styleId="UnresolvedMention1">
    <w:name w:val="Unresolved Mention1"/>
    <w:basedOn w:val="DefaultParagraphFont"/>
    <w:uiPriority w:val="99"/>
    <w:unhideWhenUsed/>
    <w:rsid w:val="00561063"/>
    <w:rPr>
      <w:color w:val="605E5C"/>
      <w:shd w:val="clear" w:color="auto" w:fill="E1DFDD"/>
    </w:rPr>
  </w:style>
  <w:style w:type="character" w:customStyle="1" w:styleId="Mention1">
    <w:name w:val="Mention1"/>
    <w:basedOn w:val="DefaultParagraphFont"/>
    <w:uiPriority w:val="99"/>
    <w:unhideWhenUsed/>
    <w:rsid w:val="00561063"/>
    <w:rPr>
      <w:color w:val="2B579A"/>
      <w:shd w:val="clear" w:color="auto" w:fill="E1DFDD"/>
    </w:rPr>
  </w:style>
  <w:style w:type="table" w:customStyle="1" w:styleId="NOUS2">
    <w:name w:val="NOUS2"/>
    <w:basedOn w:val="TableNormal"/>
    <w:uiPriority w:val="99"/>
    <w:rsid w:val="000E6CDB"/>
    <w:pPr>
      <w:spacing w:after="0" w:line="240" w:lineRule="auto"/>
    </w:pPr>
    <w:rPr>
      <w:rFonts w:ascii="Wingdings" w:hAnsi="Wingdings"/>
      <w:sz w:val="17"/>
    </w:rPr>
    <w:tblPr>
      <w:tblBorders>
        <w:bottom w:val="single" w:sz="8" w:space="0" w:color="E6E6E1" w:themeColor="accent5"/>
        <w:insideH w:val="single" w:sz="8" w:space="0" w:color="E6E6E1" w:themeColor="accent5"/>
      </w:tblBorders>
      <w:tblCellMar>
        <w:top w:w="57" w:type="dxa"/>
        <w:left w:w="85" w:type="dxa"/>
        <w:bottom w:w="57" w:type="dxa"/>
        <w:right w:w="85" w:type="dxa"/>
      </w:tblCellMar>
    </w:tblPr>
    <w:tblStylePr w:type="firstRow">
      <w:rPr>
        <w:rFonts w:ascii="@Yu Gothic UI Light" w:hAnsi="@Yu Gothic UI Light"/>
        <w:b/>
        <w:color w:val="00264D" w:themeColor="background2"/>
        <w:sz w:val="18"/>
      </w:rPr>
      <w:tblPr/>
      <w:trPr>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style>
  <w:style w:type="paragraph" w:styleId="Revision">
    <w:name w:val="Revision"/>
    <w:hidden/>
    <w:uiPriority w:val="99"/>
    <w:semiHidden/>
    <w:rsid w:val="00494FCE"/>
    <w:pPr>
      <w:spacing w:after="0" w:line="240" w:lineRule="auto"/>
    </w:pPr>
    <w:rPr>
      <w:rFonts w:ascii="Wingdings" w:hAnsi="Wingdings"/>
      <w:sz w:val="19"/>
      <w:lang w:val="en-AU"/>
    </w:rPr>
  </w:style>
  <w:style w:type="character" w:styleId="FollowedHyperlink">
    <w:name w:val="FollowedHyperlink"/>
    <w:basedOn w:val="DefaultParagraphFont"/>
    <w:uiPriority w:val="99"/>
    <w:semiHidden/>
    <w:unhideWhenUsed/>
    <w:rsid w:val="00705E2B"/>
    <w:rPr>
      <w:color w:val="0048C7" w:themeColor="followedHyperlink"/>
      <w:u w:val="single"/>
    </w:rPr>
  </w:style>
  <w:style w:type="character" w:styleId="UnresolvedMention">
    <w:name w:val="Unresolved Mention"/>
    <w:basedOn w:val="DefaultParagraphFont"/>
    <w:uiPriority w:val="99"/>
    <w:unhideWhenUsed/>
    <w:rsid w:val="00F36261"/>
    <w:rPr>
      <w:color w:val="605E5C"/>
      <w:shd w:val="clear" w:color="auto" w:fill="E1DFDD"/>
    </w:rPr>
  </w:style>
  <w:style w:type="character" w:styleId="Mention">
    <w:name w:val="Mention"/>
    <w:basedOn w:val="DefaultParagraphFont"/>
    <w:uiPriority w:val="99"/>
    <w:unhideWhenUsed/>
    <w:rsid w:val="00F36261"/>
    <w:rPr>
      <w:color w:val="2B579A"/>
      <w:shd w:val="clear" w:color="auto" w:fill="E1DFDD"/>
    </w:rPr>
  </w:style>
  <w:style w:type="paragraph" w:styleId="TOC3">
    <w:name w:val="toc 3"/>
    <w:basedOn w:val="Normal"/>
    <w:next w:val="Normal"/>
    <w:autoRedefine/>
    <w:uiPriority w:val="39"/>
    <w:unhideWhenUsed/>
    <w:rsid w:val="005B4766"/>
    <w:pPr>
      <w:spacing w:after="100"/>
      <w:ind w:left="3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302827">
      <w:bodyDiv w:val="1"/>
      <w:marLeft w:val="0"/>
      <w:marRight w:val="0"/>
      <w:marTop w:val="0"/>
      <w:marBottom w:val="0"/>
      <w:divBdr>
        <w:top w:val="none" w:sz="0" w:space="0" w:color="auto"/>
        <w:left w:val="none" w:sz="0" w:space="0" w:color="auto"/>
        <w:bottom w:val="none" w:sz="0" w:space="0" w:color="auto"/>
        <w:right w:val="none" w:sz="0" w:space="0" w:color="auto"/>
      </w:divBdr>
    </w:div>
    <w:div w:id="152723401">
      <w:bodyDiv w:val="1"/>
      <w:marLeft w:val="0"/>
      <w:marRight w:val="0"/>
      <w:marTop w:val="0"/>
      <w:marBottom w:val="0"/>
      <w:divBdr>
        <w:top w:val="none" w:sz="0" w:space="0" w:color="auto"/>
        <w:left w:val="none" w:sz="0" w:space="0" w:color="auto"/>
        <w:bottom w:val="none" w:sz="0" w:space="0" w:color="auto"/>
        <w:right w:val="none" w:sz="0" w:space="0" w:color="auto"/>
      </w:divBdr>
    </w:div>
    <w:div w:id="210458133">
      <w:bodyDiv w:val="1"/>
      <w:marLeft w:val="0"/>
      <w:marRight w:val="0"/>
      <w:marTop w:val="0"/>
      <w:marBottom w:val="0"/>
      <w:divBdr>
        <w:top w:val="none" w:sz="0" w:space="0" w:color="auto"/>
        <w:left w:val="none" w:sz="0" w:space="0" w:color="auto"/>
        <w:bottom w:val="none" w:sz="0" w:space="0" w:color="auto"/>
        <w:right w:val="none" w:sz="0" w:space="0" w:color="auto"/>
      </w:divBdr>
    </w:div>
    <w:div w:id="218903587">
      <w:bodyDiv w:val="1"/>
      <w:marLeft w:val="0"/>
      <w:marRight w:val="0"/>
      <w:marTop w:val="0"/>
      <w:marBottom w:val="0"/>
      <w:divBdr>
        <w:top w:val="none" w:sz="0" w:space="0" w:color="auto"/>
        <w:left w:val="none" w:sz="0" w:space="0" w:color="auto"/>
        <w:bottom w:val="none" w:sz="0" w:space="0" w:color="auto"/>
        <w:right w:val="none" w:sz="0" w:space="0" w:color="auto"/>
      </w:divBdr>
    </w:div>
    <w:div w:id="229124317">
      <w:bodyDiv w:val="1"/>
      <w:marLeft w:val="0"/>
      <w:marRight w:val="0"/>
      <w:marTop w:val="0"/>
      <w:marBottom w:val="0"/>
      <w:divBdr>
        <w:top w:val="none" w:sz="0" w:space="0" w:color="auto"/>
        <w:left w:val="none" w:sz="0" w:space="0" w:color="auto"/>
        <w:bottom w:val="none" w:sz="0" w:space="0" w:color="auto"/>
        <w:right w:val="none" w:sz="0" w:space="0" w:color="auto"/>
      </w:divBdr>
    </w:div>
    <w:div w:id="307788788">
      <w:bodyDiv w:val="1"/>
      <w:marLeft w:val="0"/>
      <w:marRight w:val="0"/>
      <w:marTop w:val="0"/>
      <w:marBottom w:val="0"/>
      <w:divBdr>
        <w:top w:val="none" w:sz="0" w:space="0" w:color="auto"/>
        <w:left w:val="none" w:sz="0" w:space="0" w:color="auto"/>
        <w:bottom w:val="none" w:sz="0" w:space="0" w:color="auto"/>
        <w:right w:val="none" w:sz="0" w:space="0" w:color="auto"/>
      </w:divBdr>
    </w:div>
    <w:div w:id="312830689">
      <w:bodyDiv w:val="1"/>
      <w:marLeft w:val="0"/>
      <w:marRight w:val="0"/>
      <w:marTop w:val="0"/>
      <w:marBottom w:val="0"/>
      <w:divBdr>
        <w:top w:val="none" w:sz="0" w:space="0" w:color="auto"/>
        <w:left w:val="none" w:sz="0" w:space="0" w:color="auto"/>
        <w:bottom w:val="none" w:sz="0" w:space="0" w:color="auto"/>
        <w:right w:val="none" w:sz="0" w:space="0" w:color="auto"/>
      </w:divBdr>
    </w:div>
    <w:div w:id="361246373">
      <w:bodyDiv w:val="1"/>
      <w:marLeft w:val="0"/>
      <w:marRight w:val="0"/>
      <w:marTop w:val="0"/>
      <w:marBottom w:val="0"/>
      <w:divBdr>
        <w:top w:val="none" w:sz="0" w:space="0" w:color="auto"/>
        <w:left w:val="none" w:sz="0" w:space="0" w:color="auto"/>
        <w:bottom w:val="none" w:sz="0" w:space="0" w:color="auto"/>
        <w:right w:val="none" w:sz="0" w:space="0" w:color="auto"/>
      </w:divBdr>
    </w:div>
    <w:div w:id="385491897">
      <w:bodyDiv w:val="1"/>
      <w:marLeft w:val="0"/>
      <w:marRight w:val="0"/>
      <w:marTop w:val="0"/>
      <w:marBottom w:val="0"/>
      <w:divBdr>
        <w:top w:val="none" w:sz="0" w:space="0" w:color="auto"/>
        <w:left w:val="none" w:sz="0" w:space="0" w:color="auto"/>
        <w:bottom w:val="none" w:sz="0" w:space="0" w:color="auto"/>
        <w:right w:val="none" w:sz="0" w:space="0" w:color="auto"/>
      </w:divBdr>
    </w:div>
    <w:div w:id="407659456">
      <w:bodyDiv w:val="1"/>
      <w:marLeft w:val="0"/>
      <w:marRight w:val="0"/>
      <w:marTop w:val="0"/>
      <w:marBottom w:val="0"/>
      <w:divBdr>
        <w:top w:val="none" w:sz="0" w:space="0" w:color="auto"/>
        <w:left w:val="none" w:sz="0" w:space="0" w:color="auto"/>
        <w:bottom w:val="none" w:sz="0" w:space="0" w:color="auto"/>
        <w:right w:val="none" w:sz="0" w:space="0" w:color="auto"/>
      </w:divBdr>
    </w:div>
    <w:div w:id="425349456">
      <w:bodyDiv w:val="1"/>
      <w:marLeft w:val="0"/>
      <w:marRight w:val="0"/>
      <w:marTop w:val="0"/>
      <w:marBottom w:val="0"/>
      <w:divBdr>
        <w:top w:val="none" w:sz="0" w:space="0" w:color="auto"/>
        <w:left w:val="none" w:sz="0" w:space="0" w:color="auto"/>
        <w:bottom w:val="none" w:sz="0" w:space="0" w:color="auto"/>
        <w:right w:val="none" w:sz="0" w:space="0" w:color="auto"/>
      </w:divBdr>
    </w:div>
    <w:div w:id="425462863">
      <w:bodyDiv w:val="1"/>
      <w:marLeft w:val="0"/>
      <w:marRight w:val="0"/>
      <w:marTop w:val="0"/>
      <w:marBottom w:val="0"/>
      <w:divBdr>
        <w:top w:val="none" w:sz="0" w:space="0" w:color="auto"/>
        <w:left w:val="none" w:sz="0" w:space="0" w:color="auto"/>
        <w:bottom w:val="none" w:sz="0" w:space="0" w:color="auto"/>
        <w:right w:val="none" w:sz="0" w:space="0" w:color="auto"/>
      </w:divBdr>
    </w:div>
    <w:div w:id="447505268">
      <w:bodyDiv w:val="1"/>
      <w:marLeft w:val="0"/>
      <w:marRight w:val="0"/>
      <w:marTop w:val="0"/>
      <w:marBottom w:val="0"/>
      <w:divBdr>
        <w:top w:val="none" w:sz="0" w:space="0" w:color="auto"/>
        <w:left w:val="none" w:sz="0" w:space="0" w:color="auto"/>
        <w:bottom w:val="none" w:sz="0" w:space="0" w:color="auto"/>
        <w:right w:val="none" w:sz="0" w:space="0" w:color="auto"/>
      </w:divBdr>
    </w:div>
    <w:div w:id="460927079">
      <w:bodyDiv w:val="1"/>
      <w:marLeft w:val="0"/>
      <w:marRight w:val="0"/>
      <w:marTop w:val="0"/>
      <w:marBottom w:val="0"/>
      <w:divBdr>
        <w:top w:val="none" w:sz="0" w:space="0" w:color="auto"/>
        <w:left w:val="none" w:sz="0" w:space="0" w:color="auto"/>
        <w:bottom w:val="none" w:sz="0" w:space="0" w:color="auto"/>
        <w:right w:val="none" w:sz="0" w:space="0" w:color="auto"/>
      </w:divBdr>
    </w:div>
    <w:div w:id="525681735">
      <w:bodyDiv w:val="1"/>
      <w:marLeft w:val="0"/>
      <w:marRight w:val="0"/>
      <w:marTop w:val="0"/>
      <w:marBottom w:val="0"/>
      <w:divBdr>
        <w:top w:val="none" w:sz="0" w:space="0" w:color="auto"/>
        <w:left w:val="none" w:sz="0" w:space="0" w:color="auto"/>
        <w:bottom w:val="none" w:sz="0" w:space="0" w:color="auto"/>
        <w:right w:val="none" w:sz="0" w:space="0" w:color="auto"/>
      </w:divBdr>
    </w:div>
    <w:div w:id="606698154">
      <w:bodyDiv w:val="1"/>
      <w:marLeft w:val="0"/>
      <w:marRight w:val="0"/>
      <w:marTop w:val="0"/>
      <w:marBottom w:val="0"/>
      <w:divBdr>
        <w:top w:val="none" w:sz="0" w:space="0" w:color="auto"/>
        <w:left w:val="none" w:sz="0" w:space="0" w:color="auto"/>
        <w:bottom w:val="none" w:sz="0" w:space="0" w:color="auto"/>
        <w:right w:val="none" w:sz="0" w:space="0" w:color="auto"/>
      </w:divBdr>
    </w:div>
    <w:div w:id="609897061">
      <w:bodyDiv w:val="1"/>
      <w:marLeft w:val="0"/>
      <w:marRight w:val="0"/>
      <w:marTop w:val="0"/>
      <w:marBottom w:val="0"/>
      <w:divBdr>
        <w:top w:val="none" w:sz="0" w:space="0" w:color="auto"/>
        <w:left w:val="none" w:sz="0" w:space="0" w:color="auto"/>
        <w:bottom w:val="none" w:sz="0" w:space="0" w:color="auto"/>
        <w:right w:val="none" w:sz="0" w:space="0" w:color="auto"/>
      </w:divBdr>
    </w:div>
    <w:div w:id="620303975">
      <w:bodyDiv w:val="1"/>
      <w:marLeft w:val="0"/>
      <w:marRight w:val="0"/>
      <w:marTop w:val="0"/>
      <w:marBottom w:val="0"/>
      <w:divBdr>
        <w:top w:val="none" w:sz="0" w:space="0" w:color="auto"/>
        <w:left w:val="none" w:sz="0" w:space="0" w:color="auto"/>
        <w:bottom w:val="none" w:sz="0" w:space="0" w:color="auto"/>
        <w:right w:val="none" w:sz="0" w:space="0" w:color="auto"/>
      </w:divBdr>
    </w:div>
    <w:div w:id="664357229">
      <w:bodyDiv w:val="1"/>
      <w:marLeft w:val="0"/>
      <w:marRight w:val="0"/>
      <w:marTop w:val="0"/>
      <w:marBottom w:val="0"/>
      <w:divBdr>
        <w:top w:val="none" w:sz="0" w:space="0" w:color="auto"/>
        <w:left w:val="none" w:sz="0" w:space="0" w:color="auto"/>
        <w:bottom w:val="none" w:sz="0" w:space="0" w:color="auto"/>
        <w:right w:val="none" w:sz="0" w:space="0" w:color="auto"/>
      </w:divBdr>
    </w:div>
    <w:div w:id="686709562">
      <w:bodyDiv w:val="1"/>
      <w:marLeft w:val="0"/>
      <w:marRight w:val="0"/>
      <w:marTop w:val="0"/>
      <w:marBottom w:val="0"/>
      <w:divBdr>
        <w:top w:val="none" w:sz="0" w:space="0" w:color="auto"/>
        <w:left w:val="none" w:sz="0" w:space="0" w:color="auto"/>
        <w:bottom w:val="none" w:sz="0" w:space="0" w:color="auto"/>
        <w:right w:val="none" w:sz="0" w:space="0" w:color="auto"/>
      </w:divBdr>
    </w:div>
    <w:div w:id="722097551">
      <w:bodyDiv w:val="1"/>
      <w:marLeft w:val="0"/>
      <w:marRight w:val="0"/>
      <w:marTop w:val="0"/>
      <w:marBottom w:val="0"/>
      <w:divBdr>
        <w:top w:val="none" w:sz="0" w:space="0" w:color="auto"/>
        <w:left w:val="none" w:sz="0" w:space="0" w:color="auto"/>
        <w:bottom w:val="none" w:sz="0" w:space="0" w:color="auto"/>
        <w:right w:val="none" w:sz="0" w:space="0" w:color="auto"/>
      </w:divBdr>
    </w:div>
    <w:div w:id="724063126">
      <w:bodyDiv w:val="1"/>
      <w:marLeft w:val="0"/>
      <w:marRight w:val="0"/>
      <w:marTop w:val="0"/>
      <w:marBottom w:val="0"/>
      <w:divBdr>
        <w:top w:val="none" w:sz="0" w:space="0" w:color="auto"/>
        <w:left w:val="none" w:sz="0" w:space="0" w:color="auto"/>
        <w:bottom w:val="none" w:sz="0" w:space="0" w:color="auto"/>
        <w:right w:val="none" w:sz="0" w:space="0" w:color="auto"/>
      </w:divBdr>
    </w:div>
    <w:div w:id="758255594">
      <w:bodyDiv w:val="1"/>
      <w:marLeft w:val="0"/>
      <w:marRight w:val="0"/>
      <w:marTop w:val="0"/>
      <w:marBottom w:val="0"/>
      <w:divBdr>
        <w:top w:val="none" w:sz="0" w:space="0" w:color="auto"/>
        <w:left w:val="none" w:sz="0" w:space="0" w:color="auto"/>
        <w:bottom w:val="none" w:sz="0" w:space="0" w:color="auto"/>
        <w:right w:val="none" w:sz="0" w:space="0" w:color="auto"/>
      </w:divBdr>
    </w:div>
    <w:div w:id="845092997">
      <w:bodyDiv w:val="1"/>
      <w:marLeft w:val="0"/>
      <w:marRight w:val="0"/>
      <w:marTop w:val="0"/>
      <w:marBottom w:val="0"/>
      <w:divBdr>
        <w:top w:val="none" w:sz="0" w:space="0" w:color="auto"/>
        <w:left w:val="none" w:sz="0" w:space="0" w:color="auto"/>
        <w:bottom w:val="none" w:sz="0" w:space="0" w:color="auto"/>
        <w:right w:val="none" w:sz="0" w:space="0" w:color="auto"/>
      </w:divBdr>
    </w:div>
    <w:div w:id="849609971">
      <w:bodyDiv w:val="1"/>
      <w:marLeft w:val="0"/>
      <w:marRight w:val="0"/>
      <w:marTop w:val="0"/>
      <w:marBottom w:val="0"/>
      <w:divBdr>
        <w:top w:val="none" w:sz="0" w:space="0" w:color="auto"/>
        <w:left w:val="none" w:sz="0" w:space="0" w:color="auto"/>
        <w:bottom w:val="none" w:sz="0" w:space="0" w:color="auto"/>
        <w:right w:val="none" w:sz="0" w:space="0" w:color="auto"/>
      </w:divBdr>
    </w:div>
    <w:div w:id="909270420">
      <w:bodyDiv w:val="1"/>
      <w:marLeft w:val="0"/>
      <w:marRight w:val="0"/>
      <w:marTop w:val="0"/>
      <w:marBottom w:val="0"/>
      <w:divBdr>
        <w:top w:val="none" w:sz="0" w:space="0" w:color="auto"/>
        <w:left w:val="none" w:sz="0" w:space="0" w:color="auto"/>
        <w:bottom w:val="none" w:sz="0" w:space="0" w:color="auto"/>
        <w:right w:val="none" w:sz="0" w:space="0" w:color="auto"/>
      </w:divBdr>
    </w:div>
    <w:div w:id="929198070">
      <w:bodyDiv w:val="1"/>
      <w:marLeft w:val="0"/>
      <w:marRight w:val="0"/>
      <w:marTop w:val="0"/>
      <w:marBottom w:val="0"/>
      <w:divBdr>
        <w:top w:val="none" w:sz="0" w:space="0" w:color="auto"/>
        <w:left w:val="none" w:sz="0" w:space="0" w:color="auto"/>
        <w:bottom w:val="none" w:sz="0" w:space="0" w:color="auto"/>
        <w:right w:val="none" w:sz="0" w:space="0" w:color="auto"/>
      </w:divBdr>
    </w:div>
    <w:div w:id="975337903">
      <w:bodyDiv w:val="1"/>
      <w:marLeft w:val="0"/>
      <w:marRight w:val="0"/>
      <w:marTop w:val="0"/>
      <w:marBottom w:val="0"/>
      <w:divBdr>
        <w:top w:val="none" w:sz="0" w:space="0" w:color="auto"/>
        <w:left w:val="none" w:sz="0" w:space="0" w:color="auto"/>
        <w:bottom w:val="none" w:sz="0" w:space="0" w:color="auto"/>
        <w:right w:val="none" w:sz="0" w:space="0" w:color="auto"/>
      </w:divBdr>
    </w:div>
    <w:div w:id="985938680">
      <w:bodyDiv w:val="1"/>
      <w:marLeft w:val="0"/>
      <w:marRight w:val="0"/>
      <w:marTop w:val="0"/>
      <w:marBottom w:val="0"/>
      <w:divBdr>
        <w:top w:val="none" w:sz="0" w:space="0" w:color="auto"/>
        <w:left w:val="none" w:sz="0" w:space="0" w:color="auto"/>
        <w:bottom w:val="none" w:sz="0" w:space="0" w:color="auto"/>
        <w:right w:val="none" w:sz="0" w:space="0" w:color="auto"/>
      </w:divBdr>
    </w:div>
    <w:div w:id="1002125718">
      <w:bodyDiv w:val="1"/>
      <w:marLeft w:val="0"/>
      <w:marRight w:val="0"/>
      <w:marTop w:val="0"/>
      <w:marBottom w:val="0"/>
      <w:divBdr>
        <w:top w:val="none" w:sz="0" w:space="0" w:color="auto"/>
        <w:left w:val="none" w:sz="0" w:space="0" w:color="auto"/>
        <w:bottom w:val="none" w:sz="0" w:space="0" w:color="auto"/>
        <w:right w:val="none" w:sz="0" w:space="0" w:color="auto"/>
      </w:divBdr>
    </w:div>
    <w:div w:id="1003387909">
      <w:bodyDiv w:val="1"/>
      <w:marLeft w:val="0"/>
      <w:marRight w:val="0"/>
      <w:marTop w:val="0"/>
      <w:marBottom w:val="0"/>
      <w:divBdr>
        <w:top w:val="none" w:sz="0" w:space="0" w:color="auto"/>
        <w:left w:val="none" w:sz="0" w:space="0" w:color="auto"/>
        <w:bottom w:val="none" w:sz="0" w:space="0" w:color="auto"/>
        <w:right w:val="none" w:sz="0" w:space="0" w:color="auto"/>
      </w:divBdr>
    </w:div>
    <w:div w:id="1009259404">
      <w:bodyDiv w:val="1"/>
      <w:marLeft w:val="0"/>
      <w:marRight w:val="0"/>
      <w:marTop w:val="0"/>
      <w:marBottom w:val="0"/>
      <w:divBdr>
        <w:top w:val="none" w:sz="0" w:space="0" w:color="auto"/>
        <w:left w:val="none" w:sz="0" w:space="0" w:color="auto"/>
        <w:bottom w:val="none" w:sz="0" w:space="0" w:color="auto"/>
        <w:right w:val="none" w:sz="0" w:space="0" w:color="auto"/>
      </w:divBdr>
    </w:div>
    <w:div w:id="1044674151">
      <w:bodyDiv w:val="1"/>
      <w:marLeft w:val="0"/>
      <w:marRight w:val="0"/>
      <w:marTop w:val="0"/>
      <w:marBottom w:val="0"/>
      <w:divBdr>
        <w:top w:val="none" w:sz="0" w:space="0" w:color="auto"/>
        <w:left w:val="none" w:sz="0" w:space="0" w:color="auto"/>
        <w:bottom w:val="none" w:sz="0" w:space="0" w:color="auto"/>
        <w:right w:val="none" w:sz="0" w:space="0" w:color="auto"/>
      </w:divBdr>
    </w:div>
    <w:div w:id="1077551769">
      <w:bodyDiv w:val="1"/>
      <w:marLeft w:val="0"/>
      <w:marRight w:val="0"/>
      <w:marTop w:val="0"/>
      <w:marBottom w:val="0"/>
      <w:divBdr>
        <w:top w:val="none" w:sz="0" w:space="0" w:color="auto"/>
        <w:left w:val="none" w:sz="0" w:space="0" w:color="auto"/>
        <w:bottom w:val="none" w:sz="0" w:space="0" w:color="auto"/>
        <w:right w:val="none" w:sz="0" w:space="0" w:color="auto"/>
      </w:divBdr>
    </w:div>
    <w:div w:id="1110976891">
      <w:bodyDiv w:val="1"/>
      <w:marLeft w:val="0"/>
      <w:marRight w:val="0"/>
      <w:marTop w:val="0"/>
      <w:marBottom w:val="0"/>
      <w:divBdr>
        <w:top w:val="none" w:sz="0" w:space="0" w:color="auto"/>
        <w:left w:val="none" w:sz="0" w:space="0" w:color="auto"/>
        <w:bottom w:val="none" w:sz="0" w:space="0" w:color="auto"/>
        <w:right w:val="none" w:sz="0" w:space="0" w:color="auto"/>
      </w:divBdr>
    </w:div>
    <w:div w:id="1171915893">
      <w:bodyDiv w:val="1"/>
      <w:marLeft w:val="0"/>
      <w:marRight w:val="0"/>
      <w:marTop w:val="0"/>
      <w:marBottom w:val="0"/>
      <w:divBdr>
        <w:top w:val="none" w:sz="0" w:space="0" w:color="auto"/>
        <w:left w:val="none" w:sz="0" w:space="0" w:color="auto"/>
        <w:bottom w:val="none" w:sz="0" w:space="0" w:color="auto"/>
        <w:right w:val="none" w:sz="0" w:space="0" w:color="auto"/>
      </w:divBdr>
    </w:div>
    <w:div w:id="1173760386">
      <w:bodyDiv w:val="1"/>
      <w:marLeft w:val="0"/>
      <w:marRight w:val="0"/>
      <w:marTop w:val="0"/>
      <w:marBottom w:val="0"/>
      <w:divBdr>
        <w:top w:val="none" w:sz="0" w:space="0" w:color="auto"/>
        <w:left w:val="none" w:sz="0" w:space="0" w:color="auto"/>
        <w:bottom w:val="none" w:sz="0" w:space="0" w:color="auto"/>
        <w:right w:val="none" w:sz="0" w:space="0" w:color="auto"/>
      </w:divBdr>
    </w:div>
    <w:div w:id="1183006901">
      <w:bodyDiv w:val="1"/>
      <w:marLeft w:val="0"/>
      <w:marRight w:val="0"/>
      <w:marTop w:val="0"/>
      <w:marBottom w:val="0"/>
      <w:divBdr>
        <w:top w:val="none" w:sz="0" w:space="0" w:color="auto"/>
        <w:left w:val="none" w:sz="0" w:space="0" w:color="auto"/>
        <w:bottom w:val="none" w:sz="0" w:space="0" w:color="auto"/>
        <w:right w:val="none" w:sz="0" w:space="0" w:color="auto"/>
      </w:divBdr>
    </w:div>
    <w:div w:id="1193686846">
      <w:bodyDiv w:val="1"/>
      <w:marLeft w:val="0"/>
      <w:marRight w:val="0"/>
      <w:marTop w:val="0"/>
      <w:marBottom w:val="0"/>
      <w:divBdr>
        <w:top w:val="none" w:sz="0" w:space="0" w:color="auto"/>
        <w:left w:val="none" w:sz="0" w:space="0" w:color="auto"/>
        <w:bottom w:val="none" w:sz="0" w:space="0" w:color="auto"/>
        <w:right w:val="none" w:sz="0" w:space="0" w:color="auto"/>
      </w:divBdr>
    </w:div>
    <w:div w:id="1194150037">
      <w:bodyDiv w:val="1"/>
      <w:marLeft w:val="0"/>
      <w:marRight w:val="0"/>
      <w:marTop w:val="0"/>
      <w:marBottom w:val="0"/>
      <w:divBdr>
        <w:top w:val="none" w:sz="0" w:space="0" w:color="auto"/>
        <w:left w:val="none" w:sz="0" w:space="0" w:color="auto"/>
        <w:bottom w:val="none" w:sz="0" w:space="0" w:color="auto"/>
        <w:right w:val="none" w:sz="0" w:space="0" w:color="auto"/>
      </w:divBdr>
    </w:div>
    <w:div w:id="1274165855">
      <w:bodyDiv w:val="1"/>
      <w:marLeft w:val="0"/>
      <w:marRight w:val="0"/>
      <w:marTop w:val="0"/>
      <w:marBottom w:val="0"/>
      <w:divBdr>
        <w:top w:val="none" w:sz="0" w:space="0" w:color="auto"/>
        <w:left w:val="none" w:sz="0" w:space="0" w:color="auto"/>
        <w:bottom w:val="none" w:sz="0" w:space="0" w:color="auto"/>
        <w:right w:val="none" w:sz="0" w:space="0" w:color="auto"/>
      </w:divBdr>
    </w:div>
    <w:div w:id="1287614389">
      <w:bodyDiv w:val="1"/>
      <w:marLeft w:val="0"/>
      <w:marRight w:val="0"/>
      <w:marTop w:val="0"/>
      <w:marBottom w:val="0"/>
      <w:divBdr>
        <w:top w:val="none" w:sz="0" w:space="0" w:color="auto"/>
        <w:left w:val="none" w:sz="0" w:space="0" w:color="auto"/>
        <w:bottom w:val="none" w:sz="0" w:space="0" w:color="auto"/>
        <w:right w:val="none" w:sz="0" w:space="0" w:color="auto"/>
      </w:divBdr>
    </w:div>
    <w:div w:id="1298757956">
      <w:bodyDiv w:val="1"/>
      <w:marLeft w:val="0"/>
      <w:marRight w:val="0"/>
      <w:marTop w:val="0"/>
      <w:marBottom w:val="0"/>
      <w:divBdr>
        <w:top w:val="none" w:sz="0" w:space="0" w:color="auto"/>
        <w:left w:val="none" w:sz="0" w:space="0" w:color="auto"/>
        <w:bottom w:val="none" w:sz="0" w:space="0" w:color="auto"/>
        <w:right w:val="none" w:sz="0" w:space="0" w:color="auto"/>
      </w:divBdr>
    </w:div>
    <w:div w:id="1348211243">
      <w:bodyDiv w:val="1"/>
      <w:marLeft w:val="0"/>
      <w:marRight w:val="0"/>
      <w:marTop w:val="0"/>
      <w:marBottom w:val="0"/>
      <w:divBdr>
        <w:top w:val="none" w:sz="0" w:space="0" w:color="auto"/>
        <w:left w:val="none" w:sz="0" w:space="0" w:color="auto"/>
        <w:bottom w:val="none" w:sz="0" w:space="0" w:color="auto"/>
        <w:right w:val="none" w:sz="0" w:space="0" w:color="auto"/>
      </w:divBdr>
    </w:div>
    <w:div w:id="1455709003">
      <w:bodyDiv w:val="1"/>
      <w:marLeft w:val="0"/>
      <w:marRight w:val="0"/>
      <w:marTop w:val="0"/>
      <w:marBottom w:val="0"/>
      <w:divBdr>
        <w:top w:val="none" w:sz="0" w:space="0" w:color="auto"/>
        <w:left w:val="none" w:sz="0" w:space="0" w:color="auto"/>
        <w:bottom w:val="none" w:sz="0" w:space="0" w:color="auto"/>
        <w:right w:val="none" w:sz="0" w:space="0" w:color="auto"/>
      </w:divBdr>
      <w:divsChild>
        <w:div w:id="565607648">
          <w:marLeft w:val="0"/>
          <w:marRight w:val="0"/>
          <w:marTop w:val="0"/>
          <w:marBottom w:val="0"/>
          <w:divBdr>
            <w:top w:val="none" w:sz="0" w:space="0" w:color="auto"/>
            <w:left w:val="none" w:sz="0" w:space="0" w:color="auto"/>
            <w:bottom w:val="none" w:sz="0" w:space="0" w:color="auto"/>
            <w:right w:val="none" w:sz="0" w:space="0" w:color="auto"/>
          </w:divBdr>
        </w:div>
      </w:divsChild>
    </w:div>
    <w:div w:id="1547638821">
      <w:bodyDiv w:val="1"/>
      <w:marLeft w:val="0"/>
      <w:marRight w:val="0"/>
      <w:marTop w:val="0"/>
      <w:marBottom w:val="0"/>
      <w:divBdr>
        <w:top w:val="none" w:sz="0" w:space="0" w:color="auto"/>
        <w:left w:val="none" w:sz="0" w:space="0" w:color="auto"/>
        <w:bottom w:val="none" w:sz="0" w:space="0" w:color="auto"/>
        <w:right w:val="none" w:sz="0" w:space="0" w:color="auto"/>
      </w:divBdr>
    </w:div>
    <w:div w:id="1549730141">
      <w:bodyDiv w:val="1"/>
      <w:marLeft w:val="0"/>
      <w:marRight w:val="0"/>
      <w:marTop w:val="0"/>
      <w:marBottom w:val="0"/>
      <w:divBdr>
        <w:top w:val="none" w:sz="0" w:space="0" w:color="auto"/>
        <w:left w:val="none" w:sz="0" w:space="0" w:color="auto"/>
        <w:bottom w:val="none" w:sz="0" w:space="0" w:color="auto"/>
        <w:right w:val="none" w:sz="0" w:space="0" w:color="auto"/>
      </w:divBdr>
    </w:div>
    <w:div w:id="1606229444">
      <w:bodyDiv w:val="1"/>
      <w:marLeft w:val="0"/>
      <w:marRight w:val="0"/>
      <w:marTop w:val="0"/>
      <w:marBottom w:val="0"/>
      <w:divBdr>
        <w:top w:val="none" w:sz="0" w:space="0" w:color="auto"/>
        <w:left w:val="none" w:sz="0" w:space="0" w:color="auto"/>
        <w:bottom w:val="none" w:sz="0" w:space="0" w:color="auto"/>
        <w:right w:val="none" w:sz="0" w:space="0" w:color="auto"/>
      </w:divBdr>
    </w:div>
    <w:div w:id="1661811307">
      <w:bodyDiv w:val="1"/>
      <w:marLeft w:val="0"/>
      <w:marRight w:val="0"/>
      <w:marTop w:val="0"/>
      <w:marBottom w:val="0"/>
      <w:divBdr>
        <w:top w:val="none" w:sz="0" w:space="0" w:color="auto"/>
        <w:left w:val="none" w:sz="0" w:space="0" w:color="auto"/>
        <w:bottom w:val="none" w:sz="0" w:space="0" w:color="auto"/>
        <w:right w:val="none" w:sz="0" w:space="0" w:color="auto"/>
      </w:divBdr>
    </w:div>
    <w:div w:id="1756634122">
      <w:bodyDiv w:val="1"/>
      <w:marLeft w:val="0"/>
      <w:marRight w:val="0"/>
      <w:marTop w:val="0"/>
      <w:marBottom w:val="0"/>
      <w:divBdr>
        <w:top w:val="none" w:sz="0" w:space="0" w:color="auto"/>
        <w:left w:val="none" w:sz="0" w:space="0" w:color="auto"/>
        <w:bottom w:val="none" w:sz="0" w:space="0" w:color="auto"/>
        <w:right w:val="none" w:sz="0" w:space="0" w:color="auto"/>
      </w:divBdr>
    </w:div>
    <w:div w:id="1798915123">
      <w:bodyDiv w:val="1"/>
      <w:marLeft w:val="0"/>
      <w:marRight w:val="0"/>
      <w:marTop w:val="0"/>
      <w:marBottom w:val="0"/>
      <w:divBdr>
        <w:top w:val="none" w:sz="0" w:space="0" w:color="auto"/>
        <w:left w:val="none" w:sz="0" w:space="0" w:color="auto"/>
        <w:bottom w:val="none" w:sz="0" w:space="0" w:color="auto"/>
        <w:right w:val="none" w:sz="0" w:space="0" w:color="auto"/>
      </w:divBdr>
    </w:div>
    <w:div w:id="1888565772">
      <w:bodyDiv w:val="1"/>
      <w:marLeft w:val="0"/>
      <w:marRight w:val="0"/>
      <w:marTop w:val="0"/>
      <w:marBottom w:val="0"/>
      <w:divBdr>
        <w:top w:val="none" w:sz="0" w:space="0" w:color="auto"/>
        <w:left w:val="none" w:sz="0" w:space="0" w:color="auto"/>
        <w:bottom w:val="none" w:sz="0" w:space="0" w:color="auto"/>
        <w:right w:val="none" w:sz="0" w:space="0" w:color="auto"/>
      </w:divBdr>
    </w:div>
    <w:div w:id="1942105712">
      <w:bodyDiv w:val="1"/>
      <w:marLeft w:val="0"/>
      <w:marRight w:val="0"/>
      <w:marTop w:val="0"/>
      <w:marBottom w:val="0"/>
      <w:divBdr>
        <w:top w:val="none" w:sz="0" w:space="0" w:color="auto"/>
        <w:left w:val="none" w:sz="0" w:space="0" w:color="auto"/>
        <w:bottom w:val="none" w:sz="0" w:space="0" w:color="auto"/>
        <w:right w:val="none" w:sz="0" w:space="0" w:color="auto"/>
      </w:divBdr>
    </w:div>
    <w:div w:id="1972323228">
      <w:bodyDiv w:val="1"/>
      <w:marLeft w:val="0"/>
      <w:marRight w:val="0"/>
      <w:marTop w:val="0"/>
      <w:marBottom w:val="0"/>
      <w:divBdr>
        <w:top w:val="none" w:sz="0" w:space="0" w:color="auto"/>
        <w:left w:val="none" w:sz="0" w:space="0" w:color="auto"/>
        <w:bottom w:val="none" w:sz="0" w:space="0" w:color="auto"/>
        <w:right w:val="none" w:sz="0" w:space="0" w:color="auto"/>
      </w:divBdr>
    </w:div>
    <w:div w:id="1984042481">
      <w:bodyDiv w:val="1"/>
      <w:marLeft w:val="0"/>
      <w:marRight w:val="0"/>
      <w:marTop w:val="0"/>
      <w:marBottom w:val="0"/>
      <w:divBdr>
        <w:top w:val="none" w:sz="0" w:space="0" w:color="auto"/>
        <w:left w:val="none" w:sz="0" w:space="0" w:color="auto"/>
        <w:bottom w:val="none" w:sz="0" w:space="0" w:color="auto"/>
        <w:right w:val="none" w:sz="0" w:space="0" w:color="auto"/>
      </w:divBdr>
    </w:div>
    <w:div w:id="2021656186">
      <w:bodyDiv w:val="1"/>
      <w:marLeft w:val="0"/>
      <w:marRight w:val="0"/>
      <w:marTop w:val="0"/>
      <w:marBottom w:val="0"/>
      <w:divBdr>
        <w:top w:val="none" w:sz="0" w:space="0" w:color="auto"/>
        <w:left w:val="none" w:sz="0" w:space="0" w:color="auto"/>
        <w:bottom w:val="none" w:sz="0" w:space="0" w:color="auto"/>
        <w:right w:val="none" w:sz="0" w:space="0" w:color="auto"/>
      </w:divBdr>
    </w:div>
    <w:div w:id="2044555702">
      <w:bodyDiv w:val="1"/>
      <w:marLeft w:val="0"/>
      <w:marRight w:val="0"/>
      <w:marTop w:val="0"/>
      <w:marBottom w:val="0"/>
      <w:divBdr>
        <w:top w:val="none" w:sz="0" w:space="0" w:color="auto"/>
        <w:left w:val="none" w:sz="0" w:space="0" w:color="auto"/>
        <w:bottom w:val="none" w:sz="0" w:space="0" w:color="auto"/>
        <w:right w:val="none" w:sz="0" w:space="0" w:color="auto"/>
      </w:divBdr>
    </w:div>
    <w:div w:id="2110084441">
      <w:bodyDiv w:val="1"/>
      <w:marLeft w:val="0"/>
      <w:marRight w:val="0"/>
      <w:marTop w:val="0"/>
      <w:marBottom w:val="0"/>
      <w:divBdr>
        <w:top w:val="none" w:sz="0" w:space="0" w:color="auto"/>
        <w:left w:val="none" w:sz="0" w:space="0" w:color="auto"/>
        <w:bottom w:val="none" w:sz="0" w:space="0" w:color="auto"/>
        <w:right w:val="none" w:sz="0" w:space="0" w:color="auto"/>
      </w:divBdr>
    </w:div>
    <w:div w:id="2117820805">
      <w:bodyDiv w:val="1"/>
      <w:marLeft w:val="0"/>
      <w:marRight w:val="0"/>
      <w:marTop w:val="0"/>
      <w:marBottom w:val="0"/>
      <w:divBdr>
        <w:top w:val="none" w:sz="0" w:space="0" w:color="auto"/>
        <w:left w:val="none" w:sz="0" w:space="0" w:color="auto"/>
        <w:bottom w:val="none" w:sz="0" w:space="0" w:color="auto"/>
        <w:right w:val="none" w:sz="0" w:space="0" w:color="auto"/>
      </w:divBdr>
      <w:divsChild>
        <w:div w:id="1357987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emf"/><Relationship Id="rId26" Type="http://schemas.openxmlformats.org/officeDocument/2006/relationships/image" Target="media/image8.emf"/><Relationship Id="rId39" Type="http://schemas.openxmlformats.org/officeDocument/2006/relationships/image" Target="media/image21.emf"/><Relationship Id="rId21" Type="http://schemas.openxmlformats.org/officeDocument/2006/relationships/header" Target="header4.xml"/><Relationship Id="rId34" Type="http://schemas.openxmlformats.org/officeDocument/2006/relationships/image" Target="media/image16.emf"/><Relationship Id="rId42" Type="http://schemas.openxmlformats.org/officeDocument/2006/relationships/header" Target="header6.xml"/><Relationship Id="rId47" Type="http://schemas.openxmlformats.org/officeDocument/2006/relationships/footer" Target="footer7.xml"/><Relationship Id="rId50" Type="http://schemas.openxmlformats.org/officeDocument/2006/relationships/image" Target="media/image23.jpe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1.emf"/><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image" Target="media/image10.emf"/><Relationship Id="rId36" Type="http://schemas.openxmlformats.org/officeDocument/2006/relationships/image" Target="media/image18.emf"/><Relationship Id="rId49" Type="http://schemas.openxmlformats.org/officeDocument/2006/relationships/footer" Target="footer8.xml"/><Relationship Id="rId10" Type="http://schemas.openxmlformats.org/officeDocument/2006/relationships/footnotes" Target="footnotes.xml"/><Relationship Id="rId19" Type="http://schemas.openxmlformats.org/officeDocument/2006/relationships/image" Target="media/image4.jpeg"/><Relationship Id="rId31" Type="http://schemas.openxmlformats.org/officeDocument/2006/relationships/image" Target="media/image13.emf"/><Relationship Id="rId44" Type="http://schemas.openxmlformats.org/officeDocument/2006/relationships/header" Target="header7.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footer" Target="footer5.xml"/><Relationship Id="rId48" Type="http://schemas.openxmlformats.org/officeDocument/2006/relationships/header" Target="header9.xml"/><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7.jpeg"/><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header" Target="header8.xml"/><Relationship Id="rId20" Type="http://schemas.openxmlformats.org/officeDocument/2006/relationships/image" Target="media/image5.emf"/><Relationship Id="rId41" Type="http://schemas.openxmlformats.org/officeDocument/2006/relationships/hyperlink" Target="mailto:simone.schulz@nousgroup.com.au"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1" Type="http://schemas.openxmlformats.org/officeDocument/2006/relationships/image" Target="media/image6.jpeg"/></Relationships>
</file>

<file path=word/_rels/header8.xml.rels><?xml version="1.0" encoding="UTF-8" standalone="yes"?>
<Relationships xmlns="http://schemas.openxmlformats.org/package/2006/relationships"><Relationship Id="rId1" Type="http://schemas.openxmlformats.org/officeDocument/2006/relationships/image" Target="media/image6.jpeg"/></Relationships>
</file>

<file path=word/_rels/header9.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2021-09-13T00:00:00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E683A8B31335E4C86F0F45B97CAC206" ma:contentTypeVersion="6" ma:contentTypeDescription="Create a new document." ma:contentTypeScope="" ma:versionID="49e6f9e9c5ea247fbd5ddb1574843ee7">
  <xsd:schema xmlns:xsd="http://www.w3.org/2001/XMLSchema" xmlns:xs="http://www.w3.org/2001/XMLSchema" xmlns:p="http://schemas.microsoft.com/office/2006/metadata/properties" xmlns:ns2="584f6a3b-b52e-48b5-a6be-548249931c8e" xmlns:ns3="76c87db2-f3bd-4b8e-b412-3958b0db335d" targetNamespace="http://schemas.microsoft.com/office/2006/metadata/properties" ma:root="true" ma:fieldsID="8b35a16297f4ca58c6f751960d4d91b0" ns2:_="" ns3:_="">
    <xsd:import namespace="584f6a3b-b52e-48b5-a6be-548249931c8e"/>
    <xsd:import namespace="76c87db2-f3bd-4b8e-b412-3958b0db335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4f6a3b-b52e-48b5-a6be-548249931c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c87db2-f3bd-4b8e-b412-3958b0db335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762ED6A-DD87-454D-9057-3E7152CF28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4f6a3b-b52e-48b5-a6be-548249931c8e"/>
    <ds:schemaRef ds:uri="76c87db2-f3bd-4b8e-b412-3958b0db33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EC6BF1-C71E-46B7-B095-93E193354039}">
  <ds:schemaRefs>
    <ds:schemaRef ds:uri="http://schemas.openxmlformats.org/officeDocument/2006/bibliography"/>
  </ds:schemaRefs>
</ds:datastoreItem>
</file>

<file path=customXml/itemProps4.xml><?xml version="1.0" encoding="utf-8"?>
<ds:datastoreItem xmlns:ds="http://schemas.openxmlformats.org/officeDocument/2006/customXml" ds:itemID="{6CB462EA-10A7-4754-94DC-A6846B7C0C55}">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D51B4A30-4335-4615-B531-124E826026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67</Pages>
  <Words>21591</Words>
  <Characters>123072</Characters>
  <Application>Microsoft Office Word</Application>
  <DocSecurity>0</DocSecurity>
  <Lines>1025</Lines>
  <Paragraphs>288</Paragraphs>
  <ScaleCrop>false</ScaleCrop>
  <HeadingPairs>
    <vt:vector size="2" baseType="variant">
      <vt:variant>
        <vt:lpstr>Title</vt:lpstr>
      </vt:variant>
      <vt:variant>
        <vt:i4>1</vt:i4>
      </vt:variant>
    </vt:vector>
  </HeadingPairs>
  <TitlesOfParts>
    <vt:vector size="1" baseType="lpstr">
      <vt:lpstr>Comprehensive Palliative Care in Aged Care Measure – Evaluation Framework</vt:lpstr>
    </vt:vector>
  </TitlesOfParts>
  <Company/>
  <LinksUpToDate>false</LinksUpToDate>
  <CharactersWithSpaces>144375</CharactersWithSpaces>
  <SharedDoc>false</SharedDoc>
  <HLinks>
    <vt:vector size="90" baseType="variant">
      <vt:variant>
        <vt:i4>6029418</vt:i4>
      </vt:variant>
      <vt:variant>
        <vt:i4>303</vt:i4>
      </vt:variant>
      <vt:variant>
        <vt:i4>0</vt:i4>
      </vt:variant>
      <vt:variant>
        <vt:i4>5</vt:i4>
      </vt:variant>
      <vt:variant>
        <vt:lpwstr>mailto:simone.schulz@nousgroup.com.au</vt:lpwstr>
      </vt:variant>
      <vt:variant>
        <vt:lpwstr/>
      </vt:variant>
      <vt:variant>
        <vt:i4>1769524</vt:i4>
      </vt:variant>
      <vt:variant>
        <vt:i4>80</vt:i4>
      </vt:variant>
      <vt:variant>
        <vt:i4>0</vt:i4>
      </vt:variant>
      <vt:variant>
        <vt:i4>5</vt:i4>
      </vt:variant>
      <vt:variant>
        <vt:lpwstr/>
      </vt:variant>
      <vt:variant>
        <vt:lpwstr>_Toc65761649</vt:lpwstr>
      </vt:variant>
      <vt:variant>
        <vt:i4>1703988</vt:i4>
      </vt:variant>
      <vt:variant>
        <vt:i4>74</vt:i4>
      </vt:variant>
      <vt:variant>
        <vt:i4>0</vt:i4>
      </vt:variant>
      <vt:variant>
        <vt:i4>5</vt:i4>
      </vt:variant>
      <vt:variant>
        <vt:lpwstr/>
      </vt:variant>
      <vt:variant>
        <vt:lpwstr>_Toc65761648</vt:lpwstr>
      </vt:variant>
      <vt:variant>
        <vt:i4>1376308</vt:i4>
      </vt:variant>
      <vt:variant>
        <vt:i4>68</vt:i4>
      </vt:variant>
      <vt:variant>
        <vt:i4>0</vt:i4>
      </vt:variant>
      <vt:variant>
        <vt:i4>5</vt:i4>
      </vt:variant>
      <vt:variant>
        <vt:lpwstr/>
      </vt:variant>
      <vt:variant>
        <vt:lpwstr>_Toc65761647</vt:lpwstr>
      </vt:variant>
      <vt:variant>
        <vt:i4>1310772</vt:i4>
      </vt:variant>
      <vt:variant>
        <vt:i4>62</vt:i4>
      </vt:variant>
      <vt:variant>
        <vt:i4>0</vt:i4>
      </vt:variant>
      <vt:variant>
        <vt:i4>5</vt:i4>
      </vt:variant>
      <vt:variant>
        <vt:lpwstr/>
      </vt:variant>
      <vt:variant>
        <vt:lpwstr>_Toc65761646</vt:lpwstr>
      </vt:variant>
      <vt:variant>
        <vt:i4>1507380</vt:i4>
      </vt:variant>
      <vt:variant>
        <vt:i4>56</vt:i4>
      </vt:variant>
      <vt:variant>
        <vt:i4>0</vt:i4>
      </vt:variant>
      <vt:variant>
        <vt:i4>5</vt:i4>
      </vt:variant>
      <vt:variant>
        <vt:lpwstr/>
      </vt:variant>
      <vt:variant>
        <vt:lpwstr>_Toc65761645</vt:lpwstr>
      </vt:variant>
      <vt:variant>
        <vt:i4>1441844</vt:i4>
      </vt:variant>
      <vt:variant>
        <vt:i4>50</vt:i4>
      </vt:variant>
      <vt:variant>
        <vt:i4>0</vt:i4>
      </vt:variant>
      <vt:variant>
        <vt:i4>5</vt:i4>
      </vt:variant>
      <vt:variant>
        <vt:lpwstr/>
      </vt:variant>
      <vt:variant>
        <vt:lpwstr>_Toc65761644</vt:lpwstr>
      </vt:variant>
      <vt:variant>
        <vt:i4>1114164</vt:i4>
      </vt:variant>
      <vt:variant>
        <vt:i4>44</vt:i4>
      </vt:variant>
      <vt:variant>
        <vt:i4>0</vt:i4>
      </vt:variant>
      <vt:variant>
        <vt:i4>5</vt:i4>
      </vt:variant>
      <vt:variant>
        <vt:lpwstr/>
      </vt:variant>
      <vt:variant>
        <vt:lpwstr>_Toc65761643</vt:lpwstr>
      </vt:variant>
      <vt:variant>
        <vt:i4>1048628</vt:i4>
      </vt:variant>
      <vt:variant>
        <vt:i4>38</vt:i4>
      </vt:variant>
      <vt:variant>
        <vt:i4>0</vt:i4>
      </vt:variant>
      <vt:variant>
        <vt:i4>5</vt:i4>
      </vt:variant>
      <vt:variant>
        <vt:lpwstr/>
      </vt:variant>
      <vt:variant>
        <vt:lpwstr>_Toc65761642</vt:lpwstr>
      </vt:variant>
      <vt:variant>
        <vt:i4>1245236</vt:i4>
      </vt:variant>
      <vt:variant>
        <vt:i4>32</vt:i4>
      </vt:variant>
      <vt:variant>
        <vt:i4>0</vt:i4>
      </vt:variant>
      <vt:variant>
        <vt:i4>5</vt:i4>
      </vt:variant>
      <vt:variant>
        <vt:lpwstr/>
      </vt:variant>
      <vt:variant>
        <vt:lpwstr>_Toc65761641</vt:lpwstr>
      </vt:variant>
      <vt:variant>
        <vt:i4>1179700</vt:i4>
      </vt:variant>
      <vt:variant>
        <vt:i4>26</vt:i4>
      </vt:variant>
      <vt:variant>
        <vt:i4>0</vt:i4>
      </vt:variant>
      <vt:variant>
        <vt:i4>5</vt:i4>
      </vt:variant>
      <vt:variant>
        <vt:lpwstr/>
      </vt:variant>
      <vt:variant>
        <vt:lpwstr>_Toc65761640</vt:lpwstr>
      </vt:variant>
      <vt:variant>
        <vt:i4>1769523</vt:i4>
      </vt:variant>
      <vt:variant>
        <vt:i4>20</vt:i4>
      </vt:variant>
      <vt:variant>
        <vt:i4>0</vt:i4>
      </vt:variant>
      <vt:variant>
        <vt:i4>5</vt:i4>
      </vt:variant>
      <vt:variant>
        <vt:lpwstr/>
      </vt:variant>
      <vt:variant>
        <vt:lpwstr>_Toc65761639</vt:lpwstr>
      </vt:variant>
      <vt:variant>
        <vt:i4>1703987</vt:i4>
      </vt:variant>
      <vt:variant>
        <vt:i4>14</vt:i4>
      </vt:variant>
      <vt:variant>
        <vt:i4>0</vt:i4>
      </vt:variant>
      <vt:variant>
        <vt:i4>5</vt:i4>
      </vt:variant>
      <vt:variant>
        <vt:lpwstr/>
      </vt:variant>
      <vt:variant>
        <vt:lpwstr>_Toc65761638</vt:lpwstr>
      </vt:variant>
      <vt:variant>
        <vt:i4>1376307</vt:i4>
      </vt:variant>
      <vt:variant>
        <vt:i4>8</vt:i4>
      </vt:variant>
      <vt:variant>
        <vt:i4>0</vt:i4>
      </vt:variant>
      <vt:variant>
        <vt:i4>5</vt:i4>
      </vt:variant>
      <vt:variant>
        <vt:lpwstr/>
      </vt:variant>
      <vt:variant>
        <vt:lpwstr>_Toc65761637</vt:lpwstr>
      </vt:variant>
      <vt:variant>
        <vt:i4>1310771</vt:i4>
      </vt:variant>
      <vt:variant>
        <vt:i4>2</vt:i4>
      </vt:variant>
      <vt:variant>
        <vt:i4>0</vt:i4>
      </vt:variant>
      <vt:variant>
        <vt:i4>5</vt:i4>
      </vt:variant>
      <vt:variant>
        <vt:lpwstr/>
      </vt:variant>
      <vt:variant>
        <vt:lpwstr>_Toc65761636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Comprehensive Palliative Care in Aged Care Measure – Evaluation Framework</dc:title>
  <dc:subject>Department of Health</dc:subject>
  <dc:creator>Simone Schulz</dc:creator>
  <cp:keywords/>
  <dc:description/>
  <cp:lastModifiedBy>Syndi Walton</cp:lastModifiedBy>
  <cp:revision>30</cp:revision>
  <cp:lastPrinted>2021-03-29T07:01:00Z</cp:lastPrinted>
  <dcterms:created xsi:type="dcterms:W3CDTF">2021-09-15T04:56:00Z</dcterms:created>
  <dcterms:modified xsi:type="dcterms:W3CDTF">2021-09-17T01:13:00Z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0x0101002E683A8B31335E4C86F0F45B97CAC206</vt:lpwstr>
  </property>
</Properties>
</file>