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B40AE" w14:textId="0E9262E8" w:rsidR="004E37E2" w:rsidRPr="00BB50EE" w:rsidRDefault="004E37E2" w:rsidP="00945626">
      <w:pPr>
        <w:pStyle w:val="Heading1"/>
        <w:spacing w:before="120"/>
        <w:rPr>
          <w:rFonts w:ascii="Arial" w:hAnsi="Arial" w:cs="Arial"/>
          <w:color w:val="3F4A75"/>
        </w:rPr>
      </w:pPr>
      <w:r w:rsidRPr="00BB50EE">
        <w:rPr>
          <w:rFonts w:ascii="Arial" w:hAnsi="Arial" w:cs="Arial"/>
          <w:color w:val="3F4A75"/>
        </w:rPr>
        <w:t xml:space="preserve">Commonwealth Home Support Programme (CHSP) – </w:t>
      </w:r>
      <w:r w:rsidR="00EF3956" w:rsidRPr="00BB50EE">
        <w:rPr>
          <w:rFonts w:ascii="Arial" w:hAnsi="Arial" w:cs="Arial"/>
          <w:color w:val="3F4A75"/>
        </w:rPr>
        <w:t xml:space="preserve">Extension Readiness Survey Results </w:t>
      </w:r>
    </w:p>
    <w:p w14:paraId="07AD0CFC" w14:textId="058F60EB" w:rsidR="004E37E2" w:rsidRPr="00BB50EE" w:rsidRDefault="00BE2D71" w:rsidP="00C052DB">
      <w:pPr>
        <w:pStyle w:val="Heading2"/>
        <w:spacing w:after="0"/>
        <w:rPr>
          <w:rFonts w:cs="Arial"/>
          <w:b w:val="0"/>
          <w:bCs/>
          <w:sz w:val="28"/>
          <w:szCs w:val="28"/>
        </w:rPr>
      </w:pPr>
      <w:r w:rsidRPr="00BB50EE">
        <w:rPr>
          <w:rFonts w:cs="Arial"/>
          <w:b w:val="0"/>
          <w:bCs/>
          <w:sz w:val="28"/>
          <w:szCs w:val="28"/>
        </w:rPr>
        <w:t>Overview</w:t>
      </w:r>
    </w:p>
    <w:p w14:paraId="681FC793" w14:textId="78FC6B7F" w:rsidR="009D543C" w:rsidRPr="00590B85" w:rsidRDefault="00EF3956" w:rsidP="00355C8B">
      <w:pPr>
        <w:spacing w:before="0" w:after="0"/>
        <w:rPr>
          <w:rFonts w:cs="Arial"/>
        </w:rPr>
      </w:pPr>
      <w:r>
        <w:rPr>
          <w:rFonts w:cs="Arial"/>
        </w:rPr>
        <w:t xml:space="preserve">The </w:t>
      </w:r>
      <w:r w:rsidRPr="00CF73DD">
        <w:rPr>
          <w:rFonts w:cs="Arial"/>
        </w:rPr>
        <w:t>CHSP 2022-23 Extension Readiness Survey</w:t>
      </w:r>
      <w:r>
        <w:rPr>
          <w:rFonts w:cs="Arial"/>
        </w:rPr>
        <w:t xml:space="preserve"> closed on 2</w:t>
      </w:r>
      <w:r w:rsidRPr="00590B85">
        <w:rPr>
          <w:rFonts w:cs="Arial"/>
        </w:rPr>
        <w:t xml:space="preserve"> </w:t>
      </w:r>
      <w:r>
        <w:rPr>
          <w:rFonts w:cs="Arial"/>
        </w:rPr>
        <w:t xml:space="preserve">August </w:t>
      </w:r>
      <w:r w:rsidRPr="00590B85">
        <w:rPr>
          <w:rFonts w:cs="Arial"/>
        </w:rPr>
        <w:t>2021</w:t>
      </w:r>
      <w:r>
        <w:rPr>
          <w:rFonts w:cs="Arial"/>
        </w:rPr>
        <w:t>.</w:t>
      </w:r>
      <w:r w:rsidRPr="00590B85">
        <w:rPr>
          <w:rFonts w:cs="Arial"/>
        </w:rPr>
        <w:t xml:space="preserve"> </w:t>
      </w:r>
      <w:r>
        <w:rPr>
          <w:rFonts w:cs="Arial"/>
        </w:rPr>
        <w:t>A total of 800 responses (or 57% response rate</w:t>
      </w:r>
      <w:r w:rsidR="00164314">
        <w:rPr>
          <w:rFonts w:cs="Arial"/>
        </w:rPr>
        <w:t>)</w:t>
      </w:r>
      <w:r w:rsidRPr="00590B85">
        <w:rPr>
          <w:rFonts w:cs="Arial"/>
        </w:rPr>
        <w:t xml:space="preserve"> </w:t>
      </w:r>
      <w:r>
        <w:rPr>
          <w:rFonts w:cs="Arial"/>
        </w:rPr>
        <w:t>was received, with coverage from all Service Types and Aged Care Planning Regions.</w:t>
      </w:r>
    </w:p>
    <w:p w14:paraId="04A98A1D" w14:textId="77777777" w:rsidR="00590B85" w:rsidRPr="00BB50EE" w:rsidRDefault="00590B85" w:rsidP="00355C8B">
      <w:pPr>
        <w:pStyle w:val="Heading2"/>
        <w:spacing w:after="0"/>
        <w:rPr>
          <w:b w:val="0"/>
          <w:bCs/>
          <w:sz w:val="28"/>
          <w:szCs w:val="28"/>
        </w:rPr>
      </w:pPr>
      <w:r w:rsidRPr="00BB50EE">
        <w:rPr>
          <w:b w:val="0"/>
          <w:bCs/>
          <w:sz w:val="28"/>
          <w:szCs w:val="28"/>
        </w:rPr>
        <w:t>Payment in Arrears Survey</w:t>
      </w:r>
    </w:p>
    <w:p w14:paraId="792B0197" w14:textId="31C855D9" w:rsidR="005A3A51" w:rsidRDefault="00CF73DD" w:rsidP="001F1AA0">
      <w:pPr>
        <w:spacing w:before="0"/>
        <w:rPr>
          <w:rFonts w:cs="Arial"/>
        </w:rPr>
      </w:pPr>
      <w:r>
        <w:rPr>
          <w:rFonts w:cs="Arial"/>
        </w:rPr>
        <w:t>T</w:t>
      </w:r>
      <w:r w:rsidRPr="00590B85">
        <w:rPr>
          <w:rFonts w:cs="Arial"/>
        </w:rPr>
        <w:t>ransition</w:t>
      </w:r>
      <w:r>
        <w:rPr>
          <w:rFonts w:cs="Arial"/>
        </w:rPr>
        <w:t>ing</w:t>
      </w:r>
      <w:r w:rsidRPr="00590B85">
        <w:rPr>
          <w:rFonts w:cs="Arial"/>
        </w:rPr>
        <w:t xml:space="preserve"> to </w:t>
      </w:r>
      <w:r w:rsidR="00164314">
        <w:rPr>
          <w:rFonts w:cs="Arial"/>
        </w:rPr>
        <w:t xml:space="preserve">payment in arrears </w:t>
      </w:r>
      <w:r w:rsidRPr="00590B85">
        <w:rPr>
          <w:rFonts w:cs="Arial"/>
        </w:rPr>
        <w:t>will be a significant change for many CHSP providers</w:t>
      </w:r>
      <w:r>
        <w:rPr>
          <w:rFonts w:cs="Arial"/>
        </w:rPr>
        <w:t>.</w:t>
      </w:r>
      <w:r w:rsidRPr="00590B85">
        <w:rPr>
          <w:rFonts w:cs="Arial"/>
        </w:rPr>
        <w:t xml:space="preserve"> </w:t>
      </w:r>
      <w:r>
        <w:rPr>
          <w:rFonts w:cs="Arial"/>
        </w:rPr>
        <w:t xml:space="preserve">The </w:t>
      </w:r>
      <w:r w:rsidRPr="00CF73DD">
        <w:rPr>
          <w:rFonts w:cs="Arial"/>
        </w:rPr>
        <w:t>Survey</w:t>
      </w:r>
      <w:r>
        <w:rPr>
          <w:rFonts w:cs="Arial"/>
        </w:rPr>
        <w:t xml:space="preserve"> provided </w:t>
      </w:r>
      <w:r w:rsidRPr="00590B85">
        <w:rPr>
          <w:rFonts w:cs="Arial"/>
        </w:rPr>
        <w:t xml:space="preserve">Health </w:t>
      </w:r>
      <w:r>
        <w:rPr>
          <w:rFonts w:cs="Arial"/>
        </w:rPr>
        <w:t>with a</w:t>
      </w:r>
      <w:r w:rsidRPr="00590B85">
        <w:rPr>
          <w:rFonts w:cs="Arial"/>
        </w:rPr>
        <w:t xml:space="preserve"> better understanding of providers’ current situation, business practices and readiness for change.</w:t>
      </w:r>
    </w:p>
    <w:p w14:paraId="1A352F25" w14:textId="06B4D8F5" w:rsidR="001F1AA0" w:rsidRDefault="00164314" w:rsidP="00590B85">
      <w:pPr>
        <w:rPr>
          <w:rFonts w:cs="Arial"/>
        </w:rPr>
      </w:pPr>
      <w:r>
        <w:rPr>
          <w:rFonts w:cs="Arial"/>
        </w:rPr>
        <w:t>The Survey has given the department insight</w:t>
      </w:r>
      <w:r w:rsidR="00355C8B">
        <w:rPr>
          <w:rFonts w:cs="Arial"/>
        </w:rPr>
        <w:t>s</w:t>
      </w:r>
      <w:r>
        <w:rPr>
          <w:rFonts w:cs="Arial"/>
        </w:rPr>
        <w:t xml:space="preserve"> into the issues associated with moving to payment in arrears. Specifically, the need to consider the fixed costs of delivering services, an organisation’s </w:t>
      </w:r>
      <w:proofErr w:type="gramStart"/>
      <w:r>
        <w:rPr>
          <w:rFonts w:cs="Arial"/>
        </w:rPr>
        <w:t>IT</w:t>
      </w:r>
      <w:proofErr w:type="gramEnd"/>
      <w:r>
        <w:rPr>
          <w:rFonts w:cs="Arial"/>
        </w:rPr>
        <w:t xml:space="preserve"> and their ability to track funding at the individual client level, and service provider cashflow/reserves.</w:t>
      </w:r>
    </w:p>
    <w:p w14:paraId="01EE5775" w14:textId="0C22481D" w:rsidR="00590B85" w:rsidRPr="00590B85" w:rsidRDefault="002B07AE" w:rsidP="00590B85">
      <w:pPr>
        <w:rPr>
          <w:rFonts w:cs="Arial"/>
        </w:rPr>
      </w:pPr>
      <w:r w:rsidRPr="00590B85">
        <w:rPr>
          <w:rFonts w:cs="Arial"/>
        </w:rPr>
        <w:t>Thank you to all the CHSP providers who completed the survey.</w:t>
      </w:r>
    </w:p>
    <w:p w14:paraId="2F9DD3E9" w14:textId="7C7246A1" w:rsidR="00590B85" w:rsidRPr="00BB50EE" w:rsidRDefault="00590B85" w:rsidP="000257B6">
      <w:pPr>
        <w:pStyle w:val="Heading2"/>
        <w:spacing w:before="120" w:after="0"/>
        <w:rPr>
          <w:b w:val="0"/>
          <w:bCs/>
          <w:sz w:val="28"/>
          <w:szCs w:val="28"/>
        </w:rPr>
      </w:pPr>
      <w:r w:rsidRPr="00BB50EE">
        <w:rPr>
          <w:b w:val="0"/>
          <w:bCs/>
          <w:sz w:val="28"/>
          <w:szCs w:val="28"/>
        </w:rPr>
        <w:t>High level survey results</w:t>
      </w:r>
    </w:p>
    <w:p w14:paraId="4926BE53" w14:textId="77777777" w:rsidR="005A52E4" w:rsidRPr="00590B85" w:rsidRDefault="005A52E4" w:rsidP="00945626">
      <w:pPr>
        <w:pStyle w:val="ListParagraph"/>
        <w:numPr>
          <w:ilvl w:val="0"/>
          <w:numId w:val="2"/>
        </w:numPr>
        <w:spacing w:after="60"/>
        <w:ind w:left="714" w:hanging="357"/>
      </w:pPr>
      <w:r w:rsidRPr="00590B85">
        <w:t>57% of all CHSP service providers responded to the survey (800</w:t>
      </w:r>
      <w:r>
        <w:rPr>
          <w:rStyle w:val="FootnoteReference"/>
        </w:rPr>
        <w:footnoteReference w:id="1"/>
      </w:r>
      <w:r w:rsidRPr="00590B85">
        <w:t>/14</w:t>
      </w:r>
      <w:r>
        <w:t>1</w:t>
      </w:r>
      <w:r w:rsidRPr="00590B85">
        <w:t>0).</w:t>
      </w:r>
    </w:p>
    <w:p w14:paraId="6E604F9D" w14:textId="577D18A7" w:rsidR="005A52E4" w:rsidRPr="00590B85" w:rsidRDefault="005A52E4" w:rsidP="00945626">
      <w:pPr>
        <w:pStyle w:val="ListParagraph"/>
        <w:numPr>
          <w:ilvl w:val="0"/>
          <w:numId w:val="1"/>
        </w:numPr>
        <w:spacing w:after="60"/>
        <w:ind w:left="714" w:hanging="357"/>
      </w:pPr>
      <w:r w:rsidRPr="00590B85">
        <w:t xml:space="preserve">86% of </w:t>
      </w:r>
      <w:r>
        <w:t>respondents</w:t>
      </w:r>
      <w:r w:rsidRPr="00590B85">
        <w:t xml:space="preserve"> enforce a CHSP client contribution</w:t>
      </w:r>
      <w:r w:rsidR="000536A0">
        <w:t xml:space="preserve"> policy</w:t>
      </w:r>
      <w:r w:rsidRPr="00590B85">
        <w:t>.</w:t>
      </w:r>
    </w:p>
    <w:p w14:paraId="7FDB3597" w14:textId="765E298C" w:rsidR="005A52E4" w:rsidRPr="00590B85" w:rsidRDefault="005A52E4" w:rsidP="00945626">
      <w:pPr>
        <w:pStyle w:val="ListParagraph"/>
        <w:numPr>
          <w:ilvl w:val="0"/>
          <w:numId w:val="1"/>
        </w:numPr>
        <w:spacing w:after="60"/>
        <w:ind w:left="714" w:hanging="357"/>
      </w:pPr>
      <w:r w:rsidRPr="00590B85">
        <w:t xml:space="preserve">64% of </w:t>
      </w:r>
      <w:r>
        <w:t>respondents</w:t>
      </w:r>
      <w:r w:rsidRPr="00590B85">
        <w:t xml:space="preserve"> currently receive payment in arrears for services provided outside of CHSP.</w:t>
      </w:r>
    </w:p>
    <w:p w14:paraId="17A3CFEE" w14:textId="0D7F68F8" w:rsidR="005A52E4" w:rsidRPr="00590B85" w:rsidRDefault="005A52E4" w:rsidP="00945626">
      <w:pPr>
        <w:pStyle w:val="ListParagraph"/>
        <w:numPr>
          <w:ilvl w:val="0"/>
          <w:numId w:val="1"/>
        </w:numPr>
        <w:spacing w:after="60"/>
        <w:ind w:left="714" w:hanging="357"/>
      </w:pPr>
      <w:r w:rsidRPr="00590B85">
        <w:rPr>
          <w:rFonts w:cs="Arial"/>
        </w:rPr>
        <w:t xml:space="preserve">80% of </w:t>
      </w:r>
      <w:r>
        <w:t>respondents</w:t>
      </w:r>
      <w:r w:rsidRPr="00590B85">
        <w:t xml:space="preserve"> </w:t>
      </w:r>
      <w:r w:rsidRPr="00590B85">
        <w:rPr>
          <w:rFonts w:cs="Arial"/>
        </w:rPr>
        <w:t>have a long-term plan to deliver aged care services.</w:t>
      </w:r>
    </w:p>
    <w:p w14:paraId="026C8A7F" w14:textId="408DB7F5" w:rsidR="005A52E4" w:rsidRPr="00590B85" w:rsidRDefault="005A52E4" w:rsidP="00945626">
      <w:pPr>
        <w:pStyle w:val="ListParagraph"/>
        <w:numPr>
          <w:ilvl w:val="0"/>
          <w:numId w:val="1"/>
        </w:numPr>
        <w:spacing w:after="60"/>
        <w:ind w:left="714" w:hanging="357"/>
      </w:pPr>
      <w:r w:rsidRPr="00590B85">
        <w:rPr>
          <w:rFonts w:cs="Arial"/>
        </w:rPr>
        <w:t xml:space="preserve">83% of </w:t>
      </w:r>
      <w:r>
        <w:t>respondents</w:t>
      </w:r>
      <w:r w:rsidRPr="00590B85">
        <w:t xml:space="preserve"> </w:t>
      </w:r>
      <w:r w:rsidRPr="00590B85">
        <w:rPr>
          <w:rFonts w:cs="Arial"/>
        </w:rPr>
        <w:t xml:space="preserve">use accounting software or Client Relationship Management Software to manage invoicing and record services </w:t>
      </w:r>
      <w:r>
        <w:rPr>
          <w:rFonts w:cs="Arial"/>
        </w:rPr>
        <w:t>delivered</w:t>
      </w:r>
      <w:r w:rsidRPr="00590B85">
        <w:rPr>
          <w:rFonts w:cs="Arial"/>
        </w:rPr>
        <w:t>.</w:t>
      </w:r>
    </w:p>
    <w:p w14:paraId="1909E3FC" w14:textId="5D09018E" w:rsidR="005A52E4" w:rsidRPr="002B1DC8" w:rsidRDefault="005A52E4" w:rsidP="00945626">
      <w:pPr>
        <w:pStyle w:val="ListParagraph"/>
        <w:numPr>
          <w:ilvl w:val="0"/>
          <w:numId w:val="1"/>
        </w:numPr>
        <w:spacing w:after="60"/>
        <w:ind w:left="714" w:hanging="357"/>
      </w:pPr>
      <w:r w:rsidRPr="00590B85">
        <w:rPr>
          <w:rFonts w:cs="Arial"/>
          <w:bCs/>
        </w:rPr>
        <w:t xml:space="preserve">54% of </w:t>
      </w:r>
      <w:r>
        <w:t>respondents</w:t>
      </w:r>
      <w:r w:rsidRPr="00590B85">
        <w:t xml:space="preserve"> </w:t>
      </w:r>
      <w:r w:rsidRPr="00590B85">
        <w:rPr>
          <w:rFonts w:cs="Arial"/>
          <w:bCs/>
        </w:rPr>
        <w:t>have a service delivery model to track individual consumer services and the amount spen</w:t>
      </w:r>
      <w:r w:rsidR="000536A0">
        <w:rPr>
          <w:rFonts w:cs="Arial"/>
          <w:bCs/>
        </w:rPr>
        <w:t>t</w:t>
      </w:r>
      <w:r w:rsidRPr="00590B85">
        <w:rPr>
          <w:rFonts w:cs="Arial"/>
          <w:bCs/>
        </w:rPr>
        <w:t xml:space="preserve"> on </w:t>
      </w:r>
      <w:r w:rsidR="000536A0">
        <w:rPr>
          <w:rFonts w:cs="Arial"/>
          <w:bCs/>
        </w:rPr>
        <w:t>each individual client</w:t>
      </w:r>
      <w:r w:rsidRPr="00590B85">
        <w:rPr>
          <w:rFonts w:cs="Arial"/>
          <w:bCs/>
        </w:rPr>
        <w:t xml:space="preserve"> (government funding and client contribution)</w:t>
      </w:r>
      <w:r>
        <w:rPr>
          <w:rFonts w:cs="Arial"/>
          <w:bCs/>
        </w:rPr>
        <w:t>.</w:t>
      </w:r>
    </w:p>
    <w:p w14:paraId="3D8D7EBA" w14:textId="4BE6745A" w:rsidR="002B1DC8" w:rsidRPr="008F3215" w:rsidRDefault="002B1DC8" w:rsidP="00945626">
      <w:pPr>
        <w:pStyle w:val="ListParagraph"/>
        <w:numPr>
          <w:ilvl w:val="0"/>
          <w:numId w:val="1"/>
        </w:numPr>
        <w:spacing w:after="60"/>
        <w:ind w:left="714" w:hanging="357"/>
      </w:pPr>
      <w:r>
        <w:rPr>
          <w:rFonts w:cs="Arial"/>
          <w:bCs/>
        </w:rPr>
        <w:t xml:space="preserve">89% </w:t>
      </w:r>
      <w:r w:rsidRPr="00590B85">
        <w:rPr>
          <w:rFonts w:cs="Arial"/>
          <w:bCs/>
        </w:rPr>
        <w:t xml:space="preserve">of </w:t>
      </w:r>
      <w:r>
        <w:t>respondents</w:t>
      </w:r>
      <w:r w:rsidRPr="00590B85">
        <w:t xml:space="preserve"> </w:t>
      </w:r>
      <w:proofErr w:type="gramStart"/>
      <w:r w:rsidR="00882CD5">
        <w:rPr>
          <w:rFonts w:cs="Arial"/>
          <w:bCs/>
        </w:rPr>
        <w:t>have the ability to</w:t>
      </w:r>
      <w:proofErr w:type="gramEnd"/>
      <w:r w:rsidR="00882CD5">
        <w:rPr>
          <w:rFonts w:cs="Arial"/>
          <w:bCs/>
        </w:rPr>
        <w:t xml:space="preserve"> track and </w:t>
      </w:r>
      <w:r>
        <w:rPr>
          <w:rFonts w:cs="Arial"/>
          <w:bCs/>
        </w:rPr>
        <w:t>report against CHSP staff (including subcontractors and volunteers) who have received their COVID-19 Vaccination</w:t>
      </w:r>
      <w:r w:rsidR="00882CD5">
        <w:rPr>
          <w:rFonts w:cs="Arial"/>
          <w:bCs/>
        </w:rPr>
        <w:t>, with 64% already voluntarily reporting</w:t>
      </w:r>
      <w:r>
        <w:rPr>
          <w:rFonts w:cs="Arial"/>
          <w:bCs/>
        </w:rPr>
        <w:t>.</w:t>
      </w:r>
    </w:p>
    <w:p w14:paraId="3E6336A6" w14:textId="77777777" w:rsidR="00164314" w:rsidRDefault="00164314">
      <w:pPr>
        <w:spacing w:before="0" w:after="200" w:line="276" w:lineRule="auto"/>
      </w:pPr>
      <w:r>
        <w:br w:type="page"/>
      </w:r>
    </w:p>
    <w:p w14:paraId="45EDA8A6" w14:textId="33748791" w:rsidR="003C1A8E" w:rsidRPr="003C1A8E" w:rsidRDefault="003C1A8E" w:rsidP="007A4FB7">
      <w:pPr>
        <w:spacing w:after="0" w:line="276" w:lineRule="auto"/>
      </w:pPr>
      <w:r>
        <w:rPr>
          <w:b/>
          <w:bCs/>
        </w:rPr>
        <w:lastRenderedPageBreak/>
        <w:t>Graph</w:t>
      </w:r>
      <w:r w:rsidRPr="003C1A8E">
        <w:rPr>
          <w:b/>
          <w:bCs/>
        </w:rPr>
        <w:t xml:space="preserve"> 1</w:t>
      </w:r>
      <w:r w:rsidRPr="003C1A8E">
        <w:t xml:space="preserve"> Percentage of providers who responded </w:t>
      </w:r>
      <w:r w:rsidR="000536A0">
        <w:t>by</w:t>
      </w:r>
      <w:r w:rsidRPr="003C1A8E">
        <w:t xml:space="preserve"> service type</w:t>
      </w:r>
      <w:r w:rsidR="00482DBE">
        <w:t xml:space="preserve"> </w:t>
      </w:r>
      <w:r w:rsidR="00F7708D">
        <w:t>(</w:t>
      </w:r>
      <w:r w:rsidR="00482DBE">
        <w:t>n=8</w:t>
      </w:r>
      <w:r w:rsidR="00685AF9">
        <w:t>00</w:t>
      </w:r>
      <w:r w:rsidR="00F7708D">
        <w:t>)</w:t>
      </w:r>
      <w:r w:rsidR="00482DBE">
        <w:t xml:space="preserve"> </w:t>
      </w:r>
    </w:p>
    <w:p w14:paraId="4E5AD8A9" w14:textId="3D674616" w:rsidR="007A4FB7" w:rsidRDefault="004F1812" w:rsidP="007A4FB7">
      <w:pPr>
        <w:spacing w:after="1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w:drawing>
          <wp:inline distT="0" distB="0" distL="0" distR="0" wp14:anchorId="3E3F3AB2" wp14:editId="3FDC96B4">
            <wp:extent cx="5742940" cy="4005580"/>
            <wp:effectExtent l="0" t="0" r="0" b="0"/>
            <wp:docPr id="1" name="Picture 1" descr="Graph showing the percentage of CHSP providers that responded to the survey, by service ty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 showing the percentage of CHSP providers that responded to the survey, by service typ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A7697A" w14:textId="250BBCE8" w:rsidR="005A52E4" w:rsidRPr="005A52E4" w:rsidRDefault="005A52E4" w:rsidP="004F1812">
      <w:pPr>
        <w:spacing w:after="0"/>
        <w:rPr>
          <w:rFonts w:cs="Arial"/>
          <w:sz w:val="22"/>
          <w:szCs w:val="22"/>
        </w:rPr>
      </w:pPr>
      <w:r w:rsidRPr="00355C8B">
        <w:rPr>
          <w:rFonts w:cs="Arial"/>
          <w:b/>
          <w:bCs/>
        </w:rPr>
        <w:t>Graph 2</w:t>
      </w:r>
      <w:r w:rsidRPr="005A52E4">
        <w:rPr>
          <w:rFonts w:cs="Arial"/>
          <w:sz w:val="22"/>
          <w:szCs w:val="22"/>
        </w:rPr>
        <w:t xml:space="preserve"> </w:t>
      </w:r>
      <w:r w:rsidRPr="008A4DF8">
        <w:rPr>
          <w:rFonts w:cs="Arial"/>
        </w:rPr>
        <w:t>Percentage of providers who responded by State and Territory</w:t>
      </w:r>
      <w:r w:rsidR="00482DBE" w:rsidRPr="008A4DF8">
        <w:rPr>
          <w:rFonts w:cs="Arial"/>
        </w:rPr>
        <w:t xml:space="preserve"> </w:t>
      </w:r>
      <w:r w:rsidR="00F7708D" w:rsidRPr="008A4DF8">
        <w:rPr>
          <w:rFonts w:cs="Arial"/>
        </w:rPr>
        <w:t>(</w:t>
      </w:r>
      <w:r w:rsidR="00482DBE" w:rsidRPr="008A4DF8">
        <w:rPr>
          <w:rFonts w:cs="Arial"/>
        </w:rPr>
        <w:t>n=8</w:t>
      </w:r>
      <w:r w:rsidR="00685AF9" w:rsidRPr="008A4DF8">
        <w:rPr>
          <w:rFonts w:cs="Arial"/>
        </w:rPr>
        <w:t>00</w:t>
      </w:r>
      <w:r w:rsidR="00F7708D" w:rsidRPr="008A4DF8">
        <w:rPr>
          <w:rFonts w:cs="Arial"/>
        </w:rPr>
        <w:t>)</w:t>
      </w:r>
    </w:p>
    <w:p w14:paraId="176D1A83" w14:textId="06F198B9" w:rsidR="00164314" w:rsidRDefault="004F1812" w:rsidP="007A4FB7">
      <w:pPr>
        <w:rPr>
          <w:b/>
          <w:bCs/>
        </w:rPr>
      </w:pPr>
      <w:r>
        <w:rPr>
          <w:noProof/>
        </w:rPr>
        <w:drawing>
          <wp:inline distT="0" distB="0" distL="0" distR="0" wp14:anchorId="01D07C18" wp14:editId="2B9A5E9D">
            <wp:extent cx="4584700" cy="2810510"/>
            <wp:effectExtent l="0" t="0" r="6350" b="8890"/>
            <wp:docPr id="2" name="Picture 2" descr="Graph showing the percentage of CHSP providers that responded to the survey, by State and Territo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 showing the percentage of CHSP providers that responded to the survey, by State and Territory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CB47D" w14:textId="77777777" w:rsidR="00164314" w:rsidRDefault="00164314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47A5DE2C" w14:textId="78EB467D" w:rsidR="00590B85" w:rsidRPr="000F3CF7" w:rsidRDefault="007A4FB7" w:rsidP="0003664C">
      <w:pPr>
        <w:rPr>
          <w:rFonts w:cs="Arial"/>
          <w:b/>
          <w:bCs/>
        </w:rPr>
      </w:pPr>
      <w:r>
        <w:rPr>
          <w:b/>
          <w:bCs/>
        </w:rPr>
        <w:lastRenderedPageBreak/>
        <w:t>Graph 3</w:t>
      </w:r>
      <w:r w:rsidR="00590B85" w:rsidRPr="000F3CF7">
        <w:t xml:space="preserve"> Percentage of </w:t>
      </w:r>
      <w:r w:rsidR="000F3CF7" w:rsidRPr="000F3CF7">
        <w:t xml:space="preserve">respondents </w:t>
      </w:r>
      <w:r w:rsidR="000F3CF7">
        <w:t>who identified the contributing factors to how the organisation sets their</w:t>
      </w:r>
      <w:r w:rsidR="00590B85" w:rsidRPr="000F3CF7">
        <w:t xml:space="preserve"> unit price (providers could select multiple options</w:t>
      </w:r>
      <w:r w:rsidR="000F3CF7">
        <w:t xml:space="preserve">, </w:t>
      </w:r>
      <w:r w:rsidR="00590B85" w:rsidRPr="000F3CF7">
        <w:t>n=800).</w:t>
      </w:r>
    </w:p>
    <w:p w14:paraId="2242EF42" w14:textId="0125314A" w:rsidR="007A4FB7" w:rsidRDefault="007A4FB7" w:rsidP="00590B85">
      <w:pPr>
        <w:rPr>
          <w:rFonts w:cs="Arial"/>
          <w:b/>
          <w:bCs/>
        </w:rPr>
      </w:pPr>
      <w:r>
        <w:rPr>
          <w:noProof/>
        </w:rPr>
        <w:drawing>
          <wp:inline distT="0" distB="0" distL="0" distR="0" wp14:anchorId="484F7B8C" wp14:editId="38B27189">
            <wp:extent cx="4572000" cy="2743200"/>
            <wp:effectExtent l="0" t="0" r="0" b="0"/>
            <wp:docPr id="3" name="Chart 3" descr="Percentage of respondents who identified the contributing factors to how the organisation sets their unit price.">
              <a:extLst xmlns:a="http://schemas.openxmlformats.org/drawingml/2006/main">
                <a:ext uri="{FF2B5EF4-FFF2-40B4-BE49-F238E27FC236}">
                  <a16:creationId xmlns:a16="http://schemas.microsoft.com/office/drawing/2014/main" id="{8559B4FB-1365-4C46-83D3-7353B66108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161E36B" w14:textId="454E3382" w:rsidR="00590B85" w:rsidRDefault="003460F1" w:rsidP="00355C8B">
      <w:pPr>
        <w:spacing w:before="0" w:after="200" w:line="276" w:lineRule="auto"/>
        <w:rPr>
          <w:rFonts w:cs="Arial"/>
        </w:rPr>
      </w:pPr>
      <w:r>
        <w:rPr>
          <w:rFonts w:cs="Arial"/>
          <w:b/>
          <w:bCs/>
        </w:rPr>
        <w:t>Graph 4</w:t>
      </w:r>
      <w:r w:rsidR="00590B85" w:rsidRPr="000F3CF7">
        <w:rPr>
          <w:rFonts w:cs="Arial"/>
        </w:rPr>
        <w:t xml:space="preserve"> Percentage of providers</w:t>
      </w:r>
      <w:r w:rsidR="000F3CF7">
        <w:rPr>
          <w:rFonts w:cs="Arial"/>
        </w:rPr>
        <w:t xml:space="preserve"> who identified their concerns </w:t>
      </w:r>
      <w:r w:rsidR="009D543C">
        <w:rPr>
          <w:rFonts w:cs="Arial"/>
        </w:rPr>
        <w:t xml:space="preserve">related to </w:t>
      </w:r>
      <w:r w:rsidR="000F3CF7">
        <w:rPr>
          <w:rFonts w:cs="Arial"/>
        </w:rPr>
        <w:t>transition</w:t>
      </w:r>
      <w:r w:rsidR="009D543C">
        <w:rPr>
          <w:rFonts w:cs="Arial"/>
        </w:rPr>
        <w:t xml:space="preserve">ing to PIA </w:t>
      </w:r>
      <w:r w:rsidR="00590B85" w:rsidRPr="000F3CF7">
        <w:rPr>
          <w:rFonts w:cs="Arial"/>
        </w:rPr>
        <w:t>(providers could select multiple options</w:t>
      </w:r>
      <w:r w:rsidR="000F3CF7">
        <w:rPr>
          <w:rFonts w:cs="Arial"/>
        </w:rPr>
        <w:t xml:space="preserve">, </w:t>
      </w:r>
      <w:r w:rsidR="00590B85" w:rsidRPr="000F3CF7">
        <w:rPr>
          <w:rFonts w:cs="Arial"/>
        </w:rPr>
        <w:t>n=800).</w:t>
      </w:r>
    </w:p>
    <w:p w14:paraId="3E3EB3FA" w14:textId="626BF9C2" w:rsidR="00164314" w:rsidRDefault="007A4FB7" w:rsidP="00590B8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B155ACF" wp14:editId="0B157039">
            <wp:extent cx="5731510" cy="3590290"/>
            <wp:effectExtent l="0" t="0" r="2540" b="10160"/>
            <wp:docPr id="4" name="Chart 4" descr="Graph showing the percentage of CHSP providers that identified their particular concern related to transitioning to payment in arrears.">
              <a:extLst xmlns:a="http://schemas.openxmlformats.org/drawingml/2006/main">
                <a:ext uri="{FF2B5EF4-FFF2-40B4-BE49-F238E27FC236}">
                  <a16:creationId xmlns:a16="http://schemas.microsoft.com/office/drawing/2014/main" id="{F3DC873A-820A-4386-885B-88C22CE98D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3597BC3" w14:textId="77777777" w:rsidR="00164314" w:rsidRDefault="00164314">
      <w:pPr>
        <w:spacing w:before="0"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3A0DAB" w14:textId="740237A2" w:rsidR="004E37E2" w:rsidRPr="00BB50EE" w:rsidRDefault="008F3215" w:rsidP="00E379C3">
      <w:pPr>
        <w:pStyle w:val="Heading2"/>
        <w:spacing w:after="0"/>
        <w:rPr>
          <w:rFonts w:cs="Arial"/>
          <w:b w:val="0"/>
          <w:bCs/>
          <w:sz w:val="28"/>
          <w:szCs w:val="28"/>
        </w:rPr>
      </w:pPr>
      <w:r w:rsidRPr="00BB50EE">
        <w:rPr>
          <w:rFonts w:cs="Arial"/>
          <w:b w:val="0"/>
          <w:bCs/>
          <w:sz w:val="28"/>
          <w:szCs w:val="28"/>
        </w:rPr>
        <w:lastRenderedPageBreak/>
        <w:t>Upcoming work and meetings</w:t>
      </w:r>
    </w:p>
    <w:p w14:paraId="07623ACF" w14:textId="5315C3C9" w:rsidR="00937F3A" w:rsidRPr="00C61498" w:rsidRDefault="00937F3A" w:rsidP="008F3215">
      <w:pPr>
        <w:pStyle w:val="ListParagraph"/>
        <w:numPr>
          <w:ilvl w:val="0"/>
          <w:numId w:val="7"/>
        </w:numPr>
        <w:spacing w:before="0"/>
        <w:ind w:left="714" w:hanging="357"/>
        <w:rPr>
          <w:rFonts w:cs="Arial"/>
        </w:rPr>
      </w:pPr>
      <w:r w:rsidRPr="00C61498">
        <w:rPr>
          <w:rFonts w:cs="Arial"/>
        </w:rPr>
        <w:t xml:space="preserve">Working Group </w:t>
      </w:r>
      <w:r w:rsidR="001F1AA0">
        <w:rPr>
          <w:rFonts w:cs="Arial"/>
        </w:rPr>
        <w:t xml:space="preserve">met again </w:t>
      </w:r>
      <w:r w:rsidRPr="00C61498">
        <w:rPr>
          <w:rFonts w:cs="Arial"/>
        </w:rPr>
        <w:t xml:space="preserve">on 13 September </w:t>
      </w:r>
      <w:r w:rsidR="002B1DC8">
        <w:rPr>
          <w:rFonts w:cs="Arial"/>
        </w:rPr>
        <w:t xml:space="preserve">and another update will be </w:t>
      </w:r>
      <w:r w:rsidR="0032668B">
        <w:rPr>
          <w:rFonts w:cs="Arial"/>
        </w:rPr>
        <w:t>provided</w:t>
      </w:r>
      <w:r w:rsidR="002B1DC8">
        <w:rPr>
          <w:rFonts w:cs="Arial"/>
        </w:rPr>
        <w:t xml:space="preserve"> at the end of September 2021.</w:t>
      </w:r>
    </w:p>
    <w:p w14:paraId="650AC439" w14:textId="1A1A88BA" w:rsidR="00C61498" w:rsidRDefault="00C61498" w:rsidP="00C61498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The payment mechanism will be agreed upon in September 2021.</w:t>
      </w:r>
    </w:p>
    <w:p w14:paraId="06FBF7DE" w14:textId="7D0B3688" w:rsidR="00271BCB" w:rsidRDefault="00271BCB" w:rsidP="00C61498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The next Working Group meeting is on 11 October.</w:t>
      </w:r>
    </w:p>
    <w:p w14:paraId="2965AB3C" w14:textId="46CEA99E" w:rsidR="00C61498" w:rsidRDefault="00C61498" w:rsidP="00C61498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The </w:t>
      </w:r>
      <w:r w:rsidR="00271BCB">
        <w:rPr>
          <w:rFonts w:cs="Arial"/>
        </w:rPr>
        <w:t xml:space="preserve">National Unit Pricing Policy </w:t>
      </w:r>
      <w:r>
        <w:rPr>
          <w:rFonts w:cs="Arial"/>
        </w:rPr>
        <w:t>will be finalised in October 2021.</w:t>
      </w:r>
    </w:p>
    <w:p w14:paraId="0F2B1ECF" w14:textId="16A1300E" w:rsidR="004E37E2" w:rsidRPr="00C61498" w:rsidRDefault="004E37E2" w:rsidP="00C61498">
      <w:pPr>
        <w:pStyle w:val="ListParagraph"/>
        <w:numPr>
          <w:ilvl w:val="0"/>
          <w:numId w:val="7"/>
        </w:numPr>
        <w:rPr>
          <w:rFonts w:cs="Arial"/>
        </w:rPr>
      </w:pPr>
      <w:r w:rsidRPr="00C61498">
        <w:rPr>
          <w:rFonts w:cs="Arial"/>
        </w:rPr>
        <w:t xml:space="preserve">The implementation timeframes for </w:t>
      </w:r>
      <w:r w:rsidR="00C61498">
        <w:rPr>
          <w:rFonts w:cs="Arial"/>
        </w:rPr>
        <w:t>PIA</w:t>
      </w:r>
      <w:r w:rsidRPr="00C61498">
        <w:rPr>
          <w:rFonts w:cs="Arial"/>
        </w:rPr>
        <w:t xml:space="preserve"> </w:t>
      </w:r>
      <w:r w:rsidR="00C61498">
        <w:rPr>
          <w:rFonts w:cs="Arial"/>
        </w:rPr>
        <w:t>are</w:t>
      </w:r>
      <w:r w:rsidRPr="00C61498">
        <w:rPr>
          <w:rFonts w:cs="Arial"/>
        </w:rPr>
        <w:t xml:space="preserve"> outlined in the </w:t>
      </w:r>
      <w:hyperlink r:id="rId12" w:history="1">
        <w:r w:rsidRPr="00C61498">
          <w:rPr>
            <w:rStyle w:val="Hyperlink"/>
            <w:rFonts w:cs="Arial"/>
          </w:rPr>
          <w:t>CHSP – Payment in arrears and unit pricing fact sheet</w:t>
        </w:r>
      </w:hyperlink>
      <w:r w:rsidR="00937F3A" w:rsidRPr="00C61498">
        <w:rPr>
          <w:rFonts w:cs="Arial"/>
        </w:rPr>
        <w:t>.</w:t>
      </w:r>
    </w:p>
    <w:p w14:paraId="648D3AFE" w14:textId="77777777" w:rsidR="00D551C3" w:rsidRPr="00BB50EE" w:rsidRDefault="00D551C3" w:rsidP="000257B6">
      <w:pPr>
        <w:pStyle w:val="Heading2"/>
        <w:spacing w:before="120" w:after="0"/>
        <w:rPr>
          <w:b w:val="0"/>
          <w:bCs/>
          <w:sz w:val="28"/>
          <w:szCs w:val="28"/>
        </w:rPr>
      </w:pPr>
      <w:r w:rsidRPr="00BB50EE">
        <w:rPr>
          <w:b w:val="0"/>
          <w:bCs/>
          <w:sz w:val="28"/>
          <w:szCs w:val="28"/>
        </w:rPr>
        <w:t>Further Information</w:t>
      </w:r>
    </w:p>
    <w:p w14:paraId="7A07443B" w14:textId="77518BFB" w:rsidR="00E421D6" w:rsidRDefault="00D551C3" w:rsidP="008F3215">
      <w:pPr>
        <w:spacing w:before="0" w:after="0"/>
      </w:pPr>
      <w:r>
        <w:t xml:space="preserve">Health aims to regularly update providers on the changes to CHSP. All CHSP providers will be able to access these updates under </w:t>
      </w:r>
      <w:hyperlink r:id="rId13" w:history="1">
        <w:r w:rsidRPr="00377CB1">
          <w:rPr>
            <w:rStyle w:val="Hyperlink"/>
          </w:rPr>
          <w:t>CHSP news</w:t>
        </w:r>
      </w:hyperlink>
      <w:r w:rsidRPr="00377CB1">
        <w:t>.</w:t>
      </w:r>
      <w:r>
        <w:t xml:space="preserve"> Alternatively, please direct any enquiries to </w:t>
      </w:r>
      <w:hyperlink r:id="rId14" w:history="1">
        <w:r w:rsidRPr="007B0AAD">
          <w:rPr>
            <w:rStyle w:val="Hyperlink"/>
          </w:rPr>
          <w:t>homesupportpolicy@health.gov.au</w:t>
        </w:r>
      </w:hyperlink>
      <w:r>
        <w:t>.</w:t>
      </w:r>
    </w:p>
    <w:sectPr w:rsidR="00E421D6" w:rsidSect="00BB50EE">
      <w:headerReference w:type="default" r:id="rId15"/>
      <w:footerReference w:type="default" r:id="rId16"/>
      <w:headerReference w:type="first" r:id="rId17"/>
      <w:pgSz w:w="11906" w:h="16838"/>
      <w:pgMar w:top="1858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CFBF2" w14:textId="77777777" w:rsidR="006E3872" w:rsidRDefault="006E3872">
      <w:pPr>
        <w:spacing w:before="0" w:after="0" w:line="240" w:lineRule="auto"/>
      </w:pPr>
      <w:r>
        <w:separator/>
      </w:r>
    </w:p>
  </w:endnote>
  <w:endnote w:type="continuationSeparator" w:id="0">
    <w:p w14:paraId="724B59E5" w14:textId="77777777" w:rsidR="006E3872" w:rsidRDefault="006E38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37D1A" w14:textId="62F3DF2E" w:rsidR="00CB2942" w:rsidRPr="00077459" w:rsidRDefault="009B5D1B" w:rsidP="00CB2942">
    <w:pPr>
      <w:pStyle w:val="Footer"/>
      <w:jc w:val="right"/>
      <w:rPr>
        <w:rFonts w:cs="Arial"/>
      </w:rPr>
    </w:pPr>
    <w:r w:rsidRPr="00077459">
      <w:rPr>
        <w:rFonts w:cs="Arial"/>
      </w:rPr>
      <w:t xml:space="preserve">CHSP – </w:t>
    </w:r>
    <w:r w:rsidR="00164314">
      <w:rPr>
        <w:rFonts w:cs="Arial"/>
      </w:rPr>
      <w:t>Extension Readiness Survey Results</w:t>
    </w:r>
    <w:r w:rsidRPr="00077459">
      <w:rPr>
        <w:rFonts w:cs="Arial"/>
      </w:rPr>
      <w:t xml:space="preserve"> – </w:t>
    </w:r>
    <w:r w:rsidR="00355C8B">
      <w:rPr>
        <w:rFonts w:cs="Arial"/>
      </w:rPr>
      <w:t>17 September</w:t>
    </w:r>
    <w:r w:rsidR="00355C8B" w:rsidRPr="00077459">
      <w:rPr>
        <w:rFonts w:cs="Arial"/>
      </w:rPr>
      <w:t xml:space="preserve"> </w:t>
    </w:r>
    <w:r w:rsidRPr="00077459">
      <w:rPr>
        <w:rFonts w:cs="Arial"/>
      </w:rPr>
      <w:t>2021 update</w:t>
    </w:r>
    <w:r w:rsidRPr="00077459">
      <w:rPr>
        <w:rFonts w:cs="Arial"/>
      </w:rPr>
      <w:tab/>
    </w:r>
    <w:sdt>
      <w:sdtPr>
        <w:rPr>
          <w:rFonts w:cs="Arial"/>
        </w:rPr>
        <w:id w:val="5437160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77459">
          <w:rPr>
            <w:rFonts w:cs="Arial"/>
          </w:rPr>
          <w:fldChar w:fldCharType="begin"/>
        </w:r>
        <w:r w:rsidRPr="00077459">
          <w:rPr>
            <w:rFonts w:cs="Arial"/>
          </w:rPr>
          <w:instrText xml:space="preserve"> PAGE   \* MERGEFORMAT </w:instrText>
        </w:r>
        <w:r w:rsidRPr="00077459">
          <w:rPr>
            <w:rFonts w:cs="Arial"/>
          </w:rPr>
          <w:fldChar w:fldCharType="separate"/>
        </w:r>
        <w:r w:rsidRPr="00077459">
          <w:rPr>
            <w:rFonts w:cs="Arial"/>
          </w:rPr>
          <w:t>2</w:t>
        </w:r>
        <w:r w:rsidRPr="00077459">
          <w:rPr>
            <w:rFonts w:cs="Arial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EFE3C" w14:textId="77777777" w:rsidR="006E3872" w:rsidRDefault="006E3872">
      <w:pPr>
        <w:spacing w:before="0" w:after="0" w:line="240" w:lineRule="auto"/>
      </w:pPr>
      <w:r>
        <w:separator/>
      </w:r>
    </w:p>
  </w:footnote>
  <w:footnote w:type="continuationSeparator" w:id="0">
    <w:p w14:paraId="2436B842" w14:textId="77777777" w:rsidR="006E3872" w:rsidRDefault="006E3872">
      <w:pPr>
        <w:spacing w:before="0" w:after="0" w:line="240" w:lineRule="auto"/>
      </w:pPr>
      <w:r>
        <w:continuationSeparator/>
      </w:r>
    </w:p>
  </w:footnote>
  <w:footnote w:id="1">
    <w:p w14:paraId="2B7BF6B8" w14:textId="79991946" w:rsidR="005A52E4" w:rsidRPr="000F3CF7" w:rsidRDefault="005A52E4" w:rsidP="005A52E4">
      <w:pPr>
        <w:pStyle w:val="FootnoteText"/>
        <w:rPr>
          <w:sz w:val="18"/>
          <w:szCs w:val="18"/>
        </w:rPr>
      </w:pPr>
      <w:r w:rsidRPr="000F3CF7">
        <w:rPr>
          <w:rStyle w:val="FootnoteReference"/>
          <w:sz w:val="18"/>
          <w:szCs w:val="18"/>
        </w:rPr>
        <w:footnoteRef/>
      </w:r>
      <w:r w:rsidRPr="000F3CF7">
        <w:rPr>
          <w:sz w:val="18"/>
          <w:szCs w:val="18"/>
        </w:rPr>
        <w:t xml:space="preserve"> </w:t>
      </w:r>
      <w:r w:rsidRPr="00723C1D">
        <w:rPr>
          <w:sz w:val="18"/>
          <w:szCs w:val="18"/>
        </w:rPr>
        <w:t xml:space="preserve">There </w:t>
      </w:r>
      <w:r w:rsidR="000536A0" w:rsidRPr="00723C1D">
        <w:rPr>
          <w:sz w:val="18"/>
          <w:szCs w:val="18"/>
        </w:rPr>
        <w:t>was</w:t>
      </w:r>
      <w:r w:rsidRPr="00723C1D">
        <w:rPr>
          <w:sz w:val="18"/>
          <w:szCs w:val="18"/>
        </w:rPr>
        <w:t xml:space="preserve"> </w:t>
      </w:r>
      <w:r w:rsidR="00945626">
        <w:rPr>
          <w:sz w:val="18"/>
          <w:szCs w:val="18"/>
        </w:rPr>
        <w:t xml:space="preserve">a total of </w:t>
      </w:r>
      <w:r w:rsidRPr="00723C1D">
        <w:rPr>
          <w:sz w:val="18"/>
          <w:szCs w:val="18"/>
        </w:rPr>
        <w:t xml:space="preserve">849 responses to the survey, of which 49 records have been excluded from the results </w:t>
      </w:r>
      <w:r>
        <w:rPr>
          <w:sz w:val="18"/>
          <w:szCs w:val="18"/>
        </w:rPr>
        <w:t>d</w:t>
      </w:r>
      <w:r w:rsidRPr="00723C1D">
        <w:rPr>
          <w:sz w:val="18"/>
          <w:szCs w:val="18"/>
        </w:rPr>
        <w:t>ue to data discrepancies and/or duplicat</w:t>
      </w:r>
      <w:r w:rsidR="00C61498">
        <w:rPr>
          <w:sz w:val="18"/>
          <w:szCs w:val="18"/>
        </w:rPr>
        <w:t xml:space="preserve">ed </w:t>
      </w:r>
      <w:r w:rsidRPr="00723C1D">
        <w:rPr>
          <w:sz w:val="18"/>
          <w:szCs w:val="18"/>
        </w:rPr>
        <w:t>submissions</w:t>
      </w:r>
      <w:r w:rsidR="00C6149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7F8E0" w14:textId="4C3A0D0A" w:rsidR="00D85C5F" w:rsidRDefault="009B5D1B" w:rsidP="00D85C5F">
    <w:pPr>
      <w:pStyle w:val="Header"/>
      <w:tabs>
        <w:tab w:val="clear" w:pos="4513"/>
        <w:tab w:val="clear" w:pos="9026"/>
        <w:tab w:val="left" w:pos="5410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hidden="0" allowOverlap="1" wp14:anchorId="6226DE4F" wp14:editId="30E92BF3">
          <wp:simplePos x="0" y="0"/>
          <wp:positionH relativeFrom="margin">
            <wp:posOffset>-36758</wp:posOffset>
          </wp:positionH>
          <wp:positionV relativeFrom="paragraph">
            <wp:posOffset>520065</wp:posOffset>
          </wp:positionV>
          <wp:extent cx="5730875" cy="84455"/>
          <wp:effectExtent l="0" t="0" r="3175" b="0"/>
          <wp:wrapSquare wrapText="bothSides" distT="0" distB="0" distL="114300" distR="114300"/>
          <wp:docPr id="14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 rotWithShape="1">
                  <a:blip r:embed="rId1"/>
                  <a:srcRect l="-794" t="1" r="1" b="13016"/>
                  <a:stretch/>
                </pic:blipFill>
                <pic:spPr>
                  <a:xfrm>
                    <a:off x="0" y="0"/>
                    <a:ext cx="5730875" cy="84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7B3B1" w14:textId="018AA177" w:rsidR="00A04DEC" w:rsidRDefault="00A04DEC" w:rsidP="00A04DEC">
    <w:pPr>
      <w:pStyle w:val="Header"/>
      <w:tabs>
        <w:tab w:val="clear" w:pos="4513"/>
        <w:tab w:val="clear" w:pos="9026"/>
        <w:tab w:val="left" w:pos="5410"/>
      </w:tabs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hidden="0" allowOverlap="1" wp14:anchorId="28D57A9F" wp14:editId="7C47C97D">
          <wp:simplePos x="0" y="0"/>
          <wp:positionH relativeFrom="margin">
            <wp:posOffset>-36758</wp:posOffset>
          </wp:positionH>
          <wp:positionV relativeFrom="paragraph">
            <wp:posOffset>520065</wp:posOffset>
          </wp:positionV>
          <wp:extent cx="5730875" cy="84455"/>
          <wp:effectExtent l="0" t="0" r="3175" b="0"/>
          <wp:wrapSquare wrapText="bothSides" distT="0" distB="0" distL="114300" distR="114300"/>
          <wp:docPr id="8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 rotWithShape="1">
                  <a:blip r:embed="rId1"/>
                  <a:srcRect l="-794" t="1" r="1" b="13016"/>
                  <a:stretch/>
                </pic:blipFill>
                <pic:spPr>
                  <a:xfrm>
                    <a:off x="0" y="0"/>
                    <a:ext cx="5730875" cy="84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19EA8796" wp14:editId="2CB45074">
          <wp:simplePos x="0" y="0"/>
          <wp:positionH relativeFrom="column">
            <wp:posOffset>0</wp:posOffset>
          </wp:positionH>
          <wp:positionV relativeFrom="paragraph">
            <wp:posOffset>-170180</wp:posOffset>
          </wp:positionV>
          <wp:extent cx="2381250" cy="647700"/>
          <wp:effectExtent l="0" t="0" r="0" b="0"/>
          <wp:wrapSquare wrapText="bothSides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31A25" w14:textId="3C14B5AE" w:rsidR="00A04DEC" w:rsidRDefault="00A04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48FC"/>
    <w:multiLevelType w:val="hybridMultilevel"/>
    <w:tmpl w:val="04126950"/>
    <w:lvl w:ilvl="0" w:tplc="B57CD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A887C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13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638C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E48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4C6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6E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88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43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60145"/>
    <w:multiLevelType w:val="hybridMultilevel"/>
    <w:tmpl w:val="A45AB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6763"/>
    <w:multiLevelType w:val="hybridMultilevel"/>
    <w:tmpl w:val="3A264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D3008"/>
    <w:multiLevelType w:val="hybridMultilevel"/>
    <w:tmpl w:val="AD7A967A"/>
    <w:lvl w:ilvl="0" w:tplc="0C09000F">
      <w:start w:val="1"/>
      <w:numFmt w:val="decimal"/>
      <w:lvlText w:val="%1."/>
      <w:lvlJc w:val="left"/>
      <w:pPr>
        <w:ind w:left="775" w:hanging="360"/>
      </w:pPr>
    </w:lvl>
    <w:lvl w:ilvl="1" w:tplc="0C090019" w:tentative="1">
      <w:start w:val="1"/>
      <w:numFmt w:val="lowerLetter"/>
      <w:lvlText w:val="%2."/>
      <w:lvlJc w:val="left"/>
      <w:pPr>
        <w:ind w:left="1495" w:hanging="360"/>
      </w:pPr>
    </w:lvl>
    <w:lvl w:ilvl="2" w:tplc="0C09001B" w:tentative="1">
      <w:start w:val="1"/>
      <w:numFmt w:val="lowerRoman"/>
      <w:lvlText w:val="%3."/>
      <w:lvlJc w:val="right"/>
      <w:pPr>
        <w:ind w:left="2215" w:hanging="180"/>
      </w:pPr>
    </w:lvl>
    <w:lvl w:ilvl="3" w:tplc="0C09000F" w:tentative="1">
      <w:start w:val="1"/>
      <w:numFmt w:val="decimal"/>
      <w:lvlText w:val="%4."/>
      <w:lvlJc w:val="left"/>
      <w:pPr>
        <w:ind w:left="2935" w:hanging="360"/>
      </w:pPr>
    </w:lvl>
    <w:lvl w:ilvl="4" w:tplc="0C090019" w:tentative="1">
      <w:start w:val="1"/>
      <w:numFmt w:val="lowerLetter"/>
      <w:lvlText w:val="%5."/>
      <w:lvlJc w:val="left"/>
      <w:pPr>
        <w:ind w:left="3655" w:hanging="360"/>
      </w:pPr>
    </w:lvl>
    <w:lvl w:ilvl="5" w:tplc="0C09001B" w:tentative="1">
      <w:start w:val="1"/>
      <w:numFmt w:val="lowerRoman"/>
      <w:lvlText w:val="%6."/>
      <w:lvlJc w:val="right"/>
      <w:pPr>
        <w:ind w:left="4375" w:hanging="180"/>
      </w:pPr>
    </w:lvl>
    <w:lvl w:ilvl="6" w:tplc="0C09000F" w:tentative="1">
      <w:start w:val="1"/>
      <w:numFmt w:val="decimal"/>
      <w:lvlText w:val="%7."/>
      <w:lvlJc w:val="left"/>
      <w:pPr>
        <w:ind w:left="5095" w:hanging="360"/>
      </w:pPr>
    </w:lvl>
    <w:lvl w:ilvl="7" w:tplc="0C090019" w:tentative="1">
      <w:start w:val="1"/>
      <w:numFmt w:val="lowerLetter"/>
      <w:lvlText w:val="%8."/>
      <w:lvlJc w:val="left"/>
      <w:pPr>
        <w:ind w:left="5815" w:hanging="360"/>
      </w:pPr>
    </w:lvl>
    <w:lvl w:ilvl="8" w:tplc="0C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448F5813"/>
    <w:multiLevelType w:val="hybridMultilevel"/>
    <w:tmpl w:val="3D729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D15E3"/>
    <w:multiLevelType w:val="hybridMultilevel"/>
    <w:tmpl w:val="0C206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2196D"/>
    <w:multiLevelType w:val="hybridMultilevel"/>
    <w:tmpl w:val="4D4E0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C3"/>
    <w:rsid w:val="000257B6"/>
    <w:rsid w:val="000311E4"/>
    <w:rsid w:val="0003664C"/>
    <w:rsid w:val="00037C1C"/>
    <w:rsid w:val="000536A0"/>
    <w:rsid w:val="00065A5E"/>
    <w:rsid w:val="000C2E91"/>
    <w:rsid w:val="000F3CF7"/>
    <w:rsid w:val="00103B26"/>
    <w:rsid w:val="00164314"/>
    <w:rsid w:val="001F1AA0"/>
    <w:rsid w:val="002402DA"/>
    <w:rsid w:val="00271BCB"/>
    <w:rsid w:val="002B07AE"/>
    <w:rsid w:val="002B1DC8"/>
    <w:rsid w:val="002C3888"/>
    <w:rsid w:val="002D2B8D"/>
    <w:rsid w:val="0032668B"/>
    <w:rsid w:val="003460F1"/>
    <w:rsid w:val="00355C8B"/>
    <w:rsid w:val="003B430A"/>
    <w:rsid w:val="003C1A8E"/>
    <w:rsid w:val="00482DBE"/>
    <w:rsid w:val="004E37E2"/>
    <w:rsid w:val="004F1812"/>
    <w:rsid w:val="00543B92"/>
    <w:rsid w:val="0058502E"/>
    <w:rsid w:val="00590B85"/>
    <w:rsid w:val="005A3A51"/>
    <w:rsid w:val="005A52E4"/>
    <w:rsid w:val="005C4711"/>
    <w:rsid w:val="0064751C"/>
    <w:rsid w:val="00685AF9"/>
    <w:rsid w:val="006D6DA4"/>
    <w:rsid w:val="006E3872"/>
    <w:rsid w:val="007A4FB7"/>
    <w:rsid w:val="00882CD5"/>
    <w:rsid w:val="008A4DF8"/>
    <w:rsid w:val="008F19D5"/>
    <w:rsid w:val="008F3215"/>
    <w:rsid w:val="00937F3A"/>
    <w:rsid w:val="00945626"/>
    <w:rsid w:val="00963E90"/>
    <w:rsid w:val="00984EAA"/>
    <w:rsid w:val="009B5D1B"/>
    <w:rsid w:val="009D543C"/>
    <w:rsid w:val="009F40CB"/>
    <w:rsid w:val="00A04DEC"/>
    <w:rsid w:val="00A34F21"/>
    <w:rsid w:val="00A4366E"/>
    <w:rsid w:val="00BA01D8"/>
    <w:rsid w:val="00BA678E"/>
    <w:rsid w:val="00BB50EE"/>
    <w:rsid w:val="00BC1822"/>
    <w:rsid w:val="00BE2D71"/>
    <w:rsid w:val="00C052DB"/>
    <w:rsid w:val="00C14797"/>
    <w:rsid w:val="00C61498"/>
    <w:rsid w:val="00C62B5C"/>
    <w:rsid w:val="00C7019F"/>
    <w:rsid w:val="00C853DE"/>
    <w:rsid w:val="00CF73DD"/>
    <w:rsid w:val="00D551C3"/>
    <w:rsid w:val="00D5572E"/>
    <w:rsid w:val="00D55AE0"/>
    <w:rsid w:val="00E03131"/>
    <w:rsid w:val="00E379C3"/>
    <w:rsid w:val="00E421D6"/>
    <w:rsid w:val="00EC0609"/>
    <w:rsid w:val="00EF3956"/>
    <w:rsid w:val="00F57D33"/>
    <w:rsid w:val="00F670DD"/>
    <w:rsid w:val="00F7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26268E"/>
  <w15:chartTrackingRefBased/>
  <w15:docId w15:val="{18FDB2D1-291B-47CB-AA8B-C073806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1C3"/>
    <w:pPr>
      <w:spacing w:before="120" w:after="160" w:line="259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77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498"/>
    <w:pPr>
      <w:keepNext/>
      <w:keepLines/>
      <w:spacing w:before="240" w:after="120"/>
      <w:outlineLvl w:val="1"/>
    </w:pPr>
    <w:rPr>
      <w:rFonts w:eastAsiaTheme="majorEastAsia" w:cstheme="majorBidi"/>
      <w:b/>
      <w:color w:val="00677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1C3"/>
    <w:pPr>
      <w:keepNext/>
      <w:keepLines/>
      <w:spacing w:before="240" w:after="0"/>
      <w:outlineLvl w:val="2"/>
    </w:pPr>
    <w:rPr>
      <w:rFonts w:eastAsiaTheme="majorEastAsia" w:cstheme="majorBidi"/>
      <w:color w:val="00444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1498"/>
    <w:rPr>
      <w:rFonts w:ascii="Arial" w:eastAsiaTheme="majorEastAsia" w:hAnsi="Arial" w:cstheme="majorBidi"/>
      <w:b/>
      <w:color w:val="00677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51C3"/>
    <w:rPr>
      <w:rFonts w:ascii="Arial" w:eastAsiaTheme="majorEastAsia" w:hAnsi="Arial" w:cstheme="majorBidi"/>
      <w:color w:val="00444A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1C3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1C3"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D551C3"/>
    <w:rPr>
      <w:color w:val="0070C0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1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37E2"/>
    <w:rPr>
      <w:rFonts w:asciiTheme="majorHAnsi" w:eastAsiaTheme="majorEastAsia" w:hAnsiTheme="majorHAnsi" w:cstheme="majorBidi"/>
      <w:color w:val="006770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E2D71"/>
    <w:rPr>
      <w:color w:val="B26B0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4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7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797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797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7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797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4797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4797"/>
    <w:rPr>
      <w:rFonts w:ascii="Arial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47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479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797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alth.gov.au/initiatives-and-programs/commonwealth-home-support-programme-chsp/commonwealth-home-support-programme-chsp-new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.gov.au/resources/publications/commonwealth-home-support-programme-chsp-payment-in-arrears-and-unit-pricing-fact-shee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omesupportpolicy@health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Staffing (i.e. high use of volunteers)</c:v>
                </c:pt>
                <c:pt idx="1">
                  <c:v>Level of service</c:v>
                </c:pt>
                <c:pt idx="2">
                  <c:v>Organisation size</c:v>
                </c:pt>
                <c:pt idx="3">
                  <c:v>Remoteness</c:v>
                </c:pt>
                <c:pt idx="4">
                  <c:v>Specialised services</c:v>
                </c:pt>
                <c:pt idx="5">
                  <c:v>Other 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0.45</c:v>
                </c:pt>
                <c:pt idx="1">
                  <c:v>0.42</c:v>
                </c:pt>
                <c:pt idx="2">
                  <c:v>0.41</c:v>
                </c:pt>
                <c:pt idx="3">
                  <c:v>0.39</c:v>
                </c:pt>
                <c:pt idx="4">
                  <c:v>0.32</c:v>
                </c:pt>
                <c:pt idx="5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83-42D0-AB39-B988BEEB1D4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97936608"/>
        <c:axId val="397934640"/>
      </c:barChart>
      <c:catAx>
        <c:axId val="397936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7934640"/>
        <c:crosses val="autoZero"/>
        <c:auto val="1"/>
        <c:lblAlgn val="ctr"/>
        <c:lblOffset val="100"/>
        <c:noMultiLvlLbl val="0"/>
      </c:catAx>
      <c:valAx>
        <c:axId val="39793464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7936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Sheet1!$B$11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Sheet1!$A$12:$A$21</c:f>
              <c:strCache>
                <c:ptCount val="10"/>
                <c:pt idx="0">
                  <c:v>Financial/cash flow</c:v>
                </c:pt>
                <c:pt idx="1">
                  <c:v>The cost of implementing the change e.g. IT and system upgrades, administration costs</c:v>
                </c:pt>
                <c:pt idx="2">
                  <c:v>Time restraints in facilitating payment in arrears mechanisms</c:v>
                </c:pt>
                <c:pt idx="3">
                  <c:v>Data collection and reporting processes</c:v>
                </c:pt>
                <c:pt idx="4">
                  <c:v>IT and systems changes</c:v>
                </c:pt>
                <c:pt idx="5">
                  <c:v>Business model changes</c:v>
                </c:pt>
                <c:pt idx="6">
                  <c:v>Impost on staffing and volunteers</c:v>
                </c:pt>
                <c:pt idx="7">
                  <c:v>Too much reform and change on the business operations</c:v>
                </c:pt>
                <c:pt idx="8">
                  <c:v>Change management and training support</c:v>
                </c:pt>
                <c:pt idx="9">
                  <c:v>Capability of leadership to implement the change</c:v>
                </c:pt>
              </c:strCache>
            </c:strRef>
          </c:cat>
          <c:val>
            <c:numRef>
              <c:f>Sheet1!$B$12:$B$21</c:f>
              <c:numCache>
                <c:formatCode>0%</c:formatCode>
                <c:ptCount val="10"/>
                <c:pt idx="0">
                  <c:v>0.78</c:v>
                </c:pt>
                <c:pt idx="1">
                  <c:v>0.62</c:v>
                </c:pt>
                <c:pt idx="2">
                  <c:v>0.61</c:v>
                </c:pt>
                <c:pt idx="3">
                  <c:v>0.57999999999999996</c:v>
                </c:pt>
                <c:pt idx="4">
                  <c:v>0.56000000000000005</c:v>
                </c:pt>
                <c:pt idx="5">
                  <c:v>0.52</c:v>
                </c:pt>
                <c:pt idx="6">
                  <c:v>0.51</c:v>
                </c:pt>
                <c:pt idx="7">
                  <c:v>0.36</c:v>
                </c:pt>
                <c:pt idx="8">
                  <c:v>0.36</c:v>
                </c:pt>
                <c:pt idx="9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82-4B2A-8DBB-230606255A7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98760552"/>
        <c:axId val="398761536"/>
      </c:barChart>
      <c:catAx>
        <c:axId val="398760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8761536"/>
        <c:crosses val="autoZero"/>
        <c:auto val="1"/>
        <c:lblAlgn val="ctr"/>
        <c:lblOffset val="100"/>
        <c:noMultiLvlLbl val="0"/>
      </c:catAx>
      <c:valAx>
        <c:axId val="39876153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8760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008A96"/>
      </a:accent1>
      <a:accent2>
        <a:srgbClr val="2683C6"/>
      </a:accent2>
      <a:accent3>
        <a:srgbClr val="27CED7"/>
      </a:accent3>
      <a:accent4>
        <a:srgbClr val="42BA97"/>
      </a:accent4>
      <a:accent5>
        <a:srgbClr val="008A96"/>
      </a:accent5>
      <a:accent6>
        <a:srgbClr val="62A39F"/>
      </a:accent6>
      <a:hlink>
        <a:srgbClr val="0070C0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BC255-0917-48EF-93A6-8EA62308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QUICK, Caroline</dc:creator>
  <cp:keywords/>
  <dc:description/>
  <cp:lastModifiedBy>BENEDETTI, Felicity</cp:lastModifiedBy>
  <cp:revision>3</cp:revision>
  <cp:lastPrinted>2021-09-07T05:18:00Z</cp:lastPrinted>
  <dcterms:created xsi:type="dcterms:W3CDTF">2021-09-16T02:19:00Z</dcterms:created>
  <dcterms:modified xsi:type="dcterms:W3CDTF">2021-09-16T02:23:00Z</dcterms:modified>
</cp:coreProperties>
</file>