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EAE3" w14:textId="62F8BD6A" w:rsidR="00BA2732" w:rsidRPr="008D5812" w:rsidRDefault="00DA0409" w:rsidP="003D033A">
      <w:pPr>
        <w:pStyle w:val="Title"/>
        <w:rPr>
          <w:sz w:val="44"/>
          <w:szCs w:val="44"/>
        </w:rPr>
      </w:pPr>
      <w:r w:rsidRPr="008D5812">
        <w:rPr>
          <w:sz w:val="44"/>
          <w:szCs w:val="44"/>
        </w:rPr>
        <w:t>Aligning regulation across</w:t>
      </w:r>
      <w:r w:rsidR="007F1FFF" w:rsidRPr="008D5812">
        <w:rPr>
          <w:sz w:val="44"/>
          <w:szCs w:val="44"/>
        </w:rPr>
        <w:t xml:space="preserve"> </w:t>
      </w:r>
      <w:r w:rsidRPr="008D5812">
        <w:rPr>
          <w:sz w:val="44"/>
          <w:szCs w:val="44"/>
        </w:rPr>
        <w:t>care and support</w:t>
      </w:r>
    </w:p>
    <w:p w14:paraId="4995B73E" w14:textId="77777777" w:rsidR="008376E2" w:rsidRPr="008D5812" w:rsidRDefault="008376E2" w:rsidP="008376E2">
      <w:pPr>
        <w:pStyle w:val="Paragraphtext"/>
        <w:rPr>
          <w:sz w:val="44"/>
          <w:szCs w:val="44"/>
        </w:rPr>
        <w:sectPr w:rsidR="008376E2" w:rsidRPr="008D5812" w:rsidSect="002309BD">
          <w:footerReference w:type="default" r:id="rId11"/>
          <w:headerReference w:type="first" r:id="rId12"/>
          <w:pgSz w:w="11906" w:h="16838"/>
          <w:pgMar w:top="1134" w:right="1134" w:bottom="1134" w:left="1134" w:header="851" w:footer="709" w:gutter="0"/>
          <w:cols w:space="708"/>
          <w:titlePg/>
          <w:docGrid w:linePitch="360"/>
        </w:sectPr>
      </w:pPr>
    </w:p>
    <w:p w14:paraId="0FA3A8E2" w14:textId="77777777" w:rsidR="00FA02BB" w:rsidRPr="008D5812" w:rsidRDefault="00DA0409" w:rsidP="00DA0409">
      <w:pPr>
        <w:pStyle w:val="Heading2"/>
        <w:rPr>
          <w:sz w:val="28"/>
        </w:rPr>
      </w:pPr>
      <w:r w:rsidRPr="008D5812">
        <w:rPr>
          <w:sz w:val="28"/>
        </w:rPr>
        <w:t xml:space="preserve">Why is </w:t>
      </w:r>
      <w:r w:rsidR="00F80ADA" w:rsidRPr="008D5812">
        <w:rPr>
          <w:sz w:val="28"/>
        </w:rPr>
        <w:t>r</w:t>
      </w:r>
      <w:r w:rsidRPr="008D5812">
        <w:rPr>
          <w:sz w:val="28"/>
        </w:rPr>
        <w:t xml:space="preserve">egulatory </w:t>
      </w:r>
      <w:r w:rsidR="00F80ADA" w:rsidRPr="008D5812">
        <w:rPr>
          <w:sz w:val="28"/>
        </w:rPr>
        <w:t>a</w:t>
      </w:r>
      <w:r w:rsidRPr="008D5812">
        <w:rPr>
          <w:sz w:val="28"/>
        </w:rPr>
        <w:t>lignment important?</w:t>
      </w:r>
      <w:r w:rsidR="00FA02BB" w:rsidRPr="008D5812">
        <w:rPr>
          <w:sz w:val="28"/>
        </w:rPr>
        <w:t xml:space="preserve"> </w:t>
      </w:r>
    </w:p>
    <w:p w14:paraId="5645DE02" w14:textId="14575F98" w:rsidR="00FA02BB" w:rsidRPr="002309BD" w:rsidRDefault="00DA0409" w:rsidP="002309BD">
      <w:r w:rsidRPr="002309BD">
        <w:t>Similar services are provided across aged care, disability support and veterans’ care</w:t>
      </w:r>
      <w:r w:rsidR="0072752C" w:rsidRPr="002309BD">
        <w:t xml:space="preserve">. </w:t>
      </w:r>
      <w:r w:rsidR="008E4AB6" w:rsidRPr="002309BD">
        <w:t xml:space="preserve">It is estimated that </w:t>
      </w:r>
      <w:r w:rsidR="009C5C84" w:rsidRPr="002309BD">
        <w:t xml:space="preserve">approximately 36% of </w:t>
      </w:r>
      <w:r w:rsidR="004C225B" w:rsidRPr="002309BD">
        <w:t xml:space="preserve">aged care </w:t>
      </w:r>
      <w:r w:rsidR="009C5C84" w:rsidRPr="002309BD">
        <w:t xml:space="preserve">providers service </w:t>
      </w:r>
      <w:r w:rsidR="008E4AB6" w:rsidRPr="002309BD">
        <w:t xml:space="preserve">the </w:t>
      </w:r>
      <w:r w:rsidR="00C169E6" w:rsidRPr="002309BD">
        <w:t>cross</w:t>
      </w:r>
      <w:r w:rsidR="0084355A" w:rsidRPr="002309BD">
        <w:t>-</w:t>
      </w:r>
      <w:r w:rsidR="00C169E6" w:rsidRPr="002309BD">
        <w:t>sector market</w:t>
      </w:r>
      <w:r w:rsidR="008E4AB6" w:rsidRPr="002309BD">
        <w:t xml:space="preserve"> under </w:t>
      </w:r>
      <w:r w:rsidRPr="002309BD">
        <w:t xml:space="preserve">separate regulatory frameworks. While some differences across settings are appropriate, duplication in regulatory requirements is a barrier to </w:t>
      </w:r>
      <w:r w:rsidR="001D6052" w:rsidRPr="002309BD">
        <w:t xml:space="preserve">consistent quality and safety and </w:t>
      </w:r>
      <w:r w:rsidRPr="002309BD">
        <w:t>the o</w:t>
      </w:r>
      <w:r w:rsidR="0072752C" w:rsidRPr="002309BD">
        <w:t>verall efficiency of the market</w:t>
      </w:r>
      <w:r w:rsidRPr="002309BD">
        <w:t>. It inhibits providers from operating more seamlessly in delivering services across multiple programs, adds to costs and is a disincentive for market development and growth. Reform will seek to reduce the regulatory burden on providers while</w:t>
      </w:r>
      <w:r w:rsidR="00E37B34" w:rsidRPr="002309BD">
        <w:t xml:space="preserve"> strengthening</w:t>
      </w:r>
      <w:r w:rsidRPr="002309BD">
        <w:t xml:space="preserve"> protections </w:t>
      </w:r>
      <w:r w:rsidR="00E37B34" w:rsidRPr="002309BD">
        <w:t xml:space="preserve">to ensure </w:t>
      </w:r>
      <w:r w:rsidRPr="002309BD">
        <w:t xml:space="preserve">quality and safety </w:t>
      </w:r>
      <w:r w:rsidR="00E37B34" w:rsidRPr="002309BD">
        <w:t xml:space="preserve">for </w:t>
      </w:r>
      <w:r w:rsidRPr="002309BD">
        <w:t>participants and consumers.</w:t>
      </w:r>
    </w:p>
    <w:p w14:paraId="5162CA2B" w14:textId="77777777" w:rsidR="00DA0409" w:rsidRPr="008D5812" w:rsidRDefault="00DA0409" w:rsidP="00DA0409">
      <w:pPr>
        <w:pStyle w:val="Heading2"/>
        <w:rPr>
          <w:sz w:val="28"/>
        </w:rPr>
      </w:pPr>
      <w:r w:rsidRPr="008D5812">
        <w:rPr>
          <w:sz w:val="28"/>
        </w:rPr>
        <w:t>Approach for alignment</w:t>
      </w:r>
    </w:p>
    <w:p w14:paraId="55F2AC7C" w14:textId="3B014819" w:rsidR="00DA0409" w:rsidRPr="002309BD" w:rsidRDefault="00DA0409" w:rsidP="002309BD">
      <w:r w:rsidRPr="002309BD">
        <w:t xml:space="preserve">The 2021-22 Budget included </w:t>
      </w:r>
      <w:r w:rsidR="00057058" w:rsidRPr="002309BD">
        <w:t>measures to</w:t>
      </w:r>
      <w:r w:rsidRPr="002309BD">
        <w:t xml:space="preserve"> </w:t>
      </w:r>
      <w:r w:rsidR="00057058" w:rsidRPr="002309BD">
        <w:t>a</w:t>
      </w:r>
      <w:r w:rsidRPr="002309BD">
        <w:t>lign regulation across the care and support sectors. Th</w:t>
      </w:r>
      <w:r w:rsidR="00057058" w:rsidRPr="002309BD">
        <w:t>is include</w:t>
      </w:r>
      <w:r w:rsidR="00441C63" w:rsidRPr="002309BD">
        <w:t>s</w:t>
      </w:r>
      <w:r w:rsidR="00057058" w:rsidRPr="002309BD">
        <w:t xml:space="preserve"> activities regarding provider</w:t>
      </w:r>
      <w:r w:rsidR="00F87D7F" w:rsidRPr="002309BD">
        <w:t xml:space="preserve"> and</w:t>
      </w:r>
      <w:r w:rsidR="00057058" w:rsidRPr="002309BD">
        <w:t xml:space="preserve"> worker regulation.</w:t>
      </w:r>
      <w:r w:rsidR="00F87D7F" w:rsidRPr="002309BD">
        <w:t xml:space="preserve"> </w:t>
      </w:r>
      <w:r w:rsidR="00F070C5" w:rsidRPr="002309BD">
        <w:t>The</w:t>
      </w:r>
      <w:r w:rsidRPr="002309BD">
        <w:t xml:space="preserve"> regulatory alignment reform program across the </w:t>
      </w:r>
      <w:r w:rsidR="00EE5F8E" w:rsidRPr="002309BD">
        <w:t>National Disability Insurance Scheme (</w:t>
      </w:r>
      <w:r w:rsidRPr="002309BD">
        <w:t>NDIS</w:t>
      </w:r>
      <w:r w:rsidR="00EE5F8E" w:rsidRPr="002309BD">
        <w:t>)</w:t>
      </w:r>
      <w:r w:rsidRPr="002309BD">
        <w:t xml:space="preserve">, </w:t>
      </w:r>
      <w:r w:rsidR="00057058" w:rsidRPr="002309BD">
        <w:t xml:space="preserve">disability services, </w:t>
      </w:r>
      <w:r w:rsidRPr="002309BD">
        <w:t>aged care and veterans’ care</w:t>
      </w:r>
      <w:r w:rsidR="00F070C5" w:rsidRPr="002309BD">
        <w:t xml:space="preserve"> will take a staged approach.</w:t>
      </w:r>
      <w:r w:rsidRPr="002309BD">
        <w:t xml:space="preserve"> The first stage will incorporate stakeholder consultation, </w:t>
      </w:r>
      <w:proofErr w:type="gramStart"/>
      <w:r w:rsidRPr="002309BD">
        <w:t>evidence</w:t>
      </w:r>
      <w:proofErr w:type="gramEnd"/>
      <w:r w:rsidRPr="002309BD">
        <w:t xml:space="preserve"> and best practice to inform </w:t>
      </w:r>
      <w:r w:rsidR="00AC57E8" w:rsidRPr="002309BD">
        <w:t xml:space="preserve">areas for </w:t>
      </w:r>
      <w:r w:rsidRPr="002309BD">
        <w:t>alignment including:</w:t>
      </w:r>
    </w:p>
    <w:p w14:paraId="59CFFB38" w14:textId="7A726163" w:rsidR="00DA0409" w:rsidRPr="002309BD" w:rsidRDefault="00DA0409" w:rsidP="002309BD">
      <w:pPr>
        <w:pStyle w:val="ListParagraph"/>
        <w:numPr>
          <w:ilvl w:val="0"/>
          <w:numId w:val="28"/>
        </w:numPr>
      </w:pPr>
      <w:r w:rsidRPr="002309BD">
        <w:t>Amending legislation to improve sharing of regulatory data and intelligence between regulators and align compliance and enforcement powers</w:t>
      </w:r>
      <w:r w:rsidR="00210EE2" w:rsidRPr="002309BD">
        <w:t>.</w:t>
      </w:r>
    </w:p>
    <w:p w14:paraId="1AE57BF2" w14:textId="55DD1061" w:rsidR="00DA0409" w:rsidRPr="002309BD" w:rsidRDefault="00DA0409" w:rsidP="002309BD">
      <w:pPr>
        <w:pStyle w:val="ListParagraph"/>
        <w:numPr>
          <w:ilvl w:val="0"/>
          <w:numId w:val="28"/>
        </w:numPr>
      </w:pPr>
      <w:r w:rsidRPr="002309BD">
        <w:t>Exploring opportunities to align</w:t>
      </w:r>
      <w:r w:rsidR="00210EE2" w:rsidRPr="002309BD">
        <w:t xml:space="preserve"> </w:t>
      </w:r>
      <w:r w:rsidRPr="002309BD">
        <w:t>requirements for behaviour support and restrictive practices</w:t>
      </w:r>
      <w:r w:rsidR="00210EE2" w:rsidRPr="002309BD">
        <w:t>.</w:t>
      </w:r>
    </w:p>
    <w:p w14:paraId="70D0BC44" w14:textId="7072225D" w:rsidR="00DA0409" w:rsidRPr="002309BD" w:rsidRDefault="00DA0409" w:rsidP="002309BD">
      <w:pPr>
        <w:pStyle w:val="ListParagraph"/>
        <w:numPr>
          <w:ilvl w:val="0"/>
          <w:numId w:val="28"/>
        </w:numPr>
      </w:pPr>
      <w:r w:rsidRPr="002309BD">
        <w:t>Piloting integrated assessments/aud</w:t>
      </w:r>
      <w:r w:rsidR="0040068F" w:rsidRPr="002309BD">
        <w:t>its for aged care and the NDIS</w:t>
      </w:r>
      <w:r w:rsidR="00210EE2" w:rsidRPr="002309BD">
        <w:t>.</w:t>
      </w:r>
    </w:p>
    <w:p w14:paraId="12D3763D" w14:textId="7B015B6F" w:rsidR="00DA0409" w:rsidRPr="002309BD" w:rsidRDefault="00DA0409" w:rsidP="002309BD">
      <w:pPr>
        <w:pStyle w:val="ListParagraph"/>
        <w:numPr>
          <w:ilvl w:val="0"/>
          <w:numId w:val="28"/>
        </w:numPr>
      </w:pPr>
      <w:r w:rsidRPr="002309BD">
        <w:t>Review of standards, working towards shared core set of care and support standards.</w:t>
      </w:r>
    </w:p>
    <w:p w14:paraId="6661C4DB" w14:textId="554A0D1D" w:rsidR="00057058" w:rsidRPr="002309BD" w:rsidRDefault="00057058" w:rsidP="002309BD">
      <w:pPr>
        <w:pStyle w:val="ListParagraph"/>
        <w:numPr>
          <w:ilvl w:val="0"/>
          <w:numId w:val="28"/>
        </w:numPr>
      </w:pPr>
      <w:r w:rsidRPr="002309BD">
        <w:t xml:space="preserve">Analysing quality and safeguarding in grants, </w:t>
      </w:r>
      <w:proofErr w:type="gramStart"/>
      <w:r w:rsidRPr="002309BD">
        <w:t>procurement</w:t>
      </w:r>
      <w:proofErr w:type="gramEnd"/>
      <w:r w:rsidRPr="002309BD">
        <w:t xml:space="preserve"> and panels.</w:t>
      </w:r>
    </w:p>
    <w:p w14:paraId="5A50AD04" w14:textId="573828DE" w:rsidR="00D27CAC" w:rsidRPr="002309BD" w:rsidRDefault="00D27CAC" w:rsidP="002309BD">
      <w:pPr>
        <w:pStyle w:val="ListParagraph"/>
        <w:numPr>
          <w:ilvl w:val="0"/>
          <w:numId w:val="28"/>
        </w:numPr>
      </w:pPr>
      <w:r w:rsidRPr="002309BD">
        <w:t>Care and Support Worker Screening Check and a Code of Conduct.</w:t>
      </w:r>
    </w:p>
    <w:p w14:paraId="556BCD9D" w14:textId="5D8FDE03" w:rsidR="00DA0409" w:rsidRPr="002309BD" w:rsidRDefault="00F80ADA" w:rsidP="002309BD">
      <w:r w:rsidRPr="002309BD">
        <w:t>C</w:t>
      </w:r>
      <w:r w:rsidR="00DA0409" w:rsidRPr="002309BD">
        <w:t xml:space="preserve">are and support sector stakeholders </w:t>
      </w:r>
      <w:r w:rsidRPr="002309BD">
        <w:t xml:space="preserve">will be consulted </w:t>
      </w:r>
      <w:r w:rsidR="00DA0409" w:rsidRPr="002309BD">
        <w:t xml:space="preserve">on options for </w:t>
      </w:r>
      <w:proofErr w:type="gramStart"/>
      <w:r w:rsidR="00DA0409" w:rsidRPr="002309BD">
        <w:t>medium an</w:t>
      </w:r>
      <w:r w:rsidRPr="002309BD">
        <w:t>d longer term</w:t>
      </w:r>
      <w:proofErr w:type="gramEnd"/>
      <w:r w:rsidRPr="002309BD">
        <w:t xml:space="preserve"> regulatory</w:t>
      </w:r>
      <w:r w:rsidR="007F1FFF" w:rsidRPr="002309BD">
        <w:t xml:space="preserve"> alignment</w:t>
      </w:r>
      <w:r w:rsidRPr="002309BD">
        <w:t xml:space="preserve"> reform</w:t>
      </w:r>
      <w:r w:rsidR="00DA0409" w:rsidRPr="002309BD">
        <w:t>. The approach for alignment will be guided by an agreed set of principles:</w:t>
      </w:r>
    </w:p>
    <w:p w14:paraId="22E3F02D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 xml:space="preserve">uphold the rights of, and promote the health, safety and wellbeing of any person receiving services across the care and support sector </w:t>
      </w:r>
    </w:p>
    <w:p w14:paraId="1D81C15F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>align regulations where we can, unless there is a particular reason not to because of differences across settings</w:t>
      </w:r>
    </w:p>
    <w:p w14:paraId="15E416E2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>recognise there are strengths and opportunities for improvement in each sector</w:t>
      </w:r>
    </w:p>
    <w:p w14:paraId="6A4E8682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>create efficiencies in regulatory systems, and avoid duplication and unnecessary regulatory effort, while not diminishing protections for any Australians receiving care or supports</w:t>
      </w:r>
    </w:p>
    <w:p w14:paraId="618B2216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>be evidence-based, using best practice approaches that are proportionate to the level of risk</w:t>
      </w:r>
    </w:p>
    <w:p w14:paraId="31A77F4F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>ensure there are appropriate quality and safeguards protections in place for participants and consumers</w:t>
      </w:r>
    </w:p>
    <w:p w14:paraId="01CBC0F6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lastRenderedPageBreak/>
        <w:t>drive continuous improvement in provider and worker conduct and performance across the sectors</w:t>
      </w:r>
    </w:p>
    <w:p w14:paraId="00B646E2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 xml:space="preserve">promote equity and choice in service access and person-centred care and supports </w:t>
      </w:r>
    </w:p>
    <w:p w14:paraId="6BC9F157" w14:textId="77777777" w:rsidR="00A35D00" w:rsidRPr="002309BD" w:rsidRDefault="00A35D00" w:rsidP="002309BD">
      <w:pPr>
        <w:pStyle w:val="ListParagraph"/>
        <w:numPr>
          <w:ilvl w:val="0"/>
          <w:numId w:val="29"/>
        </w:numPr>
      </w:pPr>
      <w:r w:rsidRPr="002309BD">
        <w:t>implement a collaborative and innovative consultation approach.</w:t>
      </w:r>
    </w:p>
    <w:p w14:paraId="7D8F6565" w14:textId="6D8B1A50" w:rsidR="00F80ADA" w:rsidRPr="008D5812" w:rsidRDefault="00F80ADA" w:rsidP="00F80ADA">
      <w:pPr>
        <w:pStyle w:val="Heading2"/>
        <w:rPr>
          <w:sz w:val="28"/>
        </w:rPr>
      </w:pPr>
      <w:r w:rsidRPr="008D5812">
        <w:rPr>
          <w:sz w:val="28"/>
        </w:rPr>
        <w:t>What are the next steps?</w:t>
      </w:r>
      <w:r w:rsidR="00500846" w:rsidRPr="008D5812">
        <w:rPr>
          <w:sz w:val="28"/>
        </w:rPr>
        <w:t xml:space="preserve"> How do I find out more?</w:t>
      </w:r>
    </w:p>
    <w:p w14:paraId="271335FB" w14:textId="369C52DD" w:rsidR="008376E2" w:rsidRPr="002309BD" w:rsidRDefault="00F80ADA" w:rsidP="002309BD">
      <w:r w:rsidRPr="002309BD">
        <w:t>A consultation process is planned for later in 2021</w:t>
      </w:r>
      <w:r w:rsidR="007160FB" w:rsidRPr="002309BD">
        <w:t xml:space="preserve"> with</w:t>
      </w:r>
      <w:r w:rsidRPr="002309BD">
        <w:t xml:space="preserve"> opportunities for relevant stakeholders to help shape the </w:t>
      </w:r>
      <w:r w:rsidR="007F1FFF" w:rsidRPr="002309BD">
        <w:t xml:space="preserve">regulatory </w:t>
      </w:r>
      <w:r w:rsidRPr="002309BD">
        <w:t xml:space="preserve">alignment </w:t>
      </w:r>
      <w:r w:rsidR="007F1FFF" w:rsidRPr="002309BD">
        <w:t xml:space="preserve">reform </w:t>
      </w:r>
      <w:r w:rsidRPr="002309BD">
        <w:t>program.</w:t>
      </w:r>
      <w:r w:rsidR="00F87D7F" w:rsidRPr="002309BD">
        <w:t xml:space="preserve"> </w:t>
      </w:r>
      <w:r w:rsidR="00E878F9" w:rsidRPr="002309BD">
        <w:t>The Department of Health, Department of Social Services and Department of Veterans’ Affairs are leading the regulatory alignment reform program</w:t>
      </w:r>
      <w:r w:rsidR="00406E74" w:rsidRPr="002309BD">
        <w:t xml:space="preserve">. </w:t>
      </w:r>
      <w:r w:rsidR="00E878F9" w:rsidRPr="002309BD">
        <w:t xml:space="preserve">The work is supported by a cross agency taskforce hosted by the Department of Health. For further information, contact </w:t>
      </w:r>
      <w:hyperlink r:id="rId13" w:history="1">
        <w:r w:rsidR="00E878F9" w:rsidRPr="002309BD">
          <w:rPr>
            <w:rStyle w:val="Hyperlink"/>
          </w:rPr>
          <w:t>RegulatoryAlignmentTaskforce@health.gov.au</w:t>
        </w:r>
      </w:hyperlink>
      <w:r w:rsidR="00E878F9" w:rsidRPr="002309BD">
        <w:t xml:space="preserve"> </w:t>
      </w:r>
    </w:p>
    <w:sectPr w:rsidR="008376E2" w:rsidRPr="002309BD" w:rsidSect="002309BD">
      <w:headerReference w:type="even" r:id="rId14"/>
      <w:headerReference w:type="default" r:id="rId15"/>
      <w:headerReference w:type="first" r:id="rId16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1B2A7" w14:textId="77777777" w:rsidR="007B1D57" w:rsidRDefault="007B1D57" w:rsidP="006B56BB">
      <w:r>
        <w:separator/>
      </w:r>
    </w:p>
    <w:p w14:paraId="1DDF80D8" w14:textId="77777777" w:rsidR="007B1D57" w:rsidRDefault="007B1D57"/>
  </w:endnote>
  <w:endnote w:type="continuationSeparator" w:id="0">
    <w:p w14:paraId="231CEB0D" w14:textId="77777777" w:rsidR="007B1D57" w:rsidRDefault="007B1D57" w:rsidP="006B56BB">
      <w:r>
        <w:continuationSeparator/>
      </w:r>
    </w:p>
    <w:p w14:paraId="277215FC" w14:textId="77777777" w:rsidR="007B1D57" w:rsidRDefault="007B1D57"/>
  </w:endnote>
  <w:endnote w:type="continuationNotice" w:id="1">
    <w:p w14:paraId="59DAF06D" w14:textId="77777777" w:rsidR="007B1D57" w:rsidRDefault="007B1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1F75" w14:textId="68250398" w:rsidR="008D48C9" w:rsidRPr="003D033A" w:rsidRDefault="002309BD" w:rsidP="003D033A">
    <w:pPr>
      <w:pStyle w:val="Footer"/>
      <w:tabs>
        <w:tab w:val="clear" w:pos="4513"/>
      </w:tabs>
      <w:jc w:val="right"/>
      <w:rPr>
        <w:szCs w:val="20"/>
      </w:rPr>
    </w:pP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40068F">
          <w:rPr>
            <w:noProof/>
            <w:szCs w:val="20"/>
          </w:rPr>
          <w:t>2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F0DB8" w14:textId="77777777" w:rsidR="007B1D57" w:rsidRDefault="007B1D57" w:rsidP="006B56BB">
      <w:r>
        <w:separator/>
      </w:r>
    </w:p>
    <w:p w14:paraId="19DE20AA" w14:textId="77777777" w:rsidR="007B1D57" w:rsidRDefault="007B1D57"/>
  </w:footnote>
  <w:footnote w:type="continuationSeparator" w:id="0">
    <w:p w14:paraId="53359F9A" w14:textId="77777777" w:rsidR="007B1D57" w:rsidRDefault="007B1D57" w:rsidP="006B56BB">
      <w:r>
        <w:continuationSeparator/>
      </w:r>
    </w:p>
    <w:p w14:paraId="4B38B295" w14:textId="77777777" w:rsidR="007B1D57" w:rsidRDefault="007B1D57"/>
  </w:footnote>
  <w:footnote w:type="continuationNotice" w:id="1">
    <w:p w14:paraId="696CAD10" w14:textId="77777777" w:rsidR="007B1D57" w:rsidRDefault="007B1D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7809B" w14:textId="0AF88753" w:rsidR="008D48C9" w:rsidRDefault="0045083B">
    <w:pPr>
      <w:pStyle w:val="Header"/>
    </w:pPr>
    <w:r>
      <w:rPr>
        <w:noProof/>
        <w:lang w:eastAsia="en-AU"/>
      </w:rPr>
      <w:drawing>
        <wp:inline distT="0" distB="0" distL="0" distR="0" wp14:anchorId="20F52D8E" wp14:editId="78E158DB">
          <wp:extent cx="2206920" cy="569344"/>
          <wp:effectExtent l="0" t="0" r="3175" b="254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517" b="-3517"/>
                  <a:stretch/>
                </pic:blipFill>
                <pic:spPr bwMode="auto">
                  <a:xfrm>
                    <a:off x="0" y="0"/>
                    <a:ext cx="2271972" cy="586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7FD4C909" wp14:editId="2749E8E6">
          <wp:extent cx="5719424" cy="229331"/>
          <wp:effectExtent l="0" t="0" r="0" b="0"/>
          <wp:docPr id="34" name="Picture 34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902"/>
                  <a:stretch/>
                </pic:blipFill>
                <pic:spPr bwMode="auto">
                  <a:xfrm>
                    <a:off x="0" y="0"/>
                    <a:ext cx="5719424" cy="2293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F2E5F" w14:textId="35F48490" w:rsidR="000C6416" w:rsidRDefault="000C6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6DA8" w14:textId="008E53FF" w:rsidR="008E0C77" w:rsidRDefault="008E0C77" w:rsidP="008E0C77">
    <w:pPr>
      <w:pStyle w:val="Headertext"/>
      <w:spacing w:after="18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DC09" w14:textId="4895CD5F" w:rsidR="000C6416" w:rsidRDefault="000C6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7698D"/>
    <w:multiLevelType w:val="hybridMultilevel"/>
    <w:tmpl w:val="2D0216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F91"/>
    <w:multiLevelType w:val="hybridMultilevel"/>
    <w:tmpl w:val="1436C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93A"/>
    <w:multiLevelType w:val="hybridMultilevel"/>
    <w:tmpl w:val="7C540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6F43A9E"/>
    <w:multiLevelType w:val="hybridMultilevel"/>
    <w:tmpl w:val="E2300B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65F9F"/>
    <w:multiLevelType w:val="hybridMultilevel"/>
    <w:tmpl w:val="25E08C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70492"/>
    <w:multiLevelType w:val="hybridMultilevel"/>
    <w:tmpl w:val="F104B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F02CD4"/>
    <w:multiLevelType w:val="hybridMultilevel"/>
    <w:tmpl w:val="329C088A"/>
    <w:lvl w:ilvl="0" w:tplc="C97E7E0E">
      <w:start w:val="1"/>
      <w:numFmt w:val="decimal"/>
      <w:lvlText w:val="%1."/>
      <w:lvlJc w:val="left"/>
      <w:pPr>
        <w:ind w:left="5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48" w:hanging="360"/>
      </w:pPr>
    </w:lvl>
    <w:lvl w:ilvl="2" w:tplc="0C09001B" w:tentative="1">
      <w:start w:val="1"/>
      <w:numFmt w:val="lowerRoman"/>
      <w:lvlText w:val="%3."/>
      <w:lvlJc w:val="right"/>
      <w:pPr>
        <w:ind w:left="1668" w:hanging="180"/>
      </w:pPr>
    </w:lvl>
    <w:lvl w:ilvl="3" w:tplc="0C09000F" w:tentative="1">
      <w:start w:val="1"/>
      <w:numFmt w:val="decimal"/>
      <w:lvlText w:val="%4."/>
      <w:lvlJc w:val="left"/>
      <w:pPr>
        <w:ind w:left="2388" w:hanging="360"/>
      </w:pPr>
    </w:lvl>
    <w:lvl w:ilvl="4" w:tplc="0C090019" w:tentative="1">
      <w:start w:val="1"/>
      <w:numFmt w:val="lowerLetter"/>
      <w:lvlText w:val="%5."/>
      <w:lvlJc w:val="left"/>
      <w:pPr>
        <w:ind w:left="3108" w:hanging="360"/>
      </w:pPr>
    </w:lvl>
    <w:lvl w:ilvl="5" w:tplc="0C09001B" w:tentative="1">
      <w:start w:val="1"/>
      <w:numFmt w:val="lowerRoman"/>
      <w:lvlText w:val="%6."/>
      <w:lvlJc w:val="right"/>
      <w:pPr>
        <w:ind w:left="3828" w:hanging="180"/>
      </w:pPr>
    </w:lvl>
    <w:lvl w:ilvl="6" w:tplc="0C09000F" w:tentative="1">
      <w:start w:val="1"/>
      <w:numFmt w:val="decimal"/>
      <w:lvlText w:val="%7."/>
      <w:lvlJc w:val="left"/>
      <w:pPr>
        <w:ind w:left="4548" w:hanging="360"/>
      </w:pPr>
    </w:lvl>
    <w:lvl w:ilvl="7" w:tplc="0C090019" w:tentative="1">
      <w:start w:val="1"/>
      <w:numFmt w:val="lowerLetter"/>
      <w:lvlText w:val="%8."/>
      <w:lvlJc w:val="left"/>
      <w:pPr>
        <w:ind w:left="5268" w:hanging="360"/>
      </w:pPr>
    </w:lvl>
    <w:lvl w:ilvl="8" w:tplc="0C0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22" w15:restartNumberingAfterBreak="0">
    <w:nsid w:val="56B472FE"/>
    <w:multiLevelType w:val="hybridMultilevel"/>
    <w:tmpl w:val="950A3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96EAC"/>
    <w:multiLevelType w:val="hybridMultilevel"/>
    <w:tmpl w:val="015EE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F6F4E"/>
    <w:multiLevelType w:val="hybridMultilevel"/>
    <w:tmpl w:val="473298BE"/>
    <w:lvl w:ilvl="0" w:tplc="C97E7E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5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6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7"/>
  </w:num>
  <w:num w:numId="17">
    <w:abstractNumId w:val="10"/>
  </w:num>
  <w:num w:numId="18">
    <w:abstractNumId w:val="11"/>
  </w:num>
  <w:num w:numId="19">
    <w:abstractNumId w:val="15"/>
  </w:num>
  <w:num w:numId="20">
    <w:abstractNumId w:val="23"/>
  </w:num>
  <w:num w:numId="21">
    <w:abstractNumId w:val="18"/>
  </w:num>
  <w:num w:numId="22">
    <w:abstractNumId w:val="26"/>
  </w:num>
  <w:num w:numId="23">
    <w:abstractNumId w:val="22"/>
  </w:num>
  <w:num w:numId="24">
    <w:abstractNumId w:val="21"/>
  </w:num>
  <w:num w:numId="25">
    <w:abstractNumId w:val="17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54"/>
    <w:rsid w:val="00001F0F"/>
    <w:rsid w:val="00003743"/>
    <w:rsid w:val="000047B4"/>
    <w:rsid w:val="00005712"/>
    <w:rsid w:val="00007FD8"/>
    <w:rsid w:val="00010A9E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7058"/>
    <w:rsid w:val="00067456"/>
    <w:rsid w:val="00071506"/>
    <w:rsid w:val="0007154F"/>
    <w:rsid w:val="00081AB1"/>
    <w:rsid w:val="0008560F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C6416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2C17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6052"/>
    <w:rsid w:val="001D7869"/>
    <w:rsid w:val="001F7649"/>
    <w:rsid w:val="002026CD"/>
    <w:rsid w:val="002033FC"/>
    <w:rsid w:val="002044BB"/>
    <w:rsid w:val="0020769E"/>
    <w:rsid w:val="00210B09"/>
    <w:rsid w:val="00210C9E"/>
    <w:rsid w:val="00210EE2"/>
    <w:rsid w:val="00211840"/>
    <w:rsid w:val="00220E5F"/>
    <w:rsid w:val="002212B5"/>
    <w:rsid w:val="00226668"/>
    <w:rsid w:val="002309BD"/>
    <w:rsid w:val="00233809"/>
    <w:rsid w:val="00240046"/>
    <w:rsid w:val="0024797F"/>
    <w:rsid w:val="0025119E"/>
    <w:rsid w:val="00251269"/>
    <w:rsid w:val="002535C0"/>
    <w:rsid w:val="002579FE"/>
    <w:rsid w:val="00261CC1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584C"/>
    <w:rsid w:val="002B20E6"/>
    <w:rsid w:val="002B42A3"/>
    <w:rsid w:val="002C030E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68F"/>
    <w:rsid w:val="00400F00"/>
    <w:rsid w:val="00404F8B"/>
    <w:rsid w:val="00405256"/>
    <w:rsid w:val="00406E74"/>
    <w:rsid w:val="00410031"/>
    <w:rsid w:val="00415C81"/>
    <w:rsid w:val="00432378"/>
    <w:rsid w:val="00440D65"/>
    <w:rsid w:val="00441C63"/>
    <w:rsid w:val="004435E6"/>
    <w:rsid w:val="00447E31"/>
    <w:rsid w:val="0045083B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225B"/>
    <w:rsid w:val="004C6BCF"/>
    <w:rsid w:val="004C7104"/>
    <w:rsid w:val="004D58BF"/>
    <w:rsid w:val="004E4335"/>
    <w:rsid w:val="004E4B90"/>
    <w:rsid w:val="004F13EE"/>
    <w:rsid w:val="004F2022"/>
    <w:rsid w:val="004F7C05"/>
    <w:rsid w:val="00500846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B3068"/>
    <w:rsid w:val="005C5AEB"/>
    <w:rsid w:val="005E0A3F"/>
    <w:rsid w:val="005E2A3D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3E16"/>
    <w:rsid w:val="00657FF8"/>
    <w:rsid w:val="00664D07"/>
    <w:rsid w:val="00670D99"/>
    <w:rsid w:val="00670E2B"/>
    <w:rsid w:val="006734BB"/>
    <w:rsid w:val="0067697A"/>
    <w:rsid w:val="006821EB"/>
    <w:rsid w:val="006A3339"/>
    <w:rsid w:val="006B2286"/>
    <w:rsid w:val="006B56BB"/>
    <w:rsid w:val="006C6E9E"/>
    <w:rsid w:val="006C77A8"/>
    <w:rsid w:val="006D4098"/>
    <w:rsid w:val="006D7681"/>
    <w:rsid w:val="006D7B2E"/>
    <w:rsid w:val="006E02EA"/>
    <w:rsid w:val="006E0968"/>
    <w:rsid w:val="006E2AF6"/>
    <w:rsid w:val="006E7212"/>
    <w:rsid w:val="00701275"/>
    <w:rsid w:val="00707F56"/>
    <w:rsid w:val="00713558"/>
    <w:rsid w:val="007160FB"/>
    <w:rsid w:val="00720D08"/>
    <w:rsid w:val="007263B9"/>
    <w:rsid w:val="0072752C"/>
    <w:rsid w:val="007334F8"/>
    <w:rsid w:val="007339CD"/>
    <w:rsid w:val="007359D8"/>
    <w:rsid w:val="007362D4"/>
    <w:rsid w:val="0076672A"/>
    <w:rsid w:val="00774927"/>
    <w:rsid w:val="00775E45"/>
    <w:rsid w:val="00776E74"/>
    <w:rsid w:val="00781D05"/>
    <w:rsid w:val="00785169"/>
    <w:rsid w:val="007954AB"/>
    <w:rsid w:val="007A14C5"/>
    <w:rsid w:val="007A4A10"/>
    <w:rsid w:val="007B1760"/>
    <w:rsid w:val="007B1D57"/>
    <w:rsid w:val="007C1FDC"/>
    <w:rsid w:val="007C6D9C"/>
    <w:rsid w:val="007C7DDB"/>
    <w:rsid w:val="007D2CC7"/>
    <w:rsid w:val="007D673D"/>
    <w:rsid w:val="007E4D09"/>
    <w:rsid w:val="007F1FFF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4355A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1D53"/>
    <w:rsid w:val="008A7438"/>
    <w:rsid w:val="008B1334"/>
    <w:rsid w:val="008B25C7"/>
    <w:rsid w:val="008C0278"/>
    <w:rsid w:val="008C24E9"/>
    <w:rsid w:val="008D0533"/>
    <w:rsid w:val="008D42CB"/>
    <w:rsid w:val="008D48C9"/>
    <w:rsid w:val="008D5812"/>
    <w:rsid w:val="008D6381"/>
    <w:rsid w:val="008E0C77"/>
    <w:rsid w:val="008E4AB6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1235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5C84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5D00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C57E8"/>
    <w:rsid w:val="00AD05E6"/>
    <w:rsid w:val="00AD0D3F"/>
    <w:rsid w:val="00AE1D7D"/>
    <w:rsid w:val="00AE2A8B"/>
    <w:rsid w:val="00AE33F7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01A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69E6"/>
    <w:rsid w:val="00C209C5"/>
    <w:rsid w:val="00C2176E"/>
    <w:rsid w:val="00C23430"/>
    <w:rsid w:val="00C27D67"/>
    <w:rsid w:val="00C4631F"/>
    <w:rsid w:val="00C47CDE"/>
    <w:rsid w:val="00C50E16"/>
    <w:rsid w:val="00C55258"/>
    <w:rsid w:val="00C73054"/>
    <w:rsid w:val="00C754BC"/>
    <w:rsid w:val="00C82EEB"/>
    <w:rsid w:val="00C971DC"/>
    <w:rsid w:val="00CA16B7"/>
    <w:rsid w:val="00CA62AE"/>
    <w:rsid w:val="00CB5B1A"/>
    <w:rsid w:val="00CC220B"/>
    <w:rsid w:val="00CC5C43"/>
    <w:rsid w:val="00CD02AE"/>
    <w:rsid w:val="00CD08D0"/>
    <w:rsid w:val="00CD2A4F"/>
    <w:rsid w:val="00CE03CA"/>
    <w:rsid w:val="00CE22F1"/>
    <w:rsid w:val="00CE50F2"/>
    <w:rsid w:val="00CE6502"/>
    <w:rsid w:val="00CF7D3C"/>
    <w:rsid w:val="00D01F09"/>
    <w:rsid w:val="00D147EB"/>
    <w:rsid w:val="00D27CAC"/>
    <w:rsid w:val="00D30EC0"/>
    <w:rsid w:val="00D34667"/>
    <w:rsid w:val="00D401E1"/>
    <w:rsid w:val="00D408B4"/>
    <w:rsid w:val="00D524C8"/>
    <w:rsid w:val="00D70E24"/>
    <w:rsid w:val="00D72B61"/>
    <w:rsid w:val="00DA0409"/>
    <w:rsid w:val="00DA3D1D"/>
    <w:rsid w:val="00DB4296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0B"/>
    <w:rsid w:val="00E22443"/>
    <w:rsid w:val="00E27FEA"/>
    <w:rsid w:val="00E37B34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1643"/>
    <w:rsid w:val="00E72E9B"/>
    <w:rsid w:val="00E850C3"/>
    <w:rsid w:val="00E878F9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259D"/>
    <w:rsid w:val="00EE3E8A"/>
    <w:rsid w:val="00EE5F8E"/>
    <w:rsid w:val="00EF58B8"/>
    <w:rsid w:val="00EF6ECA"/>
    <w:rsid w:val="00F024E1"/>
    <w:rsid w:val="00F06C10"/>
    <w:rsid w:val="00F070C5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80ADA"/>
    <w:rsid w:val="00F87D7F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07AD2E"/>
  <w15:docId w15:val="{D8D841F6-F109-4B53-8BD7-B426153E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309BD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1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6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60F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0F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16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0FB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E878F9"/>
    <w:rPr>
      <w:rFonts w:ascii="Arial" w:hAnsi="Arial" w:cs="Arial"/>
      <w:bCs/>
      <w:iCs/>
      <w:color w:val="358189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ulatoryAlignmentTaskforce@healt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AC56B-0F0B-450C-9E28-A950BBD90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7EEC40-2461-4695-8FAE-E68076A48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Aligning regulation across care and support</dc:title>
  <dc:subject>Aged care; Disability</dc:subject>
  <dc:creator>Australian Government Department of Health</dc:creator>
  <cp:keywords>aged care; disability support; veterans' care</cp:keywords>
  <cp:lastModifiedBy>MCCAY, Meryl</cp:lastModifiedBy>
  <cp:revision>2</cp:revision>
  <dcterms:created xsi:type="dcterms:W3CDTF">2021-09-23T03:40:00Z</dcterms:created>
  <dcterms:modified xsi:type="dcterms:W3CDTF">2021-09-23T03:40:00Z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0x010100A6AE5D55D2855249BDE6284DECF3A812</vt:lpwstr>
  </property>
</Properties>
</file>