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D800E" w14:textId="02E652C5" w:rsidR="00490362" w:rsidRPr="00E63C21" w:rsidRDefault="00E63C21" w:rsidP="00E63C21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63C21">
        <w:rPr>
          <w:rFonts w:asciiTheme="minorHAnsi" w:hAnsiTheme="minorHAnsi" w:cstheme="minorHAnsi"/>
          <w:b/>
          <w:bCs/>
          <w:sz w:val="40"/>
          <w:szCs w:val="40"/>
        </w:rPr>
        <w:t>FACTSHEET</w:t>
      </w:r>
    </w:p>
    <w:p w14:paraId="2A7D8C6E" w14:textId="0F792643" w:rsidR="00666F2A" w:rsidRPr="00FF7DFF" w:rsidRDefault="00666F2A" w:rsidP="00666F2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FF7DF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31CFF7A9" w14:textId="4B93389F" w:rsidR="00D81688" w:rsidRPr="00E63C21" w:rsidRDefault="007B32A4" w:rsidP="00E63C21">
      <w:pPr>
        <w:spacing w:after="0" w:line="240" w:lineRule="auto"/>
        <w:ind w:right="-472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Trial of </w:t>
      </w:r>
      <w:r w:rsidR="005A50D9">
        <w:rPr>
          <w:rFonts w:cstheme="minorHAnsi"/>
          <w:b/>
          <w:bCs/>
          <w:sz w:val="32"/>
          <w:szCs w:val="32"/>
        </w:rPr>
        <w:t>n</w:t>
      </w:r>
      <w:r w:rsidR="00D81688" w:rsidRPr="00E63C21">
        <w:rPr>
          <w:rFonts w:cstheme="minorHAnsi"/>
          <w:b/>
          <w:bCs/>
          <w:sz w:val="32"/>
          <w:szCs w:val="32"/>
        </w:rPr>
        <w:t>ational</w:t>
      </w:r>
      <w:r w:rsidR="00E63C21" w:rsidRPr="00E63C21">
        <w:rPr>
          <w:rFonts w:cstheme="minorHAnsi"/>
          <w:b/>
          <w:bCs/>
          <w:sz w:val="32"/>
          <w:szCs w:val="32"/>
        </w:rPr>
        <w:t xml:space="preserve"> provider of </w:t>
      </w:r>
      <w:r w:rsidR="00F82B23" w:rsidRPr="00E63C21">
        <w:rPr>
          <w:rFonts w:cstheme="minorHAnsi"/>
          <w:b/>
          <w:bCs/>
          <w:sz w:val="32"/>
          <w:szCs w:val="32"/>
        </w:rPr>
        <w:t xml:space="preserve">Goods Equipment and Assistive Technology (GEAT) under the Commonwealth Home Support Programme </w:t>
      </w:r>
    </w:p>
    <w:p w14:paraId="20D06726" w14:textId="77777777" w:rsidR="00490362" w:rsidRPr="00490362" w:rsidRDefault="00490362" w:rsidP="004903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713962" w14:textId="67D678CF" w:rsidR="00DE0B90" w:rsidRDefault="00DE0B90" w:rsidP="000B7781">
      <w:pPr>
        <w:pStyle w:val="ListParagraph"/>
        <w:numPr>
          <w:ilvl w:val="0"/>
          <w:numId w:val="10"/>
        </w:num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What will the national GEAT provider do?</w:t>
      </w:r>
    </w:p>
    <w:p w14:paraId="6F9FF535" w14:textId="77777777" w:rsidR="00E5418C" w:rsidRDefault="00E5418C" w:rsidP="00DE0B90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07F5615F" w14:textId="35D96261" w:rsidR="00DE0B90" w:rsidRDefault="00DE0B90" w:rsidP="00DE0B90">
      <w:pPr>
        <w:pStyle w:val="ListParagraph"/>
        <w:ind w:left="0" w:right="-18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national </w:t>
      </w:r>
      <w:r w:rsidRPr="00DE0B90">
        <w:rPr>
          <w:rFonts w:cstheme="minorHAnsi"/>
          <w:bCs/>
          <w:sz w:val="24"/>
          <w:szCs w:val="24"/>
        </w:rPr>
        <w:t>GEAT provider</w:t>
      </w:r>
      <w:r>
        <w:rPr>
          <w:rFonts w:cstheme="minorHAnsi"/>
          <w:bCs/>
          <w:sz w:val="24"/>
          <w:szCs w:val="24"/>
        </w:rPr>
        <w:t xml:space="preserve"> will supply, install and maintain a </w:t>
      </w:r>
      <w:r w:rsidRPr="00E5418C">
        <w:rPr>
          <w:rFonts w:cstheme="minorHAnsi"/>
          <w:bCs/>
          <w:sz w:val="24"/>
          <w:szCs w:val="24"/>
          <w:u w:val="single"/>
        </w:rPr>
        <w:t>full range</w:t>
      </w:r>
      <w:r>
        <w:rPr>
          <w:rFonts w:cstheme="minorHAnsi"/>
          <w:bCs/>
          <w:sz w:val="24"/>
          <w:szCs w:val="24"/>
        </w:rPr>
        <w:t xml:space="preserve"> of </w:t>
      </w:r>
      <w:r w:rsidRPr="00DE0B90">
        <w:rPr>
          <w:rFonts w:cstheme="minorHAnsi"/>
          <w:bCs/>
          <w:sz w:val="24"/>
          <w:szCs w:val="24"/>
        </w:rPr>
        <w:t xml:space="preserve">Goods, Equipment and Assistive Technologies </w:t>
      </w:r>
      <w:r>
        <w:rPr>
          <w:rFonts w:cstheme="minorHAnsi"/>
          <w:bCs/>
          <w:sz w:val="24"/>
          <w:szCs w:val="24"/>
        </w:rPr>
        <w:t xml:space="preserve">to clients wherever they reside in Australia. </w:t>
      </w:r>
    </w:p>
    <w:p w14:paraId="399684C6" w14:textId="77777777" w:rsidR="00DE0B90" w:rsidRDefault="00DE0B90" w:rsidP="00DE0B90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42051705" w14:textId="6BCDC33F" w:rsidR="00DE0B90" w:rsidRDefault="00DE0B90" w:rsidP="00DE0B90">
      <w:pPr>
        <w:pStyle w:val="ListParagraph"/>
        <w:ind w:left="0" w:right="-18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availability </w:t>
      </w:r>
      <w:r w:rsidR="00887BBF">
        <w:rPr>
          <w:rFonts w:cstheme="minorHAnsi"/>
          <w:bCs/>
          <w:sz w:val="24"/>
          <w:szCs w:val="24"/>
        </w:rPr>
        <w:t xml:space="preserve">of </w:t>
      </w:r>
      <w:r>
        <w:rPr>
          <w:rFonts w:cstheme="minorHAnsi"/>
          <w:bCs/>
          <w:sz w:val="24"/>
          <w:szCs w:val="24"/>
        </w:rPr>
        <w:t>GEAT</w:t>
      </w:r>
      <w:r w:rsidR="00887BBF">
        <w:rPr>
          <w:rFonts w:cstheme="minorHAnsi"/>
          <w:bCs/>
          <w:sz w:val="24"/>
          <w:szCs w:val="24"/>
        </w:rPr>
        <w:t xml:space="preserve"> products will</w:t>
      </w:r>
      <w:r>
        <w:rPr>
          <w:rFonts w:cstheme="minorHAnsi"/>
          <w:bCs/>
          <w:sz w:val="24"/>
          <w:szCs w:val="24"/>
        </w:rPr>
        <w:t xml:space="preserve"> not be limited to </w:t>
      </w:r>
      <w:r w:rsidR="00887BBF">
        <w:rPr>
          <w:rFonts w:cstheme="minorHAnsi"/>
          <w:bCs/>
          <w:sz w:val="24"/>
          <w:szCs w:val="24"/>
        </w:rPr>
        <w:t xml:space="preserve">a </w:t>
      </w:r>
      <w:r>
        <w:rPr>
          <w:rFonts w:cstheme="minorHAnsi"/>
          <w:bCs/>
          <w:sz w:val="24"/>
          <w:szCs w:val="24"/>
        </w:rPr>
        <w:t xml:space="preserve">client’s </w:t>
      </w:r>
      <w:r w:rsidRPr="00DE0B90">
        <w:rPr>
          <w:rFonts w:cstheme="minorHAnsi"/>
          <w:bCs/>
          <w:sz w:val="24"/>
          <w:szCs w:val="24"/>
        </w:rPr>
        <w:t>Aged Care Planning Region</w:t>
      </w:r>
      <w:r w:rsidR="00384BBF">
        <w:rPr>
          <w:rFonts w:cstheme="minorHAnsi"/>
          <w:bCs/>
          <w:sz w:val="24"/>
          <w:szCs w:val="24"/>
        </w:rPr>
        <w:t xml:space="preserve"> (ACPR)</w:t>
      </w:r>
      <w:r>
        <w:rPr>
          <w:rFonts w:cstheme="minorHAnsi"/>
          <w:bCs/>
          <w:sz w:val="24"/>
          <w:szCs w:val="24"/>
        </w:rPr>
        <w:t xml:space="preserve">. </w:t>
      </w:r>
    </w:p>
    <w:p w14:paraId="4FC8374E" w14:textId="4EFE8912" w:rsidR="00564EBA" w:rsidRDefault="00564EBA" w:rsidP="00DE0B90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2F323DEC" w14:textId="456F58E5" w:rsidR="005A50D9" w:rsidRDefault="00564EBA" w:rsidP="00564EBA">
      <w:pPr>
        <w:pStyle w:val="ListParagraph"/>
        <w:ind w:left="0" w:right="-18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national GEAT provider is</w:t>
      </w:r>
      <w:r w:rsidR="005A50D9">
        <w:rPr>
          <w:rFonts w:cstheme="minorHAnsi"/>
          <w:bCs/>
          <w:sz w:val="24"/>
          <w:szCs w:val="24"/>
        </w:rPr>
        <w:t xml:space="preserve"> Indigo Australasia who will provide national GEAT under the outlet name </w:t>
      </w:r>
      <w:r w:rsidRPr="00564EBA">
        <w:rPr>
          <w:rFonts w:cstheme="minorHAnsi"/>
          <w:b/>
          <w:sz w:val="24"/>
          <w:szCs w:val="24"/>
        </w:rPr>
        <w:t>Australia</w:t>
      </w:r>
      <w:r w:rsidR="0027538B">
        <w:rPr>
          <w:rFonts w:cstheme="minorHAnsi"/>
          <w:b/>
          <w:sz w:val="24"/>
          <w:szCs w:val="24"/>
        </w:rPr>
        <w:t xml:space="preserve">n </w:t>
      </w:r>
      <w:r w:rsidRPr="00564EBA">
        <w:rPr>
          <w:rFonts w:cstheme="minorHAnsi"/>
          <w:b/>
          <w:sz w:val="24"/>
          <w:szCs w:val="24"/>
        </w:rPr>
        <w:t>GEAT2GO</w:t>
      </w:r>
      <w:r w:rsidR="005A50D9">
        <w:rPr>
          <w:rFonts w:cstheme="minorHAnsi"/>
          <w:bCs/>
          <w:sz w:val="24"/>
          <w:szCs w:val="24"/>
        </w:rPr>
        <w:t xml:space="preserve">. </w:t>
      </w:r>
    </w:p>
    <w:p w14:paraId="4CEF91B4" w14:textId="77777777" w:rsidR="005A50D9" w:rsidRDefault="005A50D9" w:rsidP="00564EBA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675E9AE6" w14:textId="5BB227AD" w:rsidR="00DE0B90" w:rsidRDefault="005A50D9" w:rsidP="005A50D9">
      <w:pPr>
        <w:pStyle w:val="ListParagraph"/>
        <w:ind w:left="0" w:right="-188"/>
        <w:rPr>
          <w:rFonts w:cstheme="minorHAnsi"/>
          <w:bCs/>
          <w:sz w:val="24"/>
          <w:szCs w:val="24"/>
        </w:rPr>
      </w:pPr>
      <w:r w:rsidRPr="005A50D9">
        <w:rPr>
          <w:rFonts w:cstheme="minorHAnsi"/>
          <w:b/>
          <w:sz w:val="24"/>
          <w:szCs w:val="24"/>
        </w:rPr>
        <w:t>Australia</w:t>
      </w:r>
      <w:r w:rsidR="0027538B">
        <w:rPr>
          <w:rFonts w:cstheme="minorHAnsi"/>
          <w:b/>
          <w:sz w:val="24"/>
          <w:szCs w:val="24"/>
        </w:rPr>
        <w:t>n</w:t>
      </w:r>
      <w:r w:rsidRPr="005A50D9">
        <w:rPr>
          <w:rFonts w:cstheme="minorHAnsi"/>
          <w:b/>
          <w:sz w:val="24"/>
          <w:szCs w:val="24"/>
        </w:rPr>
        <w:t xml:space="preserve"> GEAT2GO</w:t>
      </w:r>
      <w:r w:rsidRPr="005A50D9">
        <w:rPr>
          <w:rFonts w:cstheme="minorHAnsi"/>
          <w:bCs/>
          <w:sz w:val="24"/>
          <w:szCs w:val="24"/>
        </w:rPr>
        <w:t xml:space="preserve"> </w:t>
      </w:r>
      <w:r w:rsidR="00B6490C">
        <w:rPr>
          <w:rFonts w:cstheme="minorHAnsi"/>
          <w:bCs/>
          <w:sz w:val="24"/>
          <w:szCs w:val="24"/>
        </w:rPr>
        <w:t xml:space="preserve">will operate alongside current </w:t>
      </w:r>
      <w:r>
        <w:rPr>
          <w:rFonts w:cstheme="minorHAnsi"/>
          <w:bCs/>
          <w:sz w:val="24"/>
          <w:szCs w:val="24"/>
        </w:rPr>
        <w:t xml:space="preserve">CHSP </w:t>
      </w:r>
      <w:r w:rsidR="00B6490C">
        <w:rPr>
          <w:rFonts w:cstheme="minorHAnsi"/>
          <w:bCs/>
          <w:sz w:val="24"/>
          <w:szCs w:val="24"/>
        </w:rPr>
        <w:t xml:space="preserve">GEAT providers and under the </w:t>
      </w:r>
      <w:r w:rsidR="00DE0B90">
        <w:rPr>
          <w:rFonts w:cstheme="minorHAnsi"/>
          <w:bCs/>
          <w:sz w:val="24"/>
          <w:szCs w:val="24"/>
        </w:rPr>
        <w:t>same requirements for CHSP service</w:t>
      </w:r>
      <w:r>
        <w:rPr>
          <w:rFonts w:cstheme="minorHAnsi"/>
          <w:bCs/>
          <w:sz w:val="24"/>
          <w:szCs w:val="24"/>
        </w:rPr>
        <w:t>s</w:t>
      </w:r>
      <w:r w:rsidR="00DE0B90">
        <w:rPr>
          <w:rFonts w:cstheme="minorHAnsi"/>
          <w:bCs/>
          <w:sz w:val="24"/>
          <w:szCs w:val="24"/>
        </w:rPr>
        <w:t>.</w:t>
      </w:r>
      <w:r w:rsidR="00F6033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This includes providing </w:t>
      </w:r>
      <w:r w:rsidR="00A85C6C">
        <w:rPr>
          <w:rFonts w:cstheme="minorHAnsi"/>
          <w:bCs/>
          <w:sz w:val="24"/>
          <w:szCs w:val="24"/>
        </w:rPr>
        <w:t xml:space="preserve">complex goods </w:t>
      </w:r>
      <w:r>
        <w:rPr>
          <w:rFonts w:cstheme="minorHAnsi"/>
          <w:bCs/>
          <w:sz w:val="24"/>
          <w:szCs w:val="24"/>
        </w:rPr>
        <w:t xml:space="preserve">only </w:t>
      </w:r>
      <w:r w:rsidR="00A85C6C">
        <w:rPr>
          <w:rFonts w:cstheme="minorHAnsi"/>
          <w:bCs/>
          <w:sz w:val="24"/>
          <w:szCs w:val="24"/>
        </w:rPr>
        <w:t>if the referral has been made by an Occupational Therapist</w:t>
      </w:r>
      <w:r w:rsidR="00A8428B">
        <w:rPr>
          <w:rFonts w:cstheme="minorHAnsi"/>
          <w:bCs/>
          <w:sz w:val="24"/>
          <w:szCs w:val="24"/>
        </w:rPr>
        <w:t xml:space="preserve"> (OT)</w:t>
      </w:r>
      <w:r>
        <w:rPr>
          <w:rFonts w:cstheme="minorHAnsi"/>
          <w:bCs/>
          <w:sz w:val="24"/>
          <w:szCs w:val="24"/>
        </w:rPr>
        <w:t xml:space="preserve">. </w:t>
      </w:r>
      <w:r w:rsidR="00A85C6C">
        <w:rPr>
          <w:rFonts w:cstheme="minorHAnsi"/>
          <w:bCs/>
          <w:sz w:val="24"/>
          <w:szCs w:val="24"/>
        </w:rPr>
        <w:t xml:space="preserve"> </w:t>
      </w:r>
    </w:p>
    <w:p w14:paraId="18F99B4C" w14:textId="77777777" w:rsidR="00A85C6C" w:rsidRPr="00DE0B90" w:rsidRDefault="00A85C6C" w:rsidP="00DE0B90">
      <w:pPr>
        <w:pStyle w:val="ListParagraph"/>
        <w:ind w:left="0"/>
        <w:rPr>
          <w:rFonts w:cstheme="minorHAnsi"/>
          <w:bCs/>
          <w:sz w:val="24"/>
          <w:szCs w:val="24"/>
        </w:rPr>
      </w:pPr>
    </w:p>
    <w:p w14:paraId="248EC9B6" w14:textId="72F5D657" w:rsidR="000B7781" w:rsidRDefault="000B7781" w:rsidP="000B7781">
      <w:pPr>
        <w:pStyle w:val="ListParagraph"/>
        <w:numPr>
          <w:ilvl w:val="0"/>
          <w:numId w:val="10"/>
        </w:numPr>
        <w:ind w:left="36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What </w:t>
      </w:r>
      <w:r w:rsidR="00B6490C">
        <w:rPr>
          <w:rFonts w:cstheme="minorHAnsi"/>
          <w:b/>
          <w:bCs/>
          <w:sz w:val="24"/>
          <w:szCs w:val="24"/>
        </w:rPr>
        <w:t xml:space="preserve">will be different when I recommend </w:t>
      </w:r>
      <w:r>
        <w:rPr>
          <w:rFonts w:cstheme="minorHAnsi"/>
          <w:b/>
          <w:bCs/>
          <w:sz w:val="24"/>
          <w:szCs w:val="24"/>
        </w:rPr>
        <w:t>GEAT for my clients?</w:t>
      </w:r>
    </w:p>
    <w:p w14:paraId="607CF046" w14:textId="40954628" w:rsidR="00A8428B" w:rsidRDefault="00B6490C" w:rsidP="00A8428B">
      <w:pPr>
        <w:ind w:right="-472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Aged Care assessors will </w:t>
      </w:r>
      <w:r w:rsidR="00A8428B">
        <w:rPr>
          <w:rFonts w:cstheme="minorHAnsi"/>
          <w:bCs/>
          <w:sz w:val="24"/>
          <w:szCs w:val="24"/>
        </w:rPr>
        <w:t>see</w:t>
      </w:r>
      <w:r w:rsidR="005A50D9">
        <w:rPr>
          <w:rFonts w:cstheme="minorHAnsi"/>
          <w:bCs/>
          <w:sz w:val="24"/>
          <w:szCs w:val="24"/>
        </w:rPr>
        <w:t xml:space="preserve">, in most circumstances, </w:t>
      </w:r>
      <w:r w:rsidR="00A8428B">
        <w:rPr>
          <w:rFonts w:cstheme="minorHAnsi"/>
          <w:bCs/>
          <w:sz w:val="24"/>
          <w:szCs w:val="24"/>
        </w:rPr>
        <w:t xml:space="preserve">more than one GEAT provider in the search for GEAT services for your client. </w:t>
      </w:r>
    </w:p>
    <w:p w14:paraId="341AA88A" w14:textId="5CA8F38F" w:rsidR="00A8428B" w:rsidRDefault="00A8428B" w:rsidP="00A8428B">
      <w:pPr>
        <w:pStyle w:val="ListParagraph"/>
        <w:numPr>
          <w:ilvl w:val="0"/>
          <w:numId w:val="21"/>
        </w:numPr>
        <w:ind w:left="851" w:right="-755" w:hanging="425"/>
        <w:rPr>
          <w:rFonts w:cstheme="minorHAnsi"/>
          <w:bCs/>
          <w:sz w:val="24"/>
          <w:szCs w:val="24"/>
        </w:rPr>
      </w:pPr>
      <w:r w:rsidRPr="00951CAF">
        <w:rPr>
          <w:rFonts w:cstheme="minorHAnsi"/>
          <w:bCs/>
          <w:sz w:val="24"/>
          <w:szCs w:val="24"/>
        </w:rPr>
        <w:t>GEAT provider</w:t>
      </w:r>
      <w:r>
        <w:rPr>
          <w:rFonts w:cstheme="minorHAnsi"/>
          <w:bCs/>
          <w:sz w:val="24"/>
          <w:szCs w:val="24"/>
        </w:rPr>
        <w:t>/s</w:t>
      </w:r>
      <w:r w:rsidRPr="00951CAF">
        <w:rPr>
          <w:rFonts w:cstheme="minorHAnsi"/>
          <w:bCs/>
          <w:sz w:val="24"/>
          <w:szCs w:val="24"/>
        </w:rPr>
        <w:t xml:space="preserve"> in the client’s Aged Care Planning Region </w:t>
      </w:r>
      <w:r w:rsidRPr="00FB265E">
        <w:rPr>
          <w:rFonts w:cstheme="minorHAnsi"/>
          <w:bCs/>
          <w:sz w:val="24"/>
          <w:szCs w:val="24"/>
          <w:u w:val="single"/>
        </w:rPr>
        <w:t>AND</w:t>
      </w:r>
      <w:r w:rsidRPr="00951CAF">
        <w:rPr>
          <w:rFonts w:cstheme="minorHAnsi"/>
          <w:bCs/>
          <w:sz w:val="24"/>
          <w:szCs w:val="24"/>
        </w:rPr>
        <w:t xml:space="preserve"> </w:t>
      </w:r>
      <w:r w:rsidR="00564EBA" w:rsidRPr="005A50D9">
        <w:rPr>
          <w:rFonts w:cstheme="minorHAnsi"/>
          <w:b/>
          <w:sz w:val="24"/>
          <w:szCs w:val="24"/>
        </w:rPr>
        <w:t>Australia</w:t>
      </w:r>
      <w:r w:rsidR="0027538B">
        <w:rPr>
          <w:rFonts w:cstheme="minorHAnsi"/>
          <w:b/>
          <w:sz w:val="24"/>
          <w:szCs w:val="24"/>
        </w:rPr>
        <w:t>n</w:t>
      </w:r>
      <w:r w:rsidR="00564EBA" w:rsidRPr="005A50D9">
        <w:rPr>
          <w:rFonts w:cstheme="minorHAnsi"/>
          <w:b/>
          <w:sz w:val="24"/>
          <w:szCs w:val="24"/>
        </w:rPr>
        <w:t xml:space="preserve"> GEAT2GO</w:t>
      </w:r>
      <w:r w:rsidR="00564EBA">
        <w:rPr>
          <w:rFonts w:cstheme="minorHAnsi"/>
          <w:bCs/>
          <w:sz w:val="24"/>
          <w:szCs w:val="24"/>
        </w:rPr>
        <w:t>.</w:t>
      </w:r>
    </w:p>
    <w:p w14:paraId="3FD0DB24" w14:textId="6A47F829" w:rsidR="00951CAF" w:rsidRDefault="00B6490C" w:rsidP="005016C2">
      <w:r w:rsidRPr="00B6490C">
        <w:rPr>
          <w:rFonts w:cstheme="minorHAnsi"/>
          <w:bCs/>
          <w:sz w:val="24"/>
          <w:szCs w:val="24"/>
        </w:rPr>
        <w:t xml:space="preserve">The ability for a CHSP service provider to provide GEAT services to a client will </w:t>
      </w:r>
      <w:r w:rsidR="00913999">
        <w:rPr>
          <w:rFonts w:cstheme="minorHAnsi"/>
          <w:bCs/>
          <w:sz w:val="24"/>
          <w:szCs w:val="24"/>
        </w:rPr>
        <w:t xml:space="preserve">not change and continue to operate through </w:t>
      </w:r>
      <w:r w:rsidRPr="00B6490C">
        <w:rPr>
          <w:rFonts w:cstheme="minorHAnsi"/>
          <w:bCs/>
          <w:sz w:val="24"/>
          <w:szCs w:val="24"/>
        </w:rPr>
        <w:t xml:space="preserve">the existing Service Referral processes </w:t>
      </w:r>
      <w:r>
        <w:rPr>
          <w:rFonts w:cstheme="minorHAnsi"/>
          <w:bCs/>
          <w:sz w:val="24"/>
          <w:szCs w:val="24"/>
        </w:rPr>
        <w:t xml:space="preserve">in the </w:t>
      </w:r>
      <w:r w:rsidR="005A50D9">
        <w:rPr>
          <w:rFonts w:cstheme="minorHAnsi"/>
          <w:bCs/>
          <w:sz w:val="24"/>
          <w:szCs w:val="24"/>
        </w:rPr>
        <w:t xml:space="preserve">My Aged Care </w:t>
      </w:r>
      <w:r>
        <w:rPr>
          <w:rFonts w:cstheme="minorHAnsi"/>
          <w:bCs/>
          <w:sz w:val="24"/>
          <w:szCs w:val="24"/>
        </w:rPr>
        <w:t xml:space="preserve">Assessor Portal. </w:t>
      </w:r>
    </w:p>
    <w:p w14:paraId="56E15559" w14:textId="4D7E344F" w:rsidR="000B7781" w:rsidRDefault="000B7781" w:rsidP="000B7781">
      <w:pPr>
        <w:pStyle w:val="ListParagraph"/>
        <w:numPr>
          <w:ilvl w:val="0"/>
          <w:numId w:val="10"/>
        </w:numPr>
        <w:ind w:left="360"/>
        <w:rPr>
          <w:rFonts w:cstheme="minorHAnsi"/>
          <w:b/>
          <w:bCs/>
          <w:sz w:val="24"/>
          <w:szCs w:val="24"/>
        </w:rPr>
      </w:pPr>
      <w:r w:rsidRPr="000B7781">
        <w:rPr>
          <w:rFonts w:cstheme="minorHAnsi"/>
          <w:b/>
          <w:bCs/>
          <w:sz w:val="24"/>
          <w:szCs w:val="24"/>
        </w:rPr>
        <w:t xml:space="preserve">What </w:t>
      </w:r>
      <w:r w:rsidR="00C22EE3">
        <w:rPr>
          <w:rFonts w:cstheme="minorHAnsi"/>
          <w:b/>
          <w:bCs/>
          <w:sz w:val="24"/>
          <w:szCs w:val="24"/>
        </w:rPr>
        <w:t xml:space="preserve">is </w:t>
      </w:r>
      <w:r w:rsidRPr="000B7781">
        <w:rPr>
          <w:rFonts w:cstheme="minorHAnsi"/>
          <w:b/>
          <w:bCs/>
          <w:sz w:val="24"/>
          <w:szCs w:val="24"/>
        </w:rPr>
        <w:t xml:space="preserve">the reason for </w:t>
      </w:r>
      <w:r w:rsidR="00C22EE3">
        <w:rPr>
          <w:rFonts w:cstheme="minorHAnsi"/>
          <w:b/>
          <w:bCs/>
          <w:sz w:val="24"/>
          <w:szCs w:val="24"/>
        </w:rPr>
        <w:t>trialling a national GEAT provider</w:t>
      </w:r>
      <w:r w:rsidRPr="000B7781">
        <w:rPr>
          <w:rFonts w:cstheme="minorHAnsi"/>
          <w:b/>
          <w:bCs/>
          <w:sz w:val="24"/>
          <w:szCs w:val="24"/>
        </w:rPr>
        <w:t>?</w:t>
      </w:r>
    </w:p>
    <w:p w14:paraId="467626BE" w14:textId="77777777" w:rsidR="002A713A" w:rsidRDefault="002A713A" w:rsidP="005016C2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0C60DB9D" w14:textId="6BE8C380" w:rsidR="002A713A" w:rsidRDefault="00F369E7" w:rsidP="005016C2">
      <w:pPr>
        <w:pStyle w:val="ListParagraph"/>
        <w:ind w:left="0" w:right="-188"/>
        <w:rPr>
          <w:rFonts w:cstheme="minorHAnsi"/>
          <w:bCs/>
          <w:sz w:val="24"/>
          <w:szCs w:val="24"/>
        </w:rPr>
      </w:pPr>
      <w:r w:rsidRPr="00F369E7">
        <w:rPr>
          <w:rFonts w:cstheme="minorHAnsi"/>
          <w:bCs/>
          <w:sz w:val="24"/>
          <w:szCs w:val="24"/>
        </w:rPr>
        <w:t>To expand the availability of GEAT to older Australians</w:t>
      </w:r>
      <w:r w:rsidR="00A8428B">
        <w:rPr>
          <w:rFonts w:cstheme="minorHAnsi"/>
          <w:bCs/>
          <w:sz w:val="24"/>
          <w:szCs w:val="24"/>
        </w:rPr>
        <w:t xml:space="preserve"> and ensure national coverage of services</w:t>
      </w:r>
      <w:r w:rsidRPr="00F369E7">
        <w:rPr>
          <w:rFonts w:cstheme="minorHAnsi"/>
          <w:bCs/>
          <w:sz w:val="24"/>
          <w:szCs w:val="24"/>
        </w:rPr>
        <w:t>, the Depa</w:t>
      </w:r>
      <w:r>
        <w:rPr>
          <w:rFonts w:cstheme="minorHAnsi"/>
          <w:bCs/>
          <w:sz w:val="24"/>
          <w:szCs w:val="24"/>
        </w:rPr>
        <w:t xml:space="preserve">rtment </w:t>
      </w:r>
      <w:r w:rsidR="00172B91">
        <w:rPr>
          <w:rFonts w:cstheme="minorHAnsi"/>
          <w:bCs/>
          <w:sz w:val="24"/>
          <w:szCs w:val="24"/>
        </w:rPr>
        <w:t xml:space="preserve">tendered for </w:t>
      </w:r>
      <w:r w:rsidRPr="00FB265E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national provider of GEAT t</w:t>
      </w:r>
      <w:r w:rsidRPr="00F369E7">
        <w:rPr>
          <w:rFonts w:cstheme="minorHAnsi"/>
          <w:bCs/>
          <w:sz w:val="24"/>
          <w:szCs w:val="24"/>
        </w:rPr>
        <w:t>o test an alternative funding arrangement to grants.</w:t>
      </w:r>
      <w:r w:rsidR="00172B91" w:rsidRPr="00172B91">
        <w:rPr>
          <w:rFonts w:cstheme="minorHAnsi"/>
          <w:bCs/>
          <w:sz w:val="24"/>
          <w:szCs w:val="24"/>
        </w:rPr>
        <w:t xml:space="preserve"> </w:t>
      </w:r>
      <w:r w:rsidR="00172B91" w:rsidRPr="00913999">
        <w:rPr>
          <w:rFonts w:cstheme="minorHAnsi"/>
          <w:bCs/>
          <w:sz w:val="24"/>
          <w:szCs w:val="24"/>
        </w:rPr>
        <w:t>Th</w:t>
      </w:r>
      <w:r w:rsidR="00172B91">
        <w:rPr>
          <w:rFonts w:cstheme="minorHAnsi"/>
          <w:bCs/>
          <w:sz w:val="24"/>
          <w:szCs w:val="24"/>
        </w:rPr>
        <w:t xml:space="preserve">e aim </w:t>
      </w:r>
      <w:r w:rsidR="00172B91" w:rsidRPr="00913999">
        <w:rPr>
          <w:rFonts w:cstheme="minorHAnsi"/>
          <w:bCs/>
          <w:sz w:val="24"/>
          <w:szCs w:val="24"/>
        </w:rPr>
        <w:t xml:space="preserve">is </w:t>
      </w:r>
      <w:r w:rsidR="00E5418C">
        <w:rPr>
          <w:rFonts w:cstheme="minorHAnsi"/>
          <w:bCs/>
          <w:sz w:val="24"/>
          <w:szCs w:val="24"/>
        </w:rPr>
        <w:t>to c</w:t>
      </w:r>
      <w:r w:rsidR="00172B91" w:rsidRPr="00913999">
        <w:rPr>
          <w:rFonts w:cstheme="minorHAnsi"/>
          <w:bCs/>
          <w:sz w:val="24"/>
          <w:szCs w:val="24"/>
        </w:rPr>
        <w:t>los</w:t>
      </w:r>
      <w:r w:rsidR="00E5418C">
        <w:rPr>
          <w:rFonts w:cstheme="minorHAnsi"/>
          <w:bCs/>
          <w:sz w:val="24"/>
          <w:szCs w:val="24"/>
        </w:rPr>
        <w:t xml:space="preserve">e </w:t>
      </w:r>
      <w:r w:rsidR="00172B91" w:rsidRPr="00913999">
        <w:rPr>
          <w:rFonts w:cstheme="minorHAnsi"/>
          <w:bCs/>
          <w:sz w:val="24"/>
          <w:szCs w:val="24"/>
        </w:rPr>
        <w:t>GEAT service gaps, reduce wait times for clients (where an OT assessment is not required) and give increased options when sourcing GEAT services</w:t>
      </w:r>
      <w:r w:rsidR="00E5418C" w:rsidRPr="00E5418C">
        <w:rPr>
          <w:rFonts w:cstheme="minorHAnsi"/>
          <w:bCs/>
          <w:sz w:val="24"/>
          <w:szCs w:val="24"/>
        </w:rPr>
        <w:t xml:space="preserve"> </w:t>
      </w:r>
      <w:r w:rsidR="00E5418C">
        <w:rPr>
          <w:rFonts w:cstheme="minorHAnsi"/>
          <w:bCs/>
          <w:sz w:val="24"/>
          <w:szCs w:val="24"/>
        </w:rPr>
        <w:t xml:space="preserve">for your </w:t>
      </w:r>
      <w:r w:rsidR="00E5418C" w:rsidRPr="00913999">
        <w:rPr>
          <w:rFonts w:cstheme="minorHAnsi"/>
          <w:bCs/>
          <w:sz w:val="24"/>
          <w:szCs w:val="24"/>
        </w:rPr>
        <w:t>client</w:t>
      </w:r>
      <w:r w:rsidR="00172B91" w:rsidRPr="00913999">
        <w:rPr>
          <w:rFonts w:cstheme="minorHAnsi"/>
          <w:bCs/>
          <w:sz w:val="24"/>
          <w:szCs w:val="24"/>
        </w:rPr>
        <w:t>.</w:t>
      </w:r>
      <w:r w:rsidR="002A713A">
        <w:rPr>
          <w:rFonts w:cstheme="minorHAnsi"/>
          <w:bCs/>
          <w:sz w:val="24"/>
          <w:szCs w:val="24"/>
        </w:rPr>
        <w:t xml:space="preserve"> </w:t>
      </w:r>
    </w:p>
    <w:p w14:paraId="278405C9" w14:textId="77777777" w:rsidR="002A713A" w:rsidRDefault="002A713A" w:rsidP="005016C2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63BF8BEA" w14:textId="4AEE0F71" w:rsidR="000B7781" w:rsidRPr="000B7781" w:rsidRDefault="000B7781" w:rsidP="000B7781">
      <w:pPr>
        <w:pStyle w:val="ListParagraph"/>
        <w:numPr>
          <w:ilvl w:val="0"/>
          <w:numId w:val="10"/>
        </w:numPr>
        <w:ind w:left="360"/>
        <w:rPr>
          <w:rFonts w:cstheme="minorHAnsi"/>
          <w:b/>
          <w:bCs/>
          <w:sz w:val="24"/>
          <w:szCs w:val="24"/>
        </w:rPr>
      </w:pPr>
      <w:r w:rsidRPr="000B7781">
        <w:rPr>
          <w:rFonts w:cstheme="minorHAnsi"/>
          <w:b/>
          <w:bCs/>
          <w:sz w:val="24"/>
          <w:szCs w:val="24"/>
        </w:rPr>
        <w:t>When will this change occur?</w:t>
      </w:r>
    </w:p>
    <w:p w14:paraId="64D4E97B" w14:textId="77777777" w:rsidR="00564EBA" w:rsidRDefault="00564EBA" w:rsidP="00564EBA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7D3527BA" w14:textId="58949B60" w:rsidR="00564EBA" w:rsidRDefault="00564EBA" w:rsidP="00564EBA">
      <w:pPr>
        <w:pStyle w:val="ListParagraph"/>
        <w:ind w:left="0" w:right="-188"/>
        <w:rPr>
          <w:rFonts w:cstheme="minorHAnsi"/>
          <w:bCs/>
          <w:sz w:val="24"/>
          <w:szCs w:val="24"/>
        </w:rPr>
      </w:pPr>
      <w:r w:rsidRPr="00564EBA">
        <w:rPr>
          <w:rFonts w:cstheme="minorHAnsi"/>
          <w:bCs/>
          <w:sz w:val="24"/>
          <w:szCs w:val="24"/>
        </w:rPr>
        <w:t>Australia</w:t>
      </w:r>
      <w:r w:rsidR="0027538B">
        <w:rPr>
          <w:rFonts w:cstheme="minorHAnsi"/>
          <w:bCs/>
          <w:sz w:val="24"/>
          <w:szCs w:val="24"/>
        </w:rPr>
        <w:t>n</w:t>
      </w:r>
      <w:r w:rsidRPr="00564EBA">
        <w:rPr>
          <w:rFonts w:cstheme="minorHAnsi"/>
          <w:bCs/>
          <w:sz w:val="24"/>
          <w:szCs w:val="24"/>
        </w:rPr>
        <w:t xml:space="preserve"> GEAT2GO will be operational from Monday 16 August 2021.</w:t>
      </w:r>
    </w:p>
    <w:p w14:paraId="2AEE45B4" w14:textId="77777777" w:rsidR="00564EBA" w:rsidRPr="00564EBA" w:rsidRDefault="00564EBA" w:rsidP="00564EBA">
      <w:pPr>
        <w:pStyle w:val="ListParagraph"/>
        <w:ind w:left="0" w:right="-188"/>
        <w:rPr>
          <w:rFonts w:cstheme="minorHAnsi"/>
          <w:bCs/>
          <w:sz w:val="24"/>
          <w:szCs w:val="24"/>
        </w:rPr>
      </w:pPr>
    </w:p>
    <w:p w14:paraId="0FEEE0FC" w14:textId="788F4B45" w:rsidR="003C5A74" w:rsidRDefault="00E9074A" w:rsidP="008F2DD3">
      <w:pPr>
        <w:pStyle w:val="ListParagraph"/>
        <w:numPr>
          <w:ilvl w:val="0"/>
          <w:numId w:val="10"/>
        </w:num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Will the</w:t>
      </w:r>
      <w:r w:rsidR="000B7781">
        <w:rPr>
          <w:rFonts w:cstheme="minorHAnsi"/>
          <w:b/>
          <w:sz w:val="24"/>
          <w:szCs w:val="24"/>
        </w:rPr>
        <w:t xml:space="preserve"> process </w:t>
      </w:r>
      <w:r>
        <w:rPr>
          <w:rFonts w:cstheme="minorHAnsi"/>
          <w:b/>
          <w:sz w:val="24"/>
          <w:szCs w:val="24"/>
        </w:rPr>
        <w:t xml:space="preserve">be </w:t>
      </w:r>
      <w:r w:rsidR="000B7781">
        <w:rPr>
          <w:rFonts w:cstheme="minorHAnsi"/>
          <w:b/>
          <w:sz w:val="24"/>
          <w:szCs w:val="24"/>
        </w:rPr>
        <w:t xml:space="preserve">different </w:t>
      </w:r>
      <w:r>
        <w:rPr>
          <w:rFonts w:cstheme="minorHAnsi"/>
          <w:b/>
          <w:sz w:val="24"/>
          <w:szCs w:val="24"/>
        </w:rPr>
        <w:t>to how I currently source GEAT for my clients?</w:t>
      </w:r>
    </w:p>
    <w:p w14:paraId="6D4C9E0C" w14:textId="58199754" w:rsidR="001E19A9" w:rsidRDefault="005A50D9" w:rsidP="003C5A7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No. What you will have is an expanded choice of GEAT providers which will include </w:t>
      </w:r>
      <w:r w:rsidRPr="005A50D9">
        <w:rPr>
          <w:rFonts w:cstheme="minorHAnsi"/>
          <w:b/>
          <w:bCs/>
          <w:sz w:val="24"/>
          <w:szCs w:val="24"/>
        </w:rPr>
        <w:t>Australia</w:t>
      </w:r>
      <w:r w:rsidR="0027538B">
        <w:rPr>
          <w:rFonts w:cstheme="minorHAnsi"/>
          <w:b/>
          <w:bCs/>
          <w:sz w:val="24"/>
          <w:szCs w:val="24"/>
        </w:rPr>
        <w:t>n</w:t>
      </w:r>
      <w:r w:rsidR="00564EBA" w:rsidRPr="005A50D9">
        <w:rPr>
          <w:rFonts w:cstheme="minorHAnsi"/>
          <w:b/>
          <w:bCs/>
          <w:sz w:val="24"/>
          <w:szCs w:val="24"/>
        </w:rPr>
        <w:t xml:space="preserve"> GEAT2GO</w:t>
      </w:r>
      <w:r>
        <w:rPr>
          <w:rFonts w:cstheme="minorHAnsi"/>
          <w:sz w:val="24"/>
          <w:szCs w:val="24"/>
        </w:rPr>
        <w:t xml:space="preserve">. </w:t>
      </w:r>
    </w:p>
    <w:p w14:paraId="758BD878" w14:textId="68CF491B" w:rsidR="003C5A74" w:rsidRDefault="003C5A74" w:rsidP="000B7781">
      <w:pPr>
        <w:pStyle w:val="ListParagraph"/>
        <w:numPr>
          <w:ilvl w:val="0"/>
          <w:numId w:val="10"/>
        </w:numPr>
        <w:ind w:left="360"/>
        <w:rPr>
          <w:rFonts w:cstheme="minorHAnsi"/>
          <w:b/>
          <w:sz w:val="24"/>
          <w:szCs w:val="24"/>
        </w:rPr>
      </w:pPr>
      <w:r w:rsidRPr="00D81688">
        <w:rPr>
          <w:rFonts w:cstheme="minorHAnsi"/>
          <w:b/>
          <w:sz w:val="24"/>
          <w:szCs w:val="24"/>
        </w:rPr>
        <w:lastRenderedPageBreak/>
        <w:t xml:space="preserve">Do I have to use </w:t>
      </w:r>
      <w:r w:rsidR="006E3DE7">
        <w:rPr>
          <w:rFonts w:cstheme="minorHAnsi"/>
          <w:b/>
          <w:sz w:val="24"/>
          <w:szCs w:val="24"/>
        </w:rPr>
        <w:t>Australia</w:t>
      </w:r>
      <w:r w:rsidR="0027538B">
        <w:rPr>
          <w:rFonts w:cstheme="minorHAnsi"/>
          <w:b/>
          <w:sz w:val="24"/>
          <w:szCs w:val="24"/>
        </w:rPr>
        <w:t>n</w:t>
      </w:r>
      <w:r w:rsidR="006E3DE7">
        <w:rPr>
          <w:rFonts w:cstheme="minorHAnsi"/>
          <w:b/>
          <w:sz w:val="24"/>
          <w:szCs w:val="24"/>
        </w:rPr>
        <w:t xml:space="preserve"> GEAT2GO</w:t>
      </w:r>
      <w:r w:rsidRPr="00D81688">
        <w:rPr>
          <w:rFonts w:cstheme="minorHAnsi"/>
          <w:b/>
          <w:sz w:val="24"/>
          <w:szCs w:val="24"/>
        </w:rPr>
        <w:t xml:space="preserve"> provider if I know that I can successfully </w:t>
      </w:r>
      <w:r w:rsidR="00D81688">
        <w:rPr>
          <w:rFonts w:cstheme="minorHAnsi"/>
          <w:b/>
          <w:sz w:val="24"/>
          <w:szCs w:val="24"/>
        </w:rPr>
        <w:t>source GEAT from another provider?</w:t>
      </w:r>
    </w:p>
    <w:p w14:paraId="1B5F421A" w14:textId="7334779B" w:rsidR="00D81688" w:rsidRDefault="00D81688" w:rsidP="00D8168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No. You are under no obligation to use </w:t>
      </w:r>
      <w:r w:rsidR="006E3DE7">
        <w:rPr>
          <w:rFonts w:cstheme="minorHAnsi"/>
          <w:sz w:val="24"/>
          <w:szCs w:val="24"/>
        </w:rPr>
        <w:t xml:space="preserve">recommend </w:t>
      </w:r>
      <w:r w:rsidR="00564EBA" w:rsidRPr="006E3DE7">
        <w:rPr>
          <w:rFonts w:cstheme="minorHAnsi"/>
          <w:b/>
          <w:bCs/>
          <w:sz w:val="24"/>
          <w:szCs w:val="24"/>
        </w:rPr>
        <w:t>Australia</w:t>
      </w:r>
      <w:r w:rsidR="0027538B">
        <w:rPr>
          <w:rFonts w:cstheme="minorHAnsi"/>
          <w:b/>
          <w:bCs/>
          <w:sz w:val="24"/>
          <w:szCs w:val="24"/>
        </w:rPr>
        <w:t>n</w:t>
      </w:r>
      <w:r w:rsidR="00564EBA" w:rsidRPr="006E3DE7">
        <w:rPr>
          <w:rFonts w:cstheme="minorHAnsi"/>
          <w:b/>
          <w:bCs/>
          <w:sz w:val="24"/>
          <w:szCs w:val="24"/>
        </w:rPr>
        <w:t xml:space="preserve"> GEAT2GO</w:t>
      </w:r>
      <w:r>
        <w:rPr>
          <w:rFonts w:cstheme="minorHAnsi"/>
          <w:sz w:val="24"/>
          <w:szCs w:val="24"/>
        </w:rPr>
        <w:t>. The national GEAT provider has been established to give greater choice and increased opportunity to deliver GEAT Australia-wide</w:t>
      </w:r>
      <w:r w:rsidR="006E3DE7">
        <w:rPr>
          <w:rFonts w:cstheme="minorHAnsi"/>
          <w:sz w:val="24"/>
          <w:szCs w:val="24"/>
        </w:rPr>
        <w:t>, particularly in rural and remote areas</w:t>
      </w:r>
      <w:r>
        <w:rPr>
          <w:rFonts w:cstheme="minorHAnsi"/>
          <w:sz w:val="24"/>
          <w:szCs w:val="24"/>
        </w:rPr>
        <w:t>.</w:t>
      </w:r>
    </w:p>
    <w:p w14:paraId="136CF98E" w14:textId="5A05C9EB" w:rsidR="00490362" w:rsidRPr="00490362" w:rsidRDefault="00490362" w:rsidP="00490362">
      <w:pPr>
        <w:pStyle w:val="ListParagraph"/>
        <w:numPr>
          <w:ilvl w:val="0"/>
          <w:numId w:val="10"/>
        </w:numPr>
        <w:ind w:left="360"/>
        <w:rPr>
          <w:rFonts w:cstheme="minorHAnsi"/>
          <w:b/>
          <w:sz w:val="24"/>
          <w:szCs w:val="24"/>
        </w:rPr>
      </w:pPr>
      <w:r w:rsidRPr="00490362">
        <w:rPr>
          <w:rFonts w:cstheme="minorHAnsi"/>
          <w:b/>
          <w:sz w:val="24"/>
          <w:szCs w:val="24"/>
        </w:rPr>
        <w:t xml:space="preserve">What is the process for </w:t>
      </w:r>
      <w:r w:rsidR="00535FBA">
        <w:rPr>
          <w:rFonts w:cstheme="minorHAnsi"/>
          <w:b/>
          <w:sz w:val="24"/>
          <w:szCs w:val="24"/>
        </w:rPr>
        <w:t xml:space="preserve">recommending </w:t>
      </w:r>
      <w:r w:rsidRPr="00490362">
        <w:rPr>
          <w:rFonts w:cstheme="minorHAnsi"/>
          <w:b/>
          <w:sz w:val="24"/>
          <w:szCs w:val="24"/>
        </w:rPr>
        <w:t xml:space="preserve">complex GEAT </w:t>
      </w:r>
      <w:r w:rsidR="00535FBA">
        <w:rPr>
          <w:rFonts w:cstheme="minorHAnsi"/>
          <w:b/>
          <w:sz w:val="24"/>
          <w:szCs w:val="24"/>
        </w:rPr>
        <w:t>for a client</w:t>
      </w:r>
      <w:r w:rsidRPr="00490362">
        <w:rPr>
          <w:rFonts w:cstheme="minorHAnsi"/>
          <w:b/>
          <w:sz w:val="24"/>
          <w:szCs w:val="24"/>
        </w:rPr>
        <w:t>?</w:t>
      </w:r>
    </w:p>
    <w:p w14:paraId="56AE6918" w14:textId="27A8181F" w:rsidR="00490362" w:rsidRPr="00D81688" w:rsidRDefault="006E3DE7" w:rsidP="004903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</w:t>
      </w:r>
      <w:r w:rsidR="00535FBA">
        <w:rPr>
          <w:rFonts w:cstheme="minorHAnsi"/>
          <w:sz w:val="24"/>
          <w:szCs w:val="24"/>
        </w:rPr>
        <w:t xml:space="preserve">occupational therapist (OT) </w:t>
      </w:r>
      <w:r>
        <w:rPr>
          <w:rFonts w:cstheme="minorHAnsi"/>
          <w:sz w:val="24"/>
          <w:szCs w:val="24"/>
        </w:rPr>
        <w:t xml:space="preserve">is still required to assess clients for complex GEAT items. </w:t>
      </w:r>
      <w:r w:rsidR="00535FBA">
        <w:rPr>
          <w:rFonts w:cstheme="minorHAnsi"/>
          <w:sz w:val="24"/>
          <w:szCs w:val="24"/>
        </w:rPr>
        <w:t xml:space="preserve">This will ensure clients are matched with, and shown how to use, complex GEAT to meet their functional needs. </w:t>
      </w:r>
    </w:p>
    <w:p w14:paraId="778DB5EB" w14:textId="7A5FFF92" w:rsidR="00490362" w:rsidRPr="00490362" w:rsidRDefault="00490362" w:rsidP="00490362">
      <w:pPr>
        <w:pStyle w:val="ListParagraph"/>
        <w:numPr>
          <w:ilvl w:val="0"/>
          <w:numId w:val="10"/>
        </w:numPr>
        <w:ind w:left="360"/>
        <w:rPr>
          <w:rFonts w:cstheme="minorHAnsi"/>
          <w:b/>
          <w:sz w:val="24"/>
          <w:szCs w:val="24"/>
        </w:rPr>
      </w:pPr>
      <w:r w:rsidRPr="00490362">
        <w:rPr>
          <w:rFonts w:cstheme="minorHAnsi"/>
          <w:b/>
          <w:sz w:val="24"/>
          <w:szCs w:val="24"/>
        </w:rPr>
        <w:t>If the national GEAT provider’s head office or address is in another state or territory, can they still provide my client’s GEAT?</w:t>
      </w:r>
    </w:p>
    <w:p w14:paraId="4FDC83DE" w14:textId="7CC30CA5" w:rsidR="00490362" w:rsidRPr="00490362" w:rsidRDefault="00490362" w:rsidP="004903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Yes. </w:t>
      </w:r>
      <w:r w:rsidR="006D108E">
        <w:rPr>
          <w:rFonts w:cstheme="minorHAnsi"/>
          <w:sz w:val="24"/>
          <w:szCs w:val="24"/>
        </w:rPr>
        <w:t xml:space="preserve"> The national provider has </w:t>
      </w:r>
      <w:r>
        <w:rPr>
          <w:rFonts w:cstheme="minorHAnsi"/>
          <w:sz w:val="24"/>
          <w:szCs w:val="24"/>
        </w:rPr>
        <w:t xml:space="preserve">been contracted to supply </w:t>
      </w:r>
      <w:r w:rsidR="00E5418C">
        <w:rPr>
          <w:rFonts w:cstheme="minorHAnsi"/>
          <w:sz w:val="24"/>
          <w:szCs w:val="24"/>
        </w:rPr>
        <w:t xml:space="preserve">and deliver </w:t>
      </w:r>
      <w:r>
        <w:rPr>
          <w:rFonts w:cstheme="minorHAnsi"/>
          <w:sz w:val="24"/>
          <w:szCs w:val="24"/>
        </w:rPr>
        <w:t xml:space="preserve">GEAT to </w:t>
      </w:r>
      <w:r w:rsidR="00535FBA">
        <w:rPr>
          <w:rFonts w:cstheme="minorHAnsi"/>
          <w:sz w:val="24"/>
          <w:szCs w:val="24"/>
        </w:rPr>
        <w:t xml:space="preserve">all </w:t>
      </w:r>
      <w:r w:rsidR="005016C2">
        <w:rPr>
          <w:rFonts w:cstheme="minorHAnsi"/>
          <w:sz w:val="24"/>
          <w:szCs w:val="24"/>
        </w:rPr>
        <w:t>Aged Care Planning R</w:t>
      </w:r>
      <w:r>
        <w:rPr>
          <w:rFonts w:cstheme="minorHAnsi"/>
          <w:sz w:val="24"/>
          <w:szCs w:val="24"/>
        </w:rPr>
        <w:t xml:space="preserve">egions and </w:t>
      </w:r>
      <w:r w:rsidR="005016C2">
        <w:rPr>
          <w:rFonts w:cstheme="minorHAnsi"/>
          <w:sz w:val="24"/>
          <w:szCs w:val="24"/>
        </w:rPr>
        <w:t xml:space="preserve">service areas </w:t>
      </w:r>
      <w:r>
        <w:rPr>
          <w:rFonts w:cstheme="minorHAnsi"/>
          <w:sz w:val="24"/>
          <w:szCs w:val="24"/>
        </w:rPr>
        <w:t>in Australia</w:t>
      </w:r>
      <w:r w:rsidR="00E5418C">
        <w:rPr>
          <w:rFonts w:cstheme="minorHAnsi"/>
          <w:sz w:val="24"/>
          <w:szCs w:val="24"/>
        </w:rPr>
        <w:t xml:space="preserve"> including </w:t>
      </w:r>
      <w:r>
        <w:rPr>
          <w:rFonts w:cstheme="minorHAnsi"/>
          <w:sz w:val="24"/>
          <w:szCs w:val="24"/>
        </w:rPr>
        <w:t>regional and remote areas.</w:t>
      </w:r>
    </w:p>
    <w:p w14:paraId="14FA95A7" w14:textId="5235355A" w:rsidR="00922E39" w:rsidRDefault="00922E39" w:rsidP="00922E39">
      <w:pPr>
        <w:pStyle w:val="ListParagraph"/>
        <w:numPr>
          <w:ilvl w:val="0"/>
          <w:numId w:val="10"/>
        </w:numPr>
        <w:ind w:left="426" w:hanging="426"/>
        <w:rPr>
          <w:rFonts w:cstheme="minorHAnsi"/>
          <w:b/>
          <w:sz w:val="24"/>
          <w:szCs w:val="24"/>
        </w:rPr>
      </w:pPr>
      <w:r w:rsidRPr="00922E39">
        <w:rPr>
          <w:rFonts w:cstheme="minorHAnsi"/>
          <w:b/>
          <w:sz w:val="24"/>
          <w:szCs w:val="24"/>
        </w:rPr>
        <w:t>How do I contact you if I have any questions?</w:t>
      </w:r>
    </w:p>
    <w:p w14:paraId="5E4CA625" w14:textId="3EDD7D9B" w:rsidR="00564EBA" w:rsidRPr="00564EBA" w:rsidRDefault="00564EBA" w:rsidP="00564EBA">
      <w:pPr>
        <w:rPr>
          <w:rFonts w:cstheme="minorHAnsi"/>
          <w:bCs/>
          <w:sz w:val="24"/>
          <w:szCs w:val="24"/>
        </w:rPr>
      </w:pPr>
      <w:r w:rsidRPr="00564EBA">
        <w:rPr>
          <w:rFonts w:cstheme="minorHAnsi"/>
          <w:bCs/>
          <w:sz w:val="24"/>
          <w:szCs w:val="24"/>
        </w:rPr>
        <w:t>The Australia</w:t>
      </w:r>
      <w:r w:rsidR="0027538B">
        <w:rPr>
          <w:rFonts w:cstheme="minorHAnsi"/>
          <w:bCs/>
          <w:sz w:val="24"/>
          <w:szCs w:val="24"/>
        </w:rPr>
        <w:t>n</w:t>
      </w:r>
      <w:r w:rsidRPr="00564EBA">
        <w:rPr>
          <w:rFonts w:cstheme="minorHAnsi"/>
          <w:bCs/>
          <w:sz w:val="24"/>
          <w:szCs w:val="24"/>
        </w:rPr>
        <w:t xml:space="preserve"> GEAT2GO contact number is 1800 518 218. It will be operational from Monday 16 August 2021 between the hours of 9.00 am and 6.00 pm </w:t>
      </w:r>
      <w:r w:rsidR="00535FBA">
        <w:rPr>
          <w:rFonts w:cstheme="minorHAnsi"/>
          <w:bCs/>
          <w:sz w:val="24"/>
          <w:szCs w:val="24"/>
        </w:rPr>
        <w:t>(</w:t>
      </w:r>
      <w:r w:rsidRPr="00564EBA">
        <w:rPr>
          <w:rFonts w:cstheme="minorHAnsi"/>
          <w:bCs/>
          <w:sz w:val="24"/>
          <w:szCs w:val="24"/>
        </w:rPr>
        <w:t>AEST</w:t>
      </w:r>
      <w:r w:rsidR="00535FBA">
        <w:rPr>
          <w:rFonts w:cstheme="minorHAnsi"/>
          <w:bCs/>
          <w:sz w:val="24"/>
          <w:szCs w:val="24"/>
        </w:rPr>
        <w:t>)</w:t>
      </w:r>
      <w:r w:rsidRPr="00564EBA">
        <w:rPr>
          <w:rFonts w:cstheme="minorHAnsi"/>
          <w:bCs/>
          <w:sz w:val="24"/>
          <w:szCs w:val="24"/>
        </w:rPr>
        <w:t>.</w:t>
      </w:r>
    </w:p>
    <w:p w14:paraId="0397C742" w14:textId="5984E7C1" w:rsidR="00922E39" w:rsidRPr="00922E39" w:rsidRDefault="00922E39" w:rsidP="00922E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can</w:t>
      </w:r>
      <w:r w:rsidR="00564EBA">
        <w:rPr>
          <w:rFonts w:cstheme="minorHAnsi"/>
          <w:sz w:val="24"/>
          <w:szCs w:val="24"/>
        </w:rPr>
        <w:t xml:space="preserve"> also</w:t>
      </w:r>
      <w:r>
        <w:rPr>
          <w:rFonts w:cstheme="minorHAnsi"/>
          <w:sz w:val="24"/>
          <w:szCs w:val="24"/>
        </w:rPr>
        <w:t xml:space="preserve"> email</w:t>
      </w:r>
      <w:r w:rsidR="00535FBA">
        <w:rPr>
          <w:rFonts w:cstheme="minorHAnsi"/>
          <w:sz w:val="24"/>
          <w:szCs w:val="24"/>
        </w:rPr>
        <w:t xml:space="preserve"> the department </w:t>
      </w:r>
      <w:r>
        <w:rPr>
          <w:rFonts w:cstheme="minorHAnsi"/>
          <w:sz w:val="24"/>
          <w:szCs w:val="24"/>
        </w:rPr>
        <w:t xml:space="preserve">at </w:t>
      </w:r>
      <w:hyperlink r:id="rId5" w:history="1">
        <w:r w:rsidRPr="00FE2CD2">
          <w:rPr>
            <w:rStyle w:val="Hyperlink"/>
            <w:rFonts w:cstheme="minorHAnsi"/>
            <w:sz w:val="24"/>
            <w:szCs w:val="24"/>
          </w:rPr>
          <w:t>HomeSupportPolicy@health.gov.au</w:t>
        </w:r>
      </w:hyperlink>
    </w:p>
    <w:p w14:paraId="3802CB02" w14:textId="77777777" w:rsidR="00922E39" w:rsidRDefault="00922E39" w:rsidP="00D81688">
      <w:pPr>
        <w:rPr>
          <w:rFonts w:cstheme="minorHAnsi"/>
          <w:sz w:val="24"/>
          <w:szCs w:val="24"/>
        </w:rPr>
      </w:pPr>
    </w:p>
    <w:p w14:paraId="52A6F002" w14:textId="2943D7EB" w:rsidR="00E9074A" w:rsidRPr="00FF7DFF" w:rsidRDefault="00E9074A" w:rsidP="00D81688">
      <w:pPr>
        <w:rPr>
          <w:rFonts w:cstheme="minorHAnsi"/>
          <w:sz w:val="24"/>
          <w:szCs w:val="24"/>
        </w:rPr>
      </w:pPr>
    </w:p>
    <w:sectPr w:rsidR="00E9074A" w:rsidRPr="00FF7DFF" w:rsidSect="006E3DE7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63A"/>
    <w:multiLevelType w:val="hybridMultilevel"/>
    <w:tmpl w:val="30C44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BF4"/>
    <w:multiLevelType w:val="hybridMultilevel"/>
    <w:tmpl w:val="0B2E3F0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B1BA1"/>
    <w:multiLevelType w:val="singleLevel"/>
    <w:tmpl w:val="828A67B2"/>
    <w:lvl w:ilvl="0">
      <w:numFmt w:val="none"/>
      <w:pStyle w:val="BodyText1"/>
      <w:lvlText w:val=""/>
      <w:legacy w:legacy="1" w:legacySpace="0" w:legacyIndent="0"/>
      <w:lvlJc w:val="left"/>
      <w:pPr>
        <w:ind w:left="851" w:firstLine="0"/>
      </w:pPr>
      <w:rPr>
        <w:rFonts w:ascii="Times New Roman" w:hAnsi="Times New Roman" w:hint="default"/>
      </w:rPr>
    </w:lvl>
  </w:abstractNum>
  <w:abstractNum w:abstractNumId="3" w15:restartNumberingAfterBreak="0">
    <w:nsid w:val="1AC5357A"/>
    <w:multiLevelType w:val="hybridMultilevel"/>
    <w:tmpl w:val="F596014A"/>
    <w:lvl w:ilvl="0" w:tplc="6096F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7539"/>
    <w:multiLevelType w:val="hybridMultilevel"/>
    <w:tmpl w:val="8550E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23420"/>
    <w:multiLevelType w:val="hybridMultilevel"/>
    <w:tmpl w:val="7D3E3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33852"/>
    <w:multiLevelType w:val="hybridMultilevel"/>
    <w:tmpl w:val="B37AFFEC"/>
    <w:lvl w:ilvl="0" w:tplc="6096F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0A12"/>
    <w:multiLevelType w:val="hybridMultilevel"/>
    <w:tmpl w:val="EF88D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0961"/>
    <w:multiLevelType w:val="hybridMultilevel"/>
    <w:tmpl w:val="05E6A8BC"/>
    <w:lvl w:ilvl="0" w:tplc="18D62124">
      <w:numFmt w:val="bullet"/>
      <w:lvlText w:val="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F4F5A"/>
    <w:multiLevelType w:val="hybridMultilevel"/>
    <w:tmpl w:val="118C6F4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E77D02"/>
    <w:multiLevelType w:val="hybridMultilevel"/>
    <w:tmpl w:val="14929EAA"/>
    <w:lvl w:ilvl="0" w:tplc="193C6AC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A50BE"/>
    <w:multiLevelType w:val="hybridMultilevel"/>
    <w:tmpl w:val="FB2673A2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AFEC7156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  <w:b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404E3473"/>
    <w:multiLevelType w:val="hybridMultilevel"/>
    <w:tmpl w:val="FD8818CE"/>
    <w:lvl w:ilvl="0" w:tplc="193C6AC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8749F"/>
    <w:multiLevelType w:val="hybridMultilevel"/>
    <w:tmpl w:val="744AC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F62D9"/>
    <w:multiLevelType w:val="hybridMultilevel"/>
    <w:tmpl w:val="FA5C405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D16F4E"/>
    <w:multiLevelType w:val="hybridMultilevel"/>
    <w:tmpl w:val="AE7A0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D46"/>
    <w:multiLevelType w:val="hybridMultilevel"/>
    <w:tmpl w:val="A32C724A"/>
    <w:lvl w:ilvl="0" w:tplc="18D62124">
      <w:numFmt w:val="bullet"/>
      <w:lvlText w:val="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10C4"/>
    <w:multiLevelType w:val="hybridMultilevel"/>
    <w:tmpl w:val="A948B556"/>
    <w:lvl w:ilvl="0" w:tplc="18D62124">
      <w:numFmt w:val="bullet"/>
      <w:lvlText w:val="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15DFA"/>
    <w:multiLevelType w:val="hybridMultilevel"/>
    <w:tmpl w:val="19065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72260"/>
    <w:multiLevelType w:val="hybridMultilevel"/>
    <w:tmpl w:val="EBDCDB3E"/>
    <w:lvl w:ilvl="0" w:tplc="68DC515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17"/>
  </w:num>
  <w:num w:numId="8">
    <w:abstractNumId w:val="15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  <w:num w:numId="16">
    <w:abstractNumId w:val="19"/>
  </w:num>
  <w:num w:numId="17">
    <w:abstractNumId w:val="1"/>
  </w:num>
  <w:num w:numId="18">
    <w:abstractNumId w:val="7"/>
  </w:num>
  <w:num w:numId="19">
    <w:abstractNumId w:val="5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2A"/>
    <w:rsid w:val="000B7781"/>
    <w:rsid w:val="0013657D"/>
    <w:rsid w:val="00166169"/>
    <w:rsid w:val="00172B91"/>
    <w:rsid w:val="0017686B"/>
    <w:rsid w:val="001D595B"/>
    <w:rsid w:val="001E19A9"/>
    <w:rsid w:val="00224277"/>
    <w:rsid w:val="0027538B"/>
    <w:rsid w:val="002A713A"/>
    <w:rsid w:val="00384BBF"/>
    <w:rsid w:val="003A6C97"/>
    <w:rsid w:val="003C5A74"/>
    <w:rsid w:val="00490362"/>
    <w:rsid w:val="005016C2"/>
    <w:rsid w:val="00535FBA"/>
    <w:rsid w:val="00564EBA"/>
    <w:rsid w:val="005A50D9"/>
    <w:rsid w:val="00607620"/>
    <w:rsid w:val="00646269"/>
    <w:rsid w:val="00666F2A"/>
    <w:rsid w:val="006C721A"/>
    <w:rsid w:val="006D108E"/>
    <w:rsid w:val="006E3DE7"/>
    <w:rsid w:val="00714BED"/>
    <w:rsid w:val="007B32A4"/>
    <w:rsid w:val="007B51AD"/>
    <w:rsid w:val="00862F4F"/>
    <w:rsid w:val="008807BB"/>
    <w:rsid w:val="00887BBF"/>
    <w:rsid w:val="00891AE7"/>
    <w:rsid w:val="008C23FF"/>
    <w:rsid w:val="008F2DD3"/>
    <w:rsid w:val="00913816"/>
    <w:rsid w:val="00913999"/>
    <w:rsid w:val="00922E39"/>
    <w:rsid w:val="00951CAF"/>
    <w:rsid w:val="00954BD8"/>
    <w:rsid w:val="00A473E0"/>
    <w:rsid w:val="00A555E2"/>
    <w:rsid w:val="00A8428B"/>
    <w:rsid w:val="00A85C6C"/>
    <w:rsid w:val="00B6490C"/>
    <w:rsid w:val="00BB110E"/>
    <w:rsid w:val="00BD1BC3"/>
    <w:rsid w:val="00C22EE3"/>
    <w:rsid w:val="00CA266A"/>
    <w:rsid w:val="00CE104B"/>
    <w:rsid w:val="00D5727E"/>
    <w:rsid w:val="00D81688"/>
    <w:rsid w:val="00DD0EED"/>
    <w:rsid w:val="00DE0B90"/>
    <w:rsid w:val="00E141CE"/>
    <w:rsid w:val="00E5418C"/>
    <w:rsid w:val="00E63C21"/>
    <w:rsid w:val="00E9074A"/>
    <w:rsid w:val="00EB18E2"/>
    <w:rsid w:val="00F10D08"/>
    <w:rsid w:val="00F369E7"/>
    <w:rsid w:val="00F6033B"/>
    <w:rsid w:val="00F82B23"/>
    <w:rsid w:val="00F85EB6"/>
    <w:rsid w:val="00FB265E"/>
    <w:rsid w:val="00FD3DCF"/>
    <w:rsid w:val="00FE2CD2"/>
    <w:rsid w:val="00FF422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BB83"/>
  <w15:chartTrackingRefBased/>
  <w15:docId w15:val="{3F38405A-B3E4-477C-B122-0E4D81BF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1">
    <w:name w:val="Body Text 1"/>
    <w:basedOn w:val="Normal"/>
    <w:rsid w:val="00F82B23"/>
    <w:pPr>
      <w:numPr>
        <w:numId w:val="1"/>
      </w:numPr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F82B23"/>
    <w:rPr>
      <w:color w:val="0563C1" w:themeColor="hyperlink"/>
      <w:u w:val="single"/>
    </w:rPr>
  </w:style>
  <w:style w:type="paragraph" w:styleId="ListParagraph">
    <w:name w:val="List Paragraph"/>
    <w:aliases w:val="List Paragraph1,Recommendation,#List Paragraph,L,List Paragraph11,Bullet Point,Bullet point,Bulletr List Paragraph,Bullets,Content descriptions,FooterText,List Bullet 1,List Paragraph2,List Paragraph21,Listeafsnit1,NFP GP Bulleted List,列"/>
    <w:basedOn w:val="Normal"/>
    <w:link w:val="ListParagraphChar"/>
    <w:uiPriority w:val="34"/>
    <w:qFormat/>
    <w:rsid w:val="00F82B23"/>
    <w:pPr>
      <w:ind w:left="720"/>
      <w:contextualSpacing/>
    </w:pPr>
  </w:style>
  <w:style w:type="paragraph" w:customStyle="1" w:styleId="Level11">
    <w:name w:val="Level 1.1"/>
    <w:basedOn w:val="Normal"/>
    <w:next w:val="Normal"/>
    <w:link w:val="Level11Char"/>
    <w:autoRedefine/>
    <w:rsid w:val="00EB18E2"/>
    <w:pPr>
      <w:spacing w:after="0" w:line="240" w:lineRule="auto"/>
      <w:ind w:right="-573"/>
      <w:outlineLvl w:val="1"/>
    </w:pPr>
    <w:rPr>
      <w:rFonts w:ascii="Times New Roman" w:eastAsia="SimSun" w:hAnsi="Times New Roman" w:cs="Times New Roman"/>
      <w:lang w:eastAsia="zh-CN"/>
    </w:rPr>
  </w:style>
  <w:style w:type="character" w:customStyle="1" w:styleId="Level11Char">
    <w:name w:val="Level 1.1 Char"/>
    <w:link w:val="Level11"/>
    <w:rsid w:val="00EB18E2"/>
    <w:rPr>
      <w:rFonts w:ascii="Times New Roman" w:eastAsia="SimSun" w:hAnsi="Times New Roman" w:cs="Times New Roman"/>
      <w:lang w:eastAsia="zh-CN"/>
    </w:rPr>
  </w:style>
  <w:style w:type="character" w:customStyle="1" w:styleId="ListParagraphChar">
    <w:name w:val="List Paragraph Char"/>
    <w:aliases w:val="List Paragraph1 Char,Recommendation Char,#List Paragraph Char,L Char,List Paragraph11 Char,Bullet Point Char,Bullet point Char,Bulletr List Paragraph Char,Bullets Char,Content descriptions Char,FooterText Char,List Bullet 1 Char"/>
    <w:link w:val="ListParagraph"/>
    <w:uiPriority w:val="34"/>
    <w:qFormat/>
    <w:locked/>
    <w:rsid w:val="00E141CE"/>
  </w:style>
  <w:style w:type="character" w:styleId="CommentReference">
    <w:name w:val="annotation reference"/>
    <w:basedOn w:val="DefaultParagraphFont"/>
    <w:uiPriority w:val="99"/>
    <w:semiHidden/>
    <w:unhideWhenUsed/>
    <w:rsid w:val="00913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8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8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3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72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QUICKC\AppData\Local\Hewlett-Packard\HP%20TRIM\TEMP\HPTRIM.54032\HomeSupportPolicy@health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DAVOREN, Luke</dc:creator>
  <cp:keywords/>
  <dc:description/>
  <cp:lastModifiedBy>QUICK, Caroline</cp:lastModifiedBy>
  <cp:revision>2</cp:revision>
  <dcterms:created xsi:type="dcterms:W3CDTF">2021-07-16T00:10:00Z</dcterms:created>
  <dcterms:modified xsi:type="dcterms:W3CDTF">2021-07-16T00:10:00Z</dcterms:modified>
</cp:coreProperties>
</file>