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97FF0" w14:textId="29E7E6D1" w:rsidR="000E771D" w:rsidRDefault="000E771D">
      <w:pPr>
        <w:rPr>
          <w:b/>
        </w:rPr>
      </w:pPr>
      <w:r>
        <w:rPr>
          <w:noProof/>
          <w:lang w:eastAsia="en-AU"/>
        </w:rPr>
        <w:drawing>
          <wp:inline distT="0" distB="0" distL="0" distR="0" wp14:anchorId="408EAB3B" wp14:editId="5C6F00E7">
            <wp:extent cx="2314575" cy="562760"/>
            <wp:effectExtent l="0" t="0" r="0" b="889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pic:cNvPicPr>
                  </pic:nvPicPr>
                  <pic:blipFill>
                    <a:blip r:embed="rId5" cstate="email">
                      <a:extLst>
                        <a:ext uri="{28A0092B-C50C-407E-A947-70E740481C1C}">
                          <a14:useLocalDpi xmlns:a14="http://schemas.microsoft.com/office/drawing/2010/main" val="0"/>
                        </a:ext>
                      </a:extLst>
                    </a:blip>
                    <a:stretch>
                      <a:fillRect/>
                    </a:stretch>
                  </pic:blipFill>
                  <pic:spPr>
                    <a:xfrm>
                      <a:off x="0" y="0"/>
                      <a:ext cx="2362528" cy="574419"/>
                    </a:xfrm>
                    <a:prstGeom prst="rect">
                      <a:avLst/>
                    </a:prstGeom>
                  </pic:spPr>
                </pic:pic>
              </a:graphicData>
            </a:graphic>
          </wp:inline>
        </w:drawing>
      </w:r>
    </w:p>
    <w:p w14:paraId="5686B4F7" w14:textId="77777777" w:rsidR="000E771D" w:rsidRDefault="000E771D">
      <w:pPr>
        <w:rPr>
          <w:b/>
        </w:rPr>
      </w:pPr>
    </w:p>
    <w:p w14:paraId="0EC467AC" w14:textId="24C8BBA4" w:rsidR="009E1B51" w:rsidRPr="00512C22" w:rsidRDefault="009E1B51" w:rsidP="009E1B51">
      <w:pPr>
        <w:jc w:val="center"/>
        <w:rPr>
          <w:bCs/>
          <w:sz w:val="26"/>
          <w:szCs w:val="26"/>
        </w:rPr>
      </w:pPr>
      <w:r w:rsidRPr="00512C22">
        <w:rPr>
          <w:b/>
          <w:sz w:val="26"/>
          <w:szCs w:val="26"/>
        </w:rPr>
        <w:t xml:space="preserve">Modernising and Improving Private Health Insurance – Prostheses List </w:t>
      </w:r>
      <w:r w:rsidR="00946B10">
        <w:rPr>
          <w:b/>
          <w:sz w:val="26"/>
          <w:szCs w:val="26"/>
        </w:rPr>
        <w:t xml:space="preserve"> </w:t>
      </w:r>
      <w:r>
        <w:rPr>
          <w:b/>
          <w:sz w:val="26"/>
          <w:szCs w:val="26"/>
        </w:rPr>
        <w:br/>
      </w:r>
      <w:r w:rsidRPr="00512C22">
        <w:rPr>
          <w:bCs/>
          <w:sz w:val="26"/>
          <w:szCs w:val="26"/>
        </w:rPr>
        <w:t xml:space="preserve">Improving the scope and definition: general use items  </w:t>
      </w:r>
    </w:p>
    <w:p w14:paraId="7D674A94" w14:textId="5A4F7589" w:rsidR="000E771D" w:rsidRPr="00512C22" w:rsidRDefault="000E771D" w:rsidP="00946B10">
      <w:pPr>
        <w:jc w:val="center"/>
        <w:rPr>
          <w:b/>
          <w:bCs/>
        </w:rPr>
      </w:pPr>
      <w:r w:rsidRPr="00512C22">
        <w:rPr>
          <w:b/>
          <w:bCs/>
        </w:rPr>
        <w:t>June 2021</w:t>
      </w:r>
    </w:p>
    <w:p w14:paraId="2A50198A" w14:textId="3550F246" w:rsidR="00512C22" w:rsidRPr="006376EB" w:rsidRDefault="009E1B51" w:rsidP="006376EB">
      <w:pPr>
        <w:pStyle w:val="Default"/>
        <w:rPr>
          <w:rFonts w:ascii="Times New Roman" w:hAnsi="Times New Roman" w:cs="Times New Roman"/>
          <w:color w:val="auto"/>
        </w:rPr>
      </w:pPr>
      <w:r w:rsidRPr="006376EB">
        <w:rPr>
          <w:rFonts w:ascii="Times New Roman" w:hAnsi="Times New Roman" w:cs="Times New Roman"/>
          <w:color w:val="auto"/>
        </w:rPr>
        <w:t xml:space="preserve">The Australian Government is investing $22 million over 4 years to modernise and improve the Prostheses List (PL). </w:t>
      </w:r>
      <w:r w:rsidR="00512C22" w:rsidRPr="006376EB">
        <w:rPr>
          <w:rFonts w:ascii="Times New Roman" w:hAnsi="Times New Roman" w:cs="Times New Roman"/>
          <w:color w:val="auto"/>
        </w:rPr>
        <w:t>This includes addressing issues raised by recent reviews of the scope and operation of PL.</w:t>
      </w:r>
    </w:p>
    <w:p w14:paraId="7D6B4097" w14:textId="77777777" w:rsidR="00512C22" w:rsidRPr="006376EB" w:rsidRDefault="00512C22" w:rsidP="006376EB">
      <w:pPr>
        <w:pStyle w:val="Default"/>
        <w:rPr>
          <w:rFonts w:ascii="Times New Roman" w:hAnsi="Times New Roman" w:cs="Times New Roman"/>
          <w:color w:val="auto"/>
        </w:rPr>
      </w:pPr>
    </w:p>
    <w:p w14:paraId="16BBA76A" w14:textId="6E436CDE" w:rsidR="00512C22" w:rsidRPr="006376EB" w:rsidRDefault="009E1B51" w:rsidP="006376EB">
      <w:pPr>
        <w:pStyle w:val="Default"/>
        <w:rPr>
          <w:rFonts w:ascii="Times New Roman" w:hAnsi="Times New Roman" w:cs="Times New Roman"/>
          <w:color w:val="auto"/>
        </w:rPr>
      </w:pPr>
      <w:r w:rsidRPr="006376EB">
        <w:rPr>
          <w:rFonts w:ascii="Times New Roman" w:hAnsi="Times New Roman" w:cs="Times New Roman"/>
          <w:color w:val="auto"/>
        </w:rPr>
        <w:t>The PL has grown over time in both size and complexity to include more than 11,600 items</w:t>
      </w:r>
      <w:r w:rsidR="00512C22" w:rsidRPr="006376EB">
        <w:rPr>
          <w:rFonts w:ascii="Times New Roman" w:hAnsi="Times New Roman" w:cs="Times New Roman"/>
          <w:color w:val="auto"/>
        </w:rPr>
        <w:t>. As well as streamlining the list, the reform initiative will better define the purpose and scope of the PL. This will provide greater clarity and certainty about which items are eligible for inclusion. Over time, ineligible products, that are better funded through direct contractual engagement between parties, will be removed from the PL. Removals of ineligible products are scheduled to occur over three years from 1 February 2022.</w:t>
      </w:r>
    </w:p>
    <w:p w14:paraId="2682B796" w14:textId="7FC9C5A9" w:rsidR="00512C22" w:rsidRPr="006376EB" w:rsidRDefault="00512C22" w:rsidP="006376EB">
      <w:pPr>
        <w:pStyle w:val="Default"/>
        <w:rPr>
          <w:rFonts w:ascii="Times New Roman" w:hAnsi="Times New Roman" w:cs="Times New Roman"/>
          <w:color w:val="auto"/>
        </w:rPr>
      </w:pPr>
    </w:p>
    <w:p w14:paraId="5F286C63" w14:textId="08385ABF" w:rsidR="000D6F54" w:rsidRPr="006376EB" w:rsidRDefault="000D6F54" w:rsidP="006376EB">
      <w:pPr>
        <w:pStyle w:val="Default"/>
        <w:rPr>
          <w:rFonts w:ascii="Times New Roman" w:hAnsi="Times New Roman" w:cs="Times New Roman"/>
          <w:color w:val="auto"/>
        </w:rPr>
      </w:pPr>
      <w:r w:rsidRPr="006376EB">
        <w:rPr>
          <w:rFonts w:ascii="Times New Roman" w:hAnsi="Times New Roman" w:cs="Times New Roman"/>
          <w:color w:val="auto"/>
        </w:rPr>
        <w:t>This approach is informed by r</w:t>
      </w:r>
      <w:r w:rsidR="007A67F4" w:rsidRPr="006376EB">
        <w:rPr>
          <w:rFonts w:ascii="Times New Roman" w:hAnsi="Times New Roman" w:cs="Times New Roman"/>
          <w:color w:val="auto"/>
        </w:rPr>
        <w:t>ecent reviews of the PL</w:t>
      </w:r>
      <w:r w:rsidR="00512C22" w:rsidRPr="006376EB">
        <w:rPr>
          <w:rFonts w:ascii="Times New Roman" w:hAnsi="Times New Roman" w:cs="Times New Roman"/>
          <w:color w:val="auto"/>
        </w:rPr>
        <w:t xml:space="preserve">, including a review in 2020 of the </w:t>
      </w:r>
      <w:r w:rsidR="007A67F4" w:rsidRPr="006376EB">
        <w:rPr>
          <w:rFonts w:ascii="Times New Roman" w:hAnsi="Times New Roman" w:cs="Times New Roman"/>
          <w:color w:val="auto"/>
        </w:rPr>
        <w:t>General Miscellaneous category</w:t>
      </w:r>
      <w:r w:rsidRPr="006376EB">
        <w:rPr>
          <w:rFonts w:ascii="Times New Roman" w:hAnsi="Times New Roman" w:cs="Times New Roman"/>
          <w:color w:val="auto"/>
        </w:rPr>
        <w:t>. Consistent with the findings and the package of reforms announced by the Government in May 2021, the scope of the PL will be better defined</w:t>
      </w:r>
      <w:r w:rsidR="0045379C" w:rsidRPr="006376EB">
        <w:rPr>
          <w:rFonts w:ascii="Times New Roman" w:hAnsi="Times New Roman" w:cs="Times New Roman"/>
          <w:color w:val="auto"/>
        </w:rPr>
        <w:t xml:space="preserve">. This </w:t>
      </w:r>
      <w:r w:rsidRPr="006376EB">
        <w:rPr>
          <w:rFonts w:ascii="Times New Roman" w:hAnsi="Times New Roman" w:cs="Times New Roman"/>
          <w:color w:val="auto"/>
        </w:rPr>
        <w:t>would see some general use items</w:t>
      </w:r>
      <w:r w:rsidR="0045379C" w:rsidRPr="006376EB">
        <w:rPr>
          <w:rFonts w:ascii="Times New Roman" w:hAnsi="Times New Roman" w:cs="Times New Roman"/>
          <w:color w:val="auto"/>
        </w:rPr>
        <w:t>, that are used in a broad range of surgeries,</w:t>
      </w:r>
      <w:r w:rsidRPr="006376EB">
        <w:rPr>
          <w:rFonts w:ascii="Times New Roman" w:hAnsi="Times New Roman" w:cs="Times New Roman"/>
          <w:color w:val="auto"/>
        </w:rPr>
        <w:t xml:space="preserve"> no longer have their prices set through the PL. </w:t>
      </w:r>
    </w:p>
    <w:p w14:paraId="345C3C1C" w14:textId="77777777" w:rsidR="000D6F54" w:rsidRPr="006376EB" w:rsidRDefault="000D6F54" w:rsidP="006376EB">
      <w:pPr>
        <w:pStyle w:val="Default"/>
        <w:rPr>
          <w:rFonts w:ascii="Times New Roman" w:hAnsi="Times New Roman" w:cs="Times New Roman"/>
          <w:color w:val="auto"/>
        </w:rPr>
      </w:pPr>
    </w:p>
    <w:p w14:paraId="36DEEEC0" w14:textId="2CD2F70B" w:rsidR="000D6F54" w:rsidRPr="006376EB" w:rsidRDefault="000D6F54" w:rsidP="006376EB">
      <w:pPr>
        <w:pStyle w:val="Default"/>
        <w:rPr>
          <w:rFonts w:ascii="Times New Roman" w:hAnsi="Times New Roman" w:cs="Times New Roman"/>
          <w:color w:val="auto"/>
        </w:rPr>
      </w:pPr>
      <w:r w:rsidRPr="006376EB">
        <w:rPr>
          <w:rFonts w:ascii="Times New Roman" w:hAnsi="Times New Roman" w:cs="Times New Roman"/>
          <w:color w:val="auto"/>
        </w:rPr>
        <w:t>It is intended that these items would have their prices set and be funded through other insurer payments to hospitals. To ensure a smooth transition to these new arrangements for private hospitals, insurers have offered to work with hospitals and cover the cost of these items through alternate funding arrangements.</w:t>
      </w:r>
    </w:p>
    <w:p w14:paraId="615F0D43" w14:textId="77777777" w:rsidR="000D6F54" w:rsidRPr="006376EB" w:rsidRDefault="000D6F54" w:rsidP="006376EB">
      <w:pPr>
        <w:pStyle w:val="Default"/>
        <w:rPr>
          <w:rFonts w:ascii="Times New Roman" w:hAnsi="Times New Roman" w:cs="Times New Roman"/>
          <w:color w:val="auto"/>
        </w:rPr>
      </w:pPr>
    </w:p>
    <w:p w14:paraId="1196DB20" w14:textId="74FE18CA" w:rsidR="003D1F4C" w:rsidRDefault="003D1F4C" w:rsidP="006376EB">
      <w:pPr>
        <w:spacing w:after="0" w:line="240" w:lineRule="auto"/>
      </w:pPr>
      <w:r w:rsidRPr="006376EB">
        <w:t xml:space="preserve">The purpose of this paper is to </w:t>
      </w:r>
      <w:r w:rsidR="000D6F54" w:rsidRPr="006376EB">
        <w:t xml:space="preserve">provide context for those discussions, by </w:t>
      </w:r>
      <w:r w:rsidRPr="006376EB">
        <w:t>quantify</w:t>
      </w:r>
      <w:r w:rsidR="000D6F54" w:rsidRPr="006376EB">
        <w:t>ing</w:t>
      </w:r>
      <w:r w:rsidRPr="006376EB">
        <w:t xml:space="preserve"> the</w:t>
      </w:r>
      <w:r w:rsidR="007A67F4" w:rsidRPr="006376EB">
        <w:t xml:space="preserve"> data</w:t>
      </w:r>
      <w:r w:rsidRPr="006376EB">
        <w:t xml:space="preserve"> </w:t>
      </w:r>
      <w:r w:rsidR="007A67F4" w:rsidRPr="006376EB">
        <w:t>related to the</w:t>
      </w:r>
      <w:r w:rsidR="00DA5330" w:rsidRPr="006376EB">
        <w:t xml:space="preserve"> General Miscellaneous </w:t>
      </w:r>
      <w:r w:rsidR="0073250F" w:rsidRPr="006376EB">
        <w:t xml:space="preserve">(GM) </w:t>
      </w:r>
      <w:r w:rsidR="00DA5330" w:rsidRPr="006376EB">
        <w:t>category</w:t>
      </w:r>
      <w:r w:rsidR="000D6F54" w:rsidRPr="006376EB">
        <w:t xml:space="preserve"> of the PL</w:t>
      </w:r>
      <w:r w:rsidR="0073250F" w:rsidRPr="006376EB">
        <w:t>.</w:t>
      </w:r>
    </w:p>
    <w:p w14:paraId="530A018E" w14:textId="77777777" w:rsidR="006376EB" w:rsidRPr="006376EB" w:rsidRDefault="006376EB" w:rsidP="006376EB">
      <w:pPr>
        <w:spacing w:after="0" w:line="240" w:lineRule="auto"/>
      </w:pPr>
    </w:p>
    <w:p w14:paraId="63611884" w14:textId="488346B4" w:rsidR="00280050" w:rsidRPr="006376EB" w:rsidRDefault="003D1F4C" w:rsidP="006376EB">
      <w:pPr>
        <w:spacing w:after="0" w:line="240" w:lineRule="auto"/>
      </w:pPr>
      <w:r w:rsidRPr="006376EB">
        <w:t xml:space="preserve">The data presented comes from </w:t>
      </w:r>
      <w:r w:rsidR="00525F72" w:rsidRPr="006376EB">
        <w:t xml:space="preserve">the </w:t>
      </w:r>
      <w:r w:rsidRPr="006376EB">
        <w:t xml:space="preserve">Hospital </w:t>
      </w:r>
      <w:proofErr w:type="spellStart"/>
      <w:r w:rsidRPr="006376EB">
        <w:t>Casemix</w:t>
      </w:r>
      <w:proofErr w:type="spellEnd"/>
      <w:r w:rsidRPr="006376EB">
        <w:t xml:space="preserve"> </w:t>
      </w:r>
      <w:r w:rsidR="00525F72" w:rsidRPr="006376EB">
        <w:t>Protocol</w:t>
      </w:r>
      <w:r w:rsidR="000E771D" w:rsidRPr="006376EB">
        <w:t xml:space="preserve"> 1</w:t>
      </w:r>
      <w:r w:rsidR="00525F72" w:rsidRPr="006376EB">
        <w:t xml:space="preserve"> (HCP</w:t>
      </w:r>
      <w:r w:rsidR="000E771D" w:rsidRPr="006376EB">
        <w:t>1</w:t>
      </w:r>
      <w:r w:rsidR="00525F72" w:rsidRPr="006376EB">
        <w:t xml:space="preserve">) data set </w:t>
      </w:r>
      <w:r w:rsidRPr="006376EB">
        <w:t xml:space="preserve">for the 2018/19 </w:t>
      </w:r>
      <w:r w:rsidR="00525F72" w:rsidRPr="006376EB">
        <w:t xml:space="preserve">financial </w:t>
      </w:r>
      <w:r w:rsidRPr="006376EB">
        <w:t>year</w:t>
      </w:r>
      <w:r w:rsidR="00525F72" w:rsidRPr="006376EB">
        <w:t>. This year was chosen because hospital activity in 2019/20 was impacted by COVID-19.</w:t>
      </w:r>
      <w:r w:rsidRPr="006376EB">
        <w:t xml:space="preserve"> </w:t>
      </w:r>
    </w:p>
    <w:p w14:paraId="5E6251DA" w14:textId="77777777" w:rsidR="006376EB" w:rsidRDefault="006376EB" w:rsidP="006376EB">
      <w:pPr>
        <w:spacing w:after="0" w:line="240" w:lineRule="auto"/>
      </w:pPr>
    </w:p>
    <w:p w14:paraId="04A520FA" w14:textId="41EA8E4F" w:rsidR="004803EE" w:rsidRPr="006376EB" w:rsidRDefault="00525F72" w:rsidP="006376EB">
      <w:pPr>
        <w:spacing w:after="0" w:line="240" w:lineRule="auto"/>
      </w:pPr>
      <w:r w:rsidRPr="006376EB">
        <w:t xml:space="preserve">This report provides data about the </w:t>
      </w:r>
      <w:r w:rsidR="007D1D7E" w:rsidRPr="006376EB">
        <w:t xml:space="preserve">GM </w:t>
      </w:r>
      <w:r w:rsidRPr="006376EB">
        <w:t>category of the PL. Th</w:t>
      </w:r>
      <w:r w:rsidR="00DA5330" w:rsidRPr="006376EB">
        <w:t>e</w:t>
      </w:r>
      <w:r w:rsidRPr="006376EB">
        <w:t xml:space="preserve"> report includes data on </w:t>
      </w:r>
      <w:r w:rsidR="0035475D" w:rsidRPr="006376EB">
        <w:t>“</w:t>
      </w:r>
      <w:r w:rsidRPr="006376EB">
        <w:t>miscellaneous</w:t>
      </w:r>
      <w:r w:rsidR="0035475D" w:rsidRPr="006376EB">
        <w:t>”</w:t>
      </w:r>
      <w:r w:rsidRPr="006376EB">
        <w:t xml:space="preserve"> items </w:t>
      </w:r>
      <w:r w:rsidR="00D9647F" w:rsidRPr="006376EB">
        <w:t xml:space="preserve">such as stents and mesh </w:t>
      </w:r>
      <w:r w:rsidRPr="006376EB">
        <w:t xml:space="preserve">which would remain eligible for PL funding but does not include general use items from other categories that may </w:t>
      </w:r>
      <w:r w:rsidR="009F6DB1" w:rsidRPr="006376EB">
        <w:t xml:space="preserve">be </w:t>
      </w:r>
      <w:r w:rsidRPr="006376EB">
        <w:t>no longer eligible for PL benefits. Hence</w:t>
      </w:r>
      <w:r w:rsidR="00D9647F" w:rsidRPr="006376EB">
        <w:t>,</w:t>
      </w:r>
      <w:r w:rsidRPr="006376EB">
        <w:t xml:space="preserve"> the expenditure data is preliminary. </w:t>
      </w:r>
    </w:p>
    <w:p w14:paraId="5D9046B7" w14:textId="77777777" w:rsidR="006376EB" w:rsidRDefault="006376EB" w:rsidP="006376EB">
      <w:pPr>
        <w:spacing w:after="0" w:line="240" w:lineRule="auto"/>
      </w:pPr>
    </w:p>
    <w:p w14:paraId="3BF45E4B" w14:textId="7CEAFA46" w:rsidR="007D1D7E" w:rsidRPr="006376EB" w:rsidRDefault="007D1D7E" w:rsidP="006376EB">
      <w:pPr>
        <w:spacing w:after="0" w:line="240" w:lineRule="auto"/>
      </w:pPr>
      <w:r w:rsidRPr="006376EB">
        <w:t>In 2018/19</w:t>
      </w:r>
      <w:r w:rsidR="00D85E84" w:rsidRPr="006376EB">
        <w:t>,</w:t>
      </w:r>
      <w:r w:rsidRPr="006376EB">
        <w:t xml:space="preserve"> </w:t>
      </w:r>
      <w:r w:rsidR="00D733B5" w:rsidRPr="006376EB">
        <w:t>623</w:t>
      </w:r>
      <w:r w:rsidRPr="006376EB">
        <w:t xml:space="preserve"> private hospitals were included in HCP</w:t>
      </w:r>
      <w:r w:rsidR="00962AB5" w:rsidRPr="006376EB">
        <w:t xml:space="preserve">: </w:t>
      </w:r>
      <w:r w:rsidR="00D733B5" w:rsidRPr="006376EB">
        <w:t>298</w:t>
      </w:r>
      <w:r w:rsidRPr="006376EB">
        <w:t xml:space="preserve"> being </w:t>
      </w:r>
      <w:r w:rsidR="009D713F" w:rsidRPr="006376EB">
        <w:t xml:space="preserve">private </w:t>
      </w:r>
      <w:r w:rsidRPr="006376EB">
        <w:t xml:space="preserve">overnight and </w:t>
      </w:r>
      <w:r w:rsidR="00D733B5" w:rsidRPr="006376EB">
        <w:t>325</w:t>
      </w:r>
      <w:r w:rsidRPr="006376EB">
        <w:t xml:space="preserve"> being </w:t>
      </w:r>
      <w:r w:rsidR="009D713F" w:rsidRPr="006376EB">
        <w:t xml:space="preserve">classified as private </w:t>
      </w:r>
      <w:r w:rsidRPr="006376EB">
        <w:t>day hospitals</w:t>
      </w:r>
      <w:r w:rsidR="0073250F" w:rsidRPr="006376EB">
        <w:t>. Of these:</w:t>
      </w:r>
    </w:p>
    <w:p w14:paraId="28D2384B" w14:textId="158A46D0" w:rsidR="007D1D7E" w:rsidRPr="006376EB" w:rsidRDefault="00D733B5" w:rsidP="006376EB">
      <w:pPr>
        <w:pStyle w:val="ListParagraph"/>
        <w:numPr>
          <w:ilvl w:val="0"/>
          <w:numId w:val="1"/>
        </w:numPr>
        <w:spacing w:after="0" w:line="240" w:lineRule="auto"/>
      </w:pPr>
      <w:r w:rsidRPr="006376EB">
        <w:t>271</w:t>
      </w:r>
      <w:r w:rsidR="007D1D7E" w:rsidRPr="006376EB">
        <w:t xml:space="preserve"> overnight </w:t>
      </w:r>
      <w:r w:rsidR="00D85E84" w:rsidRPr="006376EB">
        <w:t xml:space="preserve">hospitals </w:t>
      </w:r>
      <w:r w:rsidR="007D1D7E" w:rsidRPr="006376EB">
        <w:t xml:space="preserve">and </w:t>
      </w:r>
      <w:r w:rsidRPr="006376EB">
        <w:t>255</w:t>
      </w:r>
      <w:r w:rsidR="007D1D7E" w:rsidRPr="006376EB">
        <w:t xml:space="preserve"> day hospitals had at least one PL payment</w:t>
      </w:r>
    </w:p>
    <w:p w14:paraId="23C64EF1" w14:textId="74CB5760" w:rsidR="007D1D7E" w:rsidRPr="006376EB" w:rsidRDefault="00BA20E3" w:rsidP="006376EB">
      <w:pPr>
        <w:pStyle w:val="ListParagraph"/>
        <w:numPr>
          <w:ilvl w:val="0"/>
          <w:numId w:val="1"/>
        </w:numPr>
        <w:spacing w:after="0" w:line="240" w:lineRule="auto"/>
      </w:pPr>
      <w:r w:rsidRPr="006376EB">
        <w:t>241</w:t>
      </w:r>
      <w:r w:rsidR="007D1D7E" w:rsidRPr="006376EB">
        <w:t xml:space="preserve"> overnight </w:t>
      </w:r>
      <w:r w:rsidR="00D85E84" w:rsidRPr="006376EB">
        <w:t xml:space="preserve">hospitals </w:t>
      </w:r>
      <w:r w:rsidR="007D1D7E" w:rsidRPr="006376EB">
        <w:t xml:space="preserve">and </w:t>
      </w:r>
      <w:r w:rsidRPr="006376EB">
        <w:t>186</w:t>
      </w:r>
      <w:r w:rsidR="007D1D7E" w:rsidRPr="006376EB">
        <w:t xml:space="preserve"> day hospital</w:t>
      </w:r>
      <w:r w:rsidR="00D9647F" w:rsidRPr="006376EB">
        <w:t>s</w:t>
      </w:r>
      <w:r w:rsidR="007D1D7E" w:rsidRPr="006376EB">
        <w:t xml:space="preserve"> had at least one GM category payment </w:t>
      </w:r>
    </w:p>
    <w:p w14:paraId="28107415" w14:textId="77777777" w:rsidR="006376EB" w:rsidRDefault="006376EB" w:rsidP="006376EB">
      <w:pPr>
        <w:spacing w:after="0" w:line="240" w:lineRule="auto"/>
      </w:pPr>
    </w:p>
    <w:p w14:paraId="52752484" w14:textId="02F5BAEB" w:rsidR="004803EE" w:rsidRPr="006376EB" w:rsidRDefault="004803EE" w:rsidP="006376EB">
      <w:pPr>
        <w:spacing w:after="0" w:line="240" w:lineRule="auto"/>
      </w:pPr>
      <w:r w:rsidRPr="006376EB">
        <w:t xml:space="preserve">In 2018/19 total annual PL expenditure for private hospitals was around $1.8 </w:t>
      </w:r>
      <w:r w:rsidR="00655696" w:rsidRPr="006376EB">
        <w:t>billion,</w:t>
      </w:r>
      <w:r w:rsidRPr="006376EB">
        <w:t xml:space="preserve"> including benefits of around $253 million for GM items.</w:t>
      </w:r>
    </w:p>
    <w:p w14:paraId="73AB7A0C" w14:textId="77777777" w:rsidR="006376EB" w:rsidRDefault="006376EB" w:rsidP="006376EB">
      <w:pPr>
        <w:spacing w:after="0" w:line="240" w:lineRule="auto"/>
      </w:pPr>
    </w:p>
    <w:p w14:paraId="65748C9F" w14:textId="1A4211A4" w:rsidR="0073250F" w:rsidRPr="006376EB" w:rsidRDefault="004803EE" w:rsidP="006376EB">
      <w:pPr>
        <w:spacing w:after="0" w:line="240" w:lineRule="auto"/>
      </w:pPr>
      <w:r w:rsidRPr="006376EB">
        <w:t>For more information about PL expenditure in private hospitals, please refer to Tables 1-4 below.</w:t>
      </w:r>
      <w:r w:rsidR="00D85E84" w:rsidRPr="006376EB">
        <w:t xml:space="preserve"> </w:t>
      </w:r>
    </w:p>
    <w:p w14:paraId="129DB820" w14:textId="77777777" w:rsidR="0073250F" w:rsidRDefault="0073250F"/>
    <w:p w14:paraId="700F900D" w14:textId="090B0FB6" w:rsidR="007339B9" w:rsidRDefault="007339B9"/>
    <w:p w14:paraId="147FB176" w14:textId="77777777" w:rsidR="0073250F" w:rsidRDefault="0073250F">
      <w:pPr>
        <w:sectPr w:rsidR="0073250F" w:rsidSect="00AC56F9">
          <w:pgSz w:w="11906" w:h="16838"/>
          <w:pgMar w:top="709" w:right="991" w:bottom="284" w:left="993" w:header="708" w:footer="708" w:gutter="0"/>
          <w:cols w:space="708"/>
          <w:docGrid w:linePitch="360"/>
        </w:sectPr>
      </w:pPr>
    </w:p>
    <w:tbl>
      <w:tblPr>
        <w:tblW w:w="15278" w:type="dxa"/>
        <w:tblLayout w:type="fixed"/>
        <w:tblLook w:val="04A0" w:firstRow="1" w:lastRow="0" w:firstColumn="1" w:lastColumn="0" w:noHBand="0" w:noVBand="1"/>
      </w:tblPr>
      <w:tblGrid>
        <w:gridCol w:w="3602"/>
        <w:gridCol w:w="1288"/>
        <w:gridCol w:w="1125"/>
        <w:gridCol w:w="1676"/>
        <w:gridCol w:w="1240"/>
        <w:gridCol w:w="1134"/>
        <w:gridCol w:w="1417"/>
        <w:gridCol w:w="1134"/>
        <w:gridCol w:w="1134"/>
        <w:gridCol w:w="1528"/>
      </w:tblGrid>
      <w:tr w:rsidR="00AC56F9" w:rsidRPr="0073250F" w14:paraId="00B82600" w14:textId="77777777" w:rsidTr="00655696">
        <w:trPr>
          <w:trHeight w:val="585"/>
        </w:trPr>
        <w:tc>
          <w:tcPr>
            <w:tcW w:w="15278" w:type="dxa"/>
            <w:gridSpan w:val="10"/>
            <w:shd w:val="clear" w:color="auto" w:fill="auto"/>
            <w:noWrap/>
            <w:vAlign w:val="center"/>
            <w:hideMark/>
          </w:tcPr>
          <w:p w14:paraId="30AD3ADE" w14:textId="2A00254F" w:rsidR="00AC56F9" w:rsidRPr="0073250F" w:rsidRDefault="00AC56F9" w:rsidP="00AC56F9">
            <w:pPr>
              <w:spacing w:after="0" w:line="240" w:lineRule="auto"/>
              <w:rPr>
                <w:rFonts w:eastAsia="Times New Roman"/>
                <w:sz w:val="20"/>
                <w:szCs w:val="20"/>
                <w:lang w:eastAsia="en-AU"/>
              </w:rPr>
            </w:pPr>
            <w:r w:rsidRPr="0073250F">
              <w:rPr>
                <w:rFonts w:ascii="Calibri" w:eastAsia="Times New Roman" w:hAnsi="Calibri" w:cs="Calibri"/>
                <w:b/>
                <w:bCs/>
                <w:lang w:eastAsia="en-AU"/>
              </w:rPr>
              <w:lastRenderedPageBreak/>
              <w:t>Prostheses Benefit Distribution*, including General Miscellaneous (GM) Category Benefit Distribution</w:t>
            </w:r>
            <w:r>
              <w:rPr>
                <w:rFonts w:ascii="Calibri" w:eastAsia="Times New Roman" w:hAnsi="Calibri" w:cs="Calibri"/>
                <w:b/>
                <w:bCs/>
                <w:lang w:eastAsia="en-AU"/>
              </w:rPr>
              <w:t xml:space="preserve"> </w:t>
            </w:r>
            <w:r w:rsidRPr="0073250F">
              <w:rPr>
                <w:rFonts w:ascii="Calibri" w:eastAsia="Times New Roman" w:hAnsi="Calibri" w:cs="Calibri"/>
                <w:b/>
                <w:bCs/>
                <w:lang w:eastAsia="en-AU"/>
              </w:rPr>
              <w:t>in Australian</w:t>
            </w:r>
            <w:r>
              <w:rPr>
                <w:rFonts w:ascii="Calibri" w:eastAsia="Times New Roman" w:hAnsi="Calibri" w:cs="Calibri"/>
                <w:b/>
                <w:bCs/>
                <w:lang w:eastAsia="en-AU"/>
              </w:rPr>
              <w:t xml:space="preserve"> </w:t>
            </w:r>
            <w:r w:rsidRPr="0073250F">
              <w:rPr>
                <w:rFonts w:ascii="Calibri" w:eastAsia="Times New Roman" w:hAnsi="Calibri" w:cs="Calibri"/>
                <w:b/>
                <w:bCs/>
                <w:lang w:eastAsia="en-AU"/>
              </w:rPr>
              <w:t>Private Day Hospitals and Australian Private Overnight Hospitals in 2018-19</w:t>
            </w:r>
          </w:p>
        </w:tc>
      </w:tr>
      <w:tr w:rsidR="001B1D2C" w:rsidRPr="0073250F" w14:paraId="465EF528" w14:textId="77777777" w:rsidTr="00655696">
        <w:trPr>
          <w:trHeight w:val="225"/>
        </w:trPr>
        <w:tc>
          <w:tcPr>
            <w:tcW w:w="3602" w:type="dxa"/>
            <w:shd w:val="clear" w:color="auto" w:fill="auto"/>
            <w:noWrap/>
            <w:vAlign w:val="bottom"/>
            <w:hideMark/>
          </w:tcPr>
          <w:p w14:paraId="1D10C5E4" w14:textId="77777777" w:rsidR="0073250F" w:rsidRPr="0073250F" w:rsidRDefault="0073250F" w:rsidP="0073250F">
            <w:pPr>
              <w:spacing w:after="0" w:line="240" w:lineRule="auto"/>
              <w:rPr>
                <w:rFonts w:eastAsia="Times New Roman"/>
                <w:sz w:val="20"/>
                <w:szCs w:val="20"/>
                <w:lang w:eastAsia="en-AU"/>
              </w:rPr>
            </w:pPr>
          </w:p>
        </w:tc>
        <w:tc>
          <w:tcPr>
            <w:tcW w:w="1288" w:type="dxa"/>
            <w:shd w:val="clear" w:color="auto" w:fill="auto"/>
            <w:noWrap/>
            <w:vAlign w:val="bottom"/>
            <w:hideMark/>
          </w:tcPr>
          <w:p w14:paraId="27848183" w14:textId="77777777" w:rsidR="0073250F" w:rsidRPr="0073250F" w:rsidRDefault="0073250F" w:rsidP="0073250F">
            <w:pPr>
              <w:spacing w:after="0" w:line="240" w:lineRule="auto"/>
              <w:rPr>
                <w:rFonts w:eastAsia="Times New Roman"/>
                <w:sz w:val="20"/>
                <w:szCs w:val="20"/>
                <w:lang w:eastAsia="en-AU"/>
              </w:rPr>
            </w:pPr>
          </w:p>
        </w:tc>
        <w:tc>
          <w:tcPr>
            <w:tcW w:w="1125" w:type="dxa"/>
            <w:shd w:val="clear" w:color="auto" w:fill="auto"/>
            <w:noWrap/>
            <w:vAlign w:val="bottom"/>
            <w:hideMark/>
          </w:tcPr>
          <w:p w14:paraId="21695595" w14:textId="77777777" w:rsidR="0073250F" w:rsidRPr="0073250F" w:rsidRDefault="0073250F" w:rsidP="0073250F">
            <w:pPr>
              <w:spacing w:after="0" w:line="240" w:lineRule="auto"/>
              <w:rPr>
                <w:rFonts w:eastAsia="Times New Roman"/>
                <w:sz w:val="20"/>
                <w:szCs w:val="20"/>
                <w:lang w:eastAsia="en-AU"/>
              </w:rPr>
            </w:pPr>
          </w:p>
        </w:tc>
        <w:tc>
          <w:tcPr>
            <w:tcW w:w="1676" w:type="dxa"/>
            <w:shd w:val="clear" w:color="auto" w:fill="auto"/>
            <w:noWrap/>
            <w:vAlign w:val="bottom"/>
            <w:hideMark/>
          </w:tcPr>
          <w:p w14:paraId="61050A8C" w14:textId="77777777" w:rsidR="0073250F" w:rsidRPr="0073250F" w:rsidRDefault="0073250F" w:rsidP="0073250F">
            <w:pPr>
              <w:spacing w:after="0" w:line="240" w:lineRule="auto"/>
              <w:rPr>
                <w:rFonts w:eastAsia="Times New Roman"/>
                <w:sz w:val="20"/>
                <w:szCs w:val="20"/>
                <w:lang w:eastAsia="en-AU"/>
              </w:rPr>
            </w:pPr>
          </w:p>
        </w:tc>
        <w:tc>
          <w:tcPr>
            <w:tcW w:w="1240" w:type="dxa"/>
            <w:shd w:val="clear" w:color="auto" w:fill="auto"/>
            <w:noWrap/>
            <w:vAlign w:val="bottom"/>
            <w:hideMark/>
          </w:tcPr>
          <w:p w14:paraId="19727966"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57A7FE0B" w14:textId="77777777" w:rsidR="0073250F" w:rsidRPr="0073250F" w:rsidRDefault="0073250F" w:rsidP="0073250F">
            <w:pPr>
              <w:spacing w:after="0" w:line="240" w:lineRule="auto"/>
              <w:rPr>
                <w:rFonts w:eastAsia="Times New Roman"/>
                <w:sz w:val="20"/>
                <w:szCs w:val="20"/>
                <w:lang w:eastAsia="en-AU"/>
              </w:rPr>
            </w:pPr>
          </w:p>
        </w:tc>
        <w:tc>
          <w:tcPr>
            <w:tcW w:w="1417" w:type="dxa"/>
            <w:shd w:val="clear" w:color="auto" w:fill="auto"/>
            <w:noWrap/>
            <w:vAlign w:val="bottom"/>
            <w:hideMark/>
          </w:tcPr>
          <w:p w14:paraId="62C9CA7B"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7269AC65"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5B07851E"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4A8AB56D" w14:textId="77777777" w:rsidR="0073250F" w:rsidRPr="0073250F" w:rsidRDefault="0073250F" w:rsidP="0073250F">
            <w:pPr>
              <w:spacing w:after="0" w:line="240" w:lineRule="auto"/>
              <w:rPr>
                <w:rFonts w:eastAsia="Times New Roman"/>
                <w:i/>
                <w:iCs/>
                <w:sz w:val="20"/>
                <w:szCs w:val="20"/>
                <w:lang w:eastAsia="en-AU"/>
              </w:rPr>
            </w:pPr>
          </w:p>
        </w:tc>
      </w:tr>
      <w:tr w:rsidR="00656BED" w:rsidRPr="0073250F" w14:paraId="706B081F" w14:textId="77777777" w:rsidTr="00655696">
        <w:trPr>
          <w:trHeight w:val="240"/>
        </w:trPr>
        <w:tc>
          <w:tcPr>
            <w:tcW w:w="7691" w:type="dxa"/>
            <w:gridSpan w:val="4"/>
            <w:tcBorders>
              <w:bottom w:val="single" w:sz="4" w:space="0" w:color="auto"/>
            </w:tcBorders>
            <w:shd w:val="clear" w:color="auto" w:fill="auto"/>
            <w:noWrap/>
            <w:vAlign w:val="bottom"/>
            <w:hideMark/>
          </w:tcPr>
          <w:p w14:paraId="43EFE236" w14:textId="77777777" w:rsidR="00656BED" w:rsidRPr="0073250F" w:rsidRDefault="00656BED" w:rsidP="0073250F">
            <w:pPr>
              <w:spacing w:after="0" w:line="240" w:lineRule="auto"/>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Table 1:  Total and Median Benefits paid to Private Day and Overnight Hospitals in 2018-19.</w:t>
            </w:r>
          </w:p>
        </w:tc>
        <w:tc>
          <w:tcPr>
            <w:tcW w:w="1240" w:type="dxa"/>
            <w:tcBorders>
              <w:bottom w:val="single" w:sz="4" w:space="0" w:color="auto"/>
            </w:tcBorders>
            <w:shd w:val="clear" w:color="auto" w:fill="auto"/>
            <w:noWrap/>
            <w:vAlign w:val="bottom"/>
            <w:hideMark/>
          </w:tcPr>
          <w:p w14:paraId="64C613EC" w14:textId="77777777" w:rsidR="00656BED" w:rsidRPr="0073250F" w:rsidRDefault="00656BED" w:rsidP="0073250F">
            <w:pPr>
              <w:spacing w:after="0" w:line="240" w:lineRule="auto"/>
              <w:rPr>
                <w:rFonts w:ascii="Calibri" w:eastAsia="Times New Roman" w:hAnsi="Calibri" w:cs="Calibri"/>
                <w:sz w:val="16"/>
                <w:szCs w:val="16"/>
                <w:lang w:eastAsia="en-AU"/>
              </w:rPr>
            </w:pPr>
          </w:p>
        </w:tc>
        <w:tc>
          <w:tcPr>
            <w:tcW w:w="1134" w:type="dxa"/>
            <w:shd w:val="clear" w:color="auto" w:fill="auto"/>
            <w:noWrap/>
            <w:vAlign w:val="bottom"/>
            <w:hideMark/>
          </w:tcPr>
          <w:p w14:paraId="1DF72A90" w14:textId="77777777" w:rsidR="00656BED" w:rsidRPr="0073250F" w:rsidRDefault="00656BED" w:rsidP="0073250F">
            <w:pPr>
              <w:spacing w:after="0" w:line="240" w:lineRule="auto"/>
              <w:rPr>
                <w:rFonts w:eastAsia="Times New Roman"/>
                <w:sz w:val="20"/>
                <w:szCs w:val="20"/>
                <w:lang w:eastAsia="en-AU"/>
              </w:rPr>
            </w:pPr>
          </w:p>
        </w:tc>
        <w:tc>
          <w:tcPr>
            <w:tcW w:w="5213" w:type="dxa"/>
            <w:gridSpan w:val="4"/>
            <w:shd w:val="clear" w:color="auto" w:fill="auto"/>
            <w:noWrap/>
            <w:vAlign w:val="bottom"/>
            <w:hideMark/>
          </w:tcPr>
          <w:p w14:paraId="0CC804C1" w14:textId="6421915B" w:rsidR="00656BED" w:rsidRPr="0073250F" w:rsidRDefault="00656BED" w:rsidP="0073250F">
            <w:pPr>
              <w:spacing w:after="0" w:line="240" w:lineRule="auto"/>
              <w:rPr>
                <w:rFonts w:eastAsia="Times New Roman"/>
                <w:i/>
                <w:iCs/>
                <w:sz w:val="20"/>
                <w:szCs w:val="20"/>
                <w:lang w:eastAsia="en-AU"/>
              </w:rPr>
            </w:pPr>
            <w:r w:rsidRPr="0073250F">
              <w:rPr>
                <w:rFonts w:ascii="Calibri" w:eastAsia="Times New Roman" w:hAnsi="Calibri" w:cs="Calibri"/>
                <w:i/>
                <w:iCs/>
                <w:color w:val="000099"/>
                <w:sz w:val="16"/>
                <w:szCs w:val="16"/>
                <w:lang w:eastAsia="en-AU"/>
              </w:rPr>
              <w:t xml:space="preserve">Source: 2018/19 Hospital </w:t>
            </w:r>
            <w:proofErr w:type="spellStart"/>
            <w:r w:rsidRPr="0073250F">
              <w:rPr>
                <w:rFonts w:ascii="Calibri" w:eastAsia="Times New Roman" w:hAnsi="Calibri" w:cs="Calibri"/>
                <w:i/>
                <w:iCs/>
                <w:color w:val="000099"/>
                <w:sz w:val="16"/>
                <w:szCs w:val="16"/>
                <w:lang w:eastAsia="en-AU"/>
              </w:rPr>
              <w:t>Casemix</w:t>
            </w:r>
            <w:proofErr w:type="spellEnd"/>
            <w:r w:rsidRPr="0073250F">
              <w:rPr>
                <w:rFonts w:ascii="Calibri" w:eastAsia="Times New Roman" w:hAnsi="Calibri" w:cs="Calibri"/>
                <w:i/>
                <w:iCs/>
                <w:color w:val="000099"/>
                <w:sz w:val="16"/>
                <w:szCs w:val="16"/>
                <w:lang w:eastAsia="en-AU"/>
              </w:rPr>
              <w:t xml:space="preserve"> Protocol1: Episode and Prostheses records</w:t>
            </w:r>
            <w:r w:rsidRPr="0073250F">
              <w:rPr>
                <w:rFonts w:ascii="Calibri" w:eastAsia="Times New Roman" w:hAnsi="Calibri" w:cs="Calibri"/>
                <w:i/>
                <w:iCs/>
                <w:sz w:val="16"/>
                <w:szCs w:val="16"/>
                <w:lang w:eastAsia="en-AU"/>
              </w:rPr>
              <w:t>.</w:t>
            </w:r>
          </w:p>
        </w:tc>
      </w:tr>
      <w:tr w:rsidR="001B1D2C" w:rsidRPr="0073250F" w14:paraId="0DA5B0E5" w14:textId="77777777" w:rsidTr="00655696">
        <w:trPr>
          <w:trHeight w:val="300"/>
        </w:trPr>
        <w:tc>
          <w:tcPr>
            <w:tcW w:w="3602" w:type="dxa"/>
            <w:vMerge w:val="restar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34F54A4" w14:textId="77777777" w:rsidR="00FF3BC7" w:rsidRPr="0073250F" w:rsidRDefault="00FF3BC7" w:rsidP="0073250F">
            <w:pPr>
              <w:spacing w:after="0" w:line="240" w:lineRule="auto"/>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 </w:t>
            </w:r>
          </w:p>
          <w:p w14:paraId="55238D50" w14:textId="056ED420" w:rsidR="00FF3BC7" w:rsidRPr="0073250F" w:rsidRDefault="00FF3BC7" w:rsidP="0073250F">
            <w:pPr>
              <w:spacing w:after="0" w:line="240" w:lineRule="auto"/>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 </w:t>
            </w:r>
          </w:p>
        </w:tc>
        <w:tc>
          <w:tcPr>
            <w:tcW w:w="2413"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FF1203C" w14:textId="77777777" w:rsidR="00FF3BC7" w:rsidRPr="0073250F" w:rsidRDefault="00FF3BC7" w:rsidP="0073250F">
            <w:pPr>
              <w:spacing w:after="0" w:line="240" w:lineRule="auto"/>
              <w:jc w:val="center"/>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Private Day Hospital</w:t>
            </w:r>
          </w:p>
        </w:tc>
        <w:tc>
          <w:tcPr>
            <w:tcW w:w="2916"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06E8665" w14:textId="77777777" w:rsidR="00FF3BC7" w:rsidRPr="0073250F" w:rsidRDefault="00FF3BC7" w:rsidP="0073250F">
            <w:pPr>
              <w:spacing w:after="0" w:line="240" w:lineRule="auto"/>
              <w:jc w:val="center"/>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Private Overnight Hospital</w:t>
            </w:r>
          </w:p>
        </w:tc>
        <w:tc>
          <w:tcPr>
            <w:tcW w:w="1134" w:type="dxa"/>
            <w:tcBorders>
              <w:left w:val="single" w:sz="4" w:space="0" w:color="auto"/>
            </w:tcBorders>
            <w:shd w:val="clear" w:color="auto" w:fill="auto"/>
            <w:noWrap/>
            <w:vAlign w:val="bottom"/>
            <w:hideMark/>
          </w:tcPr>
          <w:p w14:paraId="5B26C068" w14:textId="77777777" w:rsidR="00FF3BC7" w:rsidRPr="0073250F" w:rsidRDefault="00FF3BC7" w:rsidP="0073250F">
            <w:pPr>
              <w:spacing w:after="0" w:line="240" w:lineRule="auto"/>
              <w:jc w:val="center"/>
              <w:rPr>
                <w:rFonts w:ascii="Calibri" w:eastAsia="Times New Roman" w:hAnsi="Calibri" w:cs="Calibri"/>
                <w:b/>
                <w:bCs/>
                <w:sz w:val="16"/>
                <w:szCs w:val="16"/>
                <w:lang w:eastAsia="en-AU"/>
              </w:rPr>
            </w:pPr>
          </w:p>
        </w:tc>
        <w:tc>
          <w:tcPr>
            <w:tcW w:w="3685" w:type="dxa"/>
            <w:gridSpan w:val="3"/>
            <w:shd w:val="clear" w:color="auto" w:fill="auto"/>
            <w:noWrap/>
            <w:vAlign w:val="bottom"/>
            <w:hideMark/>
          </w:tcPr>
          <w:p w14:paraId="7292B580" w14:textId="18BE0DEC" w:rsidR="00FF3BC7" w:rsidRPr="0073250F" w:rsidRDefault="00FF3BC7" w:rsidP="0073250F">
            <w:pPr>
              <w:spacing w:after="0" w:line="240" w:lineRule="auto"/>
              <w:rPr>
                <w:rFonts w:eastAsia="Times New Roman"/>
                <w:color w:val="000099"/>
                <w:sz w:val="20"/>
                <w:szCs w:val="20"/>
                <w:lang w:eastAsia="en-AU"/>
              </w:rPr>
            </w:pPr>
            <w:r w:rsidRPr="0073250F">
              <w:rPr>
                <w:rFonts w:ascii="Calibri" w:eastAsia="Times New Roman" w:hAnsi="Calibri" w:cs="Calibri"/>
                <w:color w:val="000099"/>
                <w:sz w:val="16"/>
                <w:szCs w:val="16"/>
                <w:lang w:eastAsia="en-AU"/>
              </w:rPr>
              <w:t>Analysis by Dep</w:t>
            </w:r>
            <w:r w:rsidR="004803EE">
              <w:rPr>
                <w:rFonts w:ascii="Calibri" w:eastAsia="Times New Roman" w:hAnsi="Calibri" w:cs="Calibri"/>
                <w:color w:val="000099"/>
                <w:sz w:val="16"/>
                <w:szCs w:val="16"/>
                <w:lang w:eastAsia="en-AU"/>
              </w:rPr>
              <w:t>artmen</w:t>
            </w:r>
            <w:r w:rsidRPr="0073250F">
              <w:rPr>
                <w:rFonts w:ascii="Calibri" w:eastAsia="Times New Roman" w:hAnsi="Calibri" w:cs="Calibri"/>
                <w:color w:val="000099"/>
                <w:sz w:val="16"/>
                <w:szCs w:val="16"/>
                <w:lang w:eastAsia="en-AU"/>
              </w:rPr>
              <w:t>t of Health June 2021</w:t>
            </w:r>
          </w:p>
        </w:tc>
        <w:tc>
          <w:tcPr>
            <w:tcW w:w="1528" w:type="dxa"/>
            <w:shd w:val="clear" w:color="auto" w:fill="auto"/>
            <w:noWrap/>
            <w:vAlign w:val="bottom"/>
            <w:hideMark/>
          </w:tcPr>
          <w:p w14:paraId="0149F76D" w14:textId="77777777" w:rsidR="00FF3BC7" w:rsidRPr="0073250F" w:rsidRDefault="00FF3BC7" w:rsidP="0073250F">
            <w:pPr>
              <w:spacing w:after="0" w:line="240" w:lineRule="auto"/>
              <w:rPr>
                <w:rFonts w:eastAsia="Times New Roman"/>
                <w:sz w:val="20"/>
                <w:szCs w:val="20"/>
                <w:lang w:eastAsia="en-AU"/>
              </w:rPr>
            </w:pPr>
          </w:p>
        </w:tc>
      </w:tr>
      <w:tr w:rsidR="00655696" w:rsidRPr="0073250F" w14:paraId="4E245664" w14:textId="77777777" w:rsidTr="00655696">
        <w:trPr>
          <w:trHeight w:val="450"/>
        </w:trPr>
        <w:tc>
          <w:tcPr>
            <w:tcW w:w="3602" w:type="dxa"/>
            <w:vMerge/>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87FFFAF" w14:textId="449C17F1" w:rsidR="00656BED" w:rsidRPr="0073250F" w:rsidRDefault="00656BED" w:rsidP="0073250F">
            <w:pPr>
              <w:spacing w:after="0" w:line="240" w:lineRule="auto"/>
              <w:rPr>
                <w:rFonts w:ascii="Calibri" w:eastAsia="Times New Roman" w:hAnsi="Calibri" w:cs="Calibri"/>
                <w:sz w:val="16"/>
                <w:szCs w:val="16"/>
                <w:lang w:eastAsia="en-AU"/>
              </w:rPr>
            </w:pPr>
          </w:p>
        </w:tc>
        <w:tc>
          <w:tcPr>
            <w:tcW w:w="128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80AE48" w14:textId="77777777" w:rsidR="00656BED" w:rsidRPr="0073250F" w:rsidRDefault="00656BED"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All Prostheses List Items</w:t>
            </w:r>
          </w:p>
        </w:tc>
        <w:tc>
          <w:tcPr>
            <w:tcW w:w="112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0AAF036" w14:textId="77777777" w:rsidR="00656BED" w:rsidRPr="0073250F" w:rsidRDefault="00656BED"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GM Category Items</w:t>
            </w:r>
          </w:p>
        </w:tc>
        <w:tc>
          <w:tcPr>
            <w:tcW w:w="16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8CE26ED" w14:textId="77777777" w:rsidR="00656BED" w:rsidRPr="0073250F" w:rsidRDefault="00656BED"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All Prostheses List Items</w:t>
            </w:r>
          </w:p>
        </w:tc>
        <w:tc>
          <w:tcPr>
            <w:tcW w:w="12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7B82DBD" w14:textId="77777777" w:rsidR="00656BED" w:rsidRPr="0073250F" w:rsidRDefault="00656BED"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GM Category Items</w:t>
            </w:r>
          </w:p>
        </w:tc>
        <w:tc>
          <w:tcPr>
            <w:tcW w:w="1134" w:type="dxa"/>
            <w:tcBorders>
              <w:left w:val="single" w:sz="4" w:space="0" w:color="auto"/>
            </w:tcBorders>
            <w:shd w:val="clear" w:color="auto" w:fill="auto"/>
            <w:noWrap/>
            <w:vAlign w:val="bottom"/>
            <w:hideMark/>
          </w:tcPr>
          <w:p w14:paraId="5FBF64C1" w14:textId="77777777" w:rsidR="00656BED" w:rsidRPr="0073250F" w:rsidRDefault="00656BED" w:rsidP="0073250F">
            <w:pPr>
              <w:spacing w:after="0" w:line="240" w:lineRule="auto"/>
              <w:jc w:val="center"/>
              <w:rPr>
                <w:rFonts w:ascii="Calibri" w:eastAsia="Times New Roman" w:hAnsi="Calibri" w:cs="Calibri"/>
                <w:sz w:val="16"/>
                <w:szCs w:val="16"/>
                <w:lang w:eastAsia="en-AU"/>
              </w:rPr>
            </w:pPr>
          </w:p>
        </w:tc>
        <w:tc>
          <w:tcPr>
            <w:tcW w:w="1417" w:type="dxa"/>
            <w:shd w:val="clear" w:color="auto" w:fill="auto"/>
            <w:noWrap/>
            <w:vAlign w:val="bottom"/>
            <w:hideMark/>
          </w:tcPr>
          <w:p w14:paraId="4C8929B0" w14:textId="77777777" w:rsidR="00656BED" w:rsidRPr="0073250F" w:rsidRDefault="00656BED"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45111C27" w14:textId="77777777" w:rsidR="00656BED" w:rsidRPr="0073250F" w:rsidRDefault="00656BED"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3C71EE7E" w14:textId="77777777" w:rsidR="00656BED" w:rsidRPr="0073250F" w:rsidRDefault="00656BED"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79D727F2" w14:textId="77777777" w:rsidR="00656BED" w:rsidRPr="0073250F" w:rsidRDefault="00656BED" w:rsidP="0073250F">
            <w:pPr>
              <w:spacing w:after="0" w:line="240" w:lineRule="auto"/>
              <w:rPr>
                <w:rFonts w:eastAsia="Times New Roman"/>
                <w:sz w:val="20"/>
                <w:szCs w:val="20"/>
                <w:lang w:eastAsia="en-AU"/>
              </w:rPr>
            </w:pPr>
          </w:p>
        </w:tc>
      </w:tr>
      <w:tr w:rsidR="001B1D2C" w:rsidRPr="0073250F" w14:paraId="75ADE8EE" w14:textId="77777777" w:rsidTr="00655696">
        <w:trPr>
          <w:trHeight w:val="165"/>
        </w:trPr>
        <w:tc>
          <w:tcPr>
            <w:tcW w:w="3602" w:type="dxa"/>
            <w:tcBorders>
              <w:top w:val="single" w:sz="4" w:space="0" w:color="auto"/>
              <w:left w:val="single" w:sz="4" w:space="0" w:color="auto"/>
              <w:bottom w:val="single" w:sz="4" w:space="0" w:color="auto"/>
              <w:right w:val="single" w:sz="4" w:space="0" w:color="auto"/>
            </w:tcBorders>
            <w:shd w:val="clear" w:color="000000" w:fill="D9E1F2"/>
            <w:vAlign w:val="center"/>
          </w:tcPr>
          <w:p w14:paraId="50345B17" w14:textId="2A0A8623" w:rsidR="001B1D2C" w:rsidRPr="00655696" w:rsidRDefault="001B1D2C" w:rsidP="00962AB5">
            <w:pPr>
              <w:spacing w:after="0" w:line="240" w:lineRule="auto"/>
              <w:rPr>
                <w:rFonts w:ascii="Calibri" w:eastAsia="Times New Roman" w:hAnsi="Calibri" w:cs="Calibri"/>
                <w:sz w:val="16"/>
                <w:szCs w:val="16"/>
                <w:lang w:eastAsia="en-AU"/>
              </w:rPr>
            </w:pPr>
            <w:r w:rsidRPr="00655696">
              <w:rPr>
                <w:rFonts w:ascii="Calibri" w:eastAsia="Times New Roman" w:hAnsi="Calibri" w:cs="Calibri"/>
                <w:sz w:val="16"/>
                <w:szCs w:val="16"/>
                <w:lang w:eastAsia="en-AU"/>
              </w:rPr>
              <w:t>Separations</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D62AB" w14:textId="7D5BA158" w:rsidR="001B1D2C" w:rsidRPr="00655696" w:rsidRDefault="001B1D2C" w:rsidP="00962AB5">
            <w:pPr>
              <w:spacing w:after="0" w:line="240" w:lineRule="auto"/>
              <w:jc w:val="center"/>
              <w:rPr>
                <w:rFonts w:ascii="Calibri" w:eastAsia="Times New Roman" w:hAnsi="Calibri" w:cs="Calibri"/>
                <w:sz w:val="16"/>
                <w:szCs w:val="16"/>
                <w:lang w:eastAsia="en-AU"/>
              </w:rPr>
            </w:pPr>
            <w:r w:rsidRPr="00655696">
              <w:rPr>
                <w:rFonts w:ascii="Calibri" w:eastAsia="Times New Roman" w:hAnsi="Calibri" w:cs="Calibri"/>
                <w:sz w:val="16"/>
                <w:szCs w:val="16"/>
                <w:lang w:eastAsia="en-AU"/>
              </w:rPr>
              <w:t>98,780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14496D1" w14:textId="73E26CA7" w:rsidR="001B1D2C" w:rsidRPr="00655696" w:rsidRDefault="001B1D2C" w:rsidP="00962AB5">
            <w:pPr>
              <w:spacing w:after="0" w:line="240" w:lineRule="auto"/>
              <w:jc w:val="center"/>
              <w:rPr>
                <w:rFonts w:ascii="Calibri" w:eastAsia="Times New Roman" w:hAnsi="Calibri" w:cs="Calibri"/>
                <w:sz w:val="16"/>
                <w:szCs w:val="16"/>
                <w:lang w:eastAsia="en-AU"/>
              </w:rPr>
            </w:pPr>
            <w:r w:rsidRPr="00655696">
              <w:rPr>
                <w:rFonts w:ascii="Calibri" w:eastAsia="Times New Roman" w:hAnsi="Calibri" w:cs="Calibri"/>
                <w:sz w:val="16"/>
                <w:szCs w:val="16"/>
                <w:lang w:eastAsia="en-AU"/>
              </w:rPr>
              <w:t>16,095</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E0131" w14:textId="3F499A11" w:rsidR="001B1D2C" w:rsidRPr="00655696" w:rsidRDefault="001B1D2C" w:rsidP="001B1D2C">
            <w:pPr>
              <w:spacing w:after="0" w:line="240" w:lineRule="auto"/>
              <w:jc w:val="center"/>
              <w:rPr>
                <w:rFonts w:ascii="Calibri" w:eastAsia="Times New Roman" w:hAnsi="Calibri" w:cs="Calibri"/>
                <w:sz w:val="16"/>
                <w:szCs w:val="16"/>
                <w:lang w:eastAsia="en-AU"/>
              </w:rPr>
            </w:pPr>
            <w:r w:rsidRPr="00655696">
              <w:rPr>
                <w:rFonts w:ascii="Calibri" w:eastAsia="Times New Roman" w:hAnsi="Calibri" w:cs="Calibri"/>
                <w:sz w:val="16"/>
                <w:szCs w:val="16"/>
                <w:lang w:eastAsia="en-AU"/>
              </w:rPr>
              <w:t>615,808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76128025" w14:textId="0941D58F" w:rsidR="001B1D2C" w:rsidRPr="00655696" w:rsidRDefault="001B1D2C" w:rsidP="00962AB5">
            <w:pPr>
              <w:spacing w:after="0" w:line="240" w:lineRule="auto"/>
              <w:jc w:val="center"/>
              <w:rPr>
                <w:rFonts w:ascii="Calibri" w:eastAsia="Times New Roman" w:hAnsi="Calibri" w:cs="Calibri"/>
                <w:sz w:val="16"/>
                <w:szCs w:val="16"/>
                <w:lang w:eastAsia="en-AU"/>
              </w:rPr>
            </w:pPr>
            <w:r w:rsidRPr="00655696">
              <w:rPr>
                <w:rFonts w:ascii="Calibri" w:eastAsia="Times New Roman" w:hAnsi="Calibri" w:cs="Calibri"/>
                <w:sz w:val="16"/>
                <w:szCs w:val="16"/>
                <w:lang w:eastAsia="en-AU"/>
              </w:rPr>
              <w:t>356,081</w:t>
            </w:r>
          </w:p>
        </w:tc>
        <w:tc>
          <w:tcPr>
            <w:tcW w:w="1134" w:type="dxa"/>
            <w:tcBorders>
              <w:left w:val="single" w:sz="4" w:space="0" w:color="auto"/>
            </w:tcBorders>
            <w:shd w:val="clear" w:color="auto" w:fill="auto"/>
            <w:noWrap/>
            <w:vAlign w:val="bottom"/>
          </w:tcPr>
          <w:p w14:paraId="3ECB0965" w14:textId="77777777" w:rsidR="001B1D2C" w:rsidRPr="0073250F" w:rsidRDefault="001B1D2C" w:rsidP="0073250F">
            <w:pPr>
              <w:spacing w:after="0" w:line="240" w:lineRule="auto"/>
              <w:jc w:val="center"/>
              <w:rPr>
                <w:rFonts w:ascii="Calibri" w:eastAsia="Times New Roman" w:hAnsi="Calibri" w:cs="Calibri"/>
                <w:sz w:val="16"/>
                <w:szCs w:val="16"/>
                <w:lang w:eastAsia="en-AU"/>
              </w:rPr>
            </w:pPr>
          </w:p>
        </w:tc>
        <w:tc>
          <w:tcPr>
            <w:tcW w:w="1417" w:type="dxa"/>
            <w:shd w:val="clear" w:color="auto" w:fill="auto"/>
            <w:noWrap/>
            <w:vAlign w:val="bottom"/>
          </w:tcPr>
          <w:p w14:paraId="0E344E92" w14:textId="77777777" w:rsidR="001B1D2C" w:rsidRPr="0073250F" w:rsidRDefault="001B1D2C" w:rsidP="0073250F">
            <w:pPr>
              <w:spacing w:after="0" w:line="240" w:lineRule="auto"/>
              <w:rPr>
                <w:rFonts w:eastAsia="Times New Roman"/>
                <w:sz w:val="20"/>
                <w:szCs w:val="20"/>
                <w:lang w:eastAsia="en-AU"/>
              </w:rPr>
            </w:pPr>
          </w:p>
        </w:tc>
        <w:tc>
          <w:tcPr>
            <w:tcW w:w="1134" w:type="dxa"/>
            <w:shd w:val="clear" w:color="auto" w:fill="auto"/>
            <w:noWrap/>
            <w:vAlign w:val="bottom"/>
          </w:tcPr>
          <w:p w14:paraId="07B6F994" w14:textId="77777777" w:rsidR="001B1D2C" w:rsidRPr="0073250F" w:rsidRDefault="001B1D2C" w:rsidP="0073250F">
            <w:pPr>
              <w:spacing w:after="0" w:line="240" w:lineRule="auto"/>
              <w:rPr>
                <w:rFonts w:eastAsia="Times New Roman"/>
                <w:sz w:val="20"/>
                <w:szCs w:val="20"/>
                <w:lang w:eastAsia="en-AU"/>
              </w:rPr>
            </w:pPr>
          </w:p>
        </w:tc>
        <w:tc>
          <w:tcPr>
            <w:tcW w:w="1134" w:type="dxa"/>
            <w:shd w:val="clear" w:color="auto" w:fill="auto"/>
            <w:noWrap/>
            <w:vAlign w:val="bottom"/>
          </w:tcPr>
          <w:p w14:paraId="119161A2" w14:textId="77777777" w:rsidR="001B1D2C" w:rsidRPr="0073250F" w:rsidRDefault="001B1D2C" w:rsidP="0073250F">
            <w:pPr>
              <w:spacing w:after="0" w:line="240" w:lineRule="auto"/>
              <w:rPr>
                <w:rFonts w:eastAsia="Times New Roman"/>
                <w:sz w:val="20"/>
                <w:szCs w:val="20"/>
                <w:lang w:eastAsia="en-AU"/>
              </w:rPr>
            </w:pPr>
          </w:p>
        </w:tc>
        <w:tc>
          <w:tcPr>
            <w:tcW w:w="1528" w:type="dxa"/>
            <w:shd w:val="clear" w:color="auto" w:fill="auto"/>
            <w:noWrap/>
            <w:vAlign w:val="bottom"/>
          </w:tcPr>
          <w:p w14:paraId="115B468A" w14:textId="77777777" w:rsidR="001B1D2C" w:rsidRPr="0073250F" w:rsidRDefault="001B1D2C" w:rsidP="0073250F">
            <w:pPr>
              <w:spacing w:after="0" w:line="240" w:lineRule="auto"/>
              <w:rPr>
                <w:rFonts w:eastAsia="Times New Roman"/>
                <w:sz w:val="20"/>
                <w:szCs w:val="20"/>
                <w:lang w:eastAsia="en-AU"/>
              </w:rPr>
            </w:pPr>
          </w:p>
        </w:tc>
      </w:tr>
      <w:tr w:rsidR="001B1D2C" w:rsidRPr="0073250F" w14:paraId="26A2BB9D" w14:textId="77777777" w:rsidTr="00655696">
        <w:trPr>
          <w:trHeight w:val="271"/>
        </w:trPr>
        <w:tc>
          <w:tcPr>
            <w:tcW w:w="360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3130E52" w14:textId="77777777" w:rsidR="0073250F" w:rsidRPr="00655696" w:rsidRDefault="0073250F" w:rsidP="0073250F">
            <w:pPr>
              <w:spacing w:after="0" w:line="240" w:lineRule="auto"/>
              <w:rPr>
                <w:rFonts w:ascii="Calibri" w:eastAsia="Times New Roman" w:hAnsi="Calibri" w:cs="Calibri"/>
                <w:sz w:val="16"/>
                <w:szCs w:val="16"/>
                <w:lang w:eastAsia="en-AU"/>
              </w:rPr>
            </w:pPr>
            <w:r w:rsidRPr="00655696">
              <w:rPr>
                <w:rFonts w:ascii="Calibri" w:eastAsia="Times New Roman" w:hAnsi="Calibri" w:cs="Calibri"/>
                <w:sz w:val="16"/>
                <w:szCs w:val="16"/>
                <w:lang w:eastAsia="en-AU"/>
              </w:rPr>
              <w:t>Prostheses Benefits Paid</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95161" w14:textId="77777777" w:rsidR="0073250F" w:rsidRPr="00655696" w:rsidRDefault="0073250F" w:rsidP="00223482">
            <w:pPr>
              <w:spacing w:after="0" w:line="240" w:lineRule="auto"/>
              <w:jc w:val="center"/>
              <w:rPr>
                <w:rFonts w:ascii="Calibri" w:eastAsia="Times New Roman" w:hAnsi="Calibri" w:cs="Calibri"/>
                <w:sz w:val="16"/>
                <w:szCs w:val="16"/>
                <w:lang w:eastAsia="en-AU"/>
              </w:rPr>
            </w:pPr>
            <w:r w:rsidRPr="00655696">
              <w:rPr>
                <w:rFonts w:ascii="Calibri" w:eastAsia="Times New Roman" w:hAnsi="Calibri" w:cs="Calibri"/>
                <w:sz w:val="16"/>
                <w:szCs w:val="16"/>
                <w:lang w:eastAsia="en-AU"/>
              </w:rPr>
              <w:t>$66,100,000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3DE29" w14:textId="77777777" w:rsidR="0073250F" w:rsidRPr="00655696" w:rsidRDefault="0073250F" w:rsidP="00223482">
            <w:pPr>
              <w:spacing w:after="0" w:line="240" w:lineRule="auto"/>
              <w:jc w:val="center"/>
              <w:rPr>
                <w:rFonts w:ascii="Calibri" w:eastAsia="Times New Roman" w:hAnsi="Calibri" w:cs="Calibri"/>
                <w:sz w:val="16"/>
                <w:szCs w:val="16"/>
                <w:lang w:eastAsia="en-AU"/>
              </w:rPr>
            </w:pPr>
            <w:r w:rsidRPr="00655696">
              <w:rPr>
                <w:rFonts w:ascii="Calibri" w:eastAsia="Times New Roman" w:hAnsi="Calibri" w:cs="Calibri"/>
                <w:sz w:val="16"/>
                <w:szCs w:val="16"/>
                <w:lang w:eastAsia="en-AU"/>
              </w:rPr>
              <w:t>$2,800,000</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EC8B3" w14:textId="77777777" w:rsidR="0073250F" w:rsidRPr="00655696" w:rsidRDefault="0073250F" w:rsidP="00223482">
            <w:pPr>
              <w:spacing w:after="0" w:line="240" w:lineRule="auto"/>
              <w:jc w:val="center"/>
              <w:rPr>
                <w:rFonts w:ascii="Calibri" w:eastAsia="Times New Roman" w:hAnsi="Calibri" w:cs="Calibri"/>
                <w:sz w:val="16"/>
                <w:szCs w:val="16"/>
                <w:lang w:eastAsia="en-AU"/>
              </w:rPr>
            </w:pPr>
            <w:r w:rsidRPr="00655696">
              <w:rPr>
                <w:rFonts w:ascii="Calibri" w:eastAsia="Times New Roman" w:hAnsi="Calibri" w:cs="Calibri"/>
                <w:sz w:val="16"/>
                <w:szCs w:val="16"/>
                <w:lang w:eastAsia="en-AU"/>
              </w:rPr>
              <w:t>$1,730,000,000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653F7" w14:textId="77777777" w:rsidR="0073250F" w:rsidRPr="0073250F" w:rsidRDefault="0073250F" w:rsidP="00223482">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$250,200,000</w:t>
            </w:r>
          </w:p>
        </w:tc>
        <w:tc>
          <w:tcPr>
            <w:tcW w:w="1134" w:type="dxa"/>
            <w:tcBorders>
              <w:left w:val="single" w:sz="4" w:space="0" w:color="auto"/>
            </w:tcBorders>
            <w:shd w:val="clear" w:color="auto" w:fill="auto"/>
            <w:noWrap/>
            <w:vAlign w:val="bottom"/>
            <w:hideMark/>
          </w:tcPr>
          <w:p w14:paraId="18301BE0"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p>
        </w:tc>
        <w:tc>
          <w:tcPr>
            <w:tcW w:w="1417" w:type="dxa"/>
            <w:shd w:val="clear" w:color="auto" w:fill="auto"/>
            <w:noWrap/>
            <w:vAlign w:val="bottom"/>
            <w:hideMark/>
          </w:tcPr>
          <w:p w14:paraId="08AA1E7F"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01609182"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70BAD182"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4A046BA7" w14:textId="77777777" w:rsidR="0073250F" w:rsidRPr="0073250F" w:rsidRDefault="0073250F" w:rsidP="0073250F">
            <w:pPr>
              <w:spacing w:after="0" w:line="240" w:lineRule="auto"/>
              <w:rPr>
                <w:rFonts w:eastAsia="Times New Roman"/>
                <w:sz w:val="20"/>
                <w:szCs w:val="20"/>
                <w:lang w:eastAsia="en-AU"/>
              </w:rPr>
            </w:pPr>
          </w:p>
        </w:tc>
      </w:tr>
      <w:tr w:rsidR="001B1D2C" w:rsidRPr="0073250F" w14:paraId="3C4C78D4" w14:textId="77777777" w:rsidTr="00655696">
        <w:trPr>
          <w:trHeight w:val="240"/>
        </w:trPr>
        <w:tc>
          <w:tcPr>
            <w:tcW w:w="360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04369F" w14:textId="77777777" w:rsidR="0073250F" w:rsidRPr="0073250F" w:rsidRDefault="0073250F" w:rsidP="0073250F">
            <w:pPr>
              <w:spacing w:after="0" w:line="240" w:lineRule="auto"/>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Median Prostheses Benefits per hospital</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061A1"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$27,000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E3E99"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$5,500</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436A5"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$1,700,000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1213A"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$280,000</w:t>
            </w:r>
          </w:p>
        </w:tc>
        <w:tc>
          <w:tcPr>
            <w:tcW w:w="1134" w:type="dxa"/>
            <w:tcBorders>
              <w:left w:val="single" w:sz="4" w:space="0" w:color="auto"/>
            </w:tcBorders>
            <w:shd w:val="clear" w:color="auto" w:fill="auto"/>
            <w:noWrap/>
            <w:vAlign w:val="bottom"/>
            <w:hideMark/>
          </w:tcPr>
          <w:p w14:paraId="43A45F69"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p>
        </w:tc>
        <w:tc>
          <w:tcPr>
            <w:tcW w:w="1417" w:type="dxa"/>
            <w:shd w:val="clear" w:color="auto" w:fill="auto"/>
            <w:noWrap/>
            <w:vAlign w:val="bottom"/>
            <w:hideMark/>
          </w:tcPr>
          <w:p w14:paraId="13ED1D38"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0A86B5E1"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6CFC259E"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203C1709" w14:textId="77777777" w:rsidR="0073250F" w:rsidRPr="0073250F" w:rsidRDefault="0073250F" w:rsidP="0073250F">
            <w:pPr>
              <w:spacing w:after="0" w:line="240" w:lineRule="auto"/>
              <w:rPr>
                <w:rFonts w:eastAsia="Times New Roman"/>
                <w:sz w:val="20"/>
                <w:szCs w:val="20"/>
                <w:lang w:eastAsia="en-AU"/>
              </w:rPr>
            </w:pPr>
          </w:p>
        </w:tc>
      </w:tr>
      <w:tr w:rsidR="001B1D2C" w:rsidRPr="0073250F" w14:paraId="0DE07B4C" w14:textId="77777777" w:rsidTr="00655696">
        <w:trPr>
          <w:trHeight w:val="225"/>
        </w:trPr>
        <w:tc>
          <w:tcPr>
            <w:tcW w:w="3602" w:type="dxa"/>
            <w:tcBorders>
              <w:top w:val="single" w:sz="4" w:space="0" w:color="auto"/>
            </w:tcBorders>
            <w:shd w:val="clear" w:color="auto" w:fill="auto"/>
            <w:noWrap/>
            <w:vAlign w:val="bottom"/>
            <w:hideMark/>
          </w:tcPr>
          <w:p w14:paraId="5CC43E92" w14:textId="77777777" w:rsidR="0073250F" w:rsidRPr="0073250F" w:rsidRDefault="0073250F" w:rsidP="0073250F">
            <w:pPr>
              <w:spacing w:after="0" w:line="240" w:lineRule="auto"/>
              <w:rPr>
                <w:rFonts w:eastAsia="Times New Roman"/>
                <w:sz w:val="20"/>
                <w:szCs w:val="20"/>
                <w:lang w:eastAsia="en-AU"/>
              </w:rPr>
            </w:pPr>
          </w:p>
        </w:tc>
        <w:tc>
          <w:tcPr>
            <w:tcW w:w="1288" w:type="dxa"/>
            <w:tcBorders>
              <w:top w:val="single" w:sz="4" w:space="0" w:color="auto"/>
            </w:tcBorders>
            <w:shd w:val="clear" w:color="auto" w:fill="auto"/>
            <w:noWrap/>
            <w:vAlign w:val="bottom"/>
            <w:hideMark/>
          </w:tcPr>
          <w:p w14:paraId="6FA153E8" w14:textId="77777777" w:rsidR="0073250F" w:rsidRPr="0073250F" w:rsidRDefault="0073250F" w:rsidP="0073250F">
            <w:pPr>
              <w:spacing w:after="0" w:line="240" w:lineRule="auto"/>
              <w:rPr>
                <w:rFonts w:eastAsia="Times New Roman"/>
                <w:sz w:val="20"/>
                <w:szCs w:val="20"/>
                <w:lang w:eastAsia="en-AU"/>
              </w:rPr>
            </w:pPr>
          </w:p>
        </w:tc>
        <w:tc>
          <w:tcPr>
            <w:tcW w:w="1125" w:type="dxa"/>
            <w:tcBorders>
              <w:top w:val="single" w:sz="4" w:space="0" w:color="auto"/>
            </w:tcBorders>
            <w:shd w:val="clear" w:color="auto" w:fill="auto"/>
            <w:noWrap/>
            <w:vAlign w:val="bottom"/>
            <w:hideMark/>
          </w:tcPr>
          <w:p w14:paraId="1B1CE890" w14:textId="77777777" w:rsidR="0073250F" w:rsidRPr="0073250F" w:rsidRDefault="0073250F" w:rsidP="0073250F">
            <w:pPr>
              <w:spacing w:after="0" w:line="240" w:lineRule="auto"/>
              <w:rPr>
                <w:rFonts w:eastAsia="Times New Roman"/>
                <w:sz w:val="20"/>
                <w:szCs w:val="20"/>
                <w:lang w:eastAsia="en-AU"/>
              </w:rPr>
            </w:pPr>
          </w:p>
        </w:tc>
        <w:tc>
          <w:tcPr>
            <w:tcW w:w="1676" w:type="dxa"/>
            <w:tcBorders>
              <w:top w:val="single" w:sz="4" w:space="0" w:color="auto"/>
            </w:tcBorders>
            <w:shd w:val="clear" w:color="auto" w:fill="auto"/>
            <w:noWrap/>
            <w:vAlign w:val="bottom"/>
            <w:hideMark/>
          </w:tcPr>
          <w:p w14:paraId="3F12AAC3" w14:textId="77777777" w:rsidR="0073250F" w:rsidRPr="0073250F" w:rsidRDefault="0073250F" w:rsidP="0073250F">
            <w:pPr>
              <w:spacing w:after="0" w:line="240" w:lineRule="auto"/>
              <w:rPr>
                <w:rFonts w:eastAsia="Times New Roman"/>
                <w:sz w:val="20"/>
                <w:szCs w:val="20"/>
                <w:lang w:eastAsia="en-AU"/>
              </w:rPr>
            </w:pPr>
          </w:p>
        </w:tc>
        <w:tc>
          <w:tcPr>
            <w:tcW w:w="1240" w:type="dxa"/>
            <w:tcBorders>
              <w:top w:val="single" w:sz="4" w:space="0" w:color="auto"/>
            </w:tcBorders>
            <w:shd w:val="clear" w:color="auto" w:fill="auto"/>
            <w:noWrap/>
            <w:vAlign w:val="bottom"/>
            <w:hideMark/>
          </w:tcPr>
          <w:p w14:paraId="4A2DDB7F"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5C4A7D1D" w14:textId="77777777" w:rsidR="0073250F" w:rsidRPr="0073250F" w:rsidRDefault="0073250F" w:rsidP="0073250F">
            <w:pPr>
              <w:spacing w:after="0" w:line="240" w:lineRule="auto"/>
              <w:rPr>
                <w:rFonts w:eastAsia="Times New Roman"/>
                <w:sz w:val="20"/>
                <w:szCs w:val="20"/>
                <w:lang w:eastAsia="en-AU"/>
              </w:rPr>
            </w:pPr>
          </w:p>
        </w:tc>
        <w:tc>
          <w:tcPr>
            <w:tcW w:w="1417" w:type="dxa"/>
            <w:shd w:val="clear" w:color="auto" w:fill="auto"/>
            <w:noWrap/>
            <w:vAlign w:val="bottom"/>
            <w:hideMark/>
          </w:tcPr>
          <w:p w14:paraId="30AEA38B"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36C4D574"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383D8155"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2A976A94" w14:textId="77777777" w:rsidR="0073250F" w:rsidRPr="0073250F" w:rsidRDefault="0073250F" w:rsidP="0073250F">
            <w:pPr>
              <w:spacing w:after="0" w:line="240" w:lineRule="auto"/>
              <w:rPr>
                <w:rFonts w:eastAsia="Times New Roman"/>
                <w:sz w:val="20"/>
                <w:szCs w:val="20"/>
                <w:lang w:eastAsia="en-AU"/>
              </w:rPr>
            </w:pPr>
          </w:p>
        </w:tc>
      </w:tr>
      <w:tr w:rsidR="001B1D2C" w:rsidRPr="0073250F" w14:paraId="3311FE91" w14:textId="77777777" w:rsidTr="00655696">
        <w:trPr>
          <w:trHeight w:val="225"/>
        </w:trPr>
        <w:tc>
          <w:tcPr>
            <w:tcW w:w="3602" w:type="dxa"/>
            <w:shd w:val="clear" w:color="auto" w:fill="auto"/>
            <w:noWrap/>
            <w:hideMark/>
          </w:tcPr>
          <w:p w14:paraId="77E6C9AE" w14:textId="77777777" w:rsidR="0073250F" w:rsidRPr="0073250F" w:rsidRDefault="0073250F" w:rsidP="0073250F">
            <w:pPr>
              <w:spacing w:after="0" w:line="240" w:lineRule="auto"/>
              <w:rPr>
                <w:rFonts w:eastAsia="Times New Roman"/>
                <w:sz w:val="20"/>
                <w:szCs w:val="20"/>
                <w:lang w:eastAsia="en-AU"/>
              </w:rPr>
            </w:pPr>
          </w:p>
        </w:tc>
        <w:tc>
          <w:tcPr>
            <w:tcW w:w="1288" w:type="dxa"/>
            <w:shd w:val="clear" w:color="auto" w:fill="auto"/>
            <w:noWrap/>
            <w:hideMark/>
          </w:tcPr>
          <w:p w14:paraId="6BD40574" w14:textId="77777777" w:rsidR="0073250F" w:rsidRPr="0073250F" w:rsidRDefault="0073250F" w:rsidP="0073250F">
            <w:pPr>
              <w:spacing w:after="0" w:line="240" w:lineRule="auto"/>
              <w:rPr>
                <w:rFonts w:eastAsia="Times New Roman"/>
                <w:sz w:val="20"/>
                <w:szCs w:val="20"/>
                <w:lang w:eastAsia="en-AU"/>
              </w:rPr>
            </w:pPr>
          </w:p>
        </w:tc>
        <w:tc>
          <w:tcPr>
            <w:tcW w:w="1125" w:type="dxa"/>
            <w:shd w:val="clear" w:color="auto" w:fill="auto"/>
            <w:noWrap/>
            <w:hideMark/>
          </w:tcPr>
          <w:p w14:paraId="3FE22D0D" w14:textId="77777777" w:rsidR="0073250F" w:rsidRPr="0073250F" w:rsidRDefault="0073250F" w:rsidP="0073250F">
            <w:pPr>
              <w:spacing w:after="0" w:line="240" w:lineRule="auto"/>
              <w:rPr>
                <w:rFonts w:eastAsia="Times New Roman"/>
                <w:sz w:val="20"/>
                <w:szCs w:val="20"/>
                <w:lang w:eastAsia="en-AU"/>
              </w:rPr>
            </w:pPr>
          </w:p>
        </w:tc>
        <w:tc>
          <w:tcPr>
            <w:tcW w:w="1676" w:type="dxa"/>
            <w:shd w:val="clear" w:color="auto" w:fill="auto"/>
            <w:noWrap/>
            <w:vAlign w:val="bottom"/>
            <w:hideMark/>
          </w:tcPr>
          <w:p w14:paraId="62E71394" w14:textId="77777777" w:rsidR="0073250F" w:rsidRPr="0073250F" w:rsidRDefault="0073250F" w:rsidP="0073250F">
            <w:pPr>
              <w:spacing w:after="0" w:line="240" w:lineRule="auto"/>
              <w:rPr>
                <w:rFonts w:eastAsia="Times New Roman"/>
                <w:sz w:val="20"/>
                <w:szCs w:val="20"/>
                <w:lang w:eastAsia="en-AU"/>
              </w:rPr>
            </w:pPr>
          </w:p>
        </w:tc>
        <w:tc>
          <w:tcPr>
            <w:tcW w:w="1240" w:type="dxa"/>
            <w:shd w:val="clear" w:color="auto" w:fill="auto"/>
            <w:noWrap/>
            <w:vAlign w:val="bottom"/>
            <w:hideMark/>
          </w:tcPr>
          <w:p w14:paraId="55E6F606"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1879152E" w14:textId="77777777" w:rsidR="0073250F" w:rsidRPr="0073250F" w:rsidRDefault="0073250F" w:rsidP="0073250F">
            <w:pPr>
              <w:spacing w:after="0" w:line="240" w:lineRule="auto"/>
              <w:rPr>
                <w:rFonts w:eastAsia="Times New Roman"/>
                <w:sz w:val="20"/>
                <w:szCs w:val="20"/>
                <w:lang w:eastAsia="en-AU"/>
              </w:rPr>
            </w:pPr>
          </w:p>
        </w:tc>
        <w:tc>
          <w:tcPr>
            <w:tcW w:w="1417" w:type="dxa"/>
            <w:shd w:val="clear" w:color="auto" w:fill="auto"/>
            <w:noWrap/>
            <w:vAlign w:val="bottom"/>
            <w:hideMark/>
          </w:tcPr>
          <w:p w14:paraId="782E46BF"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225D00B4"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64F0C1D8"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03496E1D" w14:textId="77777777" w:rsidR="0073250F" w:rsidRPr="0073250F" w:rsidRDefault="0073250F" w:rsidP="0073250F">
            <w:pPr>
              <w:spacing w:after="0" w:line="240" w:lineRule="auto"/>
              <w:rPr>
                <w:rFonts w:eastAsia="Times New Roman"/>
                <w:sz w:val="20"/>
                <w:szCs w:val="20"/>
                <w:lang w:eastAsia="en-AU"/>
              </w:rPr>
            </w:pPr>
          </w:p>
        </w:tc>
      </w:tr>
      <w:tr w:rsidR="0073250F" w:rsidRPr="0073250F" w14:paraId="71B30E34" w14:textId="77777777" w:rsidTr="00655696">
        <w:trPr>
          <w:trHeight w:val="240"/>
        </w:trPr>
        <w:tc>
          <w:tcPr>
            <w:tcW w:w="11482" w:type="dxa"/>
            <w:gridSpan w:val="7"/>
            <w:tcBorders>
              <w:bottom w:val="single" w:sz="4" w:space="0" w:color="auto"/>
            </w:tcBorders>
            <w:shd w:val="clear" w:color="auto" w:fill="auto"/>
            <w:noWrap/>
            <w:hideMark/>
          </w:tcPr>
          <w:p w14:paraId="545FC4B6" w14:textId="77777777" w:rsidR="0073250F" w:rsidRPr="0073250F" w:rsidRDefault="0073250F" w:rsidP="0073250F">
            <w:pPr>
              <w:spacing w:after="0" w:line="240" w:lineRule="auto"/>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Table 2:  The annual distribution of Prostheses Benefits for General Miscellaneous prostheses items for Private Day hospitals in 2018-19.</w:t>
            </w:r>
          </w:p>
        </w:tc>
        <w:tc>
          <w:tcPr>
            <w:tcW w:w="1134" w:type="dxa"/>
            <w:shd w:val="clear" w:color="auto" w:fill="auto"/>
            <w:noWrap/>
            <w:vAlign w:val="bottom"/>
            <w:hideMark/>
          </w:tcPr>
          <w:p w14:paraId="790A6842" w14:textId="77777777" w:rsidR="0073250F" w:rsidRPr="0073250F" w:rsidRDefault="0073250F" w:rsidP="0073250F">
            <w:pPr>
              <w:spacing w:after="0" w:line="240" w:lineRule="auto"/>
              <w:rPr>
                <w:rFonts w:ascii="Calibri" w:eastAsia="Times New Roman" w:hAnsi="Calibri" w:cs="Calibri"/>
                <w:sz w:val="16"/>
                <w:szCs w:val="16"/>
                <w:lang w:eastAsia="en-AU"/>
              </w:rPr>
            </w:pPr>
          </w:p>
        </w:tc>
        <w:tc>
          <w:tcPr>
            <w:tcW w:w="1134" w:type="dxa"/>
            <w:shd w:val="clear" w:color="auto" w:fill="auto"/>
            <w:noWrap/>
            <w:vAlign w:val="bottom"/>
            <w:hideMark/>
          </w:tcPr>
          <w:p w14:paraId="1F4EACA1"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284171AF" w14:textId="77777777" w:rsidR="0073250F" w:rsidRPr="0073250F" w:rsidRDefault="0073250F" w:rsidP="0073250F">
            <w:pPr>
              <w:spacing w:after="0" w:line="240" w:lineRule="auto"/>
              <w:rPr>
                <w:rFonts w:eastAsia="Times New Roman"/>
                <w:sz w:val="20"/>
                <w:szCs w:val="20"/>
                <w:lang w:eastAsia="en-AU"/>
              </w:rPr>
            </w:pPr>
          </w:p>
        </w:tc>
      </w:tr>
      <w:tr w:rsidR="00655696" w:rsidRPr="0073250F" w14:paraId="2E6B2FC6" w14:textId="77777777" w:rsidTr="00655696">
        <w:trPr>
          <w:trHeight w:val="585"/>
        </w:trPr>
        <w:tc>
          <w:tcPr>
            <w:tcW w:w="360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D34D39A" w14:textId="77777777" w:rsidR="0073250F" w:rsidRPr="0073250F" w:rsidRDefault="0073250F" w:rsidP="0073250F">
            <w:pPr>
              <w:spacing w:after="0" w:line="240" w:lineRule="auto"/>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 xml:space="preserve">Private Day Hospitals </w:t>
            </w:r>
            <w:r w:rsidRPr="0073250F">
              <w:rPr>
                <w:rFonts w:ascii="Calibri" w:eastAsia="Times New Roman" w:hAnsi="Calibri" w:cs="Calibri"/>
                <w:b/>
                <w:bCs/>
                <w:sz w:val="16"/>
                <w:szCs w:val="16"/>
                <w:lang w:eastAsia="en-AU"/>
              </w:rPr>
              <w:br/>
              <w:t>Annual Prostheses GM Benefit Paid</w:t>
            </w:r>
          </w:p>
        </w:tc>
        <w:tc>
          <w:tcPr>
            <w:tcW w:w="128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A6BEBE"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&lt; $5,000</w:t>
            </w:r>
          </w:p>
        </w:tc>
        <w:tc>
          <w:tcPr>
            <w:tcW w:w="112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DF06C59"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$5,000 - &lt;$10,000</w:t>
            </w:r>
          </w:p>
        </w:tc>
        <w:tc>
          <w:tcPr>
            <w:tcW w:w="16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B794668"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$10,000 - &lt;$20,000</w:t>
            </w:r>
          </w:p>
        </w:tc>
        <w:tc>
          <w:tcPr>
            <w:tcW w:w="12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68EE6D6"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$20,000 - &lt;$50,000</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33A7E87"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 xml:space="preserve"> $50,000 and over </w:t>
            </w:r>
          </w:p>
        </w:tc>
        <w:tc>
          <w:tcPr>
            <w:tcW w:w="141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614D244"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TOTAL</w:t>
            </w:r>
          </w:p>
        </w:tc>
        <w:tc>
          <w:tcPr>
            <w:tcW w:w="1134" w:type="dxa"/>
            <w:tcBorders>
              <w:left w:val="single" w:sz="4" w:space="0" w:color="auto"/>
            </w:tcBorders>
            <w:shd w:val="clear" w:color="auto" w:fill="auto"/>
            <w:noWrap/>
            <w:vAlign w:val="bottom"/>
            <w:hideMark/>
          </w:tcPr>
          <w:p w14:paraId="57D350A5"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p>
        </w:tc>
        <w:tc>
          <w:tcPr>
            <w:tcW w:w="1134" w:type="dxa"/>
            <w:shd w:val="clear" w:color="auto" w:fill="auto"/>
            <w:noWrap/>
            <w:vAlign w:val="bottom"/>
            <w:hideMark/>
          </w:tcPr>
          <w:p w14:paraId="60C9B0E4"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34940AB2" w14:textId="77777777" w:rsidR="0073250F" w:rsidRPr="0073250F" w:rsidRDefault="0073250F" w:rsidP="0073250F">
            <w:pPr>
              <w:spacing w:after="0" w:line="240" w:lineRule="auto"/>
              <w:rPr>
                <w:rFonts w:eastAsia="Times New Roman"/>
                <w:sz w:val="20"/>
                <w:szCs w:val="20"/>
                <w:lang w:eastAsia="en-AU"/>
              </w:rPr>
            </w:pPr>
          </w:p>
        </w:tc>
      </w:tr>
      <w:tr w:rsidR="001B1D2C" w:rsidRPr="0073250F" w14:paraId="0126EDB3" w14:textId="77777777" w:rsidTr="00655696">
        <w:trPr>
          <w:trHeight w:val="225"/>
        </w:trPr>
        <w:tc>
          <w:tcPr>
            <w:tcW w:w="3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481FD" w14:textId="5ECF8C81" w:rsidR="0073250F" w:rsidRPr="0073250F" w:rsidRDefault="0073250F" w:rsidP="0073250F">
            <w:pPr>
              <w:spacing w:after="0" w:line="240" w:lineRule="auto"/>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Private Day Hospitals with Prostheses GM Benefit</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BB68D"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87</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731CA"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28</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DE1E3"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F6A3A"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B05B8"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724BC"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186</w:t>
            </w:r>
          </w:p>
        </w:tc>
        <w:tc>
          <w:tcPr>
            <w:tcW w:w="1134" w:type="dxa"/>
            <w:tcBorders>
              <w:left w:val="single" w:sz="4" w:space="0" w:color="auto"/>
            </w:tcBorders>
            <w:shd w:val="clear" w:color="auto" w:fill="auto"/>
            <w:noWrap/>
            <w:vAlign w:val="bottom"/>
            <w:hideMark/>
          </w:tcPr>
          <w:p w14:paraId="7F48FF4F"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p>
        </w:tc>
        <w:tc>
          <w:tcPr>
            <w:tcW w:w="1134" w:type="dxa"/>
            <w:shd w:val="clear" w:color="auto" w:fill="auto"/>
            <w:noWrap/>
            <w:vAlign w:val="bottom"/>
            <w:hideMark/>
          </w:tcPr>
          <w:p w14:paraId="2E7770B0"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372AD47F" w14:textId="77777777" w:rsidR="0073250F" w:rsidRPr="0073250F" w:rsidRDefault="0073250F" w:rsidP="0073250F">
            <w:pPr>
              <w:spacing w:after="0" w:line="240" w:lineRule="auto"/>
              <w:rPr>
                <w:rFonts w:eastAsia="Times New Roman"/>
                <w:sz w:val="20"/>
                <w:szCs w:val="20"/>
                <w:lang w:eastAsia="en-AU"/>
              </w:rPr>
            </w:pPr>
          </w:p>
        </w:tc>
      </w:tr>
      <w:tr w:rsidR="001B1D2C" w:rsidRPr="0073250F" w14:paraId="0F4ACD3C" w14:textId="77777777" w:rsidTr="00655696">
        <w:trPr>
          <w:trHeight w:val="225"/>
        </w:trPr>
        <w:tc>
          <w:tcPr>
            <w:tcW w:w="3602" w:type="dxa"/>
            <w:vMerge/>
            <w:tcBorders>
              <w:top w:val="single" w:sz="4" w:space="0" w:color="auto"/>
              <w:left w:val="single" w:sz="4" w:space="0" w:color="auto"/>
              <w:bottom w:val="single" w:sz="4" w:space="0" w:color="auto"/>
              <w:right w:val="single" w:sz="4" w:space="0" w:color="auto"/>
            </w:tcBorders>
            <w:vAlign w:val="center"/>
            <w:hideMark/>
          </w:tcPr>
          <w:p w14:paraId="4D798C2C" w14:textId="77777777" w:rsidR="0073250F" w:rsidRPr="0073250F" w:rsidRDefault="0073250F" w:rsidP="0073250F">
            <w:pPr>
              <w:spacing w:after="0" w:line="240" w:lineRule="auto"/>
              <w:rPr>
                <w:rFonts w:ascii="Calibri" w:eastAsia="Times New Roman" w:hAnsi="Calibri" w:cs="Calibri"/>
                <w:sz w:val="16"/>
                <w:szCs w:val="16"/>
                <w:lang w:eastAsia="en-AU"/>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34AE7"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(46.8%)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D59D5"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(15.1%)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C1906"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(15.6%)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8AA16"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1DC98"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7B74"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(100.0%)</w:t>
            </w:r>
          </w:p>
        </w:tc>
        <w:tc>
          <w:tcPr>
            <w:tcW w:w="1134" w:type="dxa"/>
            <w:tcBorders>
              <w:left w:val="single" w:sz="4" w:space="0" w:color="auto"/>
            </w:tcBorders>
            <w:shd w:val="clear" w:color="auto" w:fill="auto"/>
            <w:noWrap/>
            <w:vAlign w:val="bottom"/>
            <w:hideMark/>
          </w:tcPr>
          <w:p w14:paraId="45F4C883"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p>
        </w:tc>
        <w:tc>
          <w:tcPr>
            <w:tcW w:w="1134" w:type="dxa"/>
            <w:shd w:val="clear" w:color="auto" w:fill="auto"/>
            <w:noWrap/>
            <w:vAlign w:val="bottom"/>
            <w:hideMark/>
          </w:tcPr>
          <w:p w14:paraId="5ABD2C58"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265B153F" w14:textId="77777777" w:rsidR="0073250F" w:rsidRPr="0073250F" w:rsidRDefault="0073250F" w:rsidP="0073250F">
            <w:pPr>
              <w:spacing w:after="0" w:line="240" w:lineRule="auto"/>
              <w:rPr>
                <w:rFonts w:eastAsia="Times New Roman"/>
                <w:sz w:val="20"/>
                <w:szCs w:val="20"/>
                <w:lang w:eastAsia="en-AU"/>
              </w:rPr>
            </w:pPr>
          </w:p>
        </w:tc>
      </w:tr>
      <w:tr w:rsidR="001B1D2C" w:rsidRPr="0073250F" w14:paraId="3D8A4E16" w14:textId="77777777" w:rsidTr="00655696">
        <w:trPr>
          <w:trHeight w:val="70"/>
        </w:trPr>
        <w:tc>
          <w:tcPr>
            <w:tcW w:w="3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024E1" w14:textId="77777777" w:rsidR="0073250F" w:rsidRPr="0073250F" w:rsidRDefault="0073250F" w:rsidP="0073250F">
            <w:pPr>
              <w:spacing w:after="0" w:line="240" w:lineRule="auto"/>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 xml:space="preserve">Prostheses GM Benefits paid </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9A69"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$140,000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7A3B4"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$190,000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0305D"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$410,000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C6947"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$790,000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FAEA0"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$1,300,000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ADDD6"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$2,800,000</w:t>
            </w:r>
          </w:p>
        </w:tc>
        <w:tc>
          <w:tcPr>
            <w:tcW w:w="1134" w:type="dxa"/>
            <w:tcBorders>
              <w:left w:val="single" w:sz="4" w:space="0" w:color="auto"/>
            </w:tcBorders>
            <w:shd w:val="clear" w:color="auto" w:fill="auto"/>
            <w:noWrap/>
            <w:vAlign w:val="bottom"/>
            <w:hideMark/>
          </w:tcPr>
          <w:p w14:paraId="6F4D0693"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p>
        </w:tc>
        <w:tc>
          <w:tcPr>
            <w:tcW w:w="1134" w:type="dxa"/>
            <w:shd w:val="clear" w:color="auto" w:fill="auto"/>
            <w:noWrap/>
            <w:vAlign w:val="bottom"/>
            <w:hideMark/>
          </w:tcPr>
          <w:p w14:paraId="79021934"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608DDDFE" w14:textId="77777777" w:rsidR="0073250F" w:rsidRPr="0073250F" w:rsidRDefault="0073250F" w:rsidP="0073250F">
            <w:pPr>
              <w:spacing w:after="0" w:line="240" w:lineRule="auto"/>
              <w:rPr>
                <w:rFonts w:eastAsia="Times New Roman"/>
                <w:sz w:val="20"/>
                <w:szCs w:val="20"/>
                <w:lang w:eastAsia="en-AU"/>
              </w:rPr>
            </w:pPr>
          </w:p>
        </w:tc>
      </w:tr>
      <w:tr w:rsidR="001B1D2C" w:rsidRPr="0073250F" w14:paraId="16387A8F" w14:textId="77777777" w:rsidTr="00655696">
        <w:trPr>
          <w:trHeight w:val="240"/>
        </w:trPr>
        <w:tc>
          <w:tcPr>
            <w:tcW w:w="3602" w:type="dxa"/>
            <w:vMerge/>
            <w:tcBorders>
              <w:top w:val="single" w:sz="4" w:space="0" w:color="auto"/>
              <w:left w:val="single" w:sz="4" w:space="0" w:color="auto"/>
              <w:bottom w:val="single" w:sz="4" w:space="0" w:color="auto"/>
              <w:right w:val="single" w:sz="4" w:space="0" w:color="auto"/>
            </w:tcBorders>
            <w:vAlign w:val="center"/>
            <w:hideMark/>
          </w:tcPr>
          <w:p w14:paraId="7DE282A5" w14:textId="77777777" w:rsidR="0073250F" w:rsidRPr="0073250F" w:rsidRDefault="0073250F" w:rsidP="0073250F">
            <w:pPr>
              <w:spacing w:after="0" w:line="240" w:lineRule="auto"/>
              <w:rPr>
                <w:rFonts w:ascii="Calibri" w:eastAsia="Times New Roman" w:hAnsi="Calibri" w:cs="Calibri"/>
                <w:sz w:val="16"/>
                <w:szCs w:val="16"/>
                <w:lang w:eastAsia="en-AU"/>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B0047"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(4.9%)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6AC3D"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(6.9%)</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7128"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(14.6%)</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3F2EF"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B87C7"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(45.0%)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4A5AC"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(100.0%)</w:t>
            </w:r>
          </w:p>
        </w:tc>
        <w:tc>
          <w:tcPr>
            <w:tcW w:w="1134" w:type="dxa"/>
            <w:tcBorders>
              <w:left w:val="single" w:sz="4" w:space="0" w:color="auto"/>
            </w:tcBorders>
            <w:shd w:val="clear" w:color="auto" w:fill="auto"/>
            <w:noWrap/>
            <w:vAlign w:val="bottom"/>
            <w:hideMark/>
          </w:tcPr>
          <w:p w14:paraId="16D4A329"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p>
        </w:tc>
        <w:tc>
          <w:tcPr>
            <w:tcW w:w="1134" w:type="dxa"/>
            <w:shd w:val="clear" w:color="auto" w:fill="auto"/>
            <w:noWrap/>
            <w:vAlign w:val="bottom"/>
            <w:hideMark/>
          </w:tcPr>
          <w:p w14:paraId="7684100B"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43686005" w14:textId="77777777" w:rsidR="0073250F" w:rsidRPr="0073250F" w:rsidRDefault="0073250F" w:rsidP="0073250F">
            <w:pPr>
              <w:spacing w:after="0" w:line="240" w:lineRule="auto"/>
              <w:rPr>
                <w:rFonts w:eastAsia="Times New Roman"/>
                <w:sz w:val="20"/>
                <w:szCs w:val="20"/>
                <w:lang w:eastAsia="en-AU"/>
              </w:rPr>
            </w:pPr>
          </w:p>
        </w:tc>
      </w:tr>
      <w:tr w:rsidR="001B1D2C" w:rsidRPr="0073250F" w14:paraId="40443071" w14:textId="77777777" w:rsidTr="00655696">
        <w:trPr>
          <w:trHeight w:val="210"/>
        </w:trPr>
        <w:tc>
          <w:tcPr>
            <w:tcW w:w="3602" w:type="dxa"/>
            <w:tcBorders>
              <w:top w:val="single" w:sz="4" w:space="0" w:color="auto"/>
            </w:tcBorders>
            <w:shd w:val="clear" w:color="auto" w:fill="auto"/>
            <w:noWrap/>
            <w:vAlign w:val="bottom"/>
            <w:hideMark/>
          </w:tcPr>
          <w:p w14:paraId="0FC27228" w14:textId="77777777" w:rsidR="0073250F" w:rsidRPr="0073250F" w:rsidRDefault="0073250F" w:rsidP="0073250F">
            <w:pPr>
              <w:spacing w:after="0" w:line="240" w:lineRule="auto"/>
              <w:rPr>
                <w:rFonts w:eastAsia="Times New Roman"/>
                <w:sz w:val="20"/>
                <w:szCs w:val="20"/>
                <w:lang w:eastAsia="en-AU"/>
              </w:rPr>
            </w:pPr>
          </w:p>
        </w:tc>
        <w:tc>
          <w:tcPr>
            <w:tcW w:w="1288" w:type="dxa"/>
            <w:tcBorders>
              <w:top w:val="single" w:sz="4" w:space="0" w:color="auto"/>
            </w:tcBorders>
            <w:shd w:val="clear" w:color="auto" w:fill="auto"/>
            <w:noWrap/>
            <w:vAlign w:val="bottom"/>
            <w:hideMark/>
          </w:tcPr>
          <w:p w14:paraId="31A21078" w14:textId="77777777" w:rsidR="0073250F" w:rsidRPr="0073250F" w:rsidRDefault="0073250F" w:rsidP="0073250F">
            <w:pPr>
              <w:spacing w:after="0" w:line="240" w:lineRule="auto"/>
              <w:rPr>
                <w:rFonts w:eastAsia="Times New Roman"/>
                <w:sz w:val="20"/>
                <w:szCs w:val="20"/>
                <w:lang w:eastAsia="en-AU"/>
              </w:rPr>
            </w:pPr>
          </w:p>
        </w:tc>
        <w:tc>
          <w:tcPr>
            <w:tcW w:w="1125" w:type="dxa"/>
            <w:tcBorders>
              <w:top w:val="single" w:sz="4" w:space="0" w:color="auto"/>
            </w:tcBorders>
            <w:shd w:val="clear" w:color="auto" w:fill="auto"/>
            <w:noWrap/>
            <w:vAlign w:val="bottom"/>
            <w:hideMark/>
          </w:tcPr>
          <w:p w14:paraId="315E9E51" w14:textId="77777777" w:rsidR="0073250F" w:rsidRPr="0073250F" w:rsidRDefault="0073250F" w:rsidP="0073250F">
            <w:pPr>
              <w:spacing w:after="0" w:line="240" w:lineRule="auto"/>
              <w:rPr>
                <w:rFonts w:eastAsia="Times New Roman"/>
                <w:sz w:val="20"/>
                <w:szCs w:val="20"/>
                <w:lang w:eastAsia="en-AU"/>
              </w:rPr>
            </w:pPr>
          </w:p>
        </w:tc>
        <w:tc>
          <w:tcPr>
            <w:tcW w:w="1676" w:type="dxa"/>
            <w:tcBorders>
              <w:top w:val="single" w:sz="4" w:space="0" w:color="auto"/>
            </w:tcBorders>
            <w:shd w:val="clear" w:color="auto" w:fill="auto"/>
            <w:noWrap/>
            <w:vAlign w:val="bottom"/>
            <w:hideMark/>
          </w:tcPr>
          <w:p w14:paraId="15EC5149" w14:textId="77777777" w:rsidR="0073250F" w:rsidRPr="0073250F" w:rsidRDefault="0073250F" w:rsidP="0073250F">
            <w:pPr>
              <w:spacing w:after="0" w:line="240" w:lineRule="auto"/>
              <w:rPr>
                <w:rFonts w:eastAsia="Times New Roman"/>
                <w:sz w:val="20"/>
                <w:szCs w:val="20"/>
                <w:lang w:eastAsia="en-AU"/>
              </w:rPr>
            </w:pPr>
          </w:p>
        </w:tc>
        <w:tc>
          <w:tcPr>
            <w:tcW w:w="1240" w:type="dxa"/>
            <w:tcBorders>
              <w:top w:val="single" w:sz="4" w:space="0" w:color="auto"/>
            </w:tcBorders>
            <w:shd w:val="clear" w:color="auto" w:fill="auto"/>
            <w:noWrap/>
            <w:vAlign w:val="bottom"/>
            <w:hideMark/>
          </w:tcPr>
          <w:p w14:paraId="25F7186A" w14:textId="77777777" w:rsidR="0073250F" w:rsidRPr="0073250F" w:rsidRDefault="0073250F" w:rsidP="0073250F">
            <w:pPr>
              <w:spacing w:after="0" w:line="240" w:lineRule="auto"/>
              <w:rPr>
                <w:rFonts w:eastAsia="Times New Roman"/>
                <w:sz w:val="20"/>
                <w:szCs w:val="20"/>
                <w:lang w:eastAsia="en-AU"/>
              </w:rPr>
            </w:pPr>
          </w:p>
        </w:tc>
        <w:tc>
          <w:tcPr>
            <w:tcW w:w="1134" w:type="dxa"/>
            <w:tcBorders>
              <w:top w:val="single" w:sz="4" w:space="0" w:color="auto"/>
            </w:tcBorders>
            <w:shd w:val="clear" w:color="auto" w:fill="auto"/>
            <w:noWrap/>
            <w:vAlign w:val="bottom"/>
            <w:hideMark/>
          </w:tcPr>
          <w:p w14:paraId="13706B82" w14:textId="77777777" w:rsidR="0073250F" w:rsidRPr="0073250F" w:rsidRDefault="0073250F" w:rsidP="0073250F">
            <w:pPr>
              <w:spacing w:after="0" w:line="240" w:lineRule="auto"/>
              <w:rPr>
                <w:rFonts w:eastAsia="Times New Roman"/>
                <w:sz w:val="20"/>
                <w:szCs w:val="20"/>
                <w:lang w:eastAsia="en-AU"/>
              </w:rPr>
            </w:pPr>
          </w:p>
        </w:tc>
        <w:tc>
          <w:tcPr>
            <w:tcW w:w="1417" w:type="dxa"/>
            <w:tcBorders>
              <w:top w:val="single" w:sz="4" w:space="0" w:color="auto"/>
            </w:tcBorders>
            <w:shd w:val="clear" w:color="auto" w:fill="auto"/>
            <w:noWrap/>
            <w:vAlign w:val="bottom"/>
            <w:hideMark/>
          </w:tcPr>
          <w:p w14:paraId="5AD91B43"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55F7CCA7"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1E73116A"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3F6FD4D1" w14:textId="77777777" w:rsidR="0073250F" w:rsidRPr="0073250F" w:rsidRDefault="0073250F" w:rsidP="0073250F">
            <w:pPr>
              <w:spacing w:after="0" w:line="240" w:lineRule="auto"/>
              <w:rPr>
                <w:rFonts w:eastAsia="Times New Roman"/>
                <w:sz w:val="20"/>
                <w:szCs w:val="20"/>
                <w:lang w:eastAsia="en-AU"/>
              </w:rPr>
            </w:pPr>
          </w:p>
        </w:tc>
      </w:tr>
      <w:tr w:rsidR="001B1D2C" w:rsidRPr="0073250F" w14:paraId="7306CF74" w14:textId="77777777" w:rsidTr="00655696">
        <w:trPr>
          <w:trHeight w:val="210"/>
        </w:trPr>
        <w:tc>
          <w:tcPr>
            <w:tcW w:w="3602" w:type="dxa"/>
            <w:shd w:val="clear" w:color="auto" w:fill="auto"/>
            <w:noWrap/>
            <w:vAlign w:val="bottom"/>
            <w:hideMark/>
          </w:tcPr>
          <w:p w14:paraId="130322B7" w14:textId="77777777" w:rsidR="0073250F" w:rsidRPr="0073250F" w:rsidRDefault="0073250F" w:rsidP="0073250F">
            <w:pPr>
              <w:spacing w:after="0" w:line="240" w:lineRule="auto"/>
              <w:rPr>
                <w:rFonts w:eastAsia="Times New Roman"/>
                <w:sz w:val="20"/>
                <w:szCs w:val="20"/>
                <w:lang w:eastAsia="en-AU"/>
              </w:rPr>
            </w:pPr>
          </w:p>
        </w:tc>
        <w:tc>
          <w:tcPr>
            <w:tcW w:w="1288" w:type="dxa"/>
            <w:shd w:val="clear" w:color="auto" w:fill="auto"/>
            <w:noWrap/>
            <w:vAlign w:val="bottom"/>
            <w:hideMark/>
          </w:tcPr>
          <w:p w14:paraId="7A577AC7" w14:textId="77777777" w:rsidR="0073250F" w:rsidRPr="0073250F" w:rsidRDefault="0073250F" w:rsidP="0073250F">
            <w:pPr>
              <w:spacing w:after="0" w:line="240" w:lineRule="auto"/>
              <w:rPr>
                <w:rFonts w:eastAsia="Times New Roman"/>
                <w:sz w:val="20"/>
                <w:szCs w:val="20"/>
                <w:lang w:eastAsia="en-AU"/>
              </w:rPr>
            </w:pPr>
          </w:p>
        </w:tc>
        <w:tc>
          <w:tcPr>
            <w:tcW w:w="1125" w:type="dxa"/>
            <w:shd w:val="clear" w:color="auto" w:fill="auto"/>
            <w:noWrap/>
            <w:vAlign w:val="bottom"/>
            <w:hideMark/>
          </w:tcPr>
          <w:p w14:paraId="090E1C42" w14:textId="77777777" w:rsidR="0073250F" w:rsidRPr="0073250F" w:rsidRDefault="0073250F" w:rsidP="0073250F">
            <w:pPr>
              <w:spacing w:after="0" w:line="240" w:lineRule="auto"/>
              <w:rPr>
                <w:rFonts w:eastAsia="Times New Roman"/>
                <w:sz w:val="20"/>
                <w:szCs w:val="20"/>
                <w:lang w:eastAsia="en-AU"/>
              </w:rPr>
            </w:pPr>
          </w:p>
        </w:tc>
        <w:tc>
          <w:tcPr>
            <w:tcW w:w="1676" w:type="dxa"/>
            <w:shd w:val="clear" w:color="auto" w:fill="auto"/>
            <w:noWrap/>
            <w:vAlign w:val="bottom"/>
            <w:hideMark/>
          </w:tcPr>
          <w:p w14:paraId="7D5EBC1B" w14:textId="77777777" w:rsidR="0073250F" w:rsidRPr="0073250F" w:rsidRDefault="0073250F" w:rsidP="0073250F">
            <w:pPr>
              <w:spacing w:after="0" w:line="240" w:lineRule="auto"/>
              <w:rPr>
                <w:rFonts w:eastAsia="Times New Roman"/>
                <w:sz w:val="20"/>
                <w:szCs w:val="20"/>
                <w:lang w:eastAsia="en-AU"/>
              </w:rPr>
            </w:pPr>
          </w:p>
        </w:tc>
        <w:tc>
          <w:tcPr>
            <w:tcW w:w="1240" w:type="dxa"/>
            <w:shd w:val="clear" w:color="auto" w:fill="auto"/>
            <w:noWrap/>
            <w:vAlign w:val="bottom"/>
            <w:hideMark/>
          </w:tcPr>
          <w:p w14:paraId="3663577D"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1C201DAB" w14:textId="77777777" w:rsidR="0073250F" w:rsidRPr="0073250F" w:rsidRDefault="0073250F" w:rsidP="0073250F">
            <w:pPr>
              <w:spacing w:after="0" w:line="240" w:lineRule="auto"/>
              <w:rPr>
                <w:rFonts w:eastAsia="Times New Roman"/>
                <w:sz w:val="20"/>
                <w:szCs w:val="20"/>
                <w:lang w:eastAsia="en-AU"/>
              </w:rPr>
            </w:pPr>
          </w:p>
        </w:tc>
        <w:tc>
          <w:tcPr>
            <w:tcW w:w="1417" w:type="dxa"/>
            <w:shd w:val="clear" w:color="auto" w:fill="auto"/>
            <w:noWrap/>
            <w:vAlign w:val="bottom"/>
            <w:hideMark/>
          </w:tcPr>
          <w:p w14:paraId="171EF8FF"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1A431A3E"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1B527A91"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4634CF70" w14:textId="77777777" w:rsidR="0073250F" w:rsidRPr="0073250F" w:rsidRDefault="0073250F" w:rsidP="0073250F">
            <w:pPr>
              <w:spacing w:after="0" w:line="240" w:lineRule="auto"/>
              <w:rPr>
                <w:rFonts w:eastAsia="Times New Roman"/>
                <w:sz w:val="20"/>
                <w:szCs w:val="20"/>
                <w:lang w:eastAsia="en-AU"/>
              </w:rPr>
            </w:pPr>
          </w:p>
        </w:tc>
      </w:tr>
      <w:tr w:rsidR="0073250F" w:rsidRPr="0073250F" w14:paraId="6331EBC4" w14:textId="77777777" w:rsidTr="00655696">
        <w:trPr>
          <w:trHeight w:val="300"/>
        </w:trPr>
        <w:tc>
          <w:tcPr>
            <w:tcW w:w="11482" w:type="dxa"/>
            <w:gridSpan w:val="7"/>
            <w:tcBorders>
              <w:bottom w:val="single" w:sz="4" w:space="0" w:color="auto"/>
            </w:tcBorders>
            <w:shd w:val="clear" w:color="auto" w:fill="auto"/>
            <w:noWrap/>
            <w:hideMark/>
          </w:tcPr>
          <w:p w14:paraId="67519830" w14:textId="6E6DBE46" w:rsidR="0073250F" w:rsidRPr="0073250F" w:rsidRDefault="0073250F" w:rsidP="0073250F">
            <w:pPr>
              <w:spacing w:after="0" w:line="240" w:lineRule="auto"/>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Table 3: The annual distribution of Prostheses Benefits for General Miscellaneous prostheses items for Private Overnight hospitals in 2018-19.</w:t>
            </w:r>
          </w:p>
        </w:tc>
        <w:tc>
          <w:tcPr>
            <w:tcW w:w="1134" w:type="dxa"/>
            <w:tcBorders>
              <w:bottom w:val="single" w:sz="4" w:space="0" w:color="auto"/>
            </w:tcBorders>
            <w:shd w:val="clear" w:color="auto" w:fill="auto"/>
            <w:noWrap/>
            <w:hideMark/>
          </w:tcPr>
          <w:p w14:paraId="40485DCD" w14:textId="77777777" w:rsidR="0073250F" w:rsidRPr="0073250F" w:rsidRDefault="0073250F" w:rsidP="0073250F">
            <w:pPr>
              <w:spacing w:after="0" w:line="240" w:lineRule="auto"/>
              <w:rPr>
                <w:rFonts w:ascii="Calibri" w:eastAsia="Times New Roman" w:hAnsi="Calibri" w:cs="Calibri"/>
                <w:sz w:val="16"/>
                <w:szCs w:val="16"/>
                <w:lang w:eastAsia="en-AU"/>
              </w:rPr>
            </w:pPr>
          </w:p>
        </w:tc>
        <w:tc>
          <w:tcPr>
            <w:tcW w:w="1134" w:type="dxa"/>
            <w:tcBorders>
              <w:bottom w:val="single" w:sz="4" w:space="0" w:color="auto"/>
            </w:tcBorders>
            <w:shd w:val="clear" w:color="auto" w:fill="auto"/>
            <w:noWrap/>
            <w:hideMark/>
          </w:tcPr>
          <w:p w14:paraId="33435EAF"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3A9437EA" w14:textId="77777777" w:rsidR="0073250F" w:rsidRPr="0073250F" w:rsidRDefault="0073250F" w:rsidP="0073250F">
            <w:pPr>
              <w:spacing w:after="0" w:line="240" w:lineRule="auto"/>
              <w:rPr>
                <w:rFonts w:eastAsia="Times New Roman"/>
                <w:sz w:val="20"/>
                <w:szCs w:val="20"/>
                <w:lang w:eastAsia="en-AU"/>
              </w:rPr>
            </w:pPr>
          </w:p>
        </w:tc>
      </w:tr>
      <w:tr w:rsidR="00655696" w:rsidRPr="0073250F" w14:paraId="53405DCD" w14:textId="77777777" w:rsidTr="00655696">
        <w:trPr>
          <w:trHeight w:val="585"/>
        </w:trPr>
        <w:tc>
          <w:tcPr>
            <w:tcW w:w="360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D2E9D4A" w14:textId="77777777" w:rsidR="0073250F" w:rsidRPr="0073250F" w:rsidRDefault="0073250F" w:rsidP="0073250F">
            <w:pPr>
              <w:spacing w:after="0" w:line="240" w:lineRule="auto"/>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 xml:space="preserve">Private Overnight Hospitals </w:t>
            </w:r>
            <w:r w:rsidRPr="0073250F">
              <w:rPr>
                <w:rFonts w:ascii="Calibri" w:eastAsia="Times New Roman" w:hAnsi="Calibri" w:cs="Calibri"/>
                <w:b/>
                <w:bCs/>
                <w:sz w:val="16"/>
                <w:szCs w:val="16"/>
                <w:lang w:eastAsia="en-AU"/>
              </w:rPr>
              <w:br/>
              <w:t>Annual Prostheses GM Benefit Paid</w:t>
            </w:r>
          </w:p>
        </w:tc>
        <w:tc>
          <w:tcPr>
            <w:tcW w:w="128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054E69D"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&lt;$50,000</w:t>
            </w:r>
          </w:p>
        </w:tc>
        <w:tc>
          <w:tcPr>
            <w:tcW w:w="112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42000DB"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$50,000 - &lt;$100,000</w:t>
            </w:r>
          </w:p>
        </w:tc>
        <w:tc>
          <w:tcPr>
            <w:tcW w:w="1676"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CDBA02"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$100,000 - &lt;$250,000</w:t>
            </w:r>
          </w:p>
        </w:tc>
        <w:tc>
          <w:tcPr>
            <w:tcW w:w="12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165C083"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$250,000 - &lt;$500,000</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79716A4"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$500,000 - &lt;$1,000,000</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4C5C22"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$1,000,000 - &lt;$2,500,000</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E775F64"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$2,500,000  and over</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4934D67"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TOTAL</w:t>
            </w:r>
          </w:p>
        </w:tc>
        <w:tc>
          <w:tcPr>
            <w:tcW w:w="1528" w:type="dxa"/>
            <w:tcBorders>
              <w:left w:val="single" w:sz="4" w:space="0" w:color="auto"/>
            </w:tcBorders>
            <w:shd w:val="clear" w:color="auto" w:fill="auto"/>
            <w:noWrap/>
            <w:vAlign w:val="bottom"/>
            <w:hideMark/>
          </w:tcPr>
          <w:p w14:paraId="020D4C9A"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p>
        </w:tc>
      </w:tr>
      <w:tr w:rsidR="001B1D2C" w:rsidRPr="0073250F" w14:paraId="4458F07C" w14:textId="77777777" w:rsidTr="00655696">
        <w:trPr>
          <w:trHeight w:val="225"/>
        </w:trPr>
        <w:tc>
          <w:tcPr>
            <w:tcW w:w="3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B619B" w14:textId="77777777" w:rsidR="0073250F" w:rsidRPr="0073250F" w:rsidRDefault="0073250F" w:rsidP="0073250F">
            <w:pPr>
              <w:spacing w:after="0" w:line="240" w:lineRule="auto"/>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Private Overnight Hospitals with Prostheses GM Benefit</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C69E0"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80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685CC"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15</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D1A2"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1E441"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E787E"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13C62"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667CC"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8E209"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241</w:t>
            </w:r>
          </w:p>
        </w:tc>
        <w:tc>
          <w:tcPr>
            <w:tcW w:w="1528" w:type="dxa"/>
            <w:tcBorders>
              <w:left w:val="single" w:sz="4" w:space="0" w:color="auto"/>
            </w:tcBorders>
            <w:shd w:val="clear" w:color="auto" w:fill="auto"/>
            <w:noWrap/>
            <w:vAlign w:val="bottom"/>
            <w:hideMark/>
          </w:tcPr>
          <w:p w14:paraId="1B3466D0"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p>
        </w:tc>
      </w:tr>
      <w:tr w:rsidR="001B1D2C" w:rsidRPr="0073250F" w14:paraId="6B55A8A1" w14:textId="77777777" w:rsidTr="00655696">
        <w:trPr>
          <w:trHeight w:val="225"/>
        </w:trPr>
        <w:tc>
          <w:tcPr>
            <w:tcW w:w="3602" w:type="dxa"/>
            <w:vMerge/>
            <w:tcBorders>
              <w:top w:val="single" w:sz="4" w:space="0" w:color="auto"/>
              <w:left w:val="single" w:sz="4" w:space="0" w:color="auto"/>
              <w:bottom w:val="single" w:sz="4" w:space="0" w:color="auto"/>
              <w:right w:val="single" w:sz="4" w:space="0" w:color="auto"/>
            </w:tcBorders>
            <w:vAlign w:val="center"/>
            <w:hideMark/>
          </w:tcPr>
          <w:p w14:paraId="230EA45C" w14:textId="77777777" w:rsidR="0073250F" w:rsidRPr="0073250F" w:rsidRDefault="0073250F" w:rsidP="0073250F">
            <w:pPr>
              <w:spacing w:after="0" w:line="240" w:lineRule="auto"/>
              <w:rPr>
                <w:rFonts w:ascii="Calibri" w:eastAsia="Times New Roman" w:hAnsi="Calibri" w:cs="Calibri"/>
                <w:sz w:val="16"/>
                <w:szCs w:val="16"/>
                <w:lang w:eastAsia="en-AU"/>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412B3"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(33.2%)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E1620"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(6.2%)</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38CD5"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(9.5%)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EC4F6"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6D554"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2C7B1"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39269"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4C06D"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(100.0%)</w:t>
            </w:r>
          </w:p>
        </w:tc>
        <w:tc>
          <w:tcPr>
            <w:tcW w:w="1528" w:type="dxa"/>
            <w:tcBorders>
              <w:left w:val="single" w:sz="4" w:space="0" w:color="auto"/>
            </w:tcBorders>
            <w:shd w:val="clear" w:color="auto" w:fill="auto"/>
            <w:noWrap/>
            <w:vAlign w:val="bottom"/>
            <w:hideMark/>
          </w:tcPr>
          <w:p w14:paraId="3D47174D"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p>
        </w:tc>
      </w:tr>
      <w:tr w:rsidR="001B1D2C" w:rsidRPr="0073250F" w14:paraId="7EDC0ADB" w14:textId="77777777" w:rsidTr="00655696">
        <w:trPr>
          <w:trHeight w:val="225"/>
        </w:trPr>
        <w:tc>
          <w:tcPr>
            <w:tcW w:w="3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32984" w14:textId="77777777" w:rsidR="0073250F" w:rsidRPr="0073250F" w:rsidRDefault="0073250F" w:rsidP="0073250F">
            <w:pPr>
              <w:spacing w:after="0" w:line="240" w:lineRule="auto"/>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Prostheses GM Benefits paid</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C7EB3"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$770,000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7963"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$1,100,000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E9512"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$4,000,000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99FAC"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$8,600,000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F2B93"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$21,900,000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7990C"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$60,200,000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7118A"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$153,600,000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8AD1B"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$250,200,000</w:t>
            </w:r>
          </w:p>
        </w:tc>
        <w:tc>
          <w:tcPr>
            <w:tcW w:w="1528" w:type="dxa"/>
            <w:tcBorders>
              <w:left w:val="single" w:sz="4" w:space="0" w:color="auto"/>
            </w:tcBorders>
            <w:shd w:val="clear" w:color="auto" w:fill="auto"/>
            <w:noWrap/>
            <w:vAlign w:val="bottom"/>
            <w:hideMark/>
          </w:tcPr>
          <w:p w14:paraId="7C55B3B4"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p>
        </w:tc>
      </w:tr>
      <w:tr w:rsidR="001B1D2C" w:rsidRPr="0073250F" w14:paraId="39674243" w14:textId="77777777" w:rsidTr="00655696">
        <w:trPr>
          <w:trHeight w:val="240"/>
        </w:trPr>
        <w:tc>
          <w:tcPr>
            <w:tcW w:w="3602" w:type="dxa"/>
            <w:vMerge/>
            <w:tcBorders>
              <w:top w:val="single" w:sz="4" w:space="0" w:color="auto"/>
              <w:left w:val="single" w:sz="4" w:space="0" w:color="auto"/>
              <w:bottom w:val="single" w:sz="4" w:space="0" w:color="auto"/>
              <w:right w:val="single" w:sz="4" w:space="0" w:color="auto"/>
            </w:tcBorders>
            <w:vAlign w:val="center"/>
            <w:hideMark/>
          </w:tcPr>
          <w:p w14:paraId="5A99672C" w14:textId="77777777" w:rsidR="0073250F" w:rsidRPr="0073250F" w:rsidRDefault="0073250F" w:rsidP="0073250F">
            <w:pPr>
              <w:spacing w:after="0" w:line="240" w:lineRule="auto"/>
              <w:rPr>
                <w:rFonts w:ascii="Calibri" w:eastAsia="Times New Roman" w:hAnsi="Calibri" w:cs="Calibri"/>
                <w:sz w:val="16"/>
                <w:szCs w:val="16"/>
                <w:lang w:eastAsia="en-AU"/>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7E750"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(0.3%)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CA39"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(0.4%)</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79E3C"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(1.6%)</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E401C"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E439F"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4EF3F"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B1E79"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CF8F4"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(100.0%)</w:t>
            </w:r>
          </w:p>
        </w:tc>
        <w:tc>
          <w:tcPr>
            <w:tcW w:w="1528" w:type="dxa"/>
            <w:tcBorders>
              <w:left w:val="single" w:sz="4" w:space="0" w:color="auto"/>
            </w:tcBorders>
            <w:shd w:val="clear" w:color="auto" w:fill="auto"/>
            <w:noWrap/>
            <w:vAlign w:val="bottom"/>
            <w:hideMark/>
          </w:tcPr>
          <w:p w14:paraId="4E8758D2" w14:textId="77777777" w:rsidR="0073250F" w:rsidRPr="0073250F" w:rsidRDefault="0073250F" w:rsidP="0073250F">
            <w:pPr>
              <w:spacing w:after="0" w:line="240" w:lineRule="auto"/>
              <w:jc w:val="center"/>
              <w:rPr>
                <w:rFonts w:ascii="Calibri" w:eastAsia="Times New Roman" w:hAnsi="Calibri" w:cs="Calibri"/>
                <w:sz w:val="16"/>
                <w:szCs w:val="16"/>
                <w:lang w:eastAsia="en-AU"/>
              </w:rPr>
            </w:pPr>
          </w:p>
        </w:tc>
      </w:tr>
      <w:tr w:rsidR="001B1D2C" w:rsidRPr="0073250F" w14:paraId="1EC661BA" w14:textId="77777777" w:rsidTr="00655696">
        <w:trPr>
          <w:trHeight w:val="165"/>
        </w:trPr>
        <w:tc>
          <w:tcPr>
            <w:tcW w:w="3602" w:type="dxa"/>
            <w:tcBorders>
              <w:top w:val="single" w:sz="4" w:space="0" w:color="auto"/>
            </w:tcBorders>
            <w:shd w:val="clear" w:color="auto" w:fill="auto"/>
            <w:noWrap/>
            <w:vAlign w:val="bottom"/>
            <w:hideMark/>
          </w:tcPr>
          <w:p w14:paraId="4965D33D" w14:textId="77777777" w:rsidR="0073250F" w:rsidRPr="0073250F" w:rsidRDefault="0073250F" w:rsidP="0073250F">
            <w:pPr>
              <w:spacing w:after="0" w:line="240" w:lineRule="auto"/>
              <w:rPr>
                <w:rFonts w:eastAsia="Times New Roman"/>
                <w:sz w:val="20"/>
                <w:szCs w:val="20"/>
                <w:lang w:eastAsia="en-AU"/>
              </w:rPr>
            </w:pPr>
          </w:p>
        </w:tc>
        <w:tc>
          <w:tcPr>
            <w:tcW w:w="1288" w:type="dxa"/>
            <w:tcBorders>
              <w:top w:val="single" w:sz="4" w:space="0" w:color="auto"/>
            </w:tcBorders>
            <w:shd w:val="clear" w:color="auto" w:fill="auto"/>
            <w:noWrap/>
            <w:vAlign w:val="bottom"/>
            <w:hideMark/>
          </w:tcPr>
          <w:p w14:paraId="6265AF43" w14:textId="77777777" w:rsidR="0073250F" w:rsidRPr="0073250F" w:rsidRDefault="0073250F" w:rsidP="0073250F">
            <w:pPr>
              <w:spacing w:after="0" w:line="240" w:lineRule="auto"/>
              <w:rPr>
                <w:rFonts w:eastAsia="Times New Roman"/>
                <w:sz w:val="20"/>
                <w:szCs w:val="20"/>
                <w:lang w:eastAsia="en-AU"/>
              </w:rPr>
            </w:pPr>
          </w:p>
        </w:tc>
        <w:tc>
          <w:tcPr>
            <w:tcW w:w="1125" w:type="dxa"/>
            <w:tcBorders>
              <w:top w:val="single" w:sz="4" w:space="0" w:color="auto"/>
            </w:tcBorders>
            <w:shd w:val="clear" w:color="auto" w:fill="auto"/>
            <w:noWrap/>
            <w:vAlign w:val="bottom"/>
            <w:hideMark/>
          </w:tcPr>
          <w:p w14:paraId="720190F4" w14:textId="77777777" w:rsidR="0073250F" w:rsidRPr="0073250F" w:rsidRDefault="0073250F" w:rsidP="0073250F">
            <w:pPr>
              <w:spacing w:after="0" w:line="240" w:lineRule="auto"/>
              <w:rPr>
                <w:rFonts w:eastAsia="Times New Roman"/>
                <w:sz w:val="20"/>
                <w:szCs w:val="20"/>
                <w:lang w:eastAsia="en-AU"/>
              </w:rPr>
            </w:pPr>
          </w:p>
        </w:tc>
        <w:tc>
          <w:tcPr>
            <w:tcW w:w="1676" w:type="dxa"/>
            <w:tcBorders>
              <w:top w:val="single" w:sz="4" w:space="0" w:color="auto"/>
            </w:tcBorders>
            <w:shd w:val="clear" w:color="auto" w:fill="auto"/>
            <w:noWrap/>
            <w:vAlign w:val="bottom"/>
            <w:hideMark/>
          </w:tcPr>
          <w:p w14:paraId="4122C4E5" w14:textId="77777777" w:rsidR="0073250F" w:rsidRPr="0073250F" w:rsidRDefault="0073250F" w:rsidP="0073250F">
            <w:pPr>
              <w:spacing w:after="0" w:line="240" w:lineRule="auto"/>
              <w:rPr>
                <w:rFonts w:eastAsia="Times New Roman"/>
                <w:sz w:val="20"/>
                <w:szCs w:val="20"/>
                <w:lang w:eastAsia="en-AU"/>
              </w:rPr>
            </w:pPr>
          </w:p>
        </w:tc>
        <w:tc>
          <w:tcPr>
            <w:tcW w:w="1240" w:type="dxa"/>
            <w:tcBorders>
              <w:top w:val="single" w:sz="4" w:space="0" w:color="auto"/>
            </w:tcBorders>
            <w:shd w:val="clear" w:color="auto" w:fill="auto"/>
            <w:noWrap/>
            <w:vAlign w:val="bottom"/>
            <w:hideMark/>
          </w:tcPr>
          <w:p w14:paraId="6DE86087" w14:textId="77777777" w:rsidR="0073250F" w:rsidRPr="0073250F" w:rsidRDefault="0073250F" w:rsidP="0073250F">
            <w:pPr>
              <w:spacing w:after="0" w:line="240" w:lineRule="auto"/>
              <w:rPr>
                <w:rFonts w:eastAsia="Times New Roman"/>
                <w:sz w:val="20"/>
                <w:szCs w:val="20"/>
                <w:lang w:eastAsia="en-AU"/>
              </w:rPr>
            </w:pPr>
          </w:p>
        </w:tc>
        <w:tc>
          <w:tcPr>
            <w:tcW w:w="1134" w:type="dxa"/>
            <w:tcBorders>
              <w:top w:val="single" w:sz="4" w:space="0" w:color="auto"/>
            </w:tcBorders>
            <w:shd w:val="clear" w:color="auto" w:fill="auto"/>
            <w:noWrap/>
            <w:vAlign w:val="bottom"/>
            <w:hideMark/>
          </w:tcPr>
          <w:p w14:paraId="06CC04FF" w14:textId="77777777" w:rsidR="0073250F" w:rsidRPr="0073250F" w:rsidRDefault="0073250F" w:rsidP="0073250F">
            <w:pPr>
              <w:spacing w:after="0" w:line="240" w:lineRule="auto"/>
              <w:rPr>
                <w:rFonts w:eastAsia="Times New Roman"/>
                <w:sz w:val="20"/>
                <w:szCs w:val="20"/>
                <w:lang w:eastAsia="en-AU"/>
              </w:rPr>
            </w:pPr>
          </w:p>
        </w:tc>
        <w:tc>
          <w:tcPr>
            <w:tcW w:w="1417" w:type="dxa"/>
            <w:tcBorders>
              <w:top w:val="single" w:sz="4" w:space="0" w:color="auto"/>
            </w:tcBorders>
            <w:shd w:val="clear" w:color="auto" w:fill="auto"/>
            <w:noWrap/>
            <w:vAlign w:val="bottom"/>
            <w:hideMark/>
          </w:tcPr>
          <w:p w14:paraId="5BE8581E" w14:textId="77777777" w:rsidR="0073250F" w:rsidRPr="0073250F" w:rsidRDefault="0073250F" w:rsidP="0073250F">
            <w:pPr>
              <w:spacing w:after="0" w:line="240" w:lineRule="auto"/>
              <w:rPr>
                <w:rFonts w:eastAsia="Times New Roman"/>
                <w:sz w:val="20"/>
                <w:szCs w:val="20"/>
                <w:lang w:eastAsia="en-AU"/>
              </w:rPr>
            </w:pPr>
          </w:p>
        </w:tc>
        <w:tc>
          <w:tcPr>
            <w:tcW w:w="1134" w:type="dxa"/>
            <w:tcBorders>
              <w:top w:val="single" w:sz="4" w:space="0" w:color="auto"/>
            </w:tcBorders>
            <w:shd w:val="clear" w:color="auto" w:fill="auto"/>
            <w:hideMark/>
          </w:tcPr>
          <w:p w14:paraId="7B895A8D" w14:textId="77777777" w:rsidR="0073250F" w:rsidRPr="0073250F" w:rsidRDefault="0073250F" w:rsidP="0073250F">
            <w:pPr>
              <w:spacing w:after="0" w:line="240" w:lineRule="auto"/>
              <w:rPr>
                <w:rFonts w:eastAsia="Times New Roman"/>
                <w:sz w:val="20"/>
                <w:szCs w:val="20"/>
                <w:lang w:eastAsia="en-AU"/>
              </w:rPr>
            </w:pPr>
          </w:p>
        </w:tc>
        <w:tc>
          <w:tcPr>
            <w:tcW w:w="1134" w:type="dxa"/>
            <w:tcBorders>
              <w:top w:val="single" w:sz="4" w:space="0" w:color="auto"/>
            </w:tcBorders>
            <w:shd w:val="clear" w:color="auto" w:fill="auto"/>
            <w:hideMark/>
          </w:tcPr>
          <w:p w14:paraId="5F63C364"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114BAA06" w14:textId="77777777" w:rsidR="0073250F" w:rsidRPr="0073250F" w:rsidRDefault="0073250F" w:rsidP="0073250F">
            <w:pPr>
              <w:spacing w:after="0" w:line="240" w:lineRule="auto"/>
              <w:rPr>
                <w:rFonts w:eastAsia="Times New Roman"/>
                <w:sz w:val="20"/>
                <w:szCs w:val="20"/>
                <w:lang w:eastAsia="en-AU"/>
              </w:rPr>
            </w:pPr>
          </w:p>
        </w:tc>
      </w:tr>
      <w:tr w:rsidR="001B1D2C" w:rsidRPr="0073250F" w14:paraId="1D33B242" w14:textId="77777777" w:rsidTr="00655696">
        <w:trPr>
          <w:trHeight w:val="165"/>
        </w:trPr>
        <w:tc>
          <w:tcPr>
            <w:tcW w:w="3602" w:type="dxa"/>
            <w:shd w:val="clear" w:color="auto" w:fill="auto"/>
            <w:noWrap/>
            <w:vAlign w:val="bottom"/>
            <w:hideMark/>
          </w:tcPr>
          <w:p w14:paraId="3B9FE33A" w14:textId="77777777" w:rsidR="0073250F" w:rsidRPr="0073250F" w:rsidRDefault="0073250F" w:rsidP="0073250F">
            <w:pPr>
              <w:spacing w:after="0" w:line="240" w:lineRule="auto"/>
              <w:rPr>
                <w:rFonts w:eastAsia="Times New Roman"/>
                <w:sz w:val="20"/>
                <w:szCs w:val="20"/>
                <w:lang w:eastAsia="en-AU"/>
              </w:rPr>
            </w:pPr>
          </w:p>
        </w:tc>
        <w:tc>
          <w:tcPr>
            <w:tcW w:w="1288" w:type="dxa"/>
            <w:shd w:val="clear" w:color="auto" w:fill="auto"/>
            <w:noWrap/>
            <w:vAlign w:val="bottom"/>
            <w:hideMark/>
          </w:tcPr>
          <w:p w14:paraId="7FDD0CEC" w14:textId="77777777" w:rsidR="0073250F" w:rsidRPr="0073250F" w:rsidRDefault="0073250F" w:rsidP="0073250F">
            <w:pPr>
              <w:spacing w:after="0" w:line="240" w:lineRule="auto"/>
              <w:rPr>
                <w:rFonts w:eastAsia="Times New Roman"/>
                <w:sz w:val="20"/>
                <w:szCs w:val="20"/>
                <w:lang w:eastAsia="en-AU"/>
              </w:rPr>
            </w:pPr>
          </w:p>
        </w:tc>
        <w:tc>
          <w:tcPr>
            <w:tcW w:w="1125" w:type="dxa"/>
            <w:shd w:val="clear" w:color="auto" w:fill="auto"/>
            <w:noWrap/>
            <w:vAlign w:val="bottom"/>
            <w:hideMark/>
          </w:tcPr>
          <w:p w14:paraId="5E45A64E" w14:textId="77777777" w:rsidR="0073250F" w:rsidRPr="0073250F" w:rsidRDefault="0073250F" w:rsidP="0073250F">
            <w:pPr>
              <w:spacing w:after="0" w:line="240" w:lineRule="auto"/>
              <w:rPr>
                <w:rFonts w:eastAsia="Times New Roman"/>
                <w:sz w:val="20"/>
                <w:szCs w:val="20"/>
                <w:lang w:eastAsia="en-AU"/>
              </w:rPr>
            </w:pPr>
          </w:p>
        </w:tc>
        <w:tc>
          <w:tcPr>
            <w:tcW w:w="1676" w:type="dxa"/>
            <w:shd w:val="clear" w:color="auto" w:fill="auto"/>
            <w:noWrap/>
            <w:vAlign w:val="bottom"/>
            <w:hideMark/>
          </w:tcPr>
          <w:p w14:paraId="3109DFD2" w14:textId="77777777" w:rsidR="0073250F" w:rsidRPr="0073250F" w:rsidRDefault="0073250F" w:rsidP="0073250F">
            <w:pPr>
              <w:spacing w:after="0" w:line="240" w:lineRule="auto"/>
              <w:rPr>
                <w:rFonts w:eastAsia="Times New Roman"/>
                <w:sz w:val="20"/>
                <w:szCs w:val="20"/>
                <w:lang w:eastAsia="en-AU"/>
              </w:rPr>
            </w:pPr>
          </w:p>
        </w:tc>
        <w:tc>
          <w:tcPr>
            <w:tcW w:w="1240" w:type="dxa"/>
            <w:shd w:val="clear" w:color="auto" w:fill="auto"/>
            <w:noWrap/>
            <w:vAlign w:val="bottom"/>
            <w:hideMark/>
          </w:tcPr>
          <w:p w14:paraId="62DC3AD4"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35C9B20E" w14:textId="77777777" w:rsidR="0073250F" w:rsidRPr="0073250F" w:rsidRDefault="0073250F" w:rsidP="0073250F">
            <w:pPr>
              <w:spacing w:after="0" w:line="240" w:lineRule="auto"/>
              <w:rPr>
                <w:rFonts w:eastAsia="Times New Roman"/>
                <w:sz w:val="20"/>
                <w:szCs w:val="20"/>
                <w:lang w:eastAsia="en-AU"/>
              </w:rPr>
            </w:pPr>
          </w:p>
        </w:tc>
        <w:tc>
          <w:tcPr>
            <w:tcW w:w="1417" w:type="dxa"/>
            <w:shd w:val="clear" w:color="auto" w:fill="auto"/>
            <w:noWrap/>
            <w:vAlign w:val="bottom"/>
            <w:hideMark/>
          </w:tcPr>
          <w:p w14:paraId="15C0912A"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178DB614"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328ECB1F"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2B134465" w14:textId="77777777" w:rsidR="0073250F" w:rsidRPr="0073250F" w:rsidRDefault="0073250F" w:rsidP="0073250F">
            <w:pPr>
              <w:spacing w:after="0" w:line="240" w:lineRule="auto"/>
              <w:rPr>
                <w:rFonts w:eastAsia="Times New Roman"/>
                <w:sz w:val="20"/>
                <w:szCs w:val="20"/>
                <w:lang w:eastAsia="en-AU"/>
              </w:rPr>
            </w:pPr>
          </w:p>
        </w:tc>
      </w:tr>
      <w:tr w:rsidR="001B1D2C" w:rsidRPr="0073250F" w14:paraId="580CC085" w14:textId="77777777" w:rsidTr="00655696">
        <w:trPr>
          <w:trHeight w:val="165"/>
        </w:trPr>
        <w:tc>
          <w:tcPr>
            <w:tcW w:w="3602" w:type="dxa"/>
            <w:shd w:val="clear" w:color="auto" w:fill="auto"/>
            <w:noWrap/>
            <w:vAlign w:val="bottom"/>
            <w:hideMark/>
          </w:tcPr>
          <w:p w14:paraId="634A401A" w14:textId="77777777" w:rsidR="0073250F" w:rsidRPr="0073250F" w:rsidRDefault="0073250F" w:rsidP="0073250F">
            <w:pPr>
              <w:spacing w:after="0" w:line="240" w:lineRule="auto"/>
              <w:rPr>
                <w:rFonts w:eastAsia="Times New Roman"/>
                <w:sz w:val="20"/>
                <w:szCs w:val="20"/>
                <w:lang w:eastAsia="en-AU"/>
              </w:rPr>
            </w:pPr>
          </w:p>
        </w:tc>
        <w:tc>
          <w:tcPr>
            <w:tcW w:w="1288" w:type="dxa"/>
            <w:shd w:val="clear" w:color="auto" w:fill="auto"/>
            <w:noWrap/>
            <w:vAlign w:val="bottom"/>
            <w:hideMark/>
          </w:tcPr>
          <w:p w14:paraId="328A1324" w14:textId="77777777" w:rsidR="0073250F" w:rsidRPr="0073250F" w:rsidRDefault="0073250F" w:rsidP="0073250F">
            <w:pPr>
              <w:spacing w:after="0" w:line="240" w:lineRule="auto"/>
              <w:rPr>
                <w:rFonts w:eastAsia="Times New Roman"/>
                <w:sz w:val="20"/>
                <w:szCs w:val="20"/>
                <w:lang w:eastAsia="en-AU"/>
              </w:rPr>
            </w:pPr>
          </w:p>
        </w:tc>
        <w:tc>
          <w:tcPr>
            <w:tcW w:w="1125" w:type="dxa"/>
            <w:shd w:val="clear" w:color="auto" w:fill="auto"/>
            <w:noWrap/>
            <w:vAlign w:val="bottom"/>
            <w:hideMark/>
          </w:tcPr>
          <w:p w14:paraId="760D22EB" w14:textId="77777777" w:rsidR="0073250F" w:rsidRPr="0073250F" w:rsidRDefault="0073250F" w:rsidP="0073250F">
            <w:pPr>
              <w:spacing w:after="0" w:line="240" w:lineRule="auto"/>
              <w:rPr>
                <w:rFonts w:eastAsia="Times New Roman"/>
                <w:sz w:val="20"/>
                <w:szCs w:val="20"/>
                <w:lang w:eastAsia="en-AU"/>
              </w:rPr>
            </w:pPr>
          </w:p>
        </w:tc>
        <w:tc>
          <w:tcPr>
            <w:tcW w:w="1676" w:type="dxa"/>
            <w:shd w:val="clear" w:color="auto" w:fill="auto"/>
            <w:noWrap/>
            <w:vAlign w:val="bottom"/>
            <w:hideMark/>
          </w:tcPr>
          <w:p w14:paraId="71017F37" w14:textId="77777777" w:rsidR="0073250F" w:rsidRPr="0073250F" w:rsidRDefault="0073250F" w:rsidP="0073250F">
            <w:pPr>
              <w:spacing w:after="0" w:line="240" w:lineRule="auto"/>
              <w:rPr>
                <w:rFonts w:eastAsia="Times New Roman"/>
                <w:sz w:val="20"/>
                <w:szCs w:val="20"/>
                <w:lang w:eastAsia="en-AU"/>
              </w:rPr>
            </w:pPr>
          </w:p>
        </w:tc>
        <w:tc>
          <w:tcPr>
            <w:tcW w:w="1240" w:type="dxa"/>
            <w:shd w:val="clear" w:color="auto" w:fill="auto"/>
            <w:noWrap/>
            <w:vAlign w:val="bottom"/>
            <w:hideMark/>
          </w:tcPr>
          <w:p w14:paraId="617A45E8"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2AD8C8E6" w14:textId="77777777" w:rsidR="0073250F" w:rsidRPr="0073250F" w:rsidRDefault="0073250F" w:rsidP="0073250F">
            <w:pPr>
              <w:spacing w:after="0" w:line="240" w:lineRule="auto"/>
              <w:rPr>
                <w:rFonts w:eastAsia="Times New Roman"/>
                <w:sz w:val="20"/>
                <w:szCs w:val="20"/>
                <w:lang w:eastAsia="en-AU"/>
              </w:rPr>
            </w:pPr>
          </w:p>
        </w:tc>
        <w:tc>
          <w:tcPr>
            <w:tcW w:w="1417" w:type="dxa"/>
            <w:shd w:val="clear" w:color="auto" w:fill="auto"/>
            <w:noWrap/>
            <w:vAlign w:val="bottom"/>
            <w:hideMark/>
          </w:tcPr>
          <w:p w14:paraId="599FDD72"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64FF399A" w14:textId="77777777" w:rsidR="0073250F" w:rsidRPr="0073250F" w:rsidRDefault="0073250F" w:rsidP="0073250F">
            <w:pPr>
              <w:spacing w:after="0" w:line="240" w:lineRule="auto"/>
              <w:rPr>
                <w:rFonts w:eastAsia="Times New Roman"/>
                <w:sz w:val="20"/>
                <w:szCs w:val="20"/>
                <w:lang w:eastAsia="en-AU"/>
              </w:rPr>
            </w:pPr>
          </w:p>
        </w:tc>
        <w:tc>
          <w:tcPr>
            <w:tcW w:w="1134" w:type="dxa"/>
            <w:shd w:val="clear" w:color="auto" w:fill="auto"/>
            <w:noWrap/>
            <w:vAlign w:val="bottom"/>
            <w:hideMark/>
          </w:tcPr>
          <w:p w14:paraId="2E51A4F5" w14:textId="77777777" w:rsidR="0073250F" w:rsidRPr="0073250F" w:rsidRDefault="0073250F"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0D3226F2" w14:textId="77777777" w:rsidR="0073250F" w:rsidRPr="0073250F" w:rsidRDefault="0073250F" w:rsidP="0073250F">
            <w:pPr>
              <w:spacing w:after="0" w:line="240" w:lineRule="auto"/>
              <w:rPr>
                <w:rFonts w:eastAsia="Times New Roman"/>
                <w:sz w:val="20"/>
                <w:szCs w:val="20"/>
                <w:lang w:eastAsia="en-AU"/>
              </w:rPr>
            </w:pPr>
          </w:p>
        </w:tc>
      </w:tr>
      <w:tr w:rsidR="00656BED" w:rsidRPr="0073250F" w14:paraId="2AEB529C" w14:textId="77777777" w:rsidTr="00655696">
        <w:trPr>
          <w:trHeight w:val="240"/>
        </w:trPr>
        <w:tc>
          <w:tcPr>
            <w:tcW w:w="8931" w:type="dxa"/>
            <w:gridSpan w:val="5"/>
            <w:shd w:val="clear" w:color="auto" w:fill="auto"/>
            <w:noWrap/>
            <w:hideMark/>
          </w:tcPr>
          <w:p w14:paraId="7C428767" w14:textId="77777777" w:rsidR="00656BED" w:rsidRPr="0073250F" w:rsidRDefault="00656BED" w:rsidP="0073250F">
            <w:pPr>
              <w:spacing w:after="0" w:line="240" w:lineRule="auto"/>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Table 4: Counts of Private Day and Private Overnight Hospitals by type of Prostheses Benefit paid</w:t>
            </w:r>
          </w:p>
        </w:tc>
        <w:tc>
          <w:tcPr>
            <w:tcW w:w="1134" w:type="dxa"/>
            <w:shd w:val="clear" w:color="auto" w:fill="auto"/>
            <w:noWrap/>
            <w:vAlign w:val="bottom"/>
            <w:hideMark/>
          </w:tcPr>
          <w:p w14:paraId="1F517980" w14:textId="77777777" w:rsidR="00656BED" w:rsidRPr="0073250F" w:rsidRDefault="00656BED" w:rsidP="0073250F">
            <w:pPr>
              <w:spacing w:after="0" w:line="240" w:lineRule="auto"/>
              <w:rPr>
                <w:rFonts w:ascii="Calibri" w:eastAsia="Times New Roman" w:hAnsi="Calibri" w:cs="Calibri"/>
                <w:sz w:val="16"/>
                <w:szCs w:val="16"/>
                <w:lang w:eastAsia="en-AU"/>
              </w:rPr>
            </w:pPr>
          </w:p>
        </w:tc>
        <w:tc>
          <w:tcPr>
            <w:tcW w:w="1417" w:type="dxa"/>
            <w:shd w:val="clear" w:color="auto" w:fill="auto"/>
            <w:noWrap/>
            <w:vAlign w:val="bottom"/>
            <w:hideMark/>
          </w:tcPr>
          <w:p w14:paraId="47160F32" w14:textId="77777777" w:rsidR="00656BED" w:rsidRPr="0073250F" w:rsidRDefault="00656BED" w:rsidP="0073250F">
            <w:pPr>
              <w:spacing w:after="0" w:line="240" w:lineRule="auto"/>
              <w:rPr>
                <w:rFonts w:eastAsia="Times New Roman"/>
                <w:sz w:val="20"/>
                <w:szCs w:val="20"/>
                <w:lang w:eastAsia="en-AU"/>
              </w:rPr>
            </w:pPr>
          </w:p>
        </w:tc>
        <w:tc>
          <w:tcPr>
            <w:tcW w:w="1134" w:type="dxa"/>
            <w:shd w:val="clear" w:color="auto" w:fill="auto"/>
            <w:vAlign w:val="bottom"/>
          </w:tcPr>
          <w:p w14:paraId="3451D485" w14:textId="77777777" w:rsidR="00656BED" w:rsidRPr="0073250F" w:rsidRDefault="00656BED" w:rsidP="0073250F">
            <w:pPr>
              <w:spacing w:after="0" w:line="240" w:lineRule="auto"/>
              <w:rPr>
                <w:rFonts w:eastAsia="Times New Roman"/>
                <w:sz w:val="20"/>
                <w:szCs w:val="20"/>
                <w:lang w:eastAsia="en-AU"/>
              </w:rPr>
            </w:pPr>
          </w:p>
        </w:tc>
        <w:tc>
          <w:tcPr>
            <w:tcW w:w="1134" w:type="dxa"/>
            <w:shd w:val="clear" w:color="auto" w:fill="auto"/>
            <w:vAlign w:val="bottom"/>
          </w:tcPr>
          <w:p w14:paraId="6E2525A9" w14:textId="6884BB65" w:rsidR="00656BED" w:rsidRPr="0073250F" w:rsidRDefault="00656BED" w:rsidP="0073250F">
            <w:pPr>
              <w:spacing w:after="0" w:line="240" w:lineRule="auto"/>
              <w:rPr>
                <w:rFonts w:eastAsia="Times New Roman"/>
                <w:sz w:val="20"/>
                <w:szCs w:val="20"/>
                <w:lang w:eastAsia="en-AU"/>
              </w:rPr>
            </w:pPr>
          </w:p>
        </w:tc>
        <w:tc>
          <w:tcPr>
            <w:tcW w:w="1528" w:type="dxa"/>
            <w:shd w:val="clear" w:color="auto" w:fill="auto"/>
            <w:noWrap/>
            <w:vAlign w:val="bottom"/>
            <w:hideMark/>
          </w:tcPr>
          <w:p w14:paraId="2222C4F9" w14:textId="77777777" w:rsidR="00656BED" w:rsidRPr="0073250F" w:rsidRDefault="00656BED" w:rsidP="0073250F">
            <w:pPr>
              <w:spacing w:after="0" w:line="240" w:lineRule="auto"/>
              <w:rPr>
                <w:rFonts w:eastAsia="Times New Roman"/>
                <w:sz w:val="20"/>
                <w:szCs w:val="20"/>
                <w:lang w:eastAsia="en-AU"/>
              </w:rPr>
            </w:pPr>
          </w:p>
        </w:tc>
      </w:tr>
      <w:tr w:rsidR="001B1D2C" w:rsidRPr="0073250F" w14:paraId="376DCAD8" w14:textId="77777777" w:rsidTr="00655696">
        <w:trPr>
          <w:trHeight w:val="900"/>
        </w:trPr>
        <w:tc>
          <w:tcPr>
            <w:tcW w:w="360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0CCEF75" w14:textId="77777777" w:rsidR="00962AB5" w:rsidRPr="0073250F" w:rsidRDefault="00962AB5" w:rsidP="0073250F">
            <w:pPr>
              <w:spacing w:after="0" w:line="240" w:lineRule="auto"/>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 </w:t>
            </w:r>
          </w:p>
        </w:tc>
        <w:tc>
          <w:tcPr>
            <w:tcW w:w="128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10B2B99" w14:textId="77777777" w:rsidR="00962AB5" w:rsidRPr="0073250F" w:rsidRDefault="00962AB5" w:rsidP="0073250F">
            <w:pPr>
              <w:spacing w:after="0" w:line="240" w:lineRule="auto"/>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No. of Private Day Hospitals</w:t>
            </w:r>
          </w:p>
        </w:tc>
        <w:tc>
          <w:tcPr>
            <w:tcW w:w="112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4949374" w14:textId="77777777" w:rsidR="00962AB5" w:rsidRPr="0073250F" w:rsidRDefault="00962AB5" w:rsidP="0073250F">
            <w:pPr>
              <w:spacing w:after="0" w:line="240" w:lineRule="auto"/>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 xml:space="preserve">No. Of </w:t>
            </w:r>
            <w:r w:rsidRPr="0073250F">
              <w:rPr>
                <w:rFonts w:ascii="Calibri" w:eastAsia="Times New Roman" w:hAnsi="Calibri" w:cs="Calibri"/>
                <w:b/>
                <w:bCs/>
                <w:sz w:val="16"/>
                <w:szCs w:val="16"/>
                <w:lang w:eastAsia="en-AU"/>
              </w:rPr>
              <w:br/>
              <w:t>Private Overnight Hospitals</w:t>
            </w:r>
          </w:p>
        </w:tc>
        <w:tc>
          <w:tcPr>
            <w:tcW w:w="1676" w:type="dxa"/>
            <w:tcBorders>
              <w:left w:val="single" w:sz="4" w:space="0" w:color="auto"/>
            </w:tcBorders>
            <w:shd w:val="clear" w:color="auto" w:fill="auto"/>
            <w:noWrap/>
            <w:vAlign w:val="bottom"/>
            <w:hideMark/>
          </w:tcPr>
          <w:p w14:paraId="62E9A12E" w14:textId="77777777" w:rsidR="00962AB5" w:rsidRPr="0073250F" w:rsidRDefault="00962AB5" w:rsidP="0073250F">
            <w:pPr>
              <w:spacing w:after="0" w:line="240" w:lineRule="auto"/>
              <w:rPr>
                <w:rFonts w:ascii="Calibri" w:eastAsia="Times New Roman" w:hAnsi="Calibri" w:cs="Calibri"/>
                <w:b/>
                <w:bCs/>
                <w:sz w:val="16"/>
                <w:szCs w:val="16"/>
                <w:lang w:eastAsia="en-AU"/>
              </w:rPr>
            </w:pPr>
          </w:p>
        </w:tc>
        <w:tc>
          <w:tcPr>
            <w:tcW w:w="3791" w:type="dxa"/>
            <w:gridSpan w:val="3"/>
            <w:shd w:val="clear" w:color="auto" w:fill="auto"/>
            <w:noWrap/>
            <w:vAlign w:val="bottom"/>
            <w:hideMark/>
          </w:tcPr>
          <w:p w14:paraId="49452C5F" w14:textId="26519B57" w:rsidR="00962AB5" w:rsidRPr="00FF3BC7" w:rsidRDefault="00962AB5" w:rsidP="00FF3BC7">
            <w:pPr>
              <w:spacing w:after="0" w:line="240" w:lineRule="auto"/>
              <w:rPr>
                <w:rFonts w:eastAsia="Times New Roman"/>
                <w:color w:val="000099"/>
                <w:sz w:val="20"/>
                <w:szCs w:val="20"/>
                <w:lang w:eastAsia="en-AU"/>
              </w:rPr>
            </w:pPr>
            <w:r w:rsidRPr="0073250F">
              <w:rPr>
                <w:rFonts w:ascii="Calibri" w:eastAsia="Times New Roman" w:hAnsi="Calibri" w:cs="Calibri"/>
                <w:color w:val="000099"/>
                <w:sz w:val="16"/>
                <w:szCs w:val="16"/>
                <w:lang w:eastAsia="en-AU"/>
              </w:rPr>
              <w:t>*Notes:</w:t>
            </w:r>
          </w:p>
        </w:tc>
        <w:tc>
          <w:tcPr>
            <w:tcW w:w="1134" w:type="dxa"/>
            <w:shd w:val="clear" w:color="auto" w:fill="auto"/>
            <w:vAlign w:val="center"/>
          </w:tcPr>
          <w:p w14:paraId="7DC42322" w14:textId="77777777" w:rsidR="00962AB5" w:rsidRPr="00FF3BC7" w:rsidRDefault="00962AB5" w:rsidP="00FF3BC7">
            <w:pPr>
              <w:spacing w:after="0" w:line="240" w:lineRule="auto"/>
              <w:rPr>
                <w:rFonts w:eastAsia="Times New Roman"/>
                <w:color w:val="000099"/>
                <w:sz w:val="20"/>
                <w:szCs w:val="20"/>
                <w:lang w:eastAsia="en-AU"/>
              </w:rPr>
            </w:pPr>
          </w:p>
        </w:tc>
        <w:tc>
          <w:tcPr>
            <w:tcW w:w="1134" w:type="dxa"/>
            <w:shd w:val="clear" w:color="auto" w:fill="auto"/>
            <w:vAlign w:val="center"/>
          </w:tcPr>
          <w:p w14:paraId="3B5BE59F" w14:textId="3A3CCB04" w:rsidR="00962AB5" w:rsidRPr="0073250F" w:rsidRDefault="00962AB5" w:rsidP="00FF3BC7">
            <w:pPr>
              <w:spacing w:after="0" w:line="240" w:lineRule="auto"/>
              <w:rPr>
                <w:rFonts w:eastAsia="Times New Roman"/>
                <w:color w:val="000099"/>
                <w:sz w:val="20"/>
                <w:szCs w:val="20"/>
                <w:lang w:eastAsia="en-AU"/>
              </w:rPr>
            </w:pPr>
          </w:p>
        </w:tc>
        <w:tc>
          <w:tcPr>
            <w:tcW w:w="1528" w:type="dxa"/>
            <w:shd w:val="clear" w:color="auto" w:fill="auto"/>
            <w:noWrap/>
            <w:vAlign w:val="center"/>
            <w:hideMark/>
          </w:tcPr>
          <w:p w14:paraId="4F84DF0D" w14:textId="77777777" w:rsidR="00962AB5" w:rsidRPr="0073250F" w:rsidRDefault="00962AB5" w:rsidP="00FF3BC7">
            <w:pPr>
              <w:spacing w:after="0" w:line="240" w:lineRule="auto"/>
              <w:rPr>
                <w:rFonts w:eastAsia="Times New Roman"/>
                <w:color w:val="000099"/>
                <w:sz w:val="20"/>
                <w:szCs w:val="20"/>
                <w:lang w:eastAsia="en-AU"/>
              </w:rPr>
            </w:pPr>
          </w:p>
        </w:tc>
      </w:tr>
      <w:tr w:rsidR="00962AB5" w:rsidRPr="0073250F" w14:paraId="6E716D19" w14:textId="77777777" w:rsidTr="00655696">
        <w:trPr>
          <w:trHeight w:val="225"/>
        </w:trPr>
        <w:tc>
          <w:tcPr>
            <w:tcW w:w="3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B8123" w14:textId="77777777" w:rsidR="00962AB5" w:rsidRPr="0073250F" w:rsidRDefault="00962AB5" w:rsidP="0073250F">
            <w:pPr>
              <w:spacing w:after="0" w:line="240" w:lineRule="auto"/>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No Prostheses Benefits paid</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C5D2" w14:textId="77777777" w:rsidR="00962AB5" w:rsidRPr="0073250F" w:rsidRDefault="00962AB5" w:rsidP="0073250F">
            <w:pPr>
              <w:spacing w:after="0" w:line="240" w:lineRule="auto"/>
              <w:jc w:val="right"/>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70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30CA4" w14:textId="77777777" w:rsidR="00962AB5" w:rsidRPr="0073250F" w:rsidRDefault="00962AB5" w:rsidP="0073250F">
            <w:pPr>
              <w:spacing w:after="0" w:line="240" w:lineRule="auto"/>
              <w:jc w:val="right"/>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27</w:t>
            </w:r>
          </w:p>
        </w:tc>
        <w:tc>
          <w:tcPr>
            <w:tcW w:w="1676" w:type="dxa"/>
            <w:tcBorders>
              <w:left w:val="single" w:sz="4" w:space="0" w:color="auto"/>
            </w:tcBorders>
            <w:shd w:val="clear" w:color="auto" w:fill="auto"/>
            <w:noWrap/>
            <w:vAlign w:val="bottom"/>
            <w:hideMark/>
          </w:tcPr>
          <w:p w14:paraId="27E8B317" w14:textId="77777777" w:rsidR="00962AB5" w:rsidRPr="0073250F" w:rsidRDefault="00962AB5" w:rsidP="0073250F">
            <w:pPr>
              <w:spacing w:after="0" w:line="240" w:lineRule="auto"/>
              <w:jc w:val="right"/>
              <w:rPr>
                <w:rFonts w:ascii="Calibri" w:eastAsia="Times New Roman" w:hAnsi="Calibri" w:cs="Calibri"/>
                <w:b/>
                <w:bCs/>
                <w:sz w:val="16"/>
                <w:szCs w:val="16"/>
                <w:lang w:eastAsia="en-AU"/>
              </w:rPr>
            </w:pPr>
          </w:p>
        </w:tc>
        <w:tc>
          <w:tcPr>
            <w:tcW w:w="7587" w:type="dxa"/>
            <w:gridSpan w:val="6"/>
            <w:shd w:val="clear" w:color="auto" w:fill="auto"/>
            <w:noWrap/>
            <w:vAlign w:val="bottom"/>
            <w:hideMark/>
          </w:tcPr>
          <w:p w14:paraId="57A4F5AA" w14:textId="4FC014DB" w:rsidR="00962AB5" w:rsidRPr="0073250F" w:rsidRDefault="00962AB5" w:rsidP="00FF3BC7">
            <w:pPr>
              <w:spacing w:after="0" w:line="240" w:lineRule="auto"/>
              <w:rPr>
                <w:rFonts w:eastAsia="Times New Roman"/>
                <w:color w:val="000099"/>
                <w:sz w:val="20"/>
                <w:szCs w:val="20"/>
                <w:lang w:eastAsia="en-AU"/>
              </w:rPr>
            </w:pPr>
            <w:r w:rsidRPr="0073250F">
              <w:rPr>
                <w:rFonts w:ascii="Calibri" w:eastAsia="Times New Roman" w:hAnsi="Calibri" w:cs="Calibri"/>
                <w:color w:val="000099"/>
                <w:sz w:val="16"/>
                <w:szCs w:val="16"/>
                <w:lang w:eastAsia="en-AU"/>
              </w:rPr>
              <w:t>(1) Prostheses benefits paid for privately insured hospital separations in 2018-19</w:t>
            </w:r>
          </w:p>
        </w:tc>
      </w:tr>
      <w:tr w:rsidR="00962AB5" w:rsidRPr="0073250F" w14:paraId="05B09BC7" w14:textId="77777777" w:rsidTr="00655696">
        <w:trPr>
          <w:trHeight w:val="225"/>
        </w:trPr>
        <w:tc>
          <w:tcPr>
            <w:tcW w:w="3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338F8" w14:textId="77777777" w:rsidR="00962AB5" w:rsidRPr="0073250F" w:rsidRDefault="00962AB5" w:rsidP="0073250F">
            <w:pPr>
              <w:spacing w:after="0" w:line="240" w:lineRule="auto"/>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Prostheses Benefits paid with no GM paid</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D3053" w14:textId="77777777" w:rsidR="00962AB5" w:rsidRPr="0073250F" w:rsidRDefault="00962AB5" w:rsidP="0073250F">
            <w:pPr>
              <w:spacing w:after="0" w:line="240" w:lineRule="auto"/>
              <w:jc w:val="right"/>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69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BCC4" w14:textId="77777777" w:rsidR="00962AB5" w:rsidRPr="0073250F" w:rsidRDefault="00962AB5" w:rsidP="0073250F">
            <w:pPr>
              <w:spacing w:after="0" w:line="240" w:lineRule="auto"/>
              <w:jc w:val="right"/>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30</w:t>
            </w:r>
          </w:p>
        </w:tc>
        <w:tc>
          <w:tcPr>
            <w:tcW w:w="1676" w:type="dxa"/>
            <w:tcBorders>
              <w:left w:val="single" w:sz="4" w:space="0" w:color="auto"/>
            </w:tcBorders>
            <w:shd w:val="clear" w:color="auto" w:fill="auto"/>
            <w:noWrap/>
            <w:vAlign w:val="bottom"/>
            <w:hideMark/>
          </w:tcPr>
          <w:p w14:paraId="013D722A" w14:textId="77777777" w:rsidR="00962AB5" w:rsidRPr="0073250F" w:rsidRDefault="00962AB5" w:rsidP="0073250F">
            <w:pPr>
              <w:spacing w:after="0" w:line="240" w:lineRule="auto"/>
              <w:jc w:val="right"/>
              <w:rPr>
                <w:rFonts w:ascii="Calibri" w:eastAsia="Times New Roman" w:hAnsi="Calibri" w:cs="Calibri"/>
                <w:b/>
                <w:bCs/>
                <w:sz w:val="16"/>
                <w:szCs w:val="16"/>
                <w:lang w:eastAsia="en-AU"/>
              </w:rPr>
            </w:pPr>
          </w:p>
        </w:tc>
        <w:tc>
          <w:tcPr>
            <w:tcW w:w="7587" w:type="dxa"/>
            <w:gridSpan w:val="6"/>
            <w:shd w:val="clear" w:color="auto" w:fill="auto"/>
            <w:noWrap/>
            <w:vAlign w:val="bottom"/>
            <w:hideMark/>
          </w:tcPr>
          <w:p w14:paraId="3B7B5675" w14:textId="49BA5D33" w:rsidR="00962AB5" w:rsidRPr="0073250F" w:rsidRDefault="00962AB5" w:rsidP="00FF3BC7">
            <w:pPr>
              <w:spacing w:after="0" w:line="240" w:lineRule="auto"/>
              <w:rPr>
                <w:rFonts w:eastAsia="Times New Roman"/>
                <w:color w:val="000099"/>
                <w:sz w:val="20"/>
                <w:szCs w:val="20"/>
                <w:lang w:eastAsia="en-AU"/>
              </w:rPr>
            </w:pPr>
            <w:r w:rsidRPr="0073250F">
              <w:rPr>
                <w:rFonts w:ascii="Calibri" w:eastAsia="Times New Roman" w:hAnsi="Calibri" w:cs="Calibri"/>
                <w:color w:val="000099"/>
                <w:sz w:val="16"/>
                <w:szCs w:val="16"/>
                <w:lang w:eastAsia="en-AU"/>
              </w:rPr>
              <w:t xml:space="preserve">(2) Excludes separations where the type of care was reported as </w:t>
            </w:r>
            <w:r w:rsidRPr="0073250F">
              <w:rPr>
                <w:rFonts w:ascii="Calibri" w:eastAsia="Times New Roman" w:hAnsi="Calibri" w:cs="Calibri"/>
                <w:i/>
                <w:iCs/>
                <w:color w:val="000099"/>
                <w:sz w:val="16"/>
                <w:szCs w:val="16"/>
                <w:lang w:eastAsia="en-AU"/>
              </w:rPr>
              <w:t>Newborn (without qualified days)</w:t>
            </w:r>
            <w:r w:rsidRPr="0073250F">
              <w:rPr>
                <w:rFonts w:ascii="Calibri" w:eastAsia="Times New Roman" w:hAnsi="Calibri" w:cs="Calibri"/>
                <w:color w:val="000099"/>
                <w:sz w:val="16"/>
                <w:szCs w:val="16"/>
                <w:lang w:eastAsia="en-AU"/>
              </w:rPr>
              <w:t xml:space="preserve">, </w:t>
            </w:r>
            <w:r w:rsidRPr="0073250F">
              <w:rPr>
                <w:rFonts w:ascii="Calibri" w:eastAsia="Times New Roman" w:hAnsi="Calibri" w:cs="Calibri"/>
                <w:i/>
                <w:iCs/>
                <w:color w:val="000099"/>
                <w:sz w:val="16"/>
                <w:szCs w:val="16"/>
                <w:lang w:eastAsia="en-AU"/>
              </w:rPr>
              <w:t>Posthumous organ procurement</w:t>
            </w:r>
            <w:r w:rsidRPr="0073250F">
              <w:rPr>
                <w:rFonts w:ascii="Calibri" w:eastAsia="Times New Roman" w:hAnsi="Calibri" w:cs="Calibri"/>
                <w:color w:val="000099"/>
                <w:sz w:val="16"/>
                <w:szCs w:val="16"/>
                <w:lang w:eastAsia="en-AU"/>
              </w:rPr>
              <w:t xml:space="preserve"> and </w:t>
            </w:r>
            <w:r w:rsidRPr="0073250F">
              <w:rPr>
                <w:rFonts w:ascii="Calibri" w:eastAsia="Times New Roman" w:hAnsi="Calibri" w:cs="Calibri"/>
                <w:i/>
                <w:iCs/>
                <w:color w:val="000099"/>
                <w:sz w:val="16"/>
                <w:szCs w:val="16"/>
                <w:lang w:eastAsia="en-AU"/>
              </w:rPr>
              <w:t>Hospital boarder</w:t>
            </w:r>
            <w:r w:rsidRPr="0073250F">
              <w:rPr>
                <w:rFonts w:ascii="Calibri" w:eastAsia="Times New Roman" w:hAnsi="Calibri" w:cs="Calibri"/>
                <w:color w:val="000099"/>
                <w:sz w:val="16"/>
                <w:szCs w:val="16"/>
                <w:lang w:eastAsia="en-AU"/>
              </w:rPr>
              <w:t>.</w:t>
            </w:r>
          </w:p>
        </w:tc>
      </w:tr>
      <w:tr w:rsidR="00962AB5" w:rsidRPr="0073250F" w14:paraId="53B296C3" w14:textId="77777777" w:rsidTr="00655696">
        <w:trPr>
          <w:trHeight w:val="240"/>
        </w:trPr>
        <w:tc>
          <w:tcPr>
            <w:tcW w:w="3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4C987" w14:textId="77777777" w:rsidR="00962AB5" w:rsidRPr="0073250F" w:rsidRDefault="00962AB5" w:rsidP="00656BED">
            <w:pPr>
              <w:spacing w:after="0" w:line="240" w:lineRule="auto"/>
              <w:rPr>
                <w:rFonts w:ascii="Calibri" w:eastAsia="Times New Roman" w:hAnsi="Calibri" w:cs="Calibri"/>
                <w:sz w:val="16"/>
                <w:szCs w:val="16"/>
                <w:lang w:eastAsia="en-AU"/>
              </w:rPr>
            </w:pPr>
            <w:r w:rsidRPr="0073250F">
              <w:rPr>
                <w:rFonts w:ascii="Calibri" w:eastAsia="Times New Roman" w:hAnsi="Calibri" w:cs="Calibri"/>
                <w:sz w:val="16"/>
                <w:szCs w:val="16"/>
                <w:lang w:eastAsia="en-AU"/>
              </w:rPr>
              <w:t>Prostheses Benefits paid with GM paid</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42EA3" w14:textId="77777777" w:rsidR="00962AB5" w:rsidRPr="0073250F" w:rsidRDefault="00962AB5" w:rsidP="00656BED">
            <w:pPr>
              <w:spacing w:after="0" w:line="240" w:lineRule="auto"/>
              <w:jc w:val="right"/>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186</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E00F3" w14:textId="77777777" w:rsidR="00962AB5" w:rsidRPr="0073250F" w:rsidRDefault="00962AB5" w:rsidP="00656BED">
            <w:pPr>
              <w:spacing w:after="0" w:line="240" w:lineRule="auto"/>
              <w:jc w:val="right"/>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241</w:t>
            </w:r>
          </w:p>
        </w:tc>
        <w:tc>
          <w:tcPr>
            <w:tcW w:w="1676" w:type="dxa"/>
            <w:tcBorders>
              <w:left w:val="single" w:sz="4" w:space="0" w:color="auto"/>
            </w:tcBorders>
            <w:shd w:val="clear" w:color="auto" w:fill="auto"/>
            <w:noWrap/>
            <w:vAlign w:val="bottom"/>
            <w:hideMark/>
          </w:tcPr>
          <w:p w14:paraId="38B74D09" w14:textId="77777777" w:rsidR="00962AB5" w:rsidRPr="0073250F" w:rsidRDefault="00962AB5" w:rsidP="00656BED">
            <w:pPr>
              <w:spacing w:after="0" w:line="240" w:lineRule="auto"/>
              <w:jc w:val="right"/>
              <w:rPr>
                <w:rFonts w:ascii="Calibri" w:eastAsia="Times New Roman" w:hAnsi="Calibri" w:cs="Calibri"/>
                <w:b/>
                <w:bCs/>
                <w:sz w:val="16"/>
                <w:szCs w:val="16"/>
                <w:lang w:eastAsia="en-AU"/>
              </w:rPr>
            </w:pPr>
          </w:p>
        </w:tc>
        <w:tc>
          <w:tcPr>
            <w:tcW w:w="7587" w:type="dxa"/>
            <w:gridSpan w:val="6"/>
            <w:shd w:val="clear" w:color="auto" w:fill="auto"/>
            <w:noWrap/>
            <w:vAlign w:val="bottom"/>
            <w:hideMark/>
          </w:tcPr>
          <w:p w14:paraId="36B187C6" w14:textId="35402E9C" w:rsidR="00962AB5" w:rsidRPr="0073250F" w:rsidRDefault="00962AB5" w:rsidP="00FF3BC7">
            <w:pPr>
              <w:spacing w:after="0" w:line="240" w:lineRule="auto"/>
              <w:rPr>
                <w:rFonts w:eastAsia="Times New Roman"/>
                <w:color w:val="000099"/>
                <w:sz w:val="20"/>
                <w:szCs w:val="20"/>
                <w:lang w:eastAsia="en-AU"/>
              </w:rPr>
            </w:pPr>
            <w:r w:rsidRPr="0073250F">
              <w:rPr>
                <w:rFonts w:ascii="Calibri" w:eastAsia="Times New Roman" w:hAnsi="Calibri" w:cs="Calibri"/>
                <w:color w:val="000099"/>
                <w:sz w:val="16"/>
                <w:szCs w:val="16"/>
                <w:lang w:eastAsia="en-AU"/>
              </w:rPr>
              <w:t xml:space="preserve">(3) Completeness of source data (Hospital </w:t>
            </w:r>
            <w:proofErr w:type="spellStart"/>
            <w:r w:rsidRPr="0073250F">
              <w:rPr>
                <w:rFonts w:ascii="Calibri" w:eastAsia="Times New Roman" w:hAnsi="Calibri" w:cs="Calibri"/>
                <w:color w:val="000099"/>
                <w:sz w:val="16"/>
                <w:szCs w:val="16"/>
                <w:lang w:eastAsia="en-AU"/>
              </w:rPr>
              <w:t>Casemix</w:t>
            </w:r>
            <w:proofErr w:type="spellEnd"/>
            <w:r w:rsidRPr="0073250F">
              <w:rPr>
                <w:rFonts w:ascii="Calibri" w:eastAsia="Times New Roman" w:hAnsi="Calibri" w:cs="Calibri"/>
                <w:color w:val="000099"/>
                <w:sz w:val="16"/>
                <w:szCs w:val="16"/>
                <w:lang w:eastAsia="en-AU"/>
              </w:rPr>
              <w:t xml:space="preserve"> Protocol 1 (HCP1)) is estimated by comparing statistics with those published by the Australian Prudential Regulation Authority (APRA). </w:t>
            </w:r>
            <w:r w:rsidRPr="0073250F">
              <w:rPr>
                <w:rFonts w:ascii="Calibri" w:eastAsia="Times New Roman" w:hAnsi="Calibri" w:cs="Calibri"/>
                <w:color w:val="000099"/>
                <w:sz w:val="16"/>
                <w:szCs w:val="16"/>
                <w:lang w:eastAsia="en-AU"/>
              </w:rPr>
              <w:br/>
              <w:t>For Private Day and Overnight hospitals combined, completeness was estimated at 97% for episode records and 95% for prosthesis records.</w:t>
            </w:r>
          </w:p>
        </w:tc>
      </w:tr>
      <w:tr w:rsidR="00962AB5" w:rsidRPr="0073250F" w14:paraId="5C337847" w14:textId="77777777" w:rsidTr="00655696">
        <w:trPr>
          <w:trHeight w:val="255"/>
        </w:trPr>
        <w:tc>
          <w:tcPr>
            <w:tcW w:w="3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E9CE5" w14:textId="77777777" w:rsidR="00962AB5" w:rsidRPr="0073250F" w:rsidRDefault="00962AB5" w:rsidP="00656BED">
            <w:pPr>
              <w:spacing w:after="0" w:line="240" w:lineRule="auto"/>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 xml:space="preserve">TOTAL </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5BFCE" w14:textId="77777777" w:rsidR="00962AB5" w:rsidRPr="0073250F" w:rsidRDefault="00962AB5" w:rsidP="00656BED">
            <w:pPr>
              <w:spacing w:after="0" w:line="240" w:lineRule="auto"/>
              <w:jc w:val="right"/>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325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C07AC" w14:textId="77777777" w:rsidR="00962AB5" w:rsidRPr="0073250F" w:rsidRDefault="00962AB5" w:rsidP="00656BED">
            <w:pPr>
              <w:spacing w:after="0" w:line="240" w:lineRule="auto"/>
              <w:jc w:val="right"/>
              <w:rPr>
                <w:rFonts w:ascii="Calibri" w:eastAsia="Times New Roman" w:hAnsi="Calibri" w:cs="Calibri"/>
                <w:b/>
                <w:bCs/>
                <w:sz w:val="16"/>
                <w:szCs w:val="16"/>
                <w:lang w:eastAsia="en-AU"/>
              </w:rPr>
            </w:pPr>
            <w:r w:rsidRPr="0073250F">
              <w:rPr>
                <w:rFonts w:ascii="Calibri" w:eastAsia="Times New Roman" w:hAnsi="Calibri" w:cs="Calibri"/>
                <w:b/>
                <w:bCs/>
                <w:sz w:val="16"/>
                <w:szCs w:val="16"/>
                <w:lang w:eastAsia="en-AU"/>
              </w:rPr>
              <w:t>298</w:t>
            </w:r>
          </w:p>
        </w:tc>
        <w:tc>
          <w:tcPr>
            <w:tcW w:w="1676" w:type="dxa"/>
            <w:tcBorders>
              <w:left w:val="single" w:sz="4" w:space="0" w:color="auto"/>
            </w:tcBorders>
            <w:shd w:val="clear" w:color="auto" w:fill="auto"/>
            <w:noWrap/>
            <w:vAlign w:val="bottom"/>
            <w:hideMark/>
          </w:tcPr>
          <w:p w14:paraId="52BF100C" w14:textId="77777777" w:rsidR="00962AB5" w:rsidRPr="0073250F" w:rsidRDefault="00962AB5" w:rsidP="00656BED">
            <w:pPr>
              <w:spacing w:after="0" w:line="240" w:lineRule="auto"/>
              <w:jc w:val="right"/>
              <w:rPr>
                <w:rFonts w:ascii="Calibri" w:eastAsia="Times New Roman" w:hAnsi="Calibri" w:cs="Calibri"/>
                <w:b/>
                <w:bCs/>
                <w:sz w:val="16"/>
                <w:szCs w:val="16"/>
                <w:lang w:eastAsia="en-AU"/>
              </w:rPr>
            </w:pPr>
          </w:p>
        </w:tc>
        <w:tc>
          <w:tcPr>
            <w:tcW w:w="7587" w:type="dxa"/>
            <w:gridSpan w:val="6"/>
            <w:shd w:val="clear" w:color="auto" w:fill="auto"/>
            <w:noWrap/>
            <w:vAlign w:val="bottom"/>
            <w:hideMark/>
          </w:tcPr>
          <w:p w14:paraId="384F7B21" w14:textId="74263858" w:rsidR="00962AB5" w:rsidRPr="0073250F" w:rsidRDefault="00962AB5" w:rsidP="00FF3BC7">
            <w:pPr>
              <w:spacing w:after="0" w:line="240" w:lineRule="auto"/>
              <w:rPr>
                <w:rFonts w:eastAsia="Times New Roman"/>
                <w:color w:val="000099"/>
                <w:sz w:val="20"/>
                <w:szCs w:val="20"/>
                <w:lang w:eastAsia="en-AU"/>
              </w:rPr>
            </w:pPr>
            <w:r w:rsidRPr="0073250F">
              <w:rPr>
                <w:rFonts w:ascii="Calibri" w:eastAsia="Times New Roman" w:hAnsi="Calibri" w:cs="Calibri"/>
                <w:color w:val="000099"/>
                <w:sz w:val="16"/>
                <w:szCs w:val="16"/>
                <w:lang w:eastAsia="en-AU"/>
              </w:rPr>
              <w:t>(4) Rounding has been applied.</w:t>
            </w:r>
          </w:p>
        </w:tc>
      </w:tr>
      <w:tr w:rsidR="001B1D2C" w:rsidRPr="00912CB8" w14:paraId="7756C333" w14:textId="77777777" w:rsidTr="00655696">
        <w:trPr>
          <w:trHeight w:val="165"/>
        </w:trPr>
        <w:tc>
          <w:tcPr>
            <w:tcW w:w="3602" w:type="dxa"/>
            <w:tcBorders>
              <w:top w:val="single" w:sz="4" w:space="0" w:color="auto"/>
            </w:tcBorders>
            <w:shd w:val="clear" w:color="auto" w:fill="auto"/>
            <w:noWrap/>
            <w:vAlign w:val="bottom"/>
            <w:hideMark/>
          </w:tcPr>
          <w:p w14:paraId="3D9A2D16" w14:textId="77777777" w:rsidR="00656BED" w:rsidRPr="00912CB8" w:rsidRDefault="00656BED" w:rsidP="00656BED">
            <w:pPr>
              <w:spacing w:after="0" w:line="240" w:lineRule="auto"/>
              <w:rPr>
                <w:rFonts w:eastAsia="Times New Roman"/>
                <w:sz w:val="2"/>
                <w:szCs w:val="2"/>
                <w:lang w:eastAsia="en-AU"/>
              </w:rPr>
            </w:pPr>
          </w:p>
        </w:tc>
        <w:tc>
          <w:tcPr>
            <w:tcW w:w="1288" w:type="dxa"/>
            <w:tcBorders>
              <w:top w:val="single" w:sz="4" w:space="0" w:color="auto"/>
            </w:tcBorders>
            <w:shd w:val="clear" w:color="auto" w:fill="auto"/>
            <w:noWrap/>
            <w:vAlign w:val="bottom"/>
            <w:hideMark/>
          </w:tcPr>
          <w:p w14:paraId="5EC0710B" w14:textId="77777777" w:rsidR="00656BED" w:rsidRPr="00912CB8" w:rsidRDefault="00656BED" w:rsidP="00656BED">
            <w:pPr>
              <w:spacing w:after="0" w:line="240" w:lineRule="auto"/>
              <w:rPr>
                <w:rFonts w:eastAsia="Times New Roman"/>
                <w:sz w:val="2"/>
                <w:szCs w:val="2"/>
                <w:lang w:eastAsia="en-AU"/>
              </w:rPr>
            </w:pPr>
          </w:p>
        </w:tc>
        <w:tc>
          <w:tcPr>
            <w:tcW w:w="1125" w:type="dxa"/>
            <w:tcBorders>
              <w:top w:val="single" w:sz="4" w:space="0" w:color="auto"/>
            </w:tcBorders>
            <w:shd w:val="clear" w:color="auto" w:fill="auto"/>
            <w:noWrap/>
            <w:vAlign w:val="bottom"/>
            <w:hideMark/>
          </w:tcPr>
          <w:p w14:paraId="17BD9AD9" w14:textId="77777777" w:rsidR="00656BED" w:rsidRPr="00912CB8" w:rsidRDefault="00656BED" w:rsidP="00656BED">
            <w:pPr>
              <w:spacing w:after="0" w:line="240" w:lineRule="auto"/>
              <w:rPr>
                <w:rFonts w:eastAsia="Times New Roman"/>
                <w:sz w:val="2"/>
                <w:szCs w:val="2"/>
                <w:lang w:eastAsia="en-AU"/>
              </w:rPr>
            </w:pPr>
          </w:p>
        </w:tc>
        <w:tc>
          <w:tcPr>
            <w:tcW w:w="1676" w:type="dxa"/>
            <w:shd w:val="clear" w:color="auto" w:fill="auto"/>
            <w:noWrap/>
            <w:vAlign w:val="bottom"/>
            <w:hideMark/>
          </w:tcPr>
          <w:p w14:paraId="5FEA473A" w14:textId="77777777" w:rsidR="00656BED" w:rsidRPr="00912CB8" w:rsidRDefault="00656BED" w:rsidP="00656BED">
            <w:pPr>
              <w:spacing w:after="0" w:line="240" w:lineRule="auto"/>
              <w:rPr>
                <w:rFonts w:eastAsia="Times New Roman"/>
                <w:sz w:val="2"/>
                <w:szCs w:val="2"/>
                <w:lang w:eastAsia="en-AU"/>
              </w:rPr>
            </w:pPr>
          </w:p>
        </w:tc>
        <w:tc>
          <w:tcPr>
            <w:tcW w:w="1240" w:type="dxa"/>
            <w:shd w:val="clear" w:color="auto" w:fill="auto"/>
            <w:noWrap/>
            <w:vAlign w:val="bottom"/>
            <w:hideMark/>
          </w:tcPr>
          <w:p w14:paraId="39BB7874" w14:textId="77777777" w:rsidR="00656BED" w:rsidRPr="00912CB8" w:rsidRDefault="00656BED" w:rsidP="00656BED">
            <w:pPr>
              <w:spacing w:after="0" w:line="240" w:lineRule="auto"/>
              <w:rPr>
                <w:rFonts w:eastAsia="Times New Roman"/>
                <w:sz w:val="2"/>
                <w:szCs w:val="2"/>
                <w:lang w:eastAsia="en-AU"/>
              </w:rPr>
            </w:pPr>
          </w:p>
        </w:tc>
        <w:tc>
          <w:tcPr>
            <w:tcW w:w="1134" w:type="dxa"/>
            <w:shd w:val="clear" w:color="auto" w:fill="auto"/>
            <w:noWrap/>
            <w:vAlign w:val="bottom"/>
            <w:hideMark/>
          </w:tcPr>
          <w:p w14:paraId="6808C1B2" w14:textId="77777777" w:rsidR="00656BED" w:rsidRPr="00912CB8" w:rsidRDefault="00656BED" w:rsidP="00656BED">
            <w:pPr>
              <w:spacing w:after="0" w:line="240" w:lineRule="auto"/>
              <w:rPr>
                <w:rFonts w:eastAsia="Times New Roman"/>
                <w:sz w:val="2"/>
                <w:szCs w:val="2"/>
                <w:lang w:eastAsia="en-AU"/>
              </w:rPr>
            </w:pPr>
          </w:p>
        </w:tc>
        <w:tc>
          <w:tcPr>
            <w:tcW w:w="1417" w:type="dxa"/>
            <w:shd w:val="clear" w:color="auto" w:fill="auto"/>
            <w:noWrap/>
            <w:vAlign w:val="bottom"/>
            <w:hideMark/>
          </w:tcPr>
          <w:p w14:paraId="32FBB569" w14:textId="77777777" w:rsidR="00656BED" w:rsidRPr="00912CB8" w:rsidRDefault="00656BED" w:rsidP="00656BED">
            <w:pPr>
              <w:spacing w:after="0" w:line="240" w:lineRule="auto"/>
              <w:rPr>
                <w:rFonts w:eastAsia="Times New Roman"/>
                <w:sz w:val="2"/>
                <w:szCs w:val="2"/>
                <w:lang w:eastAsia="en-AU"/>
              </w:rPr>
            </w:pPr>
          </w:p>
        </w:tc>
        <w:tc>
          <w:tcPr>
            <w:tcW w:w="1134" w:type="dxa"/>
            <w:shd w:val="clear" w:color="auto" w:fill="auto"/>
            <w:noWrap/>
            <w:vAlign w:val="bottom"/>
            <w:hideMark/>
          </w:tcPr>
          <w:p w14:paraId="7D6B5E9F" w14:textId="77777777" w:rsidR="00656BED" w:rsidRPr="00912CB8" w:rsidRDefault="00656BED" w:rsidP="00656BED">
            <w:pPr>
              <w:spacing w:after="0" w:line="240" w:lineRule="auto"/>
              <w:rPr>
                <w:rFonts w:eastAsia="Times New Roman"/>
                <w:sz w:val="2"/>
                <w:szCs w:val="2"/>
                <w:lang w:eastAsia="en-AU"/>
              </w:rPr>
            </w:pPr>
          </w:p>
        </w:tc>
        <w:tc>
          <w:tcPr>
            <w:tcW w:w="1134" w:type="dxa"/>
            <w:shd w:val="clear" w:color="auto" w:fill="auto"/>
            <w:noWrap/>
            <w:vAlign w:val="bottom"/>
            <w:hideMark/>
          </w:tcPr>
          <w:p w14:paraId="1B1A0608" w14:textId="77777777" w:rsidR="00656BED" w:rsidRPr="00912CB8" w:rsidRDefault="00656BED" w:rsidP="00656BED">
            <w:pPr>
              <w:spacing w:after="0" w:line="240" w:lineRule="auto"/>
              <w:rPr>
                <w:rFonts w:eastAsia="Times New Roman"/>
                <w:sz w:val="2"/>
                <w:szCs w:val="2"/>
                <w:lang w:eastAsia="en-AU"/>
              </w:rPr>
            </w:pPr>
          </w:p>
        </w:tc>
        <w:tc>
          <w:tcPr>
            <w:tcW w:w="1528" w:type="dxa"/>
            <w:shd w:val="clear" w:color="auto" w:fill="auto"/>
            <w:noWrap/>
            <w:vAlign w:val="bottom"/>
            <w:hideMark/>
          </w:tcPr>
          <w:p w14:paraId="50661595" w14:textId="77777777" w:rsidR="00656BED" w:rsidRPr="00912CB8" w:rsidRDefault="00656BED" w:rsidP="00656BED">
            <w:pPr>
              <w:spacing w:after="0" w:line="240" w:lineRule="auto"/>
              <w:rPr>
                <w:rFonts w:eastAsia="Times New Roman"/>
                <w:sz w:val="2"/>
                <w:szCs w:val="2"/>
                <w:lang w:eastAsia="en-AU"/>
              </w:rPr>
            </w:pPr>
          </w:p>
        </w:tc>
      </w:tr>
    </w:tbl>
    <w:p w14:paraId="6C1A8718" w14:textId="77777777" w:rsidR="006A53C2" w:rsidRPr="00912CB8" w:rsidRDefault="006A53C2" w:rsidP="00912CB8">
      <w:pPr>
        <w:rPr>
          <w:sz w:val="8"/>
          <w:szCs w:val="8"/>
        </w:rPr>
      </w:pPr>
    </w:p>
    <w:sectPr w:rsidR="006A53C2" w:rsidRPr="00912CB8" w:rsidSect="00656BED">
      <w:pgSz w:w="16838" w:h="11906" w:orient="landscape"/>
      <w:pgMar w:top="426" w:right="70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66F40"/>
    <w:multiLevelType w:val="hybridMultilevel"/>
    <w:tmpl w:val="70223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F4C"/>
    <w:rsid w:val="000D049A"/>
    <w:rsid w:val="000D6F54"/>
    <w:rsid w:val="000E771D"/>
    <w:rsid w:val="0010071F"/>
    <w:rsid w:val="00182673"/>
    <w:rsid w:val="001B1D2C"/>
    <w:rsid w:val="00206697"/>
    <w:rsid w:val="00223482"/>
    <w:rsid w:val="00280050"/>
    <w:rsid w:val="0035475D"/>
    <w:rsid w:val="003D1F4C"/>
    <w:rsid w:val="0045379C"/>
    <w:rsid w:val="004803EE"/>
    <w:rsid w:val="00512C22"/>
    <w:rsid w:val="00525F72"/>
    <w:rsid w:val="006376EB"/>
    <w:rsid w:val="00655696"/>
    <w:rsid w:val="00656BED"/>
    <w:rsid w:val="006A53C2"/>
    <w:rsid w:val="0073250F"/>
    <w:rsid w:val="007339B9"/>
    <w:rsid w:val="0079627B"/>
    <w:rsid w:val="007A67F4"/>
    <w:rsid w:val="007D1D7E"/>
    <w:rsid w:val="00805B26"/>
    <w:rsid w:val="008C2FDB"/>
    <w:rsid w:val="00912CB8"/>
    <w:rsid w:val="0092737A"/>
    <w:rsid w:val="00946B10"/>
    <w:rsid w:val="00962AB5"/>
    <w:rsid w:val="009D713F"/>
    <w:rsid w:val="009E1B51"/>
    <w:rsid w:val="009F6DB1"/>
    <w:rsid w:val="00A87268"/>
    <w:rsid w:val="00AC56F9"/>
    <w:rsid w:val="00B17746"/>
    <w:rsid w:val="00B412BC"/>
    <w:rsid w:val="00BA20E3"/>
    <w:rsid w:val="00BA20E9"/>
    <w:rsid w:val="00C802F3"/>
    <w:rsid w:val="00D46DF1"/>
    <w:rsid w:val="00D64239"/>
    <w:rsid w:val="00D733B5"/>
    <w:rsid w:val="00D85E84"/>
    <w:rsid w:val="00D9647F"/>
    <w:rsid w:val="00DA5330"/>
    <w:rsid w:val="00DC5683"/>
    <w:rsid w:val="00E56750"/>
    <w:rsid w:val="00E60CC1"/>
    <w:rsid w:val="00E66BD4"/>
    <w:rsid w:val="00EF45CB"/>
    <w:rsid w:val="00F14D6C"/>
    <w:rsid w:val="00FE664A"/>
    <w:rsid w:val="00FF3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AF96"/>
  <w15:chartTrackingRefBased/>
  <w15:docId w15:val="{32056CFB-2793-41EB-BB89-F0B788B7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737A"/>
    <w:rPr>
      <w:sz w:val="16"/>
      <w:szCs w:val="16"/>
    </w:rPr>
  </w:style>
  <w:style w:type="paragraph" w:styleId="CommentText">
    <w:name w:val="annotation text"/>
    <w:basedOn w:val="Normal"/>
    <w:link w:val="CommentTextChar"/>
    <w:uiPriority w:val="99"/>
    <w:semiHidden/>
    <w:unhideWhenUsed/>
    <w:rsid w:val="0092737A"/>
    <w:pPr>
      <w:spacing w:line="240" w:lineRule="auto"/>
    </w:pPr>
    <w:rPr>
      <w:sz w:val="20"/>
      <w:szCs w:val="20"/>
    </w:rPr>
  </w:style>
  <w:style w:type="character" w:customStyle="1" w:styleId="CommentTextChar">
    <w:name w:val="Comment Text Char"/>
    <w:basedOn w:val="DefaultParagraphFont"/>
    <w:link w:val="CommentText"/>
    <w:uiPriority w:val="99"/>
    <w:semiHidden/>
    <w:rsid w:val="0092737A"/>
    <w:rPr>
      <w:sz w:val="20"/>
      <w:szCs w:val="20"/>
    </w:rPr>
  </w:style>
  <w:style w:type="paragraph" w:styleId="CommentSubject">
    <w:name w:val="annotation subject"/>
    <w:basedOn w:val="CommentText"/>
    <w:next w:val="CommentText"/>
    <w:link w:val="CommentSubjectChar"/>
    <w:uiPriority w:val="99"/>
    <w:semiHidden/>
    <w:unhideWhenUsed/>
    <w:rsid w:val="0092737A"/>
    <w:rPr>
      <w:b/>
      <w:bCs/>
    </w:rPr>
  </w:style>
  <w:style w:type="character" w:customStyle="1" w:styleId="CommentSubjectChar">
    <w:name w:val="Comment Subject Char"/>
    <w:basedOn w:val="CommentTextChar"/>
    <w:link w:val="CommentSubject"/>
    <w:uiPriority w:val="99"/>
    <w:semiHidden/>
    <w:rsid w:val="0092737A"/>
    <w:rPr>
      <w:b/>
      <w:bCs/>
      <w:sz w:val="20"/>
      <w:szCs w:val="20"/>
    </w:rPr>
  </w:style>
  <w:style w:type="paragraph" w:styleId="BalloonText">
    <w:name w:val="Balloon Text"/>
    <w:basedOn w:val="Normal"/>
    <w:link w:val="BalloonTextChar"/>
    <w:uiPriority w:val="99"/>
    <w:semiHidden/>
    <w:unhideWhenUsed/>
    <w:rsid w:val="00927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37A"/>
    <w:rPr>
      <w:rFonts w:ascii="Segoe UI" w:hAnsi="Segoe UI" w:cs="Segoe UI"/>
      <w:sz w:val="18"/>
      <w:szCs w:val="18"/>
    </w:rPr>
  </w:style>
  <w:style w:type="paragraph" w:styleId="ListParagraph">
    <w:name w:val="List Paragraph"/>
    <w:basedOn w:val="Normal"/>
    <w:uiPriority w:val="34"/>
    <w:qFormat/>
    <w:rsid w:val="0073250F"/>
    <w:pPr>
      <w:ind w:left="720"/>
      <w:contextualSpacing/>
    </w:pPr>
  </w:style>
  <w:style w:type="paragraph" w:customStyle="1" w:styleId="Default">
    <w:name w:val="Default"/>
    <w:rsid w:val="009E1B51"/>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43892">
      <w:bodyDiv w:val="1"/>
      <w:marLeft w:val="0"/>
      <w:marRight w:val="0"/>
      <w:marTop w:val="0"/>
      <w:marBottom w:val="0"/>
      <w:divBdr>
        <w:top w:val="none" w:sz="0" w:space="0" w:color="auto"/>
        <w:left w:val="none" w:sz="0" w:space="0" w:color="auto"/>
        <w:bottom w:val="none" w:sz="0" w:space="0" w:color="auto"/>
        <w:right w:val="none" w:sz="0" w:space="0" w:color="auto"/>
      </w:divBdr>
    </w:div>
    <w:div w:id="249824044">
      <w:bodyDiv w:val="1"/>
      <w:marLeft w:val="0"/>
      <w:marRight w:val="0"/>
      <w:marTop w:val="0"/>
      <w:marBottom w:val="0"/>
      <w:divBdr>
        <w:top w:val="none" w:sz="0" w:space="0" w:color="auto"/>
        <w:left w:val="none" w:sz="0" w:space="0" w:color="auto"/>
        <w:bottom w:val="none" w:sz="0" w:space="0" w:color="auto"/>
        <w:right w:val="none" w:sz="0" w:space="0" w:color="auto"/>
      </w:divBdr>
    </w:div>
    <w:div w:id="539243207">
      <w:bodyDiv w:val="1"/>
      <w:marLeft w:val="0"/>
      <w:marRight w:val="0"/>
      <w:marTop w:val="0"/>
      <w:marBottom w:val="0"/>
      <w:divBdr>
        <w:top w:val="none" w:sz="0" w:space="0" w:color="auto"/>
        <w:left w:val="none" w:sz="0" w:space="0" w:color="auto"/>
        <w:bottom w:val="none" w:sz="0" w:space="0" w:color="auto"/>
        <w:right w:val="none" w:sz="0" w:space="0" w:color="auto"/>
      </w:divBdr>
    </w:div>
    <w:div w:id="1327634498">
      <w:bodyDiv w:val="1"/>
      <w:marLeft w:val="0"/>
      <w:marRight w:val="0"/>
      <w:marTop w:val="0"/>
      <w:marBottom w:val="0"/>
      <w:divBdr>
        <w:top w:val="none" w:sz="0" w:space="0" w:color="auto"/>
        <w:left w:val="none" w:sz="0" w:space="0" w:color="auto"/>
        <w:bottom w:val="none" w:sz="0" w:space="0" w:color="auto"/>
        <w:right w:val="none" w:sz="0" w:space="0" w:color="auto"/>
      </w:divBdr>
    </w:div>
    <w:div w:id="1351876992">
      <w:bodyDiv w:val="1"/>
      <w:marLeft w:val="0"/>
      <w:marRight w:val="0"/>
      <w:marTop w:val="0"/>
      <w:marBottom w:val="0"/>
      <w:divBdr>
        <w:top w:val="none" w:sz="0" w:space="0" w:color="auto"/>
        <w:left w:val="none" w:sz="0" w:space="0" w:color="auto"/>
        <w:bottom w:val="none" w:sz="0" w:space="0" w:color="auto"/>
        <w:right w:val="none" w:sz="0" w:space="0" w:color="auto"/>
      </w:divBdr>
    </w:div>
    <w:div w:id="16423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874</Words>
  <Characters>4984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KEANEY, Megan</dc:creator>
  <cp:keywords/>
  <dc:description/>
  <cp:lastModifiedBy>ROSE, Kate</cp:lastModifiedBy>
  <cp:revision>2</cp:revision>
  <dcterms:created xsi:type="dcterms:W3CDTF">2021-07-22T03:59:00Z</dcterms:created>
  <dcterms:modified xsi:type="dcterms:W3CDTF">2021-07-22T03:59:00Z</dcterms:modified>
</cp:coreProperties>
</file>