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0BDC3A" w14:textId="77777777" w:rsidR="004B5BB2" w:rsidRPr="00F67686" w:rsidRDefault="004B5BB2" w:rsidP="004B5BB2">
      <w:pPr>
        <w:jc w:val="center"/>
        <w:rPr>
          <w:rFonts w:eastAsia="Times New Roman" w:cstheme="minorHAnsi"/>
          <w:u w:val="single"/>
          <w:lang w:eastAsia="en-AU"/>
        </w:rPr>
      </w:pPr>
      <w:bookmarkStart w:id="0" w:name="imageHolder"/>
      <w:bookmarkEnd w:id="0"/>
      <w:r w:rsidRPr="00F67686">
        <w:rPr>
          <w:rFonts w:cstheme="minorHAnsi"/>
          <w:noProof/>
        </w:rPr>
        <w:drawing>
          <wp:inline distT="0" distB="0" distL="0" distR="0" wp14:anchorId="5F92E356" wp14:editId="21283C67">
            <wp:extent cx="1688400" cy="1119600"/>
            <wp:effectExtent l="0" t="0" r="7620" b="4445"/>
            <wp:docPr id="2" name="Picture 2" descr="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 of Health Crest"/>
                    <pic:cNvPicPr/>
                  </pic:nvPicPr>
                  <pic:blipFill>
                    <a:blip r:embed="rId11"/>
                    <a:stretch>
                      <a:fillRect/>
                    </a:stretch>
                  </pic:blipFill>
                  <pic:spPr>
                    <a:xfrm>
                      <a:off x="0" y="0"/>
                      <a:ext cx="1688400" cy="1119600"/>
                    </a:xfrm>
                    <a:prstGeom prst="rect">
                      <a:avLst/>
                    </a:prstGeom>
                  </pic:spPr>
                </pic:pic>
              </a:graphicData>
            </a:graphic>
          </wp:inline>
        </w:drawing>
      </w:r>
    </w:p>
    <w:p w14:paraId="43F8A8CD" w14:textId="77777777" w:rsidR="004B5BB2" w:rsidRPr="00F67686" w:rsidRDefault="004B5BB2" w:rsidP="004B5BB2">
      <w:pPr>
        <w:jc w:val="center"/>
        <w:rPr>
          <w:rFonts w:eastAsia="Times New Roman" w:cstheme="minorHAnsi"/>
          <w:lang w:eastAsia="en-AU"/>
        </w:rPr>
      </w:pPr>
    </w:p>
    <w:p w14:paraId="2EC0847E" w14:textId="7E16E3D2" w:rsidR="004B5BB2" w:rsidRDefault="004B5BB2" w:rsidP="004B5BB2">
      <w:pPr>
        <w:jc w:val="center"/>
        <w:rPr>
          <w:rFonts w:eastAsia="Times New Roman" w:cstheme="minorHAnsi"/>
          <w:b/>
          <w:bCs/>
          <w:sz w:val="44"/>
          <w:szCs w:val="44"/>
          <w:lang w:eastAsia="en-AU"/>
        </w:rPr>
      </w:pPr>
      <w:r w:rsidRPr="00F67686">
        <w:rPr>
          <w:rFonts w:eastAsia="Times New Roman" w:cstheme="minorHAnsi"/>
          <w:b/>
          <w:bCs/>
          <w:sz w:val="44"/>
          <w:szCs w:val="44"/>
          <w:lang w:eastAsia="en-AU"/>
        </w:rPr>
        <w:t xml:space="preserve">Life Saving Drugs Program (LSDP) </w:t>
      </w:r>
    </w:p>
    <w:p w14:paraId="4F2EF184" w14:textId="77777777" w:rsidR="00F67686" w:rsidRPr="00F67686" w:rsidRDefault="00F67686" w:rsidP="004B5BB2">
      <w:pPr>
        <w:jc w:val="center"/>
        <w:rPr>
          <w:rFonts w:eastAsia="Times New Roman" w:cstheme="minorHAnsi"/>
          <w:b/>
          <w:bCs/>
          <w:sz w:val="44"/>
          <w:szCs w:val="44"/>
          <w:lang w:eastAsia="en-AU"/>
        </w:rPr>
      </w:pPr>
    </w:p>
    <w:p w14:paraId="6A92C63B" w14:textId="79A3CD0B" w:rsidR="004B5BB2" w:rsidRDefault="004B5BB2" w:rsidP="004B5BB2">
      <w:pPr>
        <w:jc w:val="center"/>
        <w:rPr>
          <w:rFonts w:eastAsia="Times New Roman" w:cstheme="minorHAnsi"/>
          <w:b/>
          <w:bCs/>
          <w:sz w:val="44"/>
          <w:szCs w:val="44"/>
          <w:lang w:eastAsia="en-AU"/>
        </w:rPr>
      </w:pPr>
      <w:r w:rsidRPr="00F67686">
        <w:rPr>
          <w:rFonts w:eastAsia="Times New Roman" w:cstheme="minorHAnsi"/>
          <w:b/>
          <w:bCs/>
          <w:sz w:val="44"/>
          <w:szCs w:val="44"/>
          <w:lang w:eastAsia="en-AU"/>
        </w:rPr>
        <w:t>24 Month Review</w:t>
      </w:r>
      <w:r w:rsidR="00F67686" w:rsidRPr="00F67686">
        <w:rPr>
          <w:rFonts w:eastAsia="Times New Roman" w:cstheme="minorHAnsi"/>
          <w:b/>
          <w:bCs/>
          <w:sz w:val="44"/>
          <w:szCs w:val="44"/>
          <w:lang w:eastAsia="en-AU"/>
        </w:rPr>
        <w:t xml:space="preserve"> Terms of Reference and Protocol Questions</w:t>
      </w:r>
      <w:r w:rsidRPr="00F67686">
        <w:rPr>
          <w:rFonts w:eastAsia="Times New Roman" w:cstheme="minorHAnsi"/>
          <w:b/>
          <w:bCs/>
          <w:sz w:val="44"/>
          <w:szCs w:val="44"/>
          <w:lang w:eastAsia="en-AU"/>
        </w:rPr>
        <w:t>:</w:t>
      </w:r>
    </w:p>
    <w:p w14:paraId="1BFE1922" w14:textId="77777777" w:rsidR="00F67686" w:rsidRPr="00F67686" w:rsidRDefault="00F67686" w:rsidP="004B5BB2">
      <w:pPr>
        <w:jc w:val="center"/>
        <w:rPr>
          <w:rFonts w:eastAsia="Times New Roman" w:cstheme="minorHAnsi"/>
          <w:b/>
          <w:bCs/>
          <w:sz w:val="44"/>
          <w:szCs w:val="44"/>
          <w:lang w:eastAsia="en-AU"/>
        </w:rPr>
      </w:pPr>
    </w:p>
    <w:p w14:paraId="2F7D4829" w14:textId="77777777" w:rsidR="004B5BB2" w:rsidRPr="00F67686" w:rsidRDefault="004B5BB2" w:rsidP="004B5BB2">
      <w:pPr>
        <w:jc w:val="center"/>
        <w:rPr>
          <w:rFonts w:eastAsia="Times New Roman" w:cstheme="minorHAnsi"/>
          <w:sz w:val="44"/>
          <w:szCs w:val="44"/>
          <w:u w:val="single"/>
          <w:lang w:eastAsia="en-AU"/>
        </w:rPr>
      </w:pPr>
      <w:proofErr w:type="spellStart"/>
      <w:r w:rsidRPr="00F67686">
        <w:rPr>
          <w:rFonts w:eastAsia="Times New Roman" w:cstheme="minorHAnsi"/>
          <w:sz w:val="44"/>
          <w:szCs w:val="44"/>
          <w:u w:val="single"/>
          <w:lang w:eastAsia="en-AU"/>
        </w:rPr>
        <w:t>Galafold</w:t>
      </w:r>
      <w:proofErr w:type="spellEnd"/>
      <w:r w:rsidRPr="00F67686">
        <w:rPr>
          <w:rFonts w:eastAsia="Times New Roman" w:cstheme="minorHAnsi"/>
          <w:sz w:val="44"/>
          <w:szCs w:val="44"/>
          <w:u w:val="single"/>
          <w:lang w:eastAsia="en-AU"/>
        </w:rPr>
        <w:t xml:space="preserve">® (migalastat) for the treatment of </w:t>
      </w:r>
    </w:p>
    <w:p w14:paraId="530457DB" w14:textId="5536B9A8" w:rsidR="004B5BB2" w:rsidRPr="00F67686" w:rsidRDefault="004B5BB2" w:rsidP="004B5BB2">
      <w:pPr>
        <w:jc w:val="center"/>
        <w:rPr>
          <w:rFonts w:eastAsia="Times New Roman" w:cstheme="minorHAnsi"/>
          <w:u w:val="single"/>
          <w:lang w:eastAsia="en-AU"/>
        </w:rPr>
      </w:pPr>
      <w:r w:rsidRPr="00F67686">
        <w:rPr>
          <w:rFonts w:eastAsia="Times New Roman" w:cstheme="minorHAnsi"/>
          <w:sz w:val="44"/>
          <w:szCs w:val="44"/>
          <w:u w:val="single"/>
          <w:lang w:eastAsia="en-AU"/>
        </w:rPr>
        <w:t>Fabry Disease</w:t>
      </w:r>
      <w:r w:rsidRPr="00F67686">
        <w:rPr>
          <w:rFonts w:eastAsia="Times New Roman" w:cstheme="minorHAnsi"/>
          <w:u w:val="single"/>
          <w:lang w:eastAsia="en-AU"/>
        </w:rPr>
        <w:br w:type="page"/>
      </w:r>
    </w:p>
    <w:p w14:paraId="6A455F9A" w14:textId="77777777" w:rsidR="00F67686" w:rsidRPr="00F67686" w:rsidRDefault="00F67686" w:rsidP="00F67686">
      <w:pPr>
        <w:pStyle w:val="Heading2"/>
        <w:rPr>
          <w:rFonts w:asciiTheme="minorHAnsi" w:hAnsiTheme="minorHAnsi" w:cstheme="minorHAnsi"/>
          <w:sz w:val="22"/>
          <w:szCs w:val="22"/>
        </w:rPr>
      </w:pPr>
      <w:bookmarkStart w:id="1" w:name="_Toc532392133"/>
      <w:bookmarkStart w:id="2" w:name="_Toc532815607"/>
      <w:bookmarkStart w:id="3" w:name="_Ref536707188"/>
      <w:r w:rsidRPr="00F67686">
        <w:rPr>
          <w:rFonts w:asciiTheme="minorHAnsi" w:hAnsiTheme="minorHAnsi" w:cstheme="minorHAnsi"/>
          <w:sz w:val="22"/>
          <w:szCs w:val="22"/>
        </w:rPr>
        <w:lastRenderedPageBreak/>
        <w:t>Background of the review</w:t>
      </w:r>
      <w:bookmarkEnd w:id="1"/>
      <w:bookmarkEnd w:id="2"/>
      <w:bookmarkEnd w:id="3"/>
    </w:p>
    <w:p w14:paraId="736B655F" w14:textId="782CCE72" w:rsidR="00F67686" w:rsidRPr="00F67686" w:rsidRDefault="00F67686" w:rsidP="00F67686">
      <w:pPr>
        <w:pStyle w:val="BodyText"/>
        <w:rPr>
          <w:rFonts w:asciiTheme="minorHAnsi" w:hAnsiTheme="minorHAnsi" w:cstheme="minorHAnsi"/>
          <w:sz w:val="22"/>
        </w:rPr>
      </w:pPr>
      <w:r w:rsidRPr="00F67686">
        <w:rPr>
          <w:rFonts w:asciiTheme="minorHAnsi" w:hAnsiTheme="minorHAnsi" w:cstheme="minorHAnsi"/>
          <w:sz w:val="22"/>
        </w:rPr>
        <w:t>The LSDP, administered by the Commonwealth Department of Health, was established in the mid-1990s to provide people with rare and life-threatening diseases access to expensive medicines that were not considered cost</w:t>
      </w:r>
      <w:r w:rsidR="00F66946">
        <w:rPr>
          <w:rFonts w:asciiTheme="minorHAnsi" w:hAnsiTheme="minorHAnsi" w:cstheme="minorHAnsi"/>
          <w:sz w:val="22"/>
        </w:rPr>
        <w:t>-</w:t>
      </w:r>
      <w:r w:rsidRPr="00F67686">
        <w:rPr>
          <w:rFonts w:asciiTheme="minorHAnsi" w:hAnsiTheme="minorHAnsi" w:cstheme="minorHAnsi"/>
          <w:sz w:val="22"/>
        </w:rPr>
        <w:t xml:space="preserve">effective for Pharmaceutical Benefits Scheme (PBS) listing.  The LSDP currently fully subsidises 16 life-saving high cost medicines </w:t>
      </w:r>
      <w:r w:rsidR="00B957F4">
        <w:rPr>
          <w:rFonts w:asciiTheme="minorHAnsi" w:hAnsiTheme="minorHAnsi" w:cstheme="minorHAnsi"/>
          <w:sz w:val="22"/>
        </w:rPr>
        <w:t>for</w:t>
      </w:r>
      <w:r w:rsidR="00B957F4" w:rsidRPr="00F67686">
        <w:rPr>
          <w:rFonts w:asciiTheme="minorHAnsi" w:hAnsiTheme="minorHAnsi" w:cstheme="minorHAnsi"/>
          <w:sz w:val="22"/>
        </w:rPr>
        <w:t xml:space="preserve"> </w:t>
      </w:r>
      <w:r w:rsidRPr="00F67686">
        <w:rPr>
          <w:rFonts w:asciiTheme="minorHAnsi" w:hAnsiTheme="minorHAnsi" w:cstheme="minorHAnsi"/>
          <w:sz w:val="22"/>
        </w:rPr>
        <w:t xml:space="preserve">approximately 400 patients for the treatment of 10 rare diseases.  </w:t>
      </w:r>
    </w:p>
    <w:p w14:paraId="066E4136" w14:textId="4A59BD15" w:rsidR="00F67686" w:rsidRDefault="00F67686" w:rsidP="00F67686">
      <w:pPr>
        <w:pStyle w:val="BodyText"/>
        <w:rPr>
          <w:rFonts w:asciiTheme="minorHAnsi" w:hAnsiTheme="minorHAnsi" w:cstheme="minorHAnsi"/>
          <w:sz w:val="22"/>
        </w:rPr>
      </w:pPr>
      <w:r w:rsidRPr="00F67686">
        <w:rPr>
          <w:rFonts w:asciiTheme="minorHAnsi" w:hAnsiTheme="minorHAnsi" w:cstheme="minorHAnsi"/>
          <w:sz w:val="22"/>
        </w:rPr>
        <w:t xml:space="preserve">In January 2018, following a review of the LSDP, the Australian Government committed to a number of program improvements, including a review of the medicines currently funded under the LSDP and the establishment of an Expert Panel (EP) to provide advice to the Commonwealth Chief Medical Officer (CMO).  </w:t>
      </w:r>
    </w:p>
    <w:p w14:paraId="61AE8F67" w14:textId="69F8EC5D" w:rsidR="00F67686" w:rsidRDefault="00F67686" w:rsidP="00F67686">
      <w:pPr>
        <w:pStyle w:val="BodyText"/>
        <w:rPr>
          <w:rFonts w:asciiTheme="minorHAnsi" w:hAnsiTheme="minorHAnsi" w:cstheme="minorHAnsi"/>
          <w:sz w:val="22"/>
        </w:rPr>
      </w:pPr>
      <w:r w:rsidRPr="00F67686">
        <w:rPr>
          <w:rFonts w:asciiTheme="minorHAnsi" w:hAnsiTheme="minorHAnsi" w:cstheme="minorHAnsi"/>
          <w:sz w:val="22"/>
        </w:rPr>
        <w:t xml:space="preserve">This included the introduction of a mechanism where medicines listed on the LSDP will be subject to a review of usage and financial costs after 24 months, ensuring use and performance of the medicine </w:t>
      </w:r>
      <w:r w:rsidR="0062484B">
        <w:rPr>
          <w:rFonts w:asciiTheme="minorHAnsi" w:hAnsiTheme="minorHAnsi" w:cstheme="minorHAnsi"/>
          <w:sz w:val="22"/>
        </w:rPr>
        <w:t>are</w:t>
      </w:r>
      <w:r w:rsidR="0062484B" w:rsidRPr="00F67686">
        <w:rPr>
          <w:rFonts w:asciiTheme="minorHAnsi" w:hAnsiTheme="minorHAnsi" w:cstheme="minorHAnsi"/>
          <w:sz w:val="22"/>
        </w:rPr>
        <w:t xml:space="preserve"> </w:t>
      </w:r>
      <w:r w:rsidRPr="00F67686">
        <w:rPr>
          <w:rFonts w:asciiTheme="minorHAnsi" w:hAnsiTheme="minorHAnsi" w:cstheme="minorHAnsi"/>
          <w:sz w:val="22"/>
        </w:rPr>
        <w:t>in line with the recommendations and expectations at listing</w:t>
      </w:r>
      <w:r w:rsidRPr="00F67686">
        <w:t xml:space="preserve"> </w:t>
      </w:r>
      <w:r w:rsidRPr="00F67686">
        <w:rPr>
          <w:rFonts w:asciiTheme="minorHAnsi" w:hAnsiTheme="minorHAnsi" w:cstheme="minorHAnsi"/>
          <w:sz w:val="22"/>
        </w:rPr>
        <w:t xml:space="preserve">and are supported through the Agreement between the Government and Medicines Australia. </w:t>
      </w:r>
    </w:p>
    <w:p w14:paraId="6D4FAA3F" w14:textId="79CDD7CB" w:rsidR="00F67686" w:rsidRDefault="00F67686" w:rsidP="00F67686">
      <w:pPr>
        <w:pStyle w:val="Bodytextbeforebulletlist"/>
        <w:rPr>
          <w:rFonts w:asciiTheme="minorHAnsi" w:hAnsiTheme="minorHAnsi" w:cstheme="minorHAnsi"/>
          <w:sz w:val="22"/>
        </w:rPr>
      </w:pPr>
      <w:r w:rsidRPr="00F67686">
        <w:rPr>
          <w:rFonts w:asciiTheme="minorHAnsi" w:hAnsiTheme="minorHAnsi" w:cstheme="minorHAnsi"/>
          <w:sz w:val="22"/>
        </w:rPr>
        <w:t>Similar reviews will be undertaken on all existing LSDP medicines over the first two years from the commencement of the new program</w:t>
      </w:r>
      <w:r>
        <w:rPr>
          <w:rFonts w:asciiTheme="minorHAnsi" w:hAnsiTheme="minorHAnsi" w:cstheme="minorHAnsi"/>
          <w:sz w:val="22"/>
        </w:rPr>
        <w:t xml:space="preserve">. </w:t>
      </w:r>
      <w:bookmarkStart w:id="4" w:name="_Hlk17728214"/>
      <w:r w:rsidR="00FD744B" w:rsidRPr="00F67686">
        <w:rPr>
          <w:rFonts w:asciiTheme="minorHAnsi" w:hAnsiTheme="minorHAnsi" w:cstheme="minorHAnsi"/>
          <w:sz w:val="22"/>
        </w:rPr>
        <w:t>The</w:t>
      </w:r>
      <w:r w:rsidR="00FD744B">
        <w:rPr>
          <w:rFonts w:asciiTheme="minorHAnsi" w:hAnsiTheme="minorHAnsi" w:cstheme="minorHAnsi"/>
          <w:sz w:val="22"/>
        </w:rPr>
        <w:t>se</w:t>
      </w:r>
      <w:r w:rsidR="00FD744B" w:rsidRPr="00F67686">
        <w:rPr>
          <w:rFonts w:asciiTheme="minorHAnsi" w:hAnsiTheme="minorHAnsi" w:cstheme="minorHAnsi"/>
          <w:sz w:val="22"/>
        </w:rPr>
        <w:t xml:space="preserve"> review</w:t>
      </w:r>
      <w:r w:rsidR="00FD744B">
        <w:rPr>
          <w:rFonts w:asciiTheme="minorHAnsi" w:hAnsiTheme="minorHAnsi" w:cstheme="minorHAnsi"/>
          <w:sz w:val="22"/>
        </w:rPr>
        <w:t>s</w:t>
      </w:r>
      <w:r w:rsidR="00FD744B" w:rsidRPr="00F67686">
        <w:rPr>
          <w:rFonts w:asciiTheme="minorHAnsi" w:hAnsiTheme="minorHAnsi" w:cstheme="minorHAnsi"/>
          <w:sz w:val="22"/>
        </w:rPr>
        <w:t xml:space="preserve"> will be conducted in accordance with the agreed LSDP </w:t>
      </w:r>
      <w:hyperlink r:id="rId12" w:history="1">
        <w:r w:rsidR="00FD744B" w:rsidRPr="00E13224">
          <w:rPr>
            <w:rStyle w:val="Hyperlink"/>
            <w:rFonts w:asciiTheme="minorHAnsi" w:hAnsiTheme="minorHAnsi" w:cstheme="minorHAnsi"/>
            <w:sz w:val="22"/>
          </w:rPr>
          <w:t>Procedure Guidance.</w:t>
        </w:r>
      </w:hyperlink>
    </w:p>
    <w:p w14:paraId="4A756289" w14:textId="4E5785DD" w:rsidR="00FD744B" w:rsidRDefault="00F67686" w:rsidP="00FD744B">
      <w:pPr>
        <w:pStyle w:val="Bodytextbeforebulletlist"/>
        <w:rPr>
          <w:rFonts w:asciiTheme="minorHAnsi" w:hAnsiTheme="minorHAnsi" w:cstheme="minorHAnsi"/>
          <w:sz w:val="22"/>
        </w:rPr>
      </w:pPr>
      <w:r w:rsidRPr="00F67686">
        <w:rPr>
          <w:rFonts w:asciiTheme="minorHAnsi" w:hAnsiTheme="minorHAnsi" w:cstheme="minorHAnsi"/>
          <w:sz w:val="22"/>
        </w:rPr>
        <w:t xml:space="preserve">This </w:t>
      </w:r>
      <w:r w:rsidR="00E13224">
        <w:rPr>
          <w:rFonts w:asciiTheme="minorHAnsi" w:hAnsiTheme="minorHAnsi" w:cstheme="minorHAnsi"/>
          <w:sz w:val="22"/>
        </w:rPr>
        <w:t>document</w:t>
      </w:r>
      <w:r w:rsidRPr="00F67686">
        <w:rPr>
          <w:rFonts w:asciiTheme="minorHAnsi" w:hAnsiTheme="minorHAnsi" w:cstheme="minorHAnsi"/>
          <w:sz w:val="22"/>
        </w:rPr>
        <w:t xml:space="preserve"> describes the </w:t>
      </w:r>
      <w:r w:rsidR="00E13224">
        <w:rPr>
          <w:rFonts w:asciiTheme="minorHAnsi" w:hAnsiTheme="minorHAnsi" w:cstheme="minorHAnsi"/>
          <w:sz w:val="22"/>
        </w:rPr>
        <w:t xml:space="preserve">Terms of Reference </w:t>
      </w:r>
      <w:r w:rsidR="00E13224" w:rsidRPr="00911A3E">
        <w:rPr>
          <w:rFonts w:asciiTheme="minorHAnsi" w:hAnsiTheme="minorHAnsi" w:cstheme="minorHAnsi"/>
          <w:sz w:val="22"/>
        </w:rPr>
        <w:t>and protocol</w:t>
      </w:r>
      <w:r w:rsidRPr="00911A3E">
        <w:rPr>
          <w:rFonts w:asciiTheme="minorHAnsi" w:hAnsiTheme="minorHAnsi" w:cstheme="minorHAnsi"/>
          <w:sz w:val="22"/>
        </w:rPr>
        <w:t xml:space="preserve"> </w:t>
      </w:r>
      <w:r w:rsidR="00FD744B" w:rsidRPr="00911A3E">
        <w:rPr>
          <w:rFonts w:asciiTheme="minorHAnsi" w:hAnsiTheme="minorHAnsi" w:cstheme="minorHAnsi"/>
          <w:sz w:val="22"/>
        </w:rPr>
        <w:t xml:space="preserve">questions </w:t>
      </w:r>
      <w:r w:rsidRPr="00F67686">
        <w:rPr>
          <w:rFonts w:asciiTheme="minorHAnsi" w:hAnsiTheme="minorHAnsi" w:cstheme="minorHAnsi"/>
          <w:sz w:val="22"/>
        </w:rPr>
        <w:t xml:space="preserve">that will </w:t>
      </w:r>
      <w:r w:rsidR="003F682F">
        <w:rPr>
          <w:rFonts w:asciiTheme="minorHAnsi" w:hAnsiTheme="minorHAnsi" w:cstheme="minorHAnsi"/>
          <w:sz w:val="22"/>
        </w:rPr>
        <w:t>guide</w:t>
      </w:r>
      <w:r w:rsidRPr="00F67686">
        <w:rPr>
          <w:rFonts w:asciiTheme="minorHAnsi" w:hAnsiTheme="minorHAnsi" w:cstheme="minorHAnsi"/>
          <w:sz w:val="22"/>
        </w:rPr>
        <w:t xml:space="preserve"> the </w:t>
      </w:r>
      <w:r w:rsidR="00A8402A">
        <w:rPr>
          <w:rFonts w:asciiTheme="minorHAnsi" w:hAnsiTheme="minorHAnsi" w:cstheme="minorHAnsi"/>
          <w:sz w:val="22"/>
        </w:rPr>
        <w:t>24-month</w:t>
      </w:r>
      <w:r w:rsidR="00E13224">
        <w:rPr>
          <w:rFonts w:asciiTheme="minorHAnsi" w:hAnsiTheme="minorHAnsi" w:cstheme="minorHAnsi"/>
          <w:sz w:val="22"/>
        </w:rPr>
        <w:t xml:space="preserve"> r</w:t>
      </w:r>
      <w:r w:rsidRPr="00F67686">
        <w:rPr>
          <w:rFonts w:asciiTheme="minorHAnsi" w:hAnsiTheme="minorHAnsi" w:cstheme="minorHAnsi"/>
          <w:sz w:val="22"/>
        </w:rPr>
        <w:t xml:space="preserve">eview of </w:t>
      </w:r>
      <w:r>
        <w:rPr>
          <w:rFonts w:asciiTheme="minorHAnsi" w:hAnsiTheme="minorHAnsi" w:cstheme="minorHAnsi"/>
          <w:sz w:val="22"/>
        </w:rPr>
        <w:t xml:space="preserve">migalastat for the treatment of Fabry </w:t>
      </w:r>
      <w:r w:rsidRPr="00F67686">
        <w:rPr>
          <w:rFonts w:asciiTheme="minorHAnsi" w:hAnsiTheme="minorHAnsi" w:cstheme="minorHAnsi"/>
          <w:sz w:val="22"/>
        </w:rPr>
        <w:t>disease</w:t>
      </w:r>
      <w:r>
        <w:rPr>
          <w:rFonts w:asciiTheme="minorHAnsi" w:hAnsiTheme="minorHAnsi" w:cstheme="minorHAnsi"/>
          <w:sz w:val="22"/>
        </w:rPr>
        <w:t xml:space="preserve">. </w:t>
      </w:r>
    </w:p>
    <w:p w14:paraId="43F4EA80" w14:textId="77777777" w:rsidR="00F67686" w:rsidRPr="00F67686" w:rsidRDefault="00F67686" w:rsidP="00F67686">
      <w:pPr>
        <w:pStyle w:val="Heading2"/>
        <w:rPr>
          <w:rFonts w:asciiTheme="minorHAnsi" w:hAnsiTheme="minorHAnsi" w:cstheme="minorHAnsi"/>
          <w:sz w:val="22"/>
          <w:szCs w:val="22"/>
        </w:rPr>
      </w:pPr>
      <w:bookmarkStart w:id="5" w:name="_Toc532392136"/>
      <w:bookmarkStart w:id="6" w:name="_Toc532815610"/>
      <w:bookmarkStart w:id="7" w:name="_Hlk529281031"/>
      <w:bookmarkEnd w:id="4"/>
      <w:r w:rsidRPr="00F67686">
        <w:rPr>
          <w:rFonts w:asciiTheme="minorHAnsi" w:hAnsiTheme="minorHAnsi" w:cstheme="minorHAnsi"/>
          <w:sz w:val="22"/>
          <w:szCs w:val="22"/>
        </w:rPr>
        <w:t>Purpose of th</w:t>
      </w:r>
      <w:bookmarkEnd w:id="5"/>
      <w:bookmarkEnd w:id="6"/>
      <w:r w:rsidRPr="00F67686">
        <w:rPr>
          <w:rFonts w:asciiTheme="minorHAnsi" w:hAnsiTheme="minorHAnsi" w:cstheme="minorHAnsi"/>
          <w:sz w:val="22"/>
          <w:szCs w:val="22"/>
        </w:rPr>
        <w:t>e review</w:t>
      </w:r>
    </w:p>
    <w:p w14:paraId="1AE4447C" w14:textId="16042E08" w:rsidR="00F67686" w:rsidRDefault="00F67686" w:rsidP="00F67686">
      <w:pPr>
        <w:pStyle w:val="Bodytextbeforebulletlist"/>
      </w:pPr>
      <w:bookmarkStart w:id="8" w:name="_Hlk74851"/>
      <w:r w:rsidRPr="00F67686">
        <w:rPr>
          <w:rFonts w:asciiTheme="minorHAnsi" w:hAnsiTheme="minorHAnsi" w:cstheme="minorHAnsi"/>
          <w:sz w:val="22"/>
        </w:rPr>
        <w:t>The purpose of 24</w:t>
      </w:r>
      <w:r w:rsidR="00E034DC">
        <w:rPr>
          <w:rFonts w:asciiTheme="minorHAnsi" w:hAnsiTheme="minorHAnsi" w:cstheme="minorHAnsi"/>
          <w:sz w:val="22"/>
        </w:rPr>
        <w:t>-</w:t>
      </w:r>
      <w:r w:rsidRPr="00F67686">
        <w:rPr>
          <w:rFonts w:asciiTheme="minorHAnsi" w:hAnsiTheme="minorHAnsi" w:cstheme="minorHAnsi"/>
          <w:sz w:val="22"/>
        </w:rPr>
        <w:t>month review</w:t>
      </w:r>
      <w:r w:rsidR="009B1D1F">
        <w:rPr>
          <w:rFonts w:asciiTheme="minorHAnsi" w:hAnsiTheme="minorHAnsi" w:cstheme="minorHAnsi"/>
          <w:sz w:val="22"/>
        </w:rPr>
        <w:t>s</w:t>
      </w:r>
      <w:r w:rsidRPr="00F67686">
        <w:rPr>
          <w:rFonts w:asciiTheme="minorHAnsi" w:hAnsiTheme="minorHAnsi" w:cstheme="minorHAnsi"/>
          <w:sz w:val="22"/>
        </w:rPr>
        <w:t xml:space="preserve"> of newly listed medicines on the LSDP is to better understand the real-world use of a medicine by comparing the </w:t>
      </w:r>
      <w:r w:rsidR="00142C73">
        <w:rPr>
          <w:rFonts w:asciiTheme="minorHAnsi" w:hAnsiTheme="minorHAnsi" w:cstheme="minorHAnsi"/>
          <w:sz w:val="22"/>
        </w:rPr>
        <w:t>actual</w:t>
      </w:r>
      <w:r w:rsidRPr="00F67686">
        <w:rPr>
          <w:rFonts w:asciiTheme="minorHAnsi" w:hAnsiTheme="minorHAnsi" w:cstheme="minorHAnsi"/>
          <w:sz w:val="22"/>
        </w:rPr>
        <w:t xml:space="preserve"> performance </w:t>
      </w:r>
      <w:r w:rsidR="005A7BB7">
        <w:rPr>
          <w:rFonts w:asciiTheme="minorHAnsi" w:hAnsiTheme="minorHAnsi" w:cstheme="minorHAnsi"/>
          <w:sz w:val="22"/>
        </w:rPr>
        <w:t xml:space="preserve">and use </w:t>
      </w:r>
      <w:r w:rsidRPr="00F67686">
        <w:rPr>
          <w:rFonts w:asciiTheme="minorHAnsi" w:hAnsiTheme="minorHAnsi" w:cstheme="minorHAnsi"/>
          <w:sz w:val="22"/>
        </w:rPr>
        <w:t xml:space="preserve">of the medicine </w:t>
      </w:r>
      <w:r w:rsidR="005A7BB7">
        <w:rPr>
          <w:rFonts w:asciiTheme="minorHAnsi" w:hAnsiTheme="minorHAnsi" w:cstheme="minorHAnsi"/>
          <w:sz w:val="22"/>
        </w:rPr>
        <w:t>to</w:t>
      </w:r>
      <w:r w:rsidR="005A7BB7" w:rsidRPr="00F67686">
        <w:rPr>
          <w:rFonts w:asciiTheme="minorHAnsi" w:hAnsiTheme="minorHAnsi" w:cstheme="minorHAnsi"/>
          <w:sz w:val="22"/>
        </w:rPr>
        <w:t xml:space="preserve"> </w:t>
      </w:r>
      <w:r w:rsidRPr="00F67686">
        <w:rPr>
          <w:rFonts w:asciiTheme="minorHAnsi" w:hAnsiTheme="minorHAnsi" w:cstheme="minorHAnsi"/>
          <w:sz w:val="22"/>
        </w:rPr>
        <w:t xml:space="preserve">the recommendations and expectations at the time of listing. The </w:t>
      </w:r>
      <w:r w:rsidR="00B7221E">
        <w:rPr>
          <w:rFonts w:asciiTheme="minorHAnsi" w:hAnsiTheme="minorHAnsi" w:cstheme="minorHAnsi"/>
          <w:sz w:val="22"/>
        </w:rPr>
        <w:t>r</w:t>
      </w:r>
      <w:r w:rsidRPr="00F67686">
        <w:rPr>
          <w:rFonts w:asciiTheme="minorHAnsi" w:hAnsiTheme="minorHAnsi" w:cstheme="minorHAnsi"/>
          <w:sz w:val="22"/>
        </w:rPr>
        <w:t>eview</w:t>
      </w:r>
      <w:r w:rsidR="00B7221E">
        <w:rPr>
          <w:rFonts w:asciiTheme="minorHAnsi" w:hAnsiTheme="minorHAnsi" w:cstheme="minorHAnsi"/>
          <w:sz w:val="22"/>
        </w:rPr>
        <w:t>s</w:t>
      </w:r>
      <w:r w:rsidRPr="00F67686">
        <w:rPr>
          <w:rFonts w:asciiTheme="minorHAnsi" w:hAnsiTheme="minorHAnsi" w:cstheme="minorHAnsi"/>
          <w:sz w:val="22"/>
        </w:rPr>
        <w:t xml:space="preserve"> will assess the clinical benefits achieved through the use of LSDP medicines, ensure the ongoing viability of the program</w:t>
      </w:r>
      <w:r w:rsidR="00305698">
        <w:rPr>
          <w:rFonts w:asciiTheme="minorHAnsi" w:hAnsiTheme="minorHAnsi" w:cstheme="minorHAnsi"/>
          <w:sz w:val="22"/>
        </w:rPr>
        <w:t>,</w:t>
      </w:r>
      <w:r w:rsidRPr="00F67686">
        <w:rPr>
          <w:rFonts w:asciiTheme="minorHAnsi" w:hAnsiTheme="minorHAnsi" w:cstheme="minorHAnsi"/>
          <w:sz w:val="22"/>
        </w:rPr>
        <w:t xml:space="preserve"> and ensure testing and access requirements for </w:t>
      </w:r>
      <w:r w:rsidR="006C6897">
        <w:rPr>
          <w:rFonts w:asciiTheme="minorHAnsi" w:hAnsiTheme="minorHAnsi" w:cstheme="minorHAnsi"/>
          <w:sz w:val="22"/>
        </w:rPr>
        <w:t xml:space="preserve">each </w:t>
      </w:r>
      <w:r w:rsidRPr="00F67686">
        <w:rPr>
          <w:rFonts w:asciiTheme="minorHAnsi" w:hAnsiTheme="minorHAnsi" w:cstheme="minorHAnsi"/>
          <w:sz w:val="22"/>
        </w:rPr>
        <w:t xml:space="preserve">medicine remain appropriate. </w:t>
      </w:r>
      <w:r>
        <w:rPr>
          <w:rFonts w:asciiTheme="minorHAnsi" w:hAnsiTheme="minorHAnsi" w:cstheme="minorHAnsi"/>
          <w:sz w:val="22"/>
        </w:rPr>
        <w:br/>
      </w:r>
      <w:r>
        <w:rPr>
          <w:rFonts w:asciiTheme="minorHAnsi" w:hAnsiTheme="minorHAnsi" w:cstheme="minorHAnsi"/>
          <w:sz w:val="22"/>
        </w:rPr>
        <w:br/>
      </w:r>
      <w:r w:rsidRPr="00F67686">
        <w:rPr>
          <w:rFonts w:asciiTheme="minorHAnsi" w:hAnsiTheme="minorHAnsi" w:cstheme="minorHAnsi"/>
          <w:sz w:val="22"/>
        </w:rPr>
        <w:t>Th</w:t>
      </w:r>
      <w:r w:rsidR="00E13224">
        <w:rPr>
          <w:rFonts w:asciiTheme="minorHAnsi" w:hAnsiTheme="minorHAnsi" w:cstheme="minorHAnsi"/>
          <w:sz w:val="22"/>
        </w:rPr>
        <w:t>is</w:t>
      </w:r>
      <w:r w:rsidRPr="00F67686">
        <w:rPr>
          <w:rFonts w:asciiTheme="minorHAnsi" w:hAnsiTheme="minorHAnsi" w:cstheme="minorHAnsi"/>
          <w:sz w:val="22"/>
        </w:rPr>
        <w:t xml:space="preserve"> review evaluates data collected from patients accessing medicines on the program as well as any additional data provided by the sponsor. A report</w:t>
      </w:r>
      <w:r w:rsidR="00B00791">
        <w:rPr>
          <w:rFonts w:asciiTheme="minorHAnsi" w:hAnsiTheme="minorHAnsi" w:cstheme="minorHAnsi"/>
          <w:sz w:val="22"/>
        </w:rPr>
        <w:t xml:space="preserve"> of the findings of the review</w:t>
      </w:r>
      <w:r w:rsidRPr="00F67686">
        <w:rPr>
          <w:rFonts w:asciiTheme="minorHAnsi" w:hAnsiTheme="minorHAnsi" w:cstheme="minorHAnsi"/>
          <w:sz w:val="22"/>
        </w:rPr>
        <w:t xml:space="preserve"> is completed by the Department. The sponsor of the medicine has an opportunity to consider the report and provide a response. The Expert Panel considers the report, the sponsor response, the key clinician representative response and the key patient representative response when making recommendations.</w:t>
      </w:r>
    </w:p>
    <w:p w14:paraId="6313AF3E" w14:textId="2BE61B1E" w:rsidR="00F67686" w:rsidRDefault="00F67686" w:rsidP="00F67686">
      <w:r>
        <w:br/>
      </w:r>
      <w:r w:rsidRPr="007D08F7">
        <w:t xml:space="preserve">Where not otherwise specified by the Expert Panel, reviews of new medicines commence 24 months after initial subsidy through the LSDP. </w:t>
      </w:r>
      <w:r>
        <w:t>T</w:t>
      </w:r>
      <w:r w:rsidRPr="007D08F7">
        <w:t xml:space="preserve">he draft scope for the review is established based on issues identified when the medicine was first recommended for inclusion on the LSDP however the scope of the review may be altered by the Expert Panel if new issues have arisen since listing. The figure below outlines the general process for </w:t>
      </w:r>
      <w:r w:rsidR="00A8402A" w:rsidRPr="007D08F7">
        <w:t>24-month</w:t>
      </w:r>
      <w:r w:rsidRPr="007D08F7">
        <w:t xml:space="preserve"> reviews</w:t>
      </w:r>
      <w:r>
        <w:t>. More complex reviews or those requiring expert input may take longer</w:t>
      </w:r>
      <w:r w:rsidRPr="007D08F7">
        <w:t>.</w:t>
      </w:r>
    </w:p>
    <w:p w14:paraId="6AF92A5F" w14:textId="13027F96" w:rsidR="00D2543A" w:rsidRPr="00D2543A" w:rsidRDefault="00D2543A" w:rsidP="00D2543A">
      <w:pPr>
        <w:pStyle w:val="Heading2"/>
        <w:rPr>
          <w:rFonts w:asciiTheme="minorHAnsi" w:hAnsiTheme="minorHAnsi" w:cstheme="minorHAnsi"/>
          <w:sz w:val="22"/>
          <w:szCs w:val="22"/>
        </w:rPr>
      </w:pPr>
      <w:r w:rsidRPr="00D2543A">
        <w:rPr>
          <w:rFonts w:asciiTheme="minorHAnsi" w:hAnsiTheme="minorHAnsi" w:cstheme="minorHAnsi"/>
          <w:sz w:val="22"/>
          <w:szCs w:val="22"/>
        </w:rPr>
        <w:t xml:space="preserve">Next steps  </w:t>
      </w:r>
    </w:p>
    <w:p w14:paraId="337B9911" w14:textId="70F2D446" w:rsidR="00D2543A" w:rsidRPr="007210CC" w:rsidRDefault="00D2543A" w:rsidP="00E334FC">
      <w:pPr>
        <w:pStyle w:val="BodyText"/>
      </w:pPr>
      <w:r w:rsidRPr="007210CC">
        <w:rPr>
          <w:rFonts w:asciiTheme="minorHAnsi" w:hAnsiTheme="minorHAnsi" w:cstheme="minorHAnsi"/>
          <w:sz w:val="22"/>
        </w:rPr>
        <w:t>Following the review process</w:t>
      </w:r>
      <w:r w:rsidR="00970BA2">
        <w:rPr>
          <w:rFonts w:asciiTheme="minorHAnsi" w:hAnsiTheme="minorHAnsi" w:cstheme="minorHAnsi"/>
          <w:sz w:val="22"/>
        </w:rPr>
        <w:t>,</w:t>
      </w:r>
      <w:r w:rsidRPr="007210CC">
        <w:rPr>
          <w:rFonts w:asciiTheme="minorHAnsi" w:hAnsiTheme="minorHAnsi" w:cstheme="minorHAnsi"/>
          <w:sz w:val="22"/>
        </w:rPr>
        <w:t xml:space="preserve"> the Expert Panel will consider the report and make recommendations that align with the T</w:t>
      </w:r>
      <w:r w:rsidR="007210CC" w:rsidRPr="007210CC">
        <w:rPr>
          <w:rFonts w:asciiTheme="minorHAnsi" w:hAnsiTheme="minorHAnsi" w:cstheme="minorHAnsi"/>
          <w:sz w:val="22"/>
        </w:rPr>
        <w:t xml:space="preserve">erms </w:t>
      </w:r>
      <w:r w:rsidRPr="007210CC">
        <w:rPr>
          <w:rFonts w:asciiTheme="minorHAnsi" w:hAnsiTheme="minorHAnsi" w:cstheme="minorHAnsi"/>
          <w:sz w:val="22"/>
        </w:rPr>
        <w:t>o</w:t>
      </w:r>
      <w:r w:rsidR="007210CC" w:rsidRPr="007210CC">
        <w:rPr>
          <w:rFonts w:asciiTheme="minorHAnsi" w:hAnsiTheme="minorHAnsi" w:cstheme="minorHAnsi"/>
          <w:sz w:val="22"/>
        </w:rPr>
        <w:t xml:space="preserve">f </w:t>
      </w:r>
      <w:r w:rsidRPr="007210CC">
        <w:rPr>
          <w:rFonts w:asciiTheme="minorHAnsi" w:hAnsiTheme="minorHAnsi" w:cstheme="minorHAnsi"/>
          <w:sz w:val="22"/>
        </w:rPr>
        <w:t>R</w:t>
      </w:r>
      <w:r w:rsidR="007210CC" w:rsidRPr="007210CC">
        <w:rPr>
          <w:rFonts w:asciiTheme="minorHAnsi" w:hAnsiTheme="minorHAnsi" w:cstheme="minorHAnsi"/>
          <w:sz w:val="22"/>
        </w:rPr>
        <w:t>eference (</w:t>
      </w:r>
      <w:proofErr w:type="spellStart"/>
      <w:r w:rsidR="007210CC" w:rsidRPr="007210CC">
        <w:rPr>
          <w:rFonts w:asciiTheme="minorHAnsi" w:hAnsiTheme="minorHAnsi" w:cstheme="minorHAnsi"/>
          <w:sz w:val="22"/>
        </w:rPr>
        <w:t>ToR</w:t>
      </w:r>
      <w:proofErr w:type="spellEnd"/>
      <w:r w:rsidR="007210CC" w:rsidRPr="007210CC">
        <w:rPr>
          <w:rFonts w:asciiTheme="minorHAnsi" w:hAnsiTheme="minorHAnsi" w:cstheme="minorHAnsi"/>
          <w:sz w:val="22"/>
        </w:rPr>
        <w:t>)</w:t>
      </w:r>
      <w:r w:rsidRPr="007210CC">
        <w:rPr>
          <w:rFonts w:asciiTheme="minorHAnsi" w:hAnsiTheme="minorHAnsi" w:cstheme="minorHAnsi"/>
          <w:sz w:val="22"/>
        </w:rPr>
        <w:t xml:space="preserve"> and the protocol questions outlined below. </w:t>
      </w:r>
    </w:p>
    <w:bookmarkEnd w:id="7"/>
    <w:bookmarkEnd w:id="8"/>
    <w:p w14:paraId="516D9148" w14:textId="162E027E" w:rsidR="00F67686" w:rsidRPr="00F67686" w:rsidRDefault="00F67686">
      <w:pPr>
        <w:rPr>
          <w:rFonts w:eastAsia="Times New Roman" w:cstheme="minorHAnsi"/>
          <w:u w:val="single"/>
          <w:lang w:eastAsia="en-AU"/>
        </w:rPr>
      </w:pPr>
      <w:r w:rsidRPr="00F67686">
        <w:rPr>
          <w:rFonts w:eastAsia="Times New Roman" w:cstheme="minorHAnsi"/>
          <w:u w:val="single"/>
          <w:lang w:eastAsia="en-AU"/>
        </w:rPr>
        <w:br w:type="page"/>
      </w:r>
      <w:r>
        <w:rPr>
          <w:noProof/>
          <w:lang w:eastAsia="en-AU"/>
        </w:rPr>
        <w:lastRenderedPageBreak/>
        <w:drawing>
          <wp:inline distT="0" distB="0" distL="0" distR="0" wp14:anchorId="7E225265" wp14:editId="53994D66">
            <wp:extent cx="5731510" cy="7293525"/>
            <wp:effectExtent l="0" t="0" r="2540" b="3175"/>
            <wp:docPr id="5" name="Picture 5" descr="The expert panel will identify the uncertainties, outcomes to be reviewed and data collection requirements. The new medicine is then scheduled for a 24 month review.&#10;&#10;At the first panel meeting, the scope of the review will be finalised. After 1 week, the sponsor will be notified that a review is going to be undertaken. The meeting agenda will be published to include this 24 month review. The sponsor has 2 weeks to provide any additional data to support the review. Submissions for written stakeholder input will also be accepted from this time.&#10;&#10;The report is prepared and sent to sponsors and other relevant parties where appropriate. They have 2 weeks to provide a response. One week later is the second panel meeting where the report will be considered and recommendations made. The sponsor will receive the panel minutes. The deadline for stakeholder input is just prior to this meeting.&#10;&#10;The CMO will consider the recommendation and a the review outcomes/summary of proposed changes will be published. The recommendations will then be implemented. &#10;" title="Process for 24 month reviews of LSDP medic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13257" t="15709" r="50588" b="8614"/>
                    <a:stretch/>
                  </pic:blipFill>
                  <pic:spPr bwMode="auto">
                    <a:xfrm>
                      <a:off x="0" y="0"/>
                      <a:ext cx="5731510" cy="7293525"/>
                    </a:xfrm>
                    <a:prstGeom prst="rect">
                      <a:avLst/>
                    </a:prstGeom>
                    <a:ln>
                      <a:noFill/>
                    </a:ln>
                    <a:extLst>
                      <a:ext uri="{53640926-AAD7-44D8-BBD7-CCE9431645EC}">
                        <a14:shadowObscured xmlns:a14="http://schemas.microsoft.com/office/drawing/2010/main"/>
                      </a:ext>
                    </a:extLst>
                  </pic:spPr>
                </pic:pic>
              </a:graphicData>
            </a:graphic>
          </wp:inline>
        </w:drawing>
      </w:r>
    </w:p>
    <w:p w14:paraId="7FED67FB" w14:textId="3259B4A6" w:rsidR="00B95FB1" w:rsidRDefault="00F67686" w:rsidP="00DE746D">
      <w:pPr>
        <w:jc w:val="center"/>
        <w:rPr>
          <w:rFonts w:eastAsia="Times New Roman" w:cstheme="minorHAnsi"/>
          <w:b/>
          <w:bCs/>
          <w:sz w:val="28"/>
          <w:szCs w:val="28"/>
          <w:lang w:eastAsia="en-AU"/>
        </w:rPr>
      </w:pPr>
      <w:r>
        <w:rPr>
          <w:rFonts w:eastAsia="Times New Roman" w:cstheme="minorHAnsi"/>
          <w:u w:val="single"/>
          <w:lang w:eastAsia="en-AU"/>
        </w:rPr>
        <w:br w:type="page"/>
      </w:r>
      <w:r w:rsidR="00E13224" w:rsidRPr="00E13224">
        <w:rPr>
          <w:rFonts w:eastAsia="Times New Roman" w:cstheme="minorHAnsi"/>
          <w:b/>
          <w:bCs/>
          <w:sz w:val="28"/>
          <w:szCs w:val="28"/>
          <w:lang w:eastAsia="en-AU"/>
        </w:rPr>
        <w:lastRenderedPageBreak/>
        <w:t>TERMS OF REFERENCE</w:t>
      </w:r>
    </w:p>
    <w:p w14:paraId="22A34369" w14:textId="7E39FE7B" w:rsidR="00B95FB1" w:rsidRPr="00B95FB1" w:rsidRDefault="00B95FB1" w:rsidP="00B95FB1">
      <w:pPr>
        <w:spacing w:before="100" w:beforeAutospacing="1" w:after="100" w:afterAutospacing="1"/>
        <w:rPr>
          <w:rFonts w:eastAsia="Times New Roman" w:cstheme="minorHAnsi"/>
          <w:lang w:eastAsia="en-AU"/>
        </w:rPr>
      </w:pPr>
      <w:r w:rsidRPr="00B95FB1">
        <w:rPr>
          <w:rFonts w:eastAsia="Times New Roman" w:cstheme="minorHAnsi"/>
          <w:lang w:eastAsia="en-AU"/>
        </w:rPr>
        <w:t xml:space="preserve">The </w:t>
      </w:r>
      <w:proofErr w:type="spellStart"/>
      <w:r w:rsidRPr="00B95FB1">
        <w:rPr>
          <w:rFonts w:eastAsia="Times New Roman" w:cstheme="minorHAnsi"/>
          <w:lang w:eastAsia="en-AU"/>
        </w:rPr>
        <w:t>ToRs</w:t>
      </w:r>
      <w:proofErr w:type="spellEnd"/>
      <w:r w:rsidRPr="00B95FB1">
        <w:rPr>
          <w:rFonts w:eastAsia="Times New Roman" w:cstheme="minorHAnsi"/>
          <w:lang w:eastAsia="en-AU"/>
        </w:rPr>
        <w:t xml:space="preserve"> below outline the main aims of th</w:t>
      </w:r>
      <w:r w:rsidR="00DA40FE">
        <w:rPr>
          <w:rFonts w:eastAsia="Times New Roman" w:cstheme="minorHAnsi"/>
          <w:lang w:eastAsia="en-AU"/>
        </w:rPr>
        <w:t>is</w:t>
      </w:r>
      <w:r w:rsidRPr="00B95FB1">
        <w:rPr>
          <w:rFonts w:eastAsia="Times New Roman" w:cstheme="minorHAnsi"/>
          <w:lang w:eastAsia="en-AU"/>
        </w:rPr>
        <w:t xml:space="preserve"> review</w:t>
      </w:r>
      <w:r w:rsidR="00C03651">
        <w:rPr>
          <w:rFonts w:eastAsia="Times New Roman" w:cstheme="minorHAnsi"/>
          <w:lang w:eastAsia="en-AU"/>
        </w:rPr>
        <w:t>. S</w:t>
      </w:r>
      <w:r w:rsidRPr="00B95FB1">
        <w:rPr>
          <w:rFonts w:eastAsia="Times New Roman" w:cstheme="minorHAnsi"/>
          <w:lang w:eastAsia="en-AU"/>
        </w:rPr>
        <w:t>ome key protocol questions</w:t>
      </w:r>
      <w:r>
        <w:rPr>
          <w:rFonts w:eastAsia="Times New Roman" w:cstheme="minorHAnsi"/>
          <w:lang w:eastAsia="en-AU"/>
        </w:rPr>
        <w:t xml:space="preserve"> for consideration</w:t>
      </w:r>
      <w:r w:rsidR="00C03651">
        <w:rPr>
          <w:rFonts w:eastAsia="Times New Roman" w:cstheme="minorHAnsi"/>
          <w:lang w:eastAsia="en-AU"/>
        </w:rPr>
        <w:t xml:space="preserve"> are listed</w:t>
      </w:r>
      <w:r w:rsidR="00D3144C">
        <w:rPr>
          <w:rFonts w:eastAsia="Times New Roman" w:cstheme="minorHAnsi"/>
          <w:lang w:eastAsia="en-AU"/>
        </w:rPr>
        <w:t xml:space="preserve"> below each </w:t>
      </w:r>
      <w:proofErr w:type="spellStart"/>
      <w:r w:rsidR="00D3144C">
        <w:rPr>
          <w:rFonts w:eastAsia="Times New Roman" w:cstheme="minorHAnsi"/>
          <w:lang w:eastAsia="en-AU"/>
        </w:rPr>
        <w:t>ToR</w:t>
      </w:r>
      <w:proofErr w:type="spellEnd"/>
      <w:r w:rsidRPr="00B95FB1">
        <w:rPr>
          <w:rFonts w:eastAsia="Times New Roman" w:cstheme="minorHAnsi"/>
          <w:lang w:eastAsia="en-AU"/>
        </w:rPr>
        <w:t xml:space="preserve">, noting that the </w:t>
      </w:r>
      <w:r w:rsidR="00B03198">
        <w:rPr>
          <w:rFonts w:eastAsia="Times New Roman" w:cstheme="minorHAnsi"/>
          <w:lang w:eastAsia="en-AU"/>
        </w:rPr>
        <w:t xml:space="preserve">review </w:t>
      </w:r>
      <w:r w:rsidRPr="00B95FB1">
        <w:rPr>
          <w:rFonts w:eastAsia="Times New Roman" w:cstheme="minorHAnsi"/>
          <w:lang w:eastAsia="en-AU"/>
        </w:rPr>
        <w:t xml:space="preserve">is not limited to the questions </w:t>
      </w:r>
      <w:r w:rsidR="00B03198">
        <w:rPr>
          <w:rFonts w:eastAsia="Times New Roman" w:cstheme="minorHAnsi"/>
          <w:lang w:eastAsia="en-AU"/>
        </w:rPr>
        <w:t xml:space="preserve">listed </w:t>
      </w:r>
      <w:r w:rsidRPr="00B95FB1">
        <w:rPr>
          <w:rFonts w:eastAsia="Times New Roman" w:cstheme="minorHAnsi"/>
          <w:lang w:eastAsia="en-AU"/>
        </w:rPr>
        <w:t xml:space="preserve">and evaluation may provide further advice to the Panel to inform the eventual recommendation(s) for this medicine. </w:t>
      </w:r>
    </w:p>
    <w:p w14:paraId="7668E4F8" w14:textId="195A3556" w:rsidR="00E13224" w:rsidRPr="00E13224" w:rsidRDefault="00E13224" w:rsidP="00E13224">
      <w:pPr>
        <w:rPr>
          <w:rFonts w:eastAsia="Times New Roman" w:cstheme="minorHAnsi"/>
          <w:b/>
          <w:bCs/>
          <w:sz w:val="24"/>
          <w:szCs w:val="24"/>
          <w:lang w:eastAsia="en-AU"/>
        </w:rPr>
      </w:pPr>
      <w:proofErr w:type="spellStart"/>
      <w:r w:rsidRPr="00E13224">
        <w:rPr>
          <w:rFonts w:eastAsia="Times New Roman" w:cstheme="minorHAnsi"/>
          <w:b/>
          <w:bCs/>
          <w:sz w:val="24"/>
          <w:szCs w:val="24"/>
          <w:lang w:eastAsia="en-AU"/>
        </w:rPr>
        <w:t>ToR</w:t>
      </w:r>
      <w:proofErr w:type="spellEnd"/>
      <w:r w:rsidRPr="00E13224">
        <w:rPr>
          <w:rFonts w:eastAsia="Times New Roman" w:cstheme="minorHAnsi"/>
          <w:b/>
          <w:bCs/>
          <w:sz w:val="24"/>
          <w:szCs w:val="24"/>
          <w:lang w:eastAsia="en-AU"/>
        </w:rPr>
        <w:t xml:space="preserve"> 1: Clinical effectiveness </w:t>
      </w:r>
      <w:r w:rsidR="007D7403">
        <w:rPr>
          <w:rFonts w:eastAsia="Times New Roman" w:cstheme="minorHAnsi"/>
          <w:b/>
          <w:bCs/>
          <w:sz w:val="24"/>
          <w:szCs w:val="24"/>
          <w:lang w:eastAsia="en-AU"/>
        </w:rPr>
        <w:t xml:space="preserve">and </w:t>
      </w:r>
      <w:r w:rsidRPr="00E13224">
        <w:rPr>
          <w:rFonts w:eastAsia="Times New Roman" w:cstheme="minorHAnsi"/>
          <w:b/>
          <w:bCs/>
          <w:sz w:val="24"/>
          <w:szCs w:val="24"/>
          <w:lang w:eastAsia="en-AU"/>
        </w:rPr>
        <w:t>Safety</w:t>
      </w:r>
      <w:r w:rsidR="003F682F">
        <w:rPr>
          <w:rFonts w:eastAsia="Times New Roman" w:cstheme="minorHAnsi"/>
          <w:b/>
          <w:bCs/>
          <w:sz w:val="24"/>
          <w:szCs w:val="24"/>
          <w:lang w:eastAsia="en-AU"/>
        </w:rPr>
        <w:t xml:space="preserve"> </w:t>
      </w:r>
    </w:p>
    <w:p w14:paraId="606693BD" w14:textId="34BCE162" w:rsidR="00E13224" w:rsidRPr="00911A3E" w:rsidRDefault="00E13224" w:rsidP="00E13224">
      <w:pPr>
        <w:spacing w:before="100" w:beforeAutospacing="1" w:after="100" w:afterAutospacing="1"/>
        <w:rPr>
          <w:rFonts w:eastAsia="Times New Roman" w:cstheme="minorHAnsi"/>
          <w:lang w:eastAsia="en-AU"/>
        </w:rPr>
      </w:pPr>
      <w:r>
        <w:rPr>
          <w:rFonts w:eastAsia="Times New Roman" w:cstheme="minorHAnsi"/>
          <w:lang w:eastAsia="en-AU"/>
        </w:rPr>
        <w:t xml:space="preserve">This </w:t>
      </w:r>
      <w:proofErr w:type="spellStart"/>
      <w:r>
        <w:rPr>
          <w:rFonts w:eastAsia="Times New Roman" w:cstheme="minorHAnsi"/>
          <w:lang w:eastAsia="en-AU"/>
        </w:rPr>
        <w:t>ToR</w:t>
      </w:r>
      <w:proofErr w:type="spellEnd"/>
      <w:r>
        <w:rPr>
          <w:rFonts w:eastAsia="Times New Roman" w:cstheme="minorHAnsi"/>
          <w:lang w:eastAsia="en-AU"/>
        </w:rPr>
        <w:t xml:space="preserve"> aims to r</w:t>
      </w:r>
      <w:r w:rsidRPr="00F67686">
        <w:rPr>
          <w:rFonts w:eastAsia="Times New Roman" w:cstheme="minorHAnsi"/>
          <w:lang w:eastAsia="en-AU"/>
        </w:rPr>
        <w:t xml:space="preserve">eview the available </w:t>
      </w:r>
      <w:r w:rsidR="00B5435B" w:rsidRPr="00D5000A">
        <w:rPr>
          <w:rFonts w:eastAsia="Times New Roman" w:cstheme="minorHAnsi"/>
          <w:lang w:eastAsia="en-AU"/>
        </w:rPr>
        <w:t>new</w:t>
      </w:r>
      <w:r w:rsidR="00B5435B">
        <w:rPr>
          <w:rFonts w:eastAsia="Times New Roman" w:cstheme="minorHAnsi"/>
          <w:lang w:eastAsia="en-AU"/>
        </w:rPr>
        <w:t xml:space="preserve"> </w:t>
      </w:r>
      <w:r w:rsidRPr="00F67686">
        <w:rPr>
          <w:rFonts w:eastAsia="Times New Roman" w:cstheme="minorHAnsi"/>
          <w:lang w:eastAsia="en-AU"/>
        </w:rPr>
        <w:t>evidence, including evidence collected through the LSDP and outcomes from studies that were still in progress</w:t>
      </w:r>
      <w:r w:rsidR="00393858">
        <w:rPr>
          <w:rFonts w:eastAsia="Times New Roman" w:cstheme="minorHAnsi"/>
          <w:lang w:eastAsia="en-AU"/>
        </w:rPr>
        <w:t xml:space="preserve"> </w:t>
      </w:r>
      <w:r w:rsidR="004C6753">
        <w:rPr>
          <w:rFonts w:eastAsia="Times New Roman" w:cstheme="minorHAnsi"/>
          <w:lang w:eastAsia="en-AU"/>
        </w:rPr>
        <w:t xml:space="preserve">at, </w:t>
      </w:r>
      <w:r w:rsidR="00393858">
        <w:rPr>
          <w:rFonts w:eastAsia="Times New Roman" w:cstheme="minorHAnsi"/>
          <w:lang w:eastAsia="en-AU"/>
        </w:rPr>
        <w:t xml:space="preserve">or have </w:t>
      </w:r>
      <w:r w:rsidR="004C6753">
        <w:rPr>
          <w:rFonts w:eastAsia="Times New Roman" w:cstheme="minorHAnsi"/>
          <w:lang w:eastAsia="en-AU"/>
        </w:rPr>
        <w:t>been performed since,</w:t>
      </w:r>
      <w:r w:rsidRPr="00F67686">
        <w:rPr>
          <w:rFonts w:eastAsia="Times New Roman" w:cstheme="minorHAnsi"/>
          <w:lang w:eastAsia="en-AU"/>
        </w:rPr>
        <w:t xml:space="preserve"> the time of inclusion of migalastat on the LSDP, to inform judgements regarding the </w:t>
      </w:r>
      <w:r w:rsidR="002E10A2">
        <w:rPr>
          <w:rFonts w:eastAsia="Times New Roman" w:cstheme="minorHAnsi"/>
          <w:lang w:eastAsia="en-AU"/>
        </w:rPr>
        <w:t>compar</w:t>
      </w:r>
      <w:r w:rsidR="00492029">
        <w:rPr>
          <w:rFonts w:eastAsia="Times New Roman" w:cstheme="minorHAnsi"/>
          <w:lang w:eastAsia="en-AU"/>
        </w:rPr>
        <w:t xml:space="preserve">ative </w:t>
      </w:r>
      <w:r w:rsidRPr="00F67686">
        <w:rPr>
          <w:rFonts w:eastAsia="Times New Roman" w:cstheme="minorHAnsi"/>
          <w:lang w:eastAsia="en-AU"/>
        </w:rPr>
        <w:t>clinical effectiveness and safety of migalastat</w:t>
      </w:r>
      <w:r w:rsidRPr="00911A3E">
        <w:rPr>
          <w:rFonts w:eastAsia="Times New Roman" w:cstheme="minorHAnsi"/>
          <w:lang w:eastAsia="en-AU"/>
        </w:rPr>
        <w:t>.</w:t>
      </w:r>
      <w:r w:rsidR="00B5435B" w:rsidRPr="00911A3E">
        <w:rPr>
          <w:rFonts w:eastAsia="Times New Roman" w:cstheme="minorHAnsi"/>
          <w:lang w:eastAsia="en-AU"/>
        </w:rPr>
        <w:t xml:space="preserve"> The new evidence should be presented in the context of previous evidence.</w:t>
      </w:r>
    </w:p>
    <w:p w14:paraId="0E7AA4C9" w14:textId="1F4C39FF" w:rsidR="00B5435B" w:rsidRPr="00911A3E" w:rsidRDefault="00E13224" w:rsidP="00E13224">
      <w:pPr>
        <w:spacing w:before="100" w:beforeAutospacing="1" w:after="100" w:afterAutospacing="1"/>
        <w:rPr>
          <w:rFonts w:eastAsia="Times New Roman" w:cstheme="minorHAnsi"/>
          <w:lang w:eastAsia="en-AU"/>
        </w:rPr>
      </w:pPr>
      <w:r w:rsidRPr="00911A3E">
        <w:rPr>
          <w:rFonts w:eastAsia="Times New Roman" w:cstheme="minorHAnsi"/>
          <w:lang w:eastAsia="en-AU"/>
        </w:rPr>
        <w:t xml:space="preserve">Protocol Questions </w:t>
      </w:r>
    </w:p>
    <w:p w14:paraId="2E39050F" w14:textId="77777777" w:rsidR="00D5000A" w:rsidRDefault="007D7403" w:rsidP="00D5000A">
      <w:pPr>
        <w:pStyle w:val="ListParagraph"/>
        <w:numPr>
          <w:ilvl w:val="0"/>
          <w:numId w:val="5"/>
        </w:numPr>
        <w:spacing w:before="100" w:beforeAutospacing="1" w:after="100" w:afterAutospacing="1"/>
        <w:rPr>
          <w:rFonts w:eastAsia="Times New Roman" w:cstheme="minorHAnsi"/>
          <w:lang w:eastAsia="en-AU"/>
        </w:rPr>
      </w:pPr>
      <w:r>
        <w:rPr>
          <w:rFonts w:eastAsia="Times New Roman" w:cstheme="minorHAnsi"/>
          <w:lang w:eastAsia="en-AU"/>
        </w:rPr>
        <w:t>Are</w:t>
      </w:r>
      <w:r w:rsidR="00354B1B" w:rsidRPr="00911A3E">
        <w:rPr>
          <w:rFonts w:eastAsia="Times New Roman" w:cstheme="minorHAnsi"/>
          <w:lang w:eastAsia="en-AU"/>
        </w:rPr>
        <w:t xml:space="preserve"> patients </w:t>
      </w:r>
      <w:r w:rsidR="004B2431">
        <w:rPr>
          <w:rFonts w:eastAsia="Times New Roman" w:cstheme="minorHAnsi"/>
          <w:lang w:eastAsia="en-AU"/>
        </w:rPr>
        <w:t xml:space="preserve">who have </w:t>
      </w:r>
      <w:r w:rsidR="004B2431" w:rsidRPr="00911A3E">
        <w:rPr>
          <w:rFonts w:eastAsia="Times New Roman" w:cstheme="minorHAnsi"/>
          <w:lang w:eastAsia="en-AU"/>
        </w:rPr>
        <w:t>access</w:t>
      </w:r>
      <w:r w:rsidR="004B2431">
        <w:rPr>
          <w:rFonts w:eastAsia="Times New Roman" w:cstheme="minorHAnsi"/>
          <w:lang w:eastAsia="en-AU"/>
        </w:rPr>
        <w:t>ed</w:t>
      </w:r>
      <w:r w:rsidR="004B2431" w:rsidRPr="00911A3E">
        <w:rPr>
          <w:rFonts w:eastAsia="Times New Roman" w:cstheme="minorHAnsi"/>
          <w:lang w:eastAsia="en-AU"/>
        </w:rPr>
        <w:t xml:space="preserve"> </w:t>
      </w:r>
      <w:r w:rsidR="00354B1B" w:rsidRPr="00911A3E">
        <w:rPr>
          <w:rFonts w:eastAsia="Times New Roman" w:cstheme="minorHAnsi"/>
          <w:lang w:eastAsia="en-AU"/>
        </w:rPr>
        <w:t xml:space="preserve">migalastat on </w:t>
      </w:r>
      <w:r w:rsidR="00E775BE">
        <w:rPr>
          <w:rFonts w:eastAsia="Times New Roman" w:cstheme="minorHAnsi"/>
          <w:lang w:eastAsia="en-AU"/>
        </w:rPr>
        <w:t xml:space="preserve">the </w:t>
      </w:r>
      <w:r w:rsidR="00354B1B" w:rsidRPr="00911A3E">
        <w:rPr>
          <w:rFonts w:eastAsia="Times New Roman" w:cstheme="minorHAnsi"/>
          <w:lang w:eastAsia="en-AU"/>
        </w:rPr>
        <w:t>LSDP</w:t>
      </w:r>
      <w:r w:rsidR="004B2431">
        <w:rPr>
          <w:rFonts w:eastAsia="Times New Roman" w:cstheme="minorHAnsi"/>
          <w:lang w:eastAsia="en-AU"/>
        </w:rPr>
        <w:t xml:space="preserve"> still receiving migalastat? Have </w:t>
      </w:r>
      <w:r w:rsidR="00E775BE">
        <w:rPr>
          <w:rFonts w:eastAsia="Times New Roman" w:cstheme="minorHAnsi"/>
          <w:lang w:eastAsia="en-AU"/>
        </w:rPr>
        <w:t>any patient(s)</w:t>
      </w:r>
      <w:r w:rsidR="004B2431">
        <w:rPr>
          <w:rFonts w:eastAsia="Times New Roman" w:cstheme="minorHAnsi"/>
          <w:lang w:eastAsia="en-AU"/>
        </w:rPr>
        <w:t xml:space="preserve"> ceased or interrupted treatment with migalastat and, if so, why is </w:t>
      </w:r>
      <w:r w:rsidR="00E775BE">
        <w:rPr>
          <w:rFonts w:eastAsia="Times New Roman" w:cstheme="minorHAnsi"/>
          <w:lang w:eastAsia="en-AU"/>
        </w:rPr>
        <w:t xml:space="preserve">treatment </w:t>
      </w:r>
      <w:r w:rsidR="004B2431">
        <w:rPr>
          <w:rFonts w:eastAsia="Times New Roman" w:cstheme="minorHAnsi"/>
          <w:lang w:eastAsia="en-AU"/>
        </w:rPr>
        <w:t>not ongoing?</w:t>
      </w:r>
      <w:r w:rsidR="00D5000A" w:rsidRPr="00D5000A">
        <w:rPr>
          <w:rFonts w:eastAsia="Times New Roman" w:cstheme="minorHAnsi"/>
          <w:lang w:eastAsia="en-AU"/>
        </w:rPr>
        <w:t xml:space="preserve"> </w:t>
      </w:r>
    </w:p>
    <w:p w14:paraId="2F471B69" w14:textId="73696AF4" w:rsidR="00D5000A" w:rsidRDefault="00D5000A" w:rsidP="00D5000A">
      <w:pPr>
        <w:pStyle w:val="ListParagraph"/>
        <w:numPr>
          <w:ilvl w:val="0"/>
          <w:numId w:val="5"/>
        </w:numPr>
        <w:spacing w:before="100" w:beforeAutospacing="1" w:after="100" w:afterAutospacing="1"/>
        <w:rPr>
          <w:rFonts w:eastAsia="Times New Roman" w:cstheme="minorHAnsi"/>
          <w:lang w:eastAsia="en-AU"/>
        </w:rPr>
      </w:pPr>
      <w:r w:rsidRPr="00B84C29">
        <w:rPr>
          <w:rFonts w:eastAsia="Times New Roman" w:cstheme="minorHAnsi"/>
          <w:lang w:eastAsia="en-AU"/>
        </w:rPr>
        <w:t xml:space="preserve">What </w:t>
      </w:r>
      <w:r>
        <w:rPr>
          <w:rFonts w:eastAsia="Times New Roman" w:cstheme="minorHAnsi"/>
          <w:lang w:eastAsia="en-AU"/>
        </w:rPr>
        <w:t>are</w:t>
      </w:r>
      <w:r w:rsidRPr="00B84C29">
        <w:rPr>
          <w:rFonts w:eastAsia="Times New Roman" w:cstheme="minorHAnsi"/>
          <w:lang w:eastAsia="en-AU"/>
        </w:rPr>
        <w:t xml:space="preserve"> the most accurate method</w:t>
      </w:r>
      <w:r>
        <w:rPr>
          <w:rFonts w:eastAsia="Times New Roman" w:cstheme="minorHAnsi"/>
          <w:lang w:eastAsia="en-AU"/>
        </w:rPr>
        <w:t>s</w:t>
      </w:r>
      <w:r w:rsidRPr="00B84C29">
        <w:rPr>
          <w:rFonts w:eastAsia="Times New Roman" w:cstheme="minorHAnsi"/>
          <w:lang w:eastAsia="en-AU"/>
        </w:rPr>
        <w:t xml:space="preserve"> for </w:t>
      </w:r>
      <w:r>
        <w:rPr>
          <w:rFonts w:eastAsia="Times New Roman" w:cstheme="minorHAnsi"/>
          <w:lang w:eastAsia="en-AU"/>
        </w:rPr>
        <w:t>demonstrating</w:t>
      </w:r>
      <w:r w:rsidRPr="00B84C29">
        <w:rPr>
          <w:rFonts w:eastAsia="Times New Roman" w:cstheme="minorHAnsi"/>
          <w:lang w:eastAsia="en-AU"/>
        </w:rPr>
        <w:t xml:space="preserve"> efficacy of </w:t>
      </w:r>
      <w:r>
        <w:rPr>
          <w:rFonts w:eastAsia="Times New Roman" w:cstheme="minorHAnsi"/>
          <w:lang w:eastAsia="en-AU"/>
        </w:rPr>
        <w:t>migalastat for patients with Fabry</w:t>
      </w:r>
      <w:r w:rsidRPr="00961C48">
        <w:rPr>
          <w:rFonts w:eastAsia="Times New Roman" w:cstheme="minorHAnsi"/>
          <w:lang w:eastAsia="en-AU"/>
        </w:rPr>
        <w:t xml:space="preserve"> disease</w:t>
      </w:r>
      <w:r>
        <w:rPr>
          <w:rFonts w:eastAsia="Times New Roman" w:cstheme="minorHAnsi"/>
          <w:lang w:eastAsia="en-AU"/>
        </w:rPr>
        <w:t xml:space="preserve"> on the LSDP</w:t>
      </w:r>
      <w:r w:rsidRPr="00B84C29">
        <w:rPr>
          <w:rFonts w:eastAsia="Times New Roman" w:cstheme="minorHAnsi"/>
          <w:lang w:eastAsia="en-AU"/>
        </w:rPr>
        <w:t>?</w:t>
      </w:r>
    </w:p>
    <w:p w14:paraId="03C5BA62" w14:textId="1AF50291" w:rsidR="00E13224" w:rsidRPr="00911A3E" w:rsidRDefault="00E13224" w:rsidP="00E13224">
      <w:pPr>
        <w:pStyle w:val="ListParagraph"/>
        <w:numPr>
          <w:ilvl w:val="0"/>
          <w:numId w:val="5"/>
        </w:numPr>
        <w:spacing w:before="100" w:beforeAutospacing="1" w:after="100" w:afterAutospacing="1"/>
        <w:rPr>
          <w:rFonts w:eastAsia="Times New Roman" w:cstheme="minorHAnsi"/>
          <w:lang w:eastAsia="en-AU"/>
        </w:rPr>
      </w:pPr>
      <w:r w:rsidRPr="00911A3E">
        <w:rPr>
          <w:rFonts w:eastAsia="Times New Roman" w:cstheme="minorHAnsi"/>
          <w:lang w:eastAsia="en-AU"/>
        </w:rPr>
        <w:t xml:space="preserve">Renal Function </w:t>
      </w:r>
    </w:p>
    <w:p w14:paraId="6763CE0C" w14:textId="34FBEAF3" w:rsidR="00C04570" w:rsidRPr="00911A3E" w:rsidRDefault="00C04570" w:rsidP="00C04570">
      <w:pPr>
        <w:pStyle w:val="ListParagraph"/>
        <w:numPr>
          <w:ilvl w:val="1"/>
          <w:numId w:val="5"/>
        </w:numPr>
        <w:spacing w:before="100" w:beforeAutospacing="1" w:after="100" w:afterAutospacing="1"/>
        <w:rPr>
          <w:rFonts w:eastAsia="Times New Roman" w:cstheme="minorHAnsi"/>
          <w:lang w:eastAsia="en-AU"/>
        </w:rPr>
      </w:pPr>
      <w:r>
        <w:rPr>
          <w:rFonts w:eastAsia="Times New Roman" w:cstheme="minorHAnsi"/>
          <w:lang w:eastAsia="en-AU"/>
        </w:rPr>
        <w:t xml:space="preserve">What additional evidence has the sponsor collected since its last submission to PBAC regarding </w:t>
      </w:r>
      <w:r w:rsidR="00ED33B4">
        <w:rPr>
          <w:rFonts w:eastAsia="Times New Roman" w:cstheme="minorHAnsi"/>
          <w:lang w:eastAsia="en-AU"/>
        </w:rPr>
        <w:t xml:space="preserve">the </w:t>
      </w:r>
      <w:r>
        <w:rPr>
          <w:rFonts w:eastAsia="Times New Roman" w:cstheme="minorHAnsi"/>
          <w:lang w:eastAsia="en-AU"/>
        </w:rPr>
        <w:t>impact of migalastat on renal function?</w:t>
      </w:r>
    </w:p>
    <w:p w14:paraId="378880ED" w14:textId="63C3CCC4" w:rsidR="00E13224" w:rsidRPr="00911A3E" w:rsidRDefault="00E13224" w:rsidP="00E13224">
      <w:pPr>
        <w:pStyle w:val="ListParagraph"/>
        <w:numPr>
          <w:ilvl w:val="1"/>
          <w:numId w:val="5"/>
        </w:numPr>
        <w:spacing w:before="100" w:beforeAutospacing="1" w:after="100" w:afterAutospacing="1"/>
        <w:rPr>
          <w:rFonts w:eastAsia="Times New Roman" w:cstheme="minorHAnsi"/>
          <w:lang w:eastAsia="en-AU"/>
        </w:rPr>
      </w:pPr>
      <w:r w:rsidRPr="00911A3E">
        <w:rPr>
          <w:rFonts w:eastAsia="Times New Roman" w:cstheme="minorHAnsi"/>
          <w:lang w:eastAsia="en-AU"/>
        </w:rPr>
        <w:t xml:space="preserve">Are the </w:t>
      </w:r>
      <w:r w:rsidR="00F35BF3">
        <w:rPr>
          <w:rFonts w:eastAsia="Times New Roman" w:cstheme="minorHAnsi"/>
          <w:lang w:eastAsia="en-AU"/>
        </w:rPr>
        <w:t>observed changes</w:t>
      </w:r>
      <w:r w:rsidRPr="00911A3E">
        <w:rPr>
          <w:rFonts w:eastAsia="Times New Roman" w:cstheme="minorHAnsi"/>
          <w:lang w:eastAsia="en-AU"/>
        </w:rPr>
        <w:t xml:space="preserve"> in </w:t>
      </w:r>
      <w:r w:rsidR="004B2431">
        <w:rPr>
          <w:rFonts w:eastAsia="Times New Roman" w:cstheme="minorHAnsi"/>
          <w:lang w:eastAsia="en-AU"/>
        </w:rPr>
        <w:t>glomerular filtration rate (</w:t>
      </w:r>
      <w:r w:rsidRPr="00911A3E">
        <w:rPr>
          <w:rFonts w:eastAsia="Times New Roman" w:cstheme="minorHAnsi"/>
          <w:lang w:eastAsia="en-AU"/>
        </w:rPr>
        <w:t>GFR</w:t>
      </w:r>
      <w:r w:rsidR="004B2431">
        <w:rPr>
          <w:rFonts w:eastAsia="Times New Roman" w:cstheme="minorHAnsi"/>
          <w:lang w:eastAsia="en-AU"/>
        </w:rPr>
        <w:t>)</w:t>
      </w:r>
      <w:r w:rsidR="009C2D2B">
        <w:rPr>
          <w:rFonts w:eastAsia="Times New Roman" w:cstheme="minorHAnsi"/>
          <w:lang w:eastAsia="en-AU"/>
        </w:rPr>
        <w:t xml:space="preserve"> in patients treated with migalastat through the LSDP</w:t>
      </w:r>
      <w:r w:rsidRPr="00911A3E">
        <w:rPr>
          <w:rFonts w:eastAsia="Times New Roman" w:cstheme="minorHAnsi"/>
          <w:lang w:eastAsia="en-AU"/>
        </w:rPr>
        <w:t xml:space="preserve"> in line with the </w:t>
      </w:r>
      <w:r w:rsidR="00CE71BF">
        <w:rPr>
          <w:rFonts w:eastAsia="Times New Roman" w:cstheme="minorHAnsi"/>
          <w:lang w:eastAsia="en-AU"/>
        </w:rPr>
        <w:t>improvements</w:t>
      </w:r>
      <w:r w:rsidR="000308FF">
        <w:rPr>
          <w:rFonts w:eastAsia="Times New Roman" w:cstheme="minorHAnsi"/>
          <w:lang w:eastAsia="en-AU"/>
        </w:rPr>
        <w:t xml:space="preserve"> reported</w:t>
      </w:r>
      <w:r w:rsidR="000308FF" w:rsidRPr="00911A3E">
        <w:rPr>
          <w:rFonts w:eastAsia="Times New Roman" w:cstheme="minorHAnsi"/>
          <w:lang w:eastAsia="en-AU"/>
        </w:rPr>
        <w:t xml:space="preserve"> </w:t>
      </w:r>
      <w:r w:rsidRPr="00911A3E">
        <w:rPr>
          <w:rFonts w:eastAsia="Times New Roman" w:cstheme="minorHAnsi"/>
          <w:lang w:eastAsia="en-AU"/>
        </w:rPr>
        <w:t>in the ATTRACT study?</w:t>
      </w:r>
    </w:p>
    <w:p w14:paraId="0AC6DE3D" w14:textId="5968D49C" w:rsidR="00E13224" w:rsidRPr="00911A3E" w:rsidRDefault="00E13224" w:rsidP="00E13224">
      <w:pPr>
        <w:pStyle w:val="ListParagraph"/>
        <w:numPr>
          <w:ilvl w:val="1"/>
          <w:numId w:val="5"/>
        </w:numPr>
        <w:spacing w:before="100" w:beforeAutospacing="1" w:after="100" w:afterAutospacing="1"/>
        <w:rPr>
          <w:rFonts w:eastAsia="Times New Roman" w:cstheme="minorHAnsi"/>
          <w:lang w:eastAsia="en-AU"/>
        </w:rPr>
      </w:pPr>
      <w:r w:rsidRPr="00911A3E">
        <w:rPr>
          <w:rFonts w:eastAsia="Times New Roman" w:cstheme="minorHAnsi"/>
          <w:lang w:eastAsia="en-AU"/>
        </w:rPr>
        <w:t>How do GFR results for p</w:t>
      </w:r>
      <w:r w:rsidR="00D60CF0">
        <w:rPr>
          <w:rFonts w:eastAsia="Times New Roman" w:cstheme="minorHAnsi"/>
          <w:lang w:eastAsia="en-AU"/>
        </w:rPr>
        <w:t>atien</w:t>
      </w:r>
      <w:r w:rsidRPr="00911A3E">
        <w:rPr>
          <w:rFonts w:eastAsia="Times New Roman" w:cstheme="minorHAnsi"/>
          <w:lang w:eastAsia="en-AU"/>
        </w:rPr>
        <w:t xml:space="preserve">ts </w:t>
      </w:r>
      <w:r w:rsidR="00FF370C">
        <w:rPr>
          <w:rFonts w:eastAsia="Times New Roman" w:cstheme="minorHAnsi"/>
          <w:lang w:eastAsia="en-AU"/>
        </w:rPr>
        <w:t>who have been treated with</w:t>
      </w:r>
      <w:r w:rsidR="00FF370C" w:rsidRPr="00911A3E">
        <w:rPr>
          <w:rFonts w:eastAsia="Times New Roman" w:cstheme="minorHAnsi"/>
          <w:lang w:eastAsia="en-AU"/>
        </w:rPr>
        <w:t xml:space="preserve"> </w:t>
      </w:r>
      <w:r w:rsidRPr="00911A3E">
        <w:rPr>
          <w:rFonts w:eastAsia="Times New Roman" w:cstheme="minorHAnsi"/>
          <w:lang w:eastAsia="en-AU"/>
        </w:rPr>
        <w:t>migalastat</w:t>
      </w:r>
      <w:r w:rsidR="006B0AB9">
        <w:rPr>
          <w:rFonts w:eastAsia="Times New Roman" w:cstheme="minorHAnsi"/>
          <w:lang w:eastAsia="en-AU"/>
        </w:rPr>
        <w:t xml:space="preserve"> through the LSDP</w:t>
      </w:r>
      <w:r w:rsidRPr="00911A3E">
        <w:rPr>
          <w:rFonts w:eastAsia="Times New Roman" w:cstheme="minorHAnsi"/>
          <w:lang w:eastAsia="en-AU"/>
        </w:rPr>
        <w:t xml:space="preserve"> compare with the results for the same p</w:t>
      </w:r>
      <w:r w:rsidR="00D60CF0">
        <w:rPr>
          <w:rFonts w:eastAsia="Times New Roman" w:cstheme="minorHAnsi"/>
          <w:lang w:eastAsia="en-AU"/>
        </w:rPr>
        <w:t>atien</w:t>
      </w:r>
      <w:r w:rsidRPr="00911A3E">
        <w:rPr>
          <w:rFonts w:eastAsia="Times New Roman" w:cstheme="minorHAnsi"/>
          <w:lang w:eastAsia="en-AU"/>
        </w:rPr>
        <w:t xml:space="preserve">ts </w:t>
      </w:r>
      <w:r w:rsidR="00F356A5">
        <w:rPr>
          <w:rFonts w:eastAsia="Times New Roman" w:cstheme="minorHAnsi"/>
          <w:lang w:eastAsia="en-AU"/>
        </w:rPr>
        <w:t>while</w:t>
      </w:r>
      <w:r w:rsidR="00F356A5" w:rsidRPr="00911A3E">
        <w:rPr>
          <w:rFonts w:eastAsia="Times New Roman" w:cstheme="minorHAnsi"/>
          <w:lang w:eastAsia="en-AU"/>
        </w:rPr>
        <w:t xml:space="preserve"> </w:t>
      </w:r>
      <w:r w:rsidRPr="00911A3E">
        <w:rPr>
          <w:rFonts w:eastAsia="Times New Roman" w:cstheme="minorHAnsi"/>
          <w:lang w:eastAsia="en-AU"/>
        </w:rPr>
        <w:t>they were previously on ERT?</w:t>
      </w:r>
    </w:p>
    <w:p w14:paraId="0A489158" w14:textId="77777777" w:rsidR="00E13224" w:rsidRPr="00911A3E" w:rsidRDefault="00E13224" w:rsidP="00E13224">
      <w:pPr>
        <w:pStyle w:val="ListParagraph"/>
        <w:numPr>
          <w:ilvl w:val="1"/>
          <w:numId w:val="5"/>
        </w:numPr>
        <w:spacing w:before="100" w:beforeAutospacing="1" w:after="100" w:afterAutospacing="1"/>
        <w:rPr>
          <w:rFonts w:eastAsia="Times New Roman" w:cstheme="minorHAnsi"/>
          <w:lang w:eastAsia="en-AU"/>
        </w:rPr>
      </w:pPr>
      <w:r w:rsidRPr="00911A3E">
        <w:rPr>
          <w:rFonts w:eastAsia="Times New Roman" w:cstheme="minorHAnsi"/>
          <w:lang w:eastAsia="en-AU"/>
        </w:rPr>
        <w:t>Is there evidence of deterioration or improvement in GFR on migalastat?</w:t>
      </w:r>
    </w:p>
    <w:p w14:paraId="2DC981F2" w14:textId="7BA87203" w:rsidR="00E13224" w:rsidRPr="00911A3E" w:rsidRDefault="00E13224" w:rsidP="00E13224">
      <w:pPr>
        <w:pStyle w:val="ListParagraph"/>
        <w:numPr>
          <w:ilvl w:val="0"/>
          <w:numId w:val="5"/>
        </w:numPr>
        <w:spacing w:before="100" w:beforeAutospacing="1" w:after="100" w:afterAutospacing="1"/>
        <w:rPr>
          <w:rFonts w:eastAsia="Times New Roman" w:cstheme="minorHAnsi"/>
          <w:lang w:eastAsia="en-AU"/>
        </w:rPr>
      </w:pPr>
      <w:r w:rsidRPr="00911A3E">
        <w:rPr>
          <w:rFonts w:eastAsia="Times New Roman" w:cstheme="minorHAnsi"/>
          <w:lang w:eastAsia="en-AU"/>
        </w:rPr>
        <w:t>Cardiac Function</w:t>
      </w:r>
    </w:p>
    <w:p w14:paraId="7C962356" w14:textId="140C90C6" w:rsidR="00E13224" w:rsidRPr="00F356A5" w:rsidRDefault="00C04570" w:rsidP="00F356A5">
      <w:pPr>
        <w:pStyle w:val="ListParagraph"/>
        <w:numPr>
          <w:ilvl w:val="1"/>
          <w:numId w:val="5"/>
        </w:numPr>
        <w:spacing w:before="100" w:beforeAutospacing="1" w:after="100" w:afterAutospacing="1"/>
        <w:rPr>
          <w:rFonts w:eastAsia="Times New Roman" w:cstheme="minorHAnsi"/>
          <w:lang w:eastAsia="en-AU"/>
        </w:rPr>
      </w:pPr>
      <w:r w:rsidRPr="00F356A5">
        <w:rPr>
          <w:rFonts w:eastAsia="Times New Roman" w:cstheme="minorHAnsi"/>
          <w:lang w:eastAsia="en-AU"/>
        </w:rPr>
        <w:t>What additional evi</w:t>
      </w:r>
      <w:r w:rsidRPr="003C1933">
        <w:rPr>
          <w:rFonts w:eastAsia="Times New Roman" w:cstheme="minorHAnsi"/>
          <w:lang w:eastAsia="en-AU"/>
        </w:rPr>
        <w:t>dence</w:t>
      </w:r>
      <w:r w:rsidRPr="00781045">
        <w:rPr>
          <w:rFonts w:eastAsia="Times New Roman" w:cstheme="minorHAnsi"/>
          <w:lang w:eastAsia="en-AU"/>
        </w:rPr>
        <w:t xml:space="preserve"> has the sponsor collected since its last submission to PBAC </w:t>
      </w:r>
      <w:r w:rsidRPr="006F0390">
        <w:rPr>
          <w:rFonts w:eastAsia="Times New Roman" w:cstheme="minorHAnsi"/>
          <w:lang w:eastAsia="en-AU"/>
        </w:rPr>
        <w:t xml:space="preserve">regarding </w:t>
      </w:r>
      <w:r w:rsidR="00ED33B4">
        <w:rPr>
          <w:rFonts w:eastAsia="Times New Roman" w:cstheme="minorHAnsi"/>
          <w:lang w:eastAsia="en-AU"/>
        </w:rPr>
        <w:t xml:space="preserve">the </w:t>
      </w:r>
      <w:r w:rsidRPr="006F0390">
        <w:rPr>
          <w:rFonts w:eastAsia="Times New Roman" w:cstheme="minorHAnsi"/>
          <w:lang w:eastAsia="en-AU"/>
        </w:rPr>
        <w:t>impact of</w:t>
      </w:r>
      <w:r w:rsidRPr="005C2382">
        <w:rPr>
          <w:rFonts w:eastAsia="Times New Roman" w:cstheme="minorHAnsi"/>
          <w:lang w:eastAsia="en-AU"/>
        </w:rPr>
        <w:t xml:space="preserve"> m</w:t>
      </w:r>
      <w:r w:rsidRPr="003C3A7D">
        <w:rPr>
          <w:rFonts w:eastAsia="Times New Roman" w:cstheme="minorHAnsi"/>
          <w:lang w:eastAsia="en-AU"/>
        </w:rPr>
        <w:t>igalastat</w:t>
      </w:r>
      <w:r w:rsidRPr="00C76AB1">
        <w:rPr>
          <w:rFonts w:eastAsia="Times New Roman" w:cstheme="minorHAnsi"/>
          <w:lang w:eastAsia="en-AU"/>
        </w:rPr>
        <w:t xml:space="preserve"> on </w:t>
      </w:r>
      <w:r w:rsidRPr="00E1268D">
        <w:rPr>
          <w:rFonts w:eastAsia="Times New Roman" w:cstheme="minorHAnsi"/>
          <w:lang w:eastAsia="en-AU"/>
        </w:rPr>
        <w:t>cardiac</w:t>
      </w:r>
      <w:r w:rsidRPr="00007A5C">
        <w:rPr>
          <w:rFonts w:eastAsia="Times New Roman" w:cstheme="minorHAnsi"/>
          <w:lang w:eastAsia="en-AU"/>
        </w:rPr>
        <w:t xml:space="preserve"> function</w:t>
      </w:r>
      <w:r w:rsidRPr="0029573D">
        <w:rPr>
          <w:rFonts w:eastAsia="Times New Roman" w:cstheme="minorHAnsi"/>
          <w:lang w:eastAsia="en-AU"/>
        </w:rPr>
        <w:t>?</w:t>
      </w:r>
    </w:p>
    <w:p w14:paraId="26D68A90" w14:textId="387FF22D" w:rsidR="00E13224" w:rsidRPr="00911A3E" w:rsidRDefault="00E13224" w:rsidP="00E13224">
      <w:pPr>
        <w:pStyle w:val="ListParagraph"/>
        <w:numPr>
          <w:ilvl w:val="1"/>
          <w:numId w:val="5"/>
        </w:numPr>
        <w:spacing w:before="100" w:beforeAutospacing="1" w:after="100" w:afterAutospacing="1"/>
        <w:rPr>
          <w:rFonts w:eastAsia="Times New Roman" w:cstheme="minorHAnsi"/>
          <w:lang w:eastAsia="en-AU"/>
        </w:rPr>
      </w:pPr>
      <w:r w:rsidRPr="00911A3E">
        <w:rPr>
          <w:rFonts w:eastAsia="Times New Roman" w:cstheme="minorHAnsi"/>
          <w:lang w:eastAsia="en-AU"/>
        </w:rPr>
        <w:t xml:space="preserve">How do </w:t>
      </w:r>
      <w:r w:rsidR="001C716F">
        <w:rPr>
          <w:rFonts w:eastAsia="Times New Roman" w:cstheme="minorHAnsi"/>
          <w:lang w:eastAsia="en-AU"/>
        </w:rPr>
        <w:t>left ventricular (</w:t>
      </w:r>
      <w:r w:rsidRPr="00911A3E">
        <w:rPr>
          <w:rFonts w:eastAsia="Times New Roman" w:cstheme="minorHAnsi"/>
          <w:lang w:eastAsia="en-AU"/>
        </w:rPr>
        <w:t>LV</w:t>
      </w:r>
      <w:r w:rsidR="001C716F">
        <w:rPr>
          <w:rFonts w:eastAsia="Times New Roman" w:cstheme="minorHAnsi"/>
          <w:lang w:eastAsia="en-AU"/>
        </w:rPr>
        <w:t>)</w:t>
      </w:r>
      <w:r w:rsidRPr="00911A3E">
        <w:rPr>
          <w:rFonts w:eastAsia="Times New Roman" w:cstheme="minorHAnsi"/>
          <w:lang w:eastAsia="en-AU"/>
        </w:rPr>
        <w:t xml:space="preserve"> mass results for p</w:t>
      </w:r>
      <w:r w:rsidR="001C716F">
        <w:rPr>
          <w:rFonts w:eastAsia="Times New Roman" w:cstheme="minorHAnsi"/>
          <w:lang w:eastAsia="en-AU"/>
        </w:rPr>
        <w:t>atien</w:t>
      </w:r>
      <w:r w:rsidRPr="00911A3E">
        <w:rPr>
          <w:rFonts w:eastAsia="Times New Roman" w:cstheme="minorHAnsi"/>
          <w:lang w:eastAsia="en-AU"/>
        </w:rPr>
        <w:t xml:space="preserve">ts </w:t>
      </w:r>
      <w:r w:rsidR="006B0AB9">
        <w:rPr>
          <w:rFonts w:eastAsia="Times New Roman" w:cstheme="minorHAnsi"/>
          <w:lang w:eastAsia="en-AU"/>
        </w:rPr>
        <w:t>who have been treated with</w:t>
      </w:r>
      <w:r w:rsidR="006B0AB9" w:rsidRPr="00911A3E">
        <w:rPr>
          <w:rFonts w:eastAsia="Times New Roman" w:cstheme="minorHAnsi"/>
          <w:lang w:eastAsia="en-AU"/>
        </w:rPr>
        <w:t xml:space="preserve"> </w:t>
      </w:r>
      <w:r w:rsidRPr="00911A3E">
        <w:rPr>
          <w:rFonts w:eastAsia="Times New Roman" w:cstheme="minorHAnsi"/>
          <w:lang w:eastAsia="en-AU"/>
        </w:rPr>
        <w:t xml:space="preserve">migalastat </w:t>
      </w:r>
      <w:r w:rsidR="006B0AB9">
        <w:rPr>
          <w:rFonts w:eastAsia="Times New Roman" w:cstheme="minorHAnsi"/>
          <w:lang w:eastAsia="en-AU"/>
        </w:rPr>
        <w:t>through the LSDP</w:t>
      </w:r>
      <w:r w:rsidR="006B0AB9" w:rsidRPr="00911A3E">
        <w:rPr>
          <w:rFonts w:eastAsia="Times New Roman" w:cstheme="minorHAnsi"/>
          <w:lang w:eastAsia="en-AU"/>
        </w:rPr>
        <w:t xml:space="preserve"> </w:t>
      </w:r>
      <w:r w:rsidRPr="00911A3E">
        <w:rPr>
          <w:rFonts w:eastAsia="Times New Roman" w:cstheme="minorHAnsi"/>
          <w:lang w:eastAsia="en-AU"/>
        </w:rPr>
        <w:t>compare with the results for the same p</w:t>
      </w:r>
      <w:r w:rsidR="001C716F">
        <w:rPr>
          <w:rFonts w:eastAsia="Times New Roman" w:cstheme="minorHAnsi"/>
          <w:lang w:eastAsia="en-AU"/>
        </w:rPr>
        <w:t>atien</w:t>
      </w:r>
      <w:r w:rsidRPr="00911A3E">
        <w:rPr>
          <w:rFonts w:eastAsia="Times New Roman" w:cstheme="minorHAnsi"/>
          <w:lang w:eastAsia="en-AU"/>
        </w:rPr>
        <w:t xml:space="preserve">ts </w:t>
      </w:r>
      <w:r w:rsidR="00F356A5">
        <w:rPr>
          <w:rFonts w:eastAsia="Times New Roman" w:cstheme="minorHAnsi"/>
          <w:lang w:eastAsia="en-AU"/>
        </w:rPr>
        <w:t>while</w:t>
      </w:r>
      <w:r w:rsidR="00F356A5" w:rsidRPr="00911A3E">
        <w:rPr>
          <w:rFonts w:eastAsia="Times New Roman" w:cstheme="minorHAnsi"/>
          <w:lang w:eastAsia="en-AU"/>
        </w:rPr>
        <w:t xml:space="preserve"> </w:t>
      </w:r>
      <w:r w:rsidRPr="00911A3E">
        <w:rPr>
          <w:rFonts w:eastAsia="Times New Roman" w:cstheme="minorHAnsi"/>
          <w:lang w:eastAsia="en-AU"/>
        </w:rPr>
        <w:t>they were previously on ERT?</w:t>
      </w:r>
    </w:p>
    <w:p w14:paraId="0F8E7495" w14:textId="1D2AFCAE" w:rsidR="00E13224" w:rsidRDefault="00E13224" w:rsidP="00E13224">
      <w:pPr>
        <w:pStyle w:val="ListParagraph"/>
        <w:numPr>
          <w:ilvl w:val="1"/>
          <w:numId w:val="5"/>
        </w:numPr>
        <w:spacing w:before="100" w:beforeAutospacing="1" w:after="100" w:afterAutospacing="1"/>
        <w:rPr>
          <w:rFonts w:eastAsia="Times New Roman" w:cstheme="minorHAnsi"/>
          <w:lang w:eastAsia="en-AU"/>
        </w:rPr>
      </w:pPr>
      <w:r w:rsidRPr="00911A3E">
        <w:rPr>
          <w:rFonts w:eastAsia="Times New Roman" w:cstheme="minorHAnsi"/>
          <w:lang w:eastAsia="en-AU"/>
        </w:rPr>
        <w:t>Is there evidence of deterioration or improvement in LV mass on migalastat?</w:t>
      </w:r>
    </w:p>
    <w:p w14:paraId="31450316" w14:textId="00993F05" w:rsidR="00E672AD" w:rsidRPr="00911A3E" w:rsidRDefault="00E672AD" w:rsidP="00E672AD">
      <w:pPr>
        <w:pStyle w:val="ListParagraph"/>
        <w:numPr>
          <w:ilvl w:val="0"/>
          <w:numId w:val="5"/>
        </w:numPr>
        <w:spacing w:before="100" w:beforeAutospacing="1" w:after="100" w:afterAutospacing="1"/>
        <w:rPr>
          <w:rFonts w:eastAsia="Times New Roman" w:cstheme="minorHAnsi"/>
          <w:lang w:eastAsia="en-AU"/>
        </w:rPr>
      </w:pPr>
      <w:r>
        <w:rPr>
          <w:rFonts w:eastAsia="Times New Roman" w:cstheme="minorHAnsi"/>
          <w:lang w:eastAsia="en-AU"/>
        </w:rPr>
        <w:t>Survival</w:t>
      </w:r>
    </w:p>
    <w:p w14:paraId="152C692B" w14:textId="4A5ADF17" w:rsidR="00E672AD" w:rsidRDefault="00D5000A" w:rsidP="00E672AD">
      <w:pPr>
        <w:pStyle w:val="ListParagraph"/>
        <w:numPr>
          <w:ilvl w:val="1"/>
          <w:numId w:val="5"/>
        </w:numPr>
        <w:spacing w:before="100" w:beforeAutospacing="1" w:after="100" w:afterAutospacing="1"/>
        <w:rPr>
          <w:rFonts w:eastAsia="Times New Roman" w:cstheme="minorHAnsi"/>
          <w:lang w:eastAsia="en-AU"/>
        </w:rPr>
      </w:pPr>
      <w:r w:rsidRPr="00571114">
        <w:rPr>
          <w:rFonts w:eastAsia="Times New Roman" w:cstheme="minorHAnsi"/>
          <w:lang w:eastAsia="en-AU"/>
        </w:rPr>
        <w:t xml:space="preserve">What evidence has been generated since the PBAC’s prior consideration of </w:t>
      </w:r>
      <w:r>
        <w:rPr>
          <w:rFonts w:eastAsia="Times New Roman" w:cstheme="minorHAnsi"/>
          <w:lang w:eastAsia="en-AU"/>
        </w:rPr>
        <w:t>migalastat</w:t>
      </w:r>
      <w:r w:rsidRPr="00571114">
        <w:rPr>
          <w:rFonts w:eastAsia="Times New Roman" w:cstheme="minorHAnsi"/>
          <w:lang w:eastAsia="en-AU"/>
        </w:rPr>
        <w:t xml:space="preserve"> (from analyses of LSDP patient data or additional data collected by the sponsor or published reports of such analyses) regarding the impact </w:t>
      </w:r>
      <w:r>
        <w:rPr>
          <w:rFonts w:eastAsia="Times New Roman" w:cstheme="minorHAnsi"/>
          <w:lang w:eastAsia="en-AU"/>
        </w:rPr>
        <w:t>of migalastat</w:t>
      </w:r>
      <w:r w:rsidRPr="00571114">
        <w:rPr>
          <w:rFonts w:eastAsia="Times New Roman" w:cstheme="minorHAnsi"/>
          <w:lang w:eastAsia="en-AU"/>
        </w:rPr>
        <w:t xml:space="preserve"> on the rate of progression of disease</w:t>
      </w:r>
      <w:r w:rsidR="00E672AD" w:rsidRPr="009902B8">
        <w:rPr>
          <w:rFonts w:eastAsia="Times New Roman" w:cstheme="minorHAnsi"/>
          <w:lang w:eastAsia="en-AU"/>
        </w:rPr>
        <w:t>?</w:t>
      </w:r>
    </w:p>
    <w:p w14:paraId="1B2D4BD3" w14:textId="77777777" w:rsidR="00E511C5" w:rsidRPr="00E511C5" w:rsidRDefault="00E511C5" w:rsidP="00E511C5">
      <w:pPr>
        <w:spacing w:before="100" w:beforeAutospacing="1" w:after="100" w:afterAutospacing="1"/>
        <w:ind w:left="360"/>
        <w:rPr>
          <w:rFonts w:eastAsia="Times New Roman" w:cstheme="minorHAnsi"/>
          <w:lang w:eastAsia="en-AU"/>
        </w:rPr>
      </w:pPr>
    </w:p>
    <w:p w14:paraId="7D68AFF4" w14:textId="7BD7193D" w:rsidR="00E672AD" w:rsidRPr="00911A3E" w:rsidRDefault="00E672AD" w:rsidP="00E672AD">
      <w:pPr>
        <w:pStyle w:val="ListParagraph"/>
        <w:numPr>
          <w:ilvl w:val="0"/>
          <w:numId w:val="5"/>
        </w:numPr>
        <w:spacing w:before="100" w:beforeAutospacing="1" w:after="100" w:afterAutospacing="1"/>
        <w:rPr>
          <w:rFonts w:eastAsia="Times New Roman" w:cstheme="minorHAnsi"/>
          <w:lang w:eastAsia="en-AU"/>
        </w:rPr>
      </w:pPr>
      <w:r>
        <w:rPr>
          <w:rFonts w:eastAsia="Times New Roman" w:cstheme="minorHAnsi"/>
          <w:lang w:eastAsia="en-AU"/>
        </w:rPr>
        <w:lastRenderedPageBreak/>
        <w:t>Quality of life</w:t>
      </w:r>
    </w:p>
    <w:p w14:paraId="3D000848" w14:textId="77777777" w:rsidR="00D5000A" w:rsidRPr="00D5000A" w:rsidRDefault="00E672AD" w:rsidP="00E672AD">
      <w:pPr>
        <w:pStyle w:val="ListParagraph"/>
        <w:numPr>
          <w:ilvl w:val="1"/>
          <w:numId w:val="5"/>
        </w:numPr>
        <w:spacing w:before="100" w:beforeAutospacing="1" w:after="100" w:afterAutospacing="1"/>
        <w:rPr>
          <w:rFonts w:eastAsia="Times New Roman" w:cstheme="minorHAnsi"/>
          <w:lang w:eastAsia="en-AU"/>
        </w:rPr>
      </w:pPr>
      <w:r w:rsidRPr="00F356A5">
        <w:rPr>
          <w:rFonts w:eastAsia="Times New Roman" w:cstheme="minorHAnsi"/>
          <w:lang w:eastAsia="en-AU"/>
        </w:rPr>
        <w:t>What additional evi</w:t>
      </w:r>
      <w:r w:rsidRPr="003C1933">
        <w:rPr>
          <w:rFonts w:eastAsia="Times New Roman" w:cstheme="minorHAnsi"/>
          <w:lang w:eastAsia="en-AU"/>
        </w:rPr>
        <w:t>dence</w:t>
      </w:r>
      <w:r w:rsidRPr="00781045">
        <w:rPr>
          <w:rFonts w:eastAsia="Times New Roman" w:cstheme="minorHAnsi"/>
          <w:lang w:eastAsia="en-AU"/>
        </w:rPr>
        <w:t xml:space="preserve"> has </w:t>
      </w:r>
      <w:r w:rsidR="002375A9">
        <w:rPr>
          <w:rFonts w:eastAsia="Times New Roman" w:cstheme="minorHAnsi"/>
          <w:lang w:eastAsia="en-AU"/>
        </w:rPr>
        <w:t xml:space="preserve">been generated </w:t>
      </w:r>
      <w:r w:rsidRPr="00781045">
        <w:rPr>
          <w:rFonts w:eastAsia="Times New Roman" w:cstheme="minorHAnsi"/>
          <w:lang w:eastAsia="en-AU"/>
        </w:rPr>
        <w:t xml:space="preserve">since </w:t>
      </w:r>
      <w:r w:rsidR="002375A9">
        <w:rPr>
          <w:rFonts w:eastAsia="Times New Roman" w:cstheme="minorHAnsi"/>
          <w:lang w:eastAsia="en-AU"/>
        </w:rPr>
        <w:t>the sponsor’s</w:t>
      </w:r>
      <w:r w:rsidRPr="00781045">
        <w:rPr>
          <w:rFonts w:eastAsia="Times New Roman" w:cstheme="minorHAnsi"/>
          <w:lang w:eastAsia="en-AU"/>
        </w:rPr>
        <w:t xml:space="preserve"> last submission to PBAC </w:t>
      </w:r>
      <w:r w:rsidRPr="006F0390">
        <w:rPr>
          <w:rFonts w:eastAsia="Times New Roman" w:cstheme="minorHAnsi"/>
          <w:lang w:eastAsia="en-AU"/>
        </w:rPr>
        <w:t xml:space="preserve">regarding </w:t>
      </w:r>
      <w:r>
        <w:rPr>
          <w:rFonts w:eastAsia="Times New Roman" w:cstheme="minorHAnsi"/>
          <w:lang w:eastAsia="en-AU"/>
        </w:rPr>
        <w:t xml:space="preserve">the </w:t>
      </w:r>
      <w:r w:rsidRPr="006F0390">
        <w:rPr>
          <w:rFonts w:eastAsia="Times New Roman" w:cstheme="minorHAnsi"/>
          <w:lang w:eastAsia="en-AU"/>
        </w:rPr>
        <w:t>impact of</w:t>
      </w:r>
      <w:r w:rsidRPr="005C2382">
        <w:rPr>
          <w:rFonts w:eastAsia="Times New Roman" w:cstheme="minorHAnsi"/>
          <w:lang w:eastAsia="en-AU"/>
        </w:rPr>
        <w:t xml:space="preserve"> m</w:t>
      </w:r>
      <w:r w:rsidRPr="003C3A7D">
        <w:rPr>
          <w:rFonts w:eastAsia="Times New Roman" w:cstheme="minorHAnsi"/>
          <w:lang w:eastAsia="en-AU"/>
        </w:rPr>
        <w:t>igalastat</w:t>
      </w:r>
      <w:r w:rsidRPr="00C76AB1">
        <w:rPr>
          <w:rFonts w:eastAsia="Times New Roman" w:cstheme="minorHAnsi"/>
          <w:lang w:eastAsia="en-AU"/>
        </w:rPr>
        <w:t xml:space="preserve"> on </w:t>
      </w:r>
      <w:r>
        <w:rPr>
          <w:rFonts w:eastAsia="Times New Roman" w:cstheme="minorHAnsi"/>
          <w:lang w:eastAsia="en-AU"/>
        </w:rPr>
        <w:t xml:space="preserve">quality of life </w:t>
      </w:r>
      <w:r w:rsidR="002916F3">
        <w:rPr>
          <w:rFonts w:eastAsia="Times New Roman" w:cstheme="minorHAnsi"/>
          <w:lang w:eastAsia="en-AU"/>
        </w:rPr>
        <w:t xml:space="preserve">of patients and their carers </w:t>
      </w:r>
      <w:r>
        <w:rPr>
          <w:rFonts w:eastAsia="Times New Roman" w:cstheme="minorHAnsi"/>
          <w:lang w:eastAsia="en-AU"/>
        </w:rPr>
        <w:t>compared with ERT</w:t>
      </w:r>
      <w:r w:rsidRPr="009902B8">
        <w:rPr>
          <w:rFonts w:eastAsia="Times New Roman" w:cstheme="minorHAnsi"/>
          <w:lang w:eastAsia="en-AU"/>
        </w:rPr>
        <w:t>?</w:t>
      </w:r>
      <w:r w:rsidR="00D5000A" w:rsidRPr="00D5000A">
        <w:t xml:space="preserve"> </w:t>
      </w:r>
    </w:p>
    <w:p w14:paraId="7A2876F6" w14:textId="74FEB0F0" w:rsidR="00E672AD" w:rsidRPr="00911A3E" w:rsidRDefault="00D5000A" w:rsidP="004878C9">
      <w:pPr>
        <w:pStyle w:val="ListParagraph"/>
        <w:numPr>
          <w:ilvl w:val="0"/>
          <w:numId w:val="5"/>
        </w:numPr>
        <w:spacing w:before="100" w:beforeAutospacing="1" w:after="100" w:afterAutospacing="1"/>
        <w:rPr>
          <w:rFonts w:eastAsia="Times New Roman" w:cstheme="minorHAnsi"/>
          <w:lang w:eastAsia="en-AU"/>
        </w:rPr>
      </w:pPr>
      <w:r w:rsidRPr="00955F86">
        <w:t>What are the most appropriate surrogate measures for survival and quality of life</w:t>
      </w:r>
      <w:r>
        <w:t>?</w:t>
      </w:r>
    </w:p>
    <w:p w14:paraId="3FEDFD96" w14:textId="77777777" w:rsidR="00D5000A" w:rsidRPr="00B84C29" w:rsidRDefault="00D5000A" w:rsidP="00D5000A">
      <w:pPr>
        <w:pStyle w:val="ListParagraph"/>
        <w:numPr>
          <w:ilvl w:val="0"/>
          <w:numId w:val="5"/>
        </w:numPr>
        <w:spacing w:before="100" w:beforeAutospacing="1" w:after="100" w:afterAutospacing="1"/>
        <w:rPr>
          <w:rFonts w:eastAsia="Times New Roman" w:cstheme="minorHAnsi"/>
          <w:lang w:eastAsia="en-AU"/>
        </w:rPr>
      </w:pPr>
      <w:r w:rsidRPr="00B84C29">
        <w:rPr>
          <w:rFonts w:eastAsia="Times New Roman" w:cstheme="minorHAnsi"/>
          <w:lang w:eastAsia="en-AU"/>
        </w:rPr>
        <w:t xml:space="preserve">Other </w:t>
      </w:r>
      <w:r>
        <w:rPr>
          <w:rFonts w:eastAsia="Times New Roman" w:cstheme="minorHAnsi"/>
          <w:lang w:eastAsia="en-AU"/>
        </w:rPr>
        <w:t>outcomes</w:t>
      </w:r>
      <w:r w:rsidRPr="00B84C29">
        <w:rPr>
          <w:rFonts w:eastAsia="Times New Roman" w:cstheme="minorHAnsi"/>
          <w:lang w:eastAsia="en-AU"/>
        </w:rPr>
        <w:t>:</w:t>
      </w:r>
    </w:p>
    <w:p w14:paraId="2826377D" w14:textId="77777777" w:rsidR="00D5000A" w:rsidRPr="00B84C29" w:rsidRDefault="00D5000A" w:rsidP="00D5000A">
      <w:pPr>
        <w:pStyle w:val="ListParagraph"/>
        <w:numPr>
          <w:ilvl w:val="1"/>
          <w:numId w:val="5"/>
        </w:numPr>
        <w:spacing w:before="100" w:beforeAutospacing="1" w:after="100" w:afterAutospacing="1"/>
        <w:rPr>
          <w:rFonts w:eastAsia="Times New Roman" w:cstheme="minorHAnsi"/>
          <w:lang w:eastAsia="en-AU"/>
        </w:rPr>
      </w:pPr>
      <w:r w:rsidRPr="00B84C29">
        <w:rPr>
          <w:rFonts w:eastAsia="Times New Roman" w:cstheme="minorHAnsi"/>
          <w:lang w:eastAsia="en-AU"/>
        </w:rPr>
        <w:t xml:space="preserve">Are the outcomes measured </w:t>
      </w:r>
      <w:r>
        <w:rPr>
          <w:rFonts w:eastAsia="Times New Roman" w:cstheme="minorHAnsi"/>
          <w:lang w:eastAsia="en-AU"/>
        </w:rPr>
        <w:t xml:space="preserve">in trials and assessed through the LSDP clinically important and/or </w:t>
      </w:r>
      <w:r w:rsidRPr="00B84C29">
        <w:rPr>
          <w:rFonts w:eastAsia="Times New Roman" w:cstheme="minorHAnsi"/>
          <w:lang w:eastAsia="en-AU"/>
        </w:rPr>
        <w:t>important to patients/families?</w:t>
      </w:r>
    </w:p>
    <w:p w14:paraId="06A56673" w14:textId="5D37C903" w:rsidR="00D5000A" w:rsidRDefault="00D5000A" w:rsidP="00D5000A">
      <w:pPr>
        <w:pStyle w:val="ListParagraph"/>
        <w:numPr>
          <w:ilvl w:val="1"/>
          <w:numId w:val="5"/>
        </w:numPr>
        <w:spacing w:before="100" w:beforeAutospacing="1" w:after="100" w:afterAutospacing="1"/>
        <w:rPr>
          <w:rFonts w:eastAsia="Times New Roman" w:cstheme="minorHAnsi"/>
          <w:lang w:eastAsia="en-AU"/>
        </w:rPr>
      </w:pPr>
      <w:r>
        <w:rPr>
          <w:rFonts w:eastAsia="Times New Roman" w:cstheme="minorHAnsi"/>
          <w:lang w:eastAsia="en-AU"/>
        </w:rPr>
        <w:t>Would</w:t>
      </w:r>
      <w:r w:rsidRPr="00B84C29">
        <w:rPr>
          <w:rFonts w:eastAsia="Times New Roman" w:cstheme="minorHAnsi"/>
          <w:lang w:eastAsia="en-AU"/>
        </w:rPr>
        <w:t xml:space="preserve"> other measures</w:t>
      </w:r>
      <w:r>
        <w:rPr>
          <w:rFonts w:eastAsia="Times New Roman" w:cstheme="minorHAnsi"/>
          <w:lang w:eastAsia="en-AU"/>
        </w:rPr>
        <w:t xml:space="preserve"> of efficacy be more</w:t>
      </w:r>
      <w:r w:rsidRPr="00B84C29">
        <w:rPr>
          <w:rFonts w:eastAsia="Times New Roman" w:cstheme="minorHAnsi"/>
          <w:lang w:eastAsia="en-AU"/>
        </w:rPr>
        <w:t xml:space="preserve"> useful </w:t>
      </w:r>
      <w:r>
        <w:rPr>
          <w:rFonts w:eastAsia="Times New Roman" w:cstheme="minorHAnsi"/>
          <w:lang w:eastAsia="en-AU"/>
        </w:rPr>
        <w:t>to clinicians in making ongoing treatment decisions</w:t>
      </w:r>
      <w:r w:rsidRPr="00B84C29">
        <w:rPr>
          <w:rFonts w:eastAsia="Times New Roman" w:cstheme="minorHAnsi"/>
          <w:lang w:eastAsia="en-AU"/>
        </w:rPr>
        <w:t>?</w:t>
      </w:r>
    </w:p>
    <w:p w14:paraId="082AE71D" w14:textId="69193223" w:rsidR="00E13224" w:rsidRPr="00911A3E" w:rsidRDefault="00E13224" w:rsidP="00D5000A">
      <w:pPr>
        <w:pStyle w:val="ListParagraph"/>
        <w:numPr>
          <w:ilvl w:val="0"/>
          <w:numId w:val="5"/>
        </w:numPr>
        <w:spacing w:before="100" w:beforeAutospacing="1" w:after="100" w:afterAutospacing="1"/>
        <w:rPr>
          <w:rFonts w:eastAsia="Times New Roman" w:cstheme="minorHAnsi"/>
          <w:lang w:eastAsia="en-AU"/>
        </w:rPr>
      </w:pPr>
      <w:r w:rsidRPr="00911A3E">
        <w:rPr>
          <w:rFonts w:eastAsia="Times New Roman" w:cstheme="minorHAnsi"/>
          <w:lang w:eastAsia="en-AU"/>
        </w:rPr>
        <w:t>Adverse Events</w:t>
      </w:r>
    </w:p>
    <w:p w14:paraId="657FD5F6" w14:textId="1D8654E0" w:rsidR="00B2333B" w:rsidRPr="00911A3E" w:rsidRDefault="00B2333B" w:rsidP="00E13224">
      <w:pPr>
        <w:pStyle w:val="ListParagraph"/>
        <w:numPr>
          <w:ilvl w:val="1"/>
          <w:numId w:val="5"/>
        </w:numPr>
        <w:spacing w:before="100" w:beforeAutospacing="1" w:after="100" w:afterAutospacing="1"/>
        <w:rPr>
          <w:rFonts w:eastAsia="Times New Roman" w:cstheme="minorHAnsi"/>
          <w:lang w:eastAsia="en-AU"/>
        </w:rPr>
      </w:pPr>
      <w:r w:rsidRPr="00C00EB9">
        <w:rPr>
          <w:rFonts w:eastAsia="Times New Roman" w:cstheme="minorHAnsi"/>
          <w:lang w:eastAsia="en-AU"/>
        </w:rPr>
        <w:t xml:space="preserve">Are the number and type of adverse events </w:t>
      </w:r>
      <w:r w:rsidRPr="00A44F48">
        <w:rPr>
          <w:rFonts w:eastAsia="Times New Roman" w:cstheme="minorHAnsi"/>
          <w:lang w:eastAsia="en-AU"/>
        </w:rPr>
        <w:t>reported by patients on the LSDP, in post-marketing surveillance studies, and in the literature consisten</w:t>
      </w:r>
      <w:r>
        <w:rPr>
          <w:rFonts w:eastAsia="Times New Roman" w:cstheme="minorHAnsi"/>
          <w:lang w:eastAsia="en-AU"/>
        </w:rPr>
        <w:t>t</w:t>
      </w:r>
      <w:r w:rsidRPr="00A44F48">
        <w:rPr>
          <w:rFonts w:eastAsia="Times New Roman" w:cstheme="minorHAnsi"/>
          <w:lang w:eastAsia="en-AU"/>
        </w:rPr>
        <w:t xml:space="preserve"> with expectations arising from the data in the initial study presented to PBAC?</w:t>
      </w:r>
      <w:r w:rsidR="00D5000A">
        <w:rPr>
          <w:rFonts w:eastAsia="Times New Roman" w:cstheme="minorHAnsi"/>
          <w:lang w:eastAsia="en-AU"/>
        </w:rPr>
        <w:t xml:space="preserve"> Are they</w:t>
      </w:r>
      <w:r>
        <w:rPr>
          <w:rFonts w:eastAsia="Times New Roman" w:cstheme="minorHAnsi"/>
          <w:lang w:eastAsia="en-AU"/>
        </w:rPr>
        <w:t xml:space="preserve"> </w:t>
      </w:r>
      <w:r w:rsidR="00D5000A" w:rsidRPr="00911A3E">
        <w:rPr>
          <w:rFonts w:eastAsia="Times New Roman" w:cstheme="minorHAnsi"/>
          <w:lang w:eastAsia="en-AU"/>
        </w:rPr>
        <w:t xml:space="preserve">in line with the results </w:t>
      </w:r>
      <w:r w:rsidR="00D5000A">
        <w:rPr>
          <w:rFonts w:eastAsia="Times New Roman" w:cstheme="minorHAnsi"/>
          <w:lang w:eastAsia="en-AU"/>
        </w:rPr>
        <w:t>from</w:t>
      </w:r>
      <w:r w:rsidR="00D5000A" w:rsidRPr="00911A3E">
        <w:rPr>
          <w:rFonts w:eastAsia="Times New Roman" w:cstheme="minorHAnsi"/>
          <w:lang w:eastAsia="en-AU"/>
        </w:rPr>
        <w:t xml:space="preserve"> the ATTRACT study?</w:t>
      </w:r>
      <w:r w:rsidR="00D5000A">
        <w:rPr>
          <w:rFonts w:eastAsia="Times New Roman" w:cstheme="minorHAnsi"/>
          <w:lang w:eastAsia="en-AU"/>
        </w:rPr>
        <w:t xml:space="preserve"> </w:t>
      </w:r>
      <w:r>
        <w:rPr>
          <w:rFonts w:eastAsia="Times New Roman" w:cstheme="minorHAnsi"/>
          <w:lang w:eastAsia="en-AU"/>
        </w:rPr>
        <w:t>In particular, what rates of hypersensitivity reactions,</w:t>
      </w:r>
      <w:r w:rsidRPr="00A44F48">
        <w:rPr>
          <w:rFonts w:eastAsia="Times New Roman" w:cstheme="minorHAnsi"/>
          <w:lang w:eastAsia="en-AU"/>
        </w:rPr>
        <w:t xml:space="preserve"> anaphylaxis and infection</w:t>
      </w:r>
      <w:r>
        <w:rPr>
          <w:rFonts w:eastAsia="Times New Roman" w:cstheme="minorHAnsi"/>
          <w:lang w:eastAsia="en-AU"/>
        </w:rPr>
        <w:t xml:space="preserve"> are being observed</w:t>
      </w:r>
      <w:r w:rsidRPr="00C00EB9">
        <w:rPr>
          <w:rFonts w:eastAsia="Times New Roman" w:cstheme="minorHAnsi"/>
          <w:lang w:eastAsia="en-AU"/>
        </w:rPr>
        <w:t>?</w:t>
      </w:r>
    </w:p>
    <w:p w14:paraId="16A4CB7D" w14:textId="764D88CC" w:rsidR="00E13224" w:rsidRDefault="00E13224" w:rsidP="00E13224">
      <w:pPr>
        <w:pStyle w:val="ListParagraph"/>
        <w:numPr>
          <w:ilvl w:val="1"/>
          <w:numId w:val="5"/>
        </w:numPr>
        <w:spacing w:before="100" w:beforeAutospacing="1" w:after="100" w:afterAutospacing="1"/>
        <w:rPr>
          <w:rFonts w:eastAsia="Times New Roman" w:cstheme="minorHAnsi"/>
          <w:lang w:eastAsia="en-AU"/>
        </w:rPr>
      </w:pPr>
      <w:r w:rsidRPr="00911A3E">
        <w:rPr>
          <w:rFonts w:eastAsia="Times New Roman" w:cstheme="minorHAnsi"/>
          <w:lang w:eastAsia="en-AU"/>
        </w:rPr>
        <w:t>How do</w:t>
      </w:r>
      <w:r w:rsidR="005F5436">
        <w:rPr>
          <w:rFonts w:eastAsia="Times New Roman" w:cstheme="minorHAnsi"/>
          <w:lang w:eastAsia="en-AU"/>
        </w:rPr>
        <w:t>es the incidence of</w:t>
      </w:r>
      <w:r w:rsidRPr="00911A3E">
        <w:rPr>
          <w:rFonts w:eastAsia="Times New Roman" w:cstheme="minorHAnsi"/>
          <w:lang w:eastAsia="en-AU"/>
        </w:rPr>
        <w:t xml:space="preserve"> adverse events </w:t>
      </w:r>
      <w:r w:rsidR="005F5436">
        <w:rPr>
          <w:rFonts w:eastAsia="Times New Roman" w:cstheme="minorHAnsi"/>
          <w:lang w:eastAsia="en-AU"/>
        </w:rPr>
        <w:t>in</w:t>
      </w:r>
      <w:r w:rsidRPr="00911A3E">
        <w:rPr>
          <w:rFonts w:eastAsia="Times New Roman" w:cstheme="minorHAnsi"/>
          <w:lang w:eastAsia="en-AU"/>
        </w:rPr>
        <w:t xml:space="preserve"> p</w:t>
      </w:r>
      <w:r w:rsidR="005F5436">
        <w:rPr>
          <w:rFonts w:eastAsia="Times New Roman" w:cstheme="minorHAnsi"/>
          <w:lang w:eastAsia="en-AU"/>
        </w:rPr>
        <w:t>atien</w:t>
      </w:r>
      <w:r w:rsidRPr="00911A3E">
        <w:rPr>
          <w:rFonts w:eastAsia="Times New Roman" w:cstheme="minorHAnsi"/>
          <w:lang w:eastAsia="en-AU"/>
        </w:rPr>
        <w:t xml:space="preserve">ts </w:t>
      </w:r>
      <w:r w:rsidR="00187297">
        <w:rPr>
          <w:rFonts w:eastAsia="Times New Roman" w:cstheme="minorHAnsi"/>
          <w:lang w:eastAsia="en-AU"/>
        </w:rPr>
        <w:t>treated with</w:t>
      </w:r>
      <w:r w:rsidR="00187297" w:rsidRPr="00911A3E">
        <w:rPr>
          <w:rFonts w:eastAsia="Times New Roman" w:cstheme="minorHAnsi"/>
          <w:lang w:eastAsia="en-AU"/>
        </w:rPr>
        <w:t xml:space="preserve"> </w:t>
      </w:r>
      <w:r w:rsidRPr="00911A3E">
        <w:rPr>
          <w:rFonts w:eastAsia="Times New Roman" w:cstheme="minorHAnsi"/>
          <w:lang w:eastAsia="en-AU"/>
        </w:rPr>
        <w:t>migalastat</w:t>
      </w:r>
      <w:r w:rsidR="00187297">
        <w:rPr>
          <w:rFonts w:eastAsia="Times New Roman" w:cstheme="minorHAnsi"/>
          <w:lang w:eastAsia="en-AU"/>
        </w:rPr>
        <w:t xml:space="preserve"> through the LSDP</w:t>
      </w:r>
      <w:r w:rsidRPr="00911A3E">
        <w:rPr>
          <w:rFonts w:eastAsia="Times New Roman" w:cstheme="minorHAnsi"/>
          <w:lang w:eastAsia="en-AU"/>
        </w:rPr>
        <w:t xml:space="preserve"> compare with the </w:t>
      </w:r>
      <w:r w:rsidR="005702C9">
        <w:rPr>
          <w:rFonts w:eastAsia="Times New Roman" w:cstheme="minorHAnsi"/>
          <w:lang w:eastAsia="en-AU"/>
        </w:rPr>
        <w:t xml:space="preserve">incidence of </w:t>
      </w:r>
      <w:r w:rsidRPr="00911A3E">
        <w:rPr>
          <w:rFonts w:eastAsia="Times New Roman" w:cstheme="minorHAnsi"/>
          <w:lang w:eastAsia="en-AU"/>
        </w:rPr>
        <w:t xml:space="preserve">adverse events </w:t>
      </w:r>
      <w:r w:rsidR="005702C9">
        <w:rPr>
          <w:rFonts w:eastAsia="Times New Roman" w:cstheme="minorHAnsi"/>
          <w:lang w:eastAsia="en-AU"/>
        </w:rPr>
        <w:t>in</w:t>
      </w:r>
      <w:r w:rsidRPr="00911A3E">
        <w:rPr>
          <w:rFonts w:eastAsia="Times New Roman" w:cstheme="minorHAnsi"/>
          <w:lang w:eastAsia="en-AU"/>
        </w:rPr>
        <w:t xml:space="preserve"> the same p</w:t>
      </w:r>
      <w:r w:rsidR="005702C9">
        <w:rPr>
          <w:rFonts w:eastAsia="Times New Roman" w:cstheme="minorHAnsi"/>
          <w:lang w:eastAsia="en-AU"/>
        </w:rPr>
        <w:t>atien</w:t>
      </w:r>
      <w:r w:rsidRPr="00911A3E">
        <w:rPr>
          <w:rFonts w:eastAsia="Times New Roman" w:cstheme="minorHAnsi"/>
          <w:lang w:eastAsia="en-AU"/>
        </w:rPr>
        <w:t xml:space="preserve">ts </w:t>
      </w:r>
      <w:r w:rsidR="005702C9">
        <w:rPr>
          <w:rFonts w:eastAsia="Times New Roman" w:cstheme="minorHAnsi"/>
          <w:lang w:eastAsia="en-AU"/>
        </w:rPr>
        <w:t>while</w:t>
      </w:r>
      <w:r w:rsidR="005702C9" w:rsidRPr="00911A3E">
        <w:rPr>
          <w:rFonts w:eastAsia="Times New Roman" w:cstheme="minorHAnsi"/>
          <w:lang w:eastAsia="en-AU"/>
        </w:rPr>
        <w:t xml:space="preserve"> </w:t>
      </w:r>
      <w:r w:rsidRPr="00911A3E">
        <w:rPr>
          <w:rFonts w:eastAsia="Times New Roman" w:cstheme="minorHAnsi"/>
          <w:lang w:eastAsia="en-AU"/>
        </w:rPr>
        <w:t>they were previously on ERT? If switching was for intolerance, has that issue recurred or persisted or resolved?</w:t>
      </w:r>
    </w:p>
    <w:p w14:paraId="08009656" w14:textId="468F5CD8" w:rsidR="00AB4877" w:rsidRDefault="00AB4877" w:rsidP="00AB4877">
      <w:pPr>
        <w:pStyle w:val="ListParagraph"/>
        <w:numPr>
          <w:ilvl w:val="1"/>
          <w:numId w:val="5"/>
        </w:numPr>
        <w:spacing w:before="100" w:beforeAutospacing="1" w:after="100" w:afterAutospacing="1"/>
        <w:rPr>
          <w:rFonts w:eastAsia="Times New Roman" w:cstheme="minorHAnsi"/>
          <w:lang w:eastAsia="en-AU"/>
        </w:rPr>
      </w:pPr>
      <w:r w:rsidRPr="00B84C29">
        <w:rPr>
          <w:lang w:eastAsia="en-AU"/>
        </w:rPr>
        <w:t xml:space="preserve">What is the impact of adverse events </w:t>
      </w:r>
      <w:r>
        <w:rPr>
          <w:lang w:eastAsia="en-AU"/>
        </w:rPr>
        <w:t>on patients</w:t>
      </w:r>
      <w:r w:rsidRPr="00B84C29">
        <w:rPr>
          <w:lang w:eastAsia="en-AU"/>
        </w:rPr>
        <w:t xml:space="preserve"> </w:t>
      </w:r>
      <w:r>
        <w:rPr>
          <w:lang w:eastAsia="en-AU"/>
        </w:rPr>
        <w:t xml:space="preserve">and </w:t>
      </w:r>
      <w:r w:rsidR="00D20599">
        <w:rPr>
          <w:lang w:eastAsia="en-AU"/>
        </w:rPr>
        <w:t xml:space="preserve">if applicable, </w:t>
      </w:r>
      <w:r>
        <w:rPr>
          <w:lang w:eastAsia="en-AU"/>
        </w:rPr>
        <w:t xml:space="preserve">their </w:t>
      </w:r>
      <w:proofErr w:type="spellStart"/>
      <w:r>
        <w:rPr>
          <w:lang w:eastAsia="en-AU"/>
        </w:rPr>
        <w:t>carers</w:t>
      </w:r>
      <w:proofErr w:type="spellEnd"/>
      <w:r>
        <w:rPr>
          <w:lang w:eastAsia="en-AU"/>
        </w:rPr>
        <w:t>, particularly</w:t>
      </w:r>
      <w:r w:rsidRPr="00B84C29">
        <w:rPr>
          <w:lang w:eastAsia="en-AU"/>
        </w:rPr>
        <w:t xml:space="preserve"> within the context of </w:t>
      </w:r>
      <w:r w:rsidR="00D20599">
        <w:rPr>
          <w:lang w:eastAsia="en-AU"/>
        </w:rPr>
        <w:t>patients</w:t>
      </w:r>
      <w:r w:rsidR="00D20599" w:rsidRPr="00B84C29">
        <w:rPr>
          <w:lang w:eastAsia="en-AU"/>
        </w:rPr>
        <w:t xml:space="preserve">’ </w:t>
      </w:r>
      <w:r w:rsidRPr="00B84C29">
        <w:rPr>
          <w:lang w:eastAsia="en-AU"/>
        </w:rPr>
        <w:t xml:space="preserve">typical experience of managing their symptoms of </w:t>
      </w:r>
      <w:r>
        <w:rPr>
          <w:lang w:eastAsia="en-AU"/>
        </w:rPr>
        <w:t>Fabry disease</w:t>
      </w:r>
      <w:r w:rsidRPr="00B84C29">
        <w:rPr>
          <w:lang w:eastAsia="en-AU"/>
        </w:rPr>
        <w:t>?</w:t>
      </w:r>
      <w:r w:rsidRPr="002677EB">
        <w:rPr>
          <w:rFonts w:eastAsia="Times New Roman" w:cstheme="minorHAnsi"/>
          <w:lang w:eastAsia="en-AU"/>
        </w:rPr>
        <w:t xml:space="preserve"> </w:t>
      </w:r>
    </w:p>
    <w:p w14:paraId="4EA3042A" w14:textId="396D76D5" w:rsidR="00FD744B" w:rsidRDefault="00FD744B" w:rsidP="00E13224">
      <w:pPr>
        <w:pStyle w:val="ListParagraph"/>
        <w:numPr>
          <w:ilvl w:val="1"/>
          <w:numId w:val="5"/>
        </w:numPr>
        <w:spacing w:before="100" w:beforeAutospacing="1" w:after="100" w:afterAutospacing="1"/>
        <w:rPr>
          <w:rFonts w:eastAsia="Times New Roman" w:cstheme="minorHAnsi"/>
          <w:lang w:eastAsia="en-AU"/>
        </w:rPr>
      </w:pPr>
      <w:r w:rsidRPr="00911A3E">
        <w:rPr>
          <w:rFonts w:eastAsia="Times New Roman" w:cstheme="minorHAnsi"/>
          <w:lang w:eastAsia="en-AU"/>
        </w:rPr>
        <w:t xml:space="preserve">If patient deaths occurred, </w:t>
      </w:r>
      <w:r w:rsidR="003C3A7D">
        <w:rPr>
          <w:rFonts w:eastAsia="Times New Roman" w:cstheme="minorHAnsi"/>
          <w:lang w:eastAsia="en-AU"/>
        </w:rPr>
        <w:t xml:space="preserve">what </w:t>
      </w:r>
      <w:r w:rsidR="004B47B1">
        <w:rPr>
          <w:rFonts w:eastAsia="Times New Roman" w:cstheme="minorHAnsi"/>
          <w:lang w:eastAsia="en-AU"/>
        </w:rPr>
        <w:t>is</w:t>
      </w:r>
      <w:r w:rsidR="003C3A7D">
        <w:rPr>
          <w:rFonts w:eastAsia="Times New Roman" w:cstheme="minorHAnsi"/>
          <w:lang w:eastAsia="en-AU"/>
        </w:rPr>
        <w:t xml:space="preserve"> the reported cause of </w:t>
      </w:r>
      <w:r w:rsidR="004B47B1">
        <w:rPr>
          <w:rFonts w:eastAsia="Times New Roman" w:cstheme="minorHAnsi"/>
          <w:lang w:eastAsia="en-AU"/>
        </w:rPr>
        <w:t>each death (</w:t>
      </w:r>
      <w:r w:rsidR="00C12D44">
        <w:rPr>
          <w:rFonts w:eastAsia="Times New Roman" w:cstheme="minorHAnsi"/>
          <w:lang w:eastAsia="en-AU"/>
        </w:rPr>
        <w:t>with differentiation of disease-related and treatment-related causes)</w:t>
      </w:r>
      <w:r w:rsidR="00233703">
        <w:rPr>
          <w:rFonts w:eastAsia="Times New Roman" w:cstheme="minorHAnsi"/>
          <w:lang w:eastAsia="en-AU"/>
        </w:rPr>
        <w:t>?</w:t>
      </w:r>
      <w:r w:rsidRPr="00911A3E">
        <w:rPr>
          <w:rFonts w:eastAsia="Times New Roman" w:cstheme="minorHAnsi"/>
          <w:lang w:eastAsia="en-AU"/>
        </w:rPr>
        <w:t xml:space="preserve"> </w:t>
      </w:r>
    </w:p>
    <w:p w14:paraId="2A245F0A" w14:textId="77777777" w:rsidR="00D46838" w:rsidRPr="00D46838" w:rsidRDefault="00D46838" w:rsidP="00D46838">
      <w:pPr>
        <w:spacing w:before="100" w:beforeAutospacing="1" w:after="100" w:afterAutospacing="1"/>
        <w:rPr>
          <w:rFonts w:eastAsia="Times New Roman" w:cstheme="minorHAnsi"/>
          <w:lang w:eastAsia="en-AU"/>
        </w:rPr>
      </w:pPr>
    </w:p>
    <w:p w14:paraId="452AB5A8" w14:textId="06AE8891" w:rsidR="00E13224" w:rsidRPr="00911A3E" w:rsidRDefault="00E13224" w:rsidP="00E13224">
      <w:pPr>
        <w:rPr>
          <w:rFonts w:eastAsia="Times New Roman" w:cstheme="minorHAnsi"/>
          <w:b/>
          <w:bCs/>
          <w:sz w:val="24"/>
          <w:szCs w:val="24"/>
          <w:lang w:eastAsia="en-AU"/>
        </w:rPr>
      </w:pPr>
      <w:proofErr w:type="spellStart"/>
      <w:r w:rsidRPr="00911A3E">
        <w:rPr>
          <w:rFonts w:eastAsia="Times New Roman" w:cstheme="minorHAnsi"/>
          <w:b/>
          <w:bCs/>
          <w:sz w:val="24"/>
          <w:szCs w:val="24"/>
          <w:lang w:eastAsia="en-AU"/>
        </w:rPr>
        <w:t>ToR</w:t>
      </w:r>
      <w:proofErr w:type="spellEnd"/>
      <w:r w:rsidRPr="00911A3E">
        <w:rPr>
          <w:rFonts w:eastAsia="Times New Roman" w:cstheme="minorHAnsi"/>
          <w:b/>
          <w:bCs/>
          <w:sz w:val="24"/>
          <w:szCs w:val="24"/>
          <w:lang w:eastAsia="en-AU"/>
        </w:rPr>
        <w:t xml:space="preserve"> 2: Test Validity and Utility</w:t>
      </w:r>
    </w:p>
    <w:p w14:paraId="5551ECE3" w14:textId="03C2D533" w:rsidR="00EF16F7" w:rsidRPr="00911A3E" w:rsidRDefault="00E13224" w:rsidP="00E13224">
      <w:pPr>
        <w:spacing w:after="100" w:afterAutospacing="1"/>
        <w:rPr>
          <w:rFonts w:eastAsia="Times New Roman" w:cstheme="minorHAnsi"/>
          <w:lang w:eastAsia="en-AU"/>
        </w:rPr>
      </w:pPr>
      <w:r w:rsidRPr="00911A3E">
        <w:rPr>
          <w:rFonts w:eastAsia="Times New Roman" w:cstheme="minorHAnsi"/>
          <w:lang w:eastAsia="en-AU"/>
        </w:rPr>
        <w:t xml:space="preserve">This </w:t>
      </w:r>
      <w:proofErr w:type="spellStart"/>
      <w:r w:rsidRPr="00911A3E">
        <w:rPr>
          <w:rFonts w:eastAsia="Times New Roman" w:cstheme="minorHAnsi"/>
          <w:lang w:eastAsia="en-AU"/>
        </w:rPr>
        <w:t>ToR</w:t>
      </w:r>
      <w:proofErr w:type="spellEnd"/>
      <w:r w:rsidRPr="00911A3E">
        <w:rPr>
          <w:rFonts w:eastAsia="Times New Roman" w:cstheme="minorHAnsi"/>
          <w:lang w:eastAsia="en-AU"/>
        </w:rPr>
        <w:t xml:space="preserve"> aims to r</w:t>
      </w:r>
      <w:r w:rsidR="00EF16F7" w:rsidRPr="00911A3E">
        <w:rPr>
          <w:rFonts w:eastAsia="Times New Roman" w:cstheme="minorHAnsi"/>
          <w:lang w:eastAsia="en-AU"/>
        </w:rPr>
        <w:t>eview the evidence of the validity and utility of the test to identify patients with Fabry disease who are candidates for treatment with migalastat</w:t>
      </w:r>
      <w:r w:rsidRPr="00911A3E">
        <w:rPr>
          <w:rFonts w:eastAsia="Times New Roman" w:cstheme="minorHAnsi"/>
          <w:lang w:eastAsia="en-AU"/>
        </w:rPr>
        <w:t xml:space="preserve">. </w:t>
      </w:r>
    </w:p>
    <w:p w14:paraId="02942990" w14:textId="7C7FE213" w:rsidR="00E13224" w:rsidRPr="00911A3E" w:rsidRDefault="00E13224" w:rsidP="00E13224">
      <w:pPr>
        <w:spacing w:before="100" w:beforeAutospacing="1" w:after="100" w:afterAutospacing="1"/>
        <w:rPr>
          <w:rFonts w:eastAsia="Times New Roman" w:cstheme="minorHAnsi"/>
          <w:lang w:eastAsia="en-AU"/>
        </w:rPr>
      </w:pPr>
      <w:r w:rsidRPr="00911A3E">
        <w:rPr>
          <w:rFonts w:eastAsia="Times New Roman" w:cstheme="minorHAnsi"/>
          <w:lang w:eastAsia="en-AU"/>
        </w:rPr>
        <w:t xml:space="preserve">Protocol Questions </w:t>
      </w:r>
    </w:p>
    <w:p w14:paraId="34CC8BD3" w14:textId="77777777" w:rsidR="00E13224" w:rsidRPr="00911A3E" w:rsidRDefault="00E13224" w:rsidP="00E13224">
      <w:pPr>
        <w:pStyle w:val="ListParagraph"/>
        <w:numPr>
          <w:ilvl w:val="0"/>
          <w:numId w:val="6"/>
        </w:numPr>
        <w:spacing w:after="100" w:afterAutospacing="1"/>
        <w:rPr>
          <w:rFonts w:eastAsia="Times New Roman" w:cstheme="minorHAnsi"/>
          <w:lang w:eastAsia="en-AU"/>
        </w:rPr>
      </w:pPr>
      <w:r w:rsidRPr="00911A3E">
        <w:rPr>
          <w:rFonts w:eastAsia="Times New Roman" w:cstheme="minorHAnsi"/>
          <w:lang w:eastAsia="en-AU"/>
        </w:rPr>
        <w:t xml:space="preserve">Have patients who tested positive for the amenable mutation been correctly identified by the GLA-HEK assay? </w:t>
      </w:r>
    </w:p>
    <w:p w14:paraId="1F8D3391" w14:textId="23067FA8" w:rsidR="00E13224" w:rsidRDefault="00E13224" w:rsidP="00E13224">
      <w:pPr>
        <w:pStyle w:val="ListParagraph"/>
        <w:numPr>
          <w:ilvl w:val="0"/>
          <w:numId w:val="6"/>
        </w:numPr>
        <w:spacing w:after="100" w:afterAutospacing="1"/>
        <w:rPr>
          <w:rFonts w:eastAsia="Times New Roman" w:cstheme="minorHAnsi"/>
          <w:lang w:eastAsia="en-AU"/>
        </w:rPr>
      </w:pPr>
      <w:r w:rsidRPr="00911A3E">
        <w:rPr>
          <w:rFonts w:eastAsia="Times New Roman" w:cstheme="minorHAnsi"/>
          <w:lang w:eastAsia="en-AU"/>
        </w:rPr>
        <w:t>Has the GLA-HEK assay appropriately identified patients who will derive a benefit from migalastat?</w:t>
      </w:r>
    </w:p>
    <w:p w14:paraId="284C525E" w14:textId="3A60322D" w:rsidR="00710AE3" w:rsidRPr="00B84C29" w:rsidRDefault="00710AE3" w:rsidP="00710AE3">
      <w:pPr>
        <w:pStyle w:val="ListParagraph"/>
        <w:numPr>
          <w:ilvl w:val="0"/>
          <w:numId w:val="6"/>
        </w:numPr>
        <w:spacing w:after="100" w:afterAutospacing="1"/>
        <w:rPr>
          <w:rFonts w:eastAsia="Times New Roman" w:cstheme="minorHAnsi"/>
          <w:lang w:eastAsia="en-AU"/>
        </w:rPr>
      </w:pPr>
      <w:r>
        <w:rPr>
          <w:lang w:eastAsia="en-AU"/>
        </w:rPr>
        <w:t>Has</w:t>
      </w:r>
      <w:r w:rsidRPr="00B84C29">
        <w:rPr>
          <w:lang w:eastAsia="en-AU"/>
        </w:rPr>
        <w:t xml:space="preserve"> there </w:t>
      </w:r>
      <w:r>
        <w:rPr>
          <w:lang w:eastAsia="en-AU"/>
        </w:rPr>
        <w:t xml:space="preserve">been </w:t>
      </w:r>
      <w:r w:rsidRPr="00B84C29">
        <w:rPr>
          <w:lang w:eastAsia="en-AU"/>
        </w:rPr>
        <w:t>a change in disease prevalence</w:t>
      </w:r>
      <w:r>
        <w:rPr>
          <w:rFonts w:eastAsia="Times New Roman" w:cstheme="minorHAnsi"/>
          <w:lang w:eastAsia="en-AU"/>
        </w:rPr>
        <w:t>? In particular, has there been an increase in diagnosis of Fabry disease through increased/improved screening or as a consequence of migalastat being listed on LSDP)?</w:t>
      </w:r>
      <w:r w:rsidRPr="00B84C29">
        <w:rPr>
          <w:rFonts w:eastAsia="Times New Roman" w:cstheme="minorHAnsi"/>
          <w:lang w:eastAsia="en-AU"/>
        </w:rPr>
        <w:t xml:space="preserve"> </w:t>
      </w:r>
    </w:p>
    <w:p w14:paraId="1300B412" w14:textId="77777777" w:rsidR="00710AE3" w:rsidRDefault="00710AE3" w:rsidP="00710AE3">
      <w:pPr>
        <w:pStyle w:val="ListParagraph"/>
        <w:numPr>
          <w:ilvl w:val="0"/>
          <w:numId w:val="6"/>
        </w:numPr>
        <w:spacing w:after="100" w:afterAutospacing="1"/>
        <w:rPr>
          <w:rFonts w:eastAsia="Times New Roman" w:cstheme="minorHAnsi"/>
          <w:lang w:eastAsia="en-AU"/>
        </w:rPr>
      </w:pPr>
      <w:r w:rsidRPr="00B84C29">
        <w:rPr>
          <w:lang w:eastAsia="en-AU"/>
        </w:rPr>
        <w:t>Have new treatments become available since 2019</w:t>
      </w:r>
      <w:r w:rsidRPr="00B84C29">
        <w:rPr>
          <w:rFonts w:eastAsia="Times New Roman" w:cstheme="minorHAnsi"/>
          <w:lang w:eastAsia="en-AU"/>
        </w:rPr>
        <w:t>?</w:t>
      </w:r>
      <w:r w:rsidRPr="00C26919">
        <w:rPr>
          <w:rFonts w:eastAsia="Times New Roman" w:cstheme="minorHAnsi"/>
          <w:lang w:eastAsia="en-AU"/>
        </w:rPr>
        <w:t xml:space="preserve"> </w:t>
      </w:r>
    </w:p>
    <w:p w14:paraId="1D08DACD" w14:textId="77777777" w:rsidR="00710AE3" w:rsidRDefault="00710AE3" w:rsidP="00710AE3">
      <w:pPr>
        <w:pStyle w:val="ListParagraph"/>
        <w:numPr>
          <w:ilvl w:val="0"/>
          <w:numId w:val="6"/>
        </w:numPr>
        <w:spacing w:after="100" w:afterAutospacing="1"/>
        <w:rPr>
          <w:rFonts w:eastAsia="Times New Roman" w:cstheme="minorHAnsi"/>
          <w:lang w:eastAsia="en-AU"/>
        </w:rPr>
      </w:pPr>
      <w:r>
        <w:rPr>
          <w:rFonts w:eastAsia="Times New Roman" w:cstheme="minorHAnsi"/>
          <w:lang w:eastAsia="en-AU"/>
        </w:rPr>
        <w:t>Eligibility:</w:t>
      </w:r>
    </w:p>
    <w:p w14:paraId="4B5C2034" w14:textId="318FA05E" w:rsidR="00710AE3" w:rsidRPr="00911A3E" w:rsidRDefault="00710AE3" w:rsidP="00710AE3">
      <w:pPr>
        <w:pStyle w:val="ListParagraph"/>
        <w:numPr>
          <w:ilvl w:val="1"/>
          <w:numId w:val="5"/>
        </w:numPr>
        <w:spacing w:before="100" w:beforeAutospacing="1" w:after="100" w:afterAutospacing="1"/>
        <w:rPr>
          <w:rFonts w:eastAsia="Times New Roman" w:cstheme="minorHAnsi"/>
          <w:lang w:eastAsia="en-AU"/>
        </w:rPr>
      </w:pPr>
      <w:r w:rsidRPr="006E4BEE">
        <w:rPr>
          <w:rFonts w:eastAsia="Times New Roman" w:cstheme="minorHAnsi"/>
          <w:lang w:eastAsia="en-AU"/>
        </w:rPr>
        <w:t xml:space="preserve">Are the existing eligibility criteria for access to </w:t>
      </w:r>
      <w:r>
        <w:rPr>
          <w:rFonts w:eastAsia="Times New Roman" w:cstheme="minorHAnsi"/>
          <w:lang w:eastAsia="en-AU"/>
        </w:rPr>
        <w:t>migalastat</w:t>
      </w:r>
      <w:r w:rsidRPr="006E4BEE">
        <w:rPr>
          <w:rFonts w:eastAsia="Times New Roman" w:cstheme="minorHAnsi"/>
          <w:lang w:eastAsia="en-AU"/>
        </w:rPr>
        <w:t xml:space="preserve"> on the LSDP fit for purpose?</w:t>
      </w:r>
    </w:p>
    <w:p w14:paraId="0AF293E7" w14:textId="77777777" w:rsidR="00DE746D" w:rsidRDefault="00DE746D" w:rsidP="003D13C2">
      <w:pPr>
        <w:rPr>
          <w:rFonts w:eastAsia="Times New Roman" w:cstheme="minorHAnsi"/>
          <w:b/>
          <w:bCs/>
          <w:sz w:val="24"/>
          <w:szCs w:val="24"/>
          <w:lang w:eastAsia="en-AU"/>
        </w:rPr>
      </w:pPr>
    </w:p>
    <w:p w14:paraId="718E8447" w14:textId="253F5D7F" w:rsidR="003D13C2" w:rsidRPr="00911A3E" w:rsidRDefault="003D13C2" w:rsidP="003D13C2">
      <w:pPr>
        <w:rPr>
          <w:rFonts w:eastAsia="Times New Roman" w:cstheme="minorHAnsi"/>
          <w:b/>
          <w:bCs/>
          <w:sz w:val="24"/>
          <w:szCs w:val="24"/>
          <w:lang w:eastAsia="en-AU"/>
        </w:rPr>
      </w:pPr>
      <w:proofErr w:type="spellStart"/>
      <w:r w:rsidRPr="00911A3E">
        <w:rPr>
          <w:rFonts w:eastAsia="Times New Roman" w:cstheme="minorHAnsi"/>
          <w:b/>
          <w:bCs/>
          <w:sz w:val="24"/>
          <w:szCs w:val="24"/>
          <w:lang w:eastAsia="en-AU"/>
        </w:rPr>
        <w:lastRenderedPageBreak/>
        <w:t>ToR</w:t>
      </w:r>
      <w:proofErr w:type="spellEnd"/>
      <w:r w:rsidRPr="00911A3E">
        <w:rPr>
          <w:rFonts w:eastAsia="Times New Roman" w:cstheme="minorHAnsi"/>
          <w:b/>
          <w:bCs/>
          <w:sz w:val="24"/>
          <w:szCs w:val="24"/>
          <w:lang w:eastAsia="en-AU"/>
        </w:rPr>
        <w:t xml:space="preserve"> 3: Utilisation</w:t>
      </w:r>
      <w:r w:rsidR="003F682F" w:rsidRPr="00911A3E">
        <w:rPr>
          <w:rFonts w:eastAsia="Times New Roman" w:cstheme="minorHAnsi"/>
          <w:b/>
          <w:bCs/>
          <w:sz w:val="24"/>
          <w:szCs w:val="24"/>
          <w:lang w:eastAsia="en-AU"/>
        </w:rPr>
        <w:t xml:space="preserve"> </w:t>
      </w:r>
      <w:r w:rsidR="00FD744B" w:rsidRPr="00911A3E">
        <w:rPr>
          <w:rFonts w:eastAsia="Times New Roman" w:cstheme="minorHAnsi"/>
          <w:b/>
          <w:bCs/>
          <w:sz w:val="24"/>
          <w:szCs w:val="24"/>
          <w:lang w:eastAsia="en-AU"/>
        </w:rPr>
        <w:t>and Consumer Impact</w:t>
      </w:r>
    </w:p>
    <w:p w14:paraId="26BCF23C" w14:textId="5F55C1B4" w:rsidR="003D13C2" w:rsidRPr="00911A3E" w:rsidRDefault="003D13C2" w:rsidP="003D13C2">
      <w:pPr>
        <w:rPr>
          <w:rFonts w:eastAsia="Times New Roman" w:cstheme="minorHAnsi"/>
          <w:lang w:eastAsia="en-AU"/>
        </w:rPr>
      </w:pPr>
      <w:r w:rsidRPr="00911A3E">
        <w:rPr>
          <w:rFonts w:eastAsia="Times New Roman" w:cstheme="minorHAnsi"/>
          <w:lang w:eastAsia="en-AU"/>
        </w:rPr>
        <w:t xml:space="preserve">This </w:t>
      </w:r>
      <w:proofErr w:type="spellStart"/>
      <w:r w:rsidRPr="00911A3E">
        <w:rPr>
          <w:rFonts w:eastAsia="Times New Roman" w:cstheme="minorHAnsi"/>
          <w:lang w:eastAsia="en-AU"/>
        </w:rPr>
        <w:t>ToR</w:t>
      </w:r>
      <w:proofErr w:type="spellEnd"/>
      <w:r w:rsidRPr="00911A3E">
        <w:rPr>
          <w:rFonts w:eastAsia="Times New Roman" w:cstheme="minorHAnsi"/>
          <w:lang w:eastAsia="en-AU"/>
        </w:rPr>
        <w:t xml:space="preserve"> aims to review the utilisation of migalastat on the LSDP and</w:t>
      </w:r>
      <w:r w:rsidR="00354B1B" w:rsidRPr="00911A3E">
        <w:rPr>
          <w:rFonts w:eastAsia="Times New Roman" w:cstheme="minorHAnsi"/>
          <w:lang w:eastAsia="en-AU"/>
        </w:rPr>
        <w:t xml:space="preserve"> the impact on consumers.</w:t>
      </w:r>
      <w:r w:rsidRPr="00911A3E">
        <w:rPr>
          <w:rFonts w:eastAsia="Times New Roman" w:cstheme="minorHAnsi"/>
          <w:lang w:eastAsia="en-AU"/>
        </w:rPr>
        <w:t xml:space="preserve"> </w:t>
      </w:r>
    </w:p>
    <w:p w14:paraId="28DBA499" w14:textId="5110ECE3" w:rsidR="003D13C2" w:rsidRPr="00911A3E" w:rsidRDefault="003D13C2" w:rsidP="003D13C2">
      <w:pPr>
        <w:spacing w:before="100" w:beforeAutospacing="1" w:after="100" w:afterAutospacing="1"/>
        <w:rPr>
          <w:rFonts w:eastAsia="Times New Roman" w:cstheme="minorHAnsi"/>
          <w:lang w:eastAsia="en-AU"/>
        </w:rPr>
      </w:pPr>
      <w:r w:rsidRPr="00911A3E">
        <w:rPr>
          <w:rFonts w:eastAsia="Times New Roman" w:cstheme="minorHAnsi"/>
          <w:lang w:eastAsia="en-AU"/>
        </w:rPr>
        <w:t xml:space="preserve">Protocol Questions </w:t>
      </w:r>
    </w:p>
    <w:p w14:paraId="65A34AC4" w14:textId="4572DFA1" w:rsidR="00127185" w:rsidRDefault="00D91BE9" w:rsidP="00D91BE9">
      <w:pPr>
        <w:pStyle w:val="ListParagraph"/>
        <w:numPr>
          <w:ilvl w:val="0"/>
          <w:numId w:val="6"/>
        </w:numPr>
        <w:spacing w:after="100" w:afterAutospacing="1"/>
        <w:rPr>
          <w:rFonts w:eastAsia="Times New Roman" w:cstheme="minorHAnsi"/>
          <w:lang w:eastAsia="en-AU"/>
        </w:rPr>
      </w:pPr>
      <w:r>
        <w:rPr>
          <w:rFonts w:eastAsia="Times New Roman" w:cstheme="minorHAnsi"/>
          <w:lang w:eastAsia="en-AU"/>
        </w:rPr>
        <w:t xml:space="preserve">Given the </w:t>
      </w:r>
      <w:r w:rsidR="00710AE3">
        <w:rPr>
          <w:rFonts w:eastAsia="Times New Roman" w:cstheme="minorHAnsi"/>
          <w:lang w:eastAsia="en-AU"/>
        </w:rPr>
        <w:t xml:space="preserve">existing </w:t>
      </w:r>
      <w:r>
        <w:rPr>
          <w:rFonts w:eastAsia="Times New Roman" w:cstheme="minorHAnsi"/>
          <w:lang w:eastAsia="en-AU"/>
        </w:rPr>
        <w:t>eligibility criteria</w:t>
      </w:r>
      <w:r w:rsidR="00710AE3">
        <w:rPr>
          <w:rFonts w:eastAsia="Times New Roman" w:cstheme="minorHAnsi"/>
          <w:lang w:eastAsia="en-AU"/>
        </w:rPr>
        <w:t>,</w:t>
      </w:r>
      <w:r>
        <w:rPr>
          <w:rFonts w:eastAsia="Times New Roman" w:cstheme="minorHAnsi"/>
          <w:lang w:eastAsia="en-AU"/>
        </w:rPr>
        <w:t xml:space="preserve"> </w:t>
      </w:r>
      <w:r w:rsidR="00C76AB1">
        <w:rPr>
          <w:rFonts w:eastAsia="Times New Roman" w:cstheme="minorHAnsi"/>
          <w:lang w:eastAsia="en-AU"/>
        </w:rPr>
        <w:t>i</w:t>
      </w:r>
      <w:r w:rsidR="004B2431">
        <w:rPr>
          <w:rFonts w:eastAsia="Times New Roman" w:cstheme="minorHAnsi"/>
          <w:lang w:eastAsia="en-AU"/>
        </w:rPr>
        <w:t>s</w:t>
      </w:r>
      <w:r w:rsidR="00062EF3" w:rsidRPr="00911A3E">
        <w:rPr>
          <w:rFonts w:eastAsia="Times New Roman" w:cstheme="minorHAnsi"/>
          <w:lang w:eastAsia="en-AU"/>
        </w:rPr>
        <w:t xml:space="preserve"> the appropriate population being treated?</w:t>
      </w:r>
    </w:p>
    <w:p w14:paraId="65E6DC2A" w14:textId="2B80F0CD" w:rsidR="003D13C2" w:rsidRPr="00911A3E" w:rsidRDefault="003D13C2" w:rsidP="003D13C2">
      <w:pPr>
        <w:pStyle w:val="ListParagraph"/>
        <w:numPr>
          <w:ilvl w:val="0"/>
          <w:numId w:val="6"/>
        </w:numPr>
        <w:spacing w:after="100" w:afterAutospacing="1"/>
        <w:rPr>
          <w:rFonts w:eastAsia="Times New Roman" w:cstheme="minorHAnsi"/>
          <w:lang w:eastAsia="en-AU"/>
        </w:rPr>
      </w:pPr>
      <w:r w:rsidRPr="00911A3E">
        <w:rPr>
          <w:rFonts w:eastAsia="Times New Roman" w:cstheme="minorHAnsi"/>
          <w:lang w:eastAsia="en-AU"/>
        </w:rPr>
        <w:t xml:space="preserve">Is there an association between the introduction of migalastat and the number of Fabry patients seeking subsidised treatment on the LSDP beyond historical trends </w:t>
      </w:r>
      <w:r w:rsidR="00B86CAE">
        <w:rPr>
          <w:rFonts w:eastAsia="Times New Roman" w:cstheme="minorHAnsi"/>
          <w:lang w:eastAsia="en-AU"/>
        </w:rPr>
        <w:t>prior to availability of migalastat</w:t>
      </w:r>
      <w:r w:rsidRPr="00911A3E">
        <w:rPr>
          <w:rFonts w:eastAsia="Times New Roman" w:cstheme="minorHAnsi"/>
          <w:lang w:eastAsia="en-AU"/>
        </w:rPr>
        <w:t>?</w:t>
      </w:r>
    </w:p>
    <w:p w14:paraId="649924BA" w14:textId="746C27D4" w:rsidR="003D13C2" w:rsidRPr="00911A3E" w:rsidRDefault="003D13C2" w:rsidP="003D13C2">
      <w:pPr>
        <w:pStyle w:val="ListParagraph"/>
        <w:numPr>
          <w:ilvl w:val="0"/>
          <w:numId w:val="6"/>
        </w:numPr>
        <w:spacing w:after="100" w:afterAutospacing="1"/>
        <w:rPr>
          <w:rFonts w:eastAsia="Times New Roman" w:cstheme="minorHAnsi"/>
          <w:lang w:eastAsia="en-AU"/>
        </w:rPr>
      </w:pPr>
      <w:r w:rsidRPr="00911A3E">
        <w:rPr>
          <w:rFonts w:eastAsia="Times New Roman" w:cstheme="minorHAnsi"/>
          <w:lang w:eastAsia="en-AU"/>
        </w:rPr>
        <w:t>Are new migalastat patients on the program primarily as a result of switching from other LSDP</w:t>
      </w:r>
      <w:r w:rsidR="001430FE">
        <w:rPr>
          <w:rFonts w:eastAsia="Times New Roman" w:cstheme="minorHAnsi"/>
          <w:lang w:eastAsia="en-AU"/>
        </w:rPr>
        <w:t>-</w:t>
      </w:r>
      <w:r w:rsidRPr="00911A3E">
        <w:rPr>
          <w:rFonts w:eastAsia="Times New Roman" w:cstheme="minorHAnsi"/>
          <w:lang w:eastAsia="en-AU"/>
        </w:rPr>
        <w:t>subsidised ERT at the request of treating clinicians (</w:t>
      </w:r>
      <w:r w:rsidR="00E91EBD">
        <w:rPr>
          <w:rFonts w:eastAsia="Times New Roman" w:cstheme="minorHAnsi"/>
          <w:lang w:eastAsia="en-AU"/>
        </w:rPr>
        <w:t>n</w:t>
      </w:r>
      <w:r w:rsidRPr="00911A3E">
        <w:rPr>
          <w:rFonts w:eastAsia="Times New Roman" w:cstheme="minorHAnsi"/>
          <w:lang w:eastAsia="en-AU"/>
        </w:rPr>
        <w:t xml:space="preserve">oting that the ATTRACT trial population was </w:t>
      </w:r>
      <w:r w:rsidR="004E4729">
        <w:rPr>
          <w:rFonts w:eastAsia="Times New Roman" w:cstheme="minorHAnsi"/>
          <w:lang w:eastAsia="en-AU"/>
        </w:rPr>
        <w:t xml:space="preserve">limited to </w:t>
      </w:r>
      <w:r w:rsidRPr="00911A3E">
        <w:rPr>
          <w:rFonts w:eastAsia="Times New Roman" w:cstheme="minorHAnsi"/>
          <w:lang w:eastAsia="en-AU"/>
        </w:rPr>
        <w:t>patients switching from ERT)</w:t>
      </w:r>
      <w:r w:rsidR="00B617AD" w:rsidRPr="00911A3E">
        <w:rPr>
          <w:rFonts w:eastAsia="Times New Roman" w:cstheme="minorHAnsi"/>
          <w:lang w:eastAsia="en-AU"/>
        </w:rPr>
        <w:t>?</w:t>
      </w:r>
    </w:p>
    <w:p w14:paraId="6222DBDE" w14:textId="229AE01A" w:rsidR="003D13C2" w:rsidRPr="00911A3E" w:rsidRDefault="003D13C2" w:rsidP="003D13C2">
      <w:pPr>
        <w:pStyle w:val="ListParagraph"/>
        <w:numPr>
          <w:ilvl w:val="1"/>
          <w:numId w:val="6"/>
        </w:numPr>
        <w:spacing w:after="100" w:afterAutospacing="1"/>
        <w:rPr>
          <w:rFonts w:eastAsia="Times New Roman" w:cstheme="minorHAnsi"/>
          <w:lang w:eastAsia="en-AU"/>
        </w:rPr>
      </w:pPr>
      <w:r w:rsidRPr="00911A3E">
        <w:rPr>
          <w:rFonts w:eastAsia="Times New Roman" w:cstheme="minorHAnsi"/>
          <w:lang w:eastAsia="en-AU"/>
        </w:rPr>
        <w:t>Is switching due to intolerance or patient preference?</w:t>
      </w:r>
    </w:p>
    <w:p w14:paraId="6E59CDDB" w14:textId="0BA151D0" w:rsidR="003D13C2" w:rsidRPr="00911A3E" w:rsidRDefault="003D13C2" w:rsidP="003D13C2">
      <w:pPr>
        <w:pStyle w:val="ListParagraph"/>
        <w:numPr>
          <w:ilvl w:val="1"/>
          <w:numId w:val="6"/>
        </w:numPr>
        <w:spacing w:after="100" w:afterAutospacing="1"/>
        <w:rPr>
          <w:rFonts w:eastAsia="Times New Roman" w:cstheme="minorHAnsi"/>
          <w:lang w:eastAsia="en-AU"/>
        </w:rPr>
      </w:pPr>
      <w:r w:rsidRPr="00911A3E">
        <w:rPr>
          <w:rFonts w:eastAsia="Times New Roman" w:cstheme="minorHAnsi"/>
          <w:lang w:eastAsia="en-AU"/>
        </w:rPr>
        <w:t>What is the key intolerance?</w:t>
      </w:r>
    </w:p>
    <w:p w14:paraId="706DF34F" w14:textId="720C4E37" w:rsidR="003D13C2" w:rsidRPr="00911A3E" w:rsidRDefault="003D13C2" w:rsidP="003D13C2">
      <w:pPr>
        <w:pStyle w:val="ListParagraph"/>
        <w:numPr>
          <w:ilvl w:val="1"/>
          <w:numId w:val="6"/>
        </w:numPr>
        <w:spacing w:after="100" w:afterAutospacing="1"/>
        <w:rPr>
          <w:rFonts w:eastAsia="Times New Roman" w:cstheme="minorHAnsi"/>
          <w:lang w:eastAsia="en-AU"/>
        </w:rPr>
      </w:pPr>
      <w:r w:rsidRPr="00911A3E">
        <w:rPr>
          <w:rFonts w:eastAsia="Times New Roman" w:cstheme="minorHAnsi"/>
          <w:lang w:eastAsia="en-AU"/>
        </w:rPr>
        <w:t xml:space="preserve">What is the </w:t>
      </w:r>
      <w:r w:rsidR="00AD675A">
        <w:rPr>
          <w:rFonts w:eastAsia="Times New Roman" w:cstheme="minorHAnsi"/>
          <w:lang w:eastAsia="en-AU"/>
        </w:rPr>
        <w:t>average</w:t>
      </w:r>
      <w:r w:rsidR="002256A9">
        <w:rPr>
          <w:rFonts w:eastAsia="Times New Roman" w:cstheme="minorHAnsi"/>
          <w:lang w:eastAsia="en-AU"/>
        </w:rPr>
        <w:t xml:space="preserve"> </w:t>
      </w:r>
      <w:r w:rsidR="00C56792">
        <w:rPr>
          <w:rFonts w:eastAsia="Times New Roman" w:cstheme="minorHAnsi"/>
          <w:lang w:eastAsia="en-AU"/>
        </w:rPr>
        <w:t xml:space="preserve">time </w:t>
      </w:r>
      <w:r w:rsidR="00713B9C">
        <w:rPr>
          <w:rFonts w:eastAsia="Times New Roman" w:cstheme="minorHAnsi"/>
          <w:lang w:eastAsia="en-AU"/>
        </w:rPr>
        <w:t xml:space="preserve">to, </w:t>
      </w:r>
      <w:r w:rsidR="002256A9">
        <w:rPr>
          <w:rFonts w:eastAsia="Times New Roman" w:cstheme="minorHAnsi"/>
          <w:lang w:eastAsia="en-AU"/>
        </w:rPr>
        <w:t xml:space="preserve">and </w:t>
      </w:r>
      <w:r w:rsidR="0072431C">
        <w:rPr>
          <w:rFonts w:eastAsia="Times New Roman" w:cstheme="minorHAnsi"/>
          <w:lang w:eastAsia="en-AU"/>
        </w:rPr>
        <w:t xml:space="preserve">what is </w:t>
      </w:r>
      <w:r w:rsidR="002256A9">
        <w:rPr>
          <w:rFonts w:eastAsia="Times New Roman" w:cstheme="minorHAnsi"/>
          <w:lang w:eastAsia="en-AU"/>
        </w:rPr>
        <w:t>the distribution around the average</w:t>
      </w:r>
      <w:r w:rsidR="0072431C">
        <w:rPr>
          <w:rFonts w:eastAsia="Times New Roman" w:cstheme="minorHAnsi"/>
          <w:lang w:eastAsia="en-AU"/>
        </w:rPr>
        <w:t xml:space="preserve"> time</w:t>
      </w:r>
      <w:r w:rsidR="002256A9">
        <w:rPr>
          <w:rFonts w:eastAsia="Times New Roman" w:cstheme="minorHAnsi"/>
          <w:lang w:eastAsia="en-AU"/>
        </w:rPr>
        <w:t xml:space="preserve"> </w:t>
      </w:r>
      <w:r w:rsidR="00AD675A">
        <w:rPr>
          <w:rFonts w:eastAsia="Times New Roman" w:cstheme="minorHAnsi"/>
          <w:lang w:eastAsia="en-AU"/>
        </w:rPr>
        <w:t>to</w:t>
      </w:r>
      <w:r w:rsidR="00713B9C">
        <w:rPr>
          <w:rFonts w:eastAsia="Times New Roman" w:cstheme="minorHAnsi"/>
          <w:lang w:eastAsia="en-AU"/>
        </w:rPr>
        <w:t>,</w:t>
      </w:r>
      <w:r w:rsidR="00AD675A">
        <w:rPr>
          <w:rFonts w:eastAsia="Times New Roman" w:cstheme="minorHAnsi"/>
          <w:lang w:eastAsia="en-AU"/>
        </w:rPr>
        <w:t xml:space="preserve"> </w:t>
      </w:r>
      <w:r w:rsidRPr="00911A3E">
        <w:rPr>
          <w:rFonts w:eastAsia="Times New Roman" w:cstheme="minorHAnsi"/>
          <w:lang w:eastAsia="en-AU"/>
        </w:rPr>
        <w:t>switch</w:t>
      </w:r>
      <w:r w:rsidR="00D37425">
        <w:rPr>
          <w:rFonts w:eastAsia="Times New Roman" w:cstheme="minorHAnsi"/>
          <w:lang w:eastAsia="en-AU"/>
        </w:rPr>
        <w:t xml:space="preserve"> to migalastat</w:t>
      </w:r>
      <w:r w:rsidRPr="00911A3E">
        <w:rPr>
          <w:rFonts w:eastAsia="Times New Roman" w:cstheme="minorHAnsi"/>
          <w:lang w:eastAsia="en-AU"/>
        </w:rPr>
        <w:t xml:space="preserve"> </w:t>
      </w:r>
      <w:r w:rsidR="00D37425">
        <w:rPr>
          <w:rFonts w:eastAsia="Times New Roman" w:cstheme="minorHAnsi"/>
          <w:lang w:eastAsia="en-AU"/>
        </w:rPr>
        <w:t xml:space="preserve">relative </w:t>
      </w:r>
      <w:r w:rsidRPr="00911A3E">
        <w:rPr>
          <w:rFonts w:eastAsia="Times New Roman" w:cstheme="minorHAnsi"/>
          <w:lang w:eastAsia="en-AU"/>
        </w:rPr>
        <w:t>to commencement of any LSDP treatment?</w:t>
      </w:r>
    </w:p>
    <w:p w14:paraId="190F8ACC" w14:textId="77777777" w:rsidR="00FD744B" w:rsidRPr="00911A3E" w:rsidRDefault="00FD744B" w:rsidP="00FD744B">
      <w:pPr>
        <w:pStyle w:val="ListParagraph"/>
        <w:spacing w:after="100" w:afterAutospacing="1"/>
        <w:ind w:left="1440"/>
        <w:rPr>
          <w:rFonts w:eastAsia="Times New Roman" w:cstheme="minorHAnsi"/>
          <w:lang w:eastAsia="en-AU"/>
        </w:rPr>
      </w:pPr>
    </w:p>
    <w:p w14:paraId="023FB1C6" w14:textId="662D547E" w:rsidR="00FD744B" w:rsidRPr="00911A3E" w:rsidRDefault="00FD744B" w:rsidP="00FD744B">
      <w:pPr>
        <w:pStyle w:val="ListParagraph"/>
        <w:numPr>
          <w:ilvl w:val="0"/>
          <w:numId w:val="6"/>
        </w:numPr>
        <w:spacing w:after="100" w:afterAutospacing="1"/>
        <w:rPr>
          <w:rFonts w:eastAsia="Times New Roman" w:cstheme="minorHAnsi"/>
          <w:lang w:eastAsia="en-AU"/>
        </w:rPr>
      </w:pPr>
      <w:r w:rsidRPr="00911A3E">
        <w:rPr>
          <w:rFonts w:eastAsia="Times New Roman" w:cstheme="minorHAnsi"/>
          <w:lang w:eastAsia="en-AU"/>
        </w:rPr>
        <w:t xml:space="preserve">Consumer impact: </w:t>
      </w:r>
    </w:p>
    <w:p w14:paraId="5652B7D1" w14:textId="6EA3CB34" w:rsidR="00FD744B" w:rsidRPr="00911A3E" w:rsidRDefault="00C56792" w:rsidP="00FD744B">
      <w:pPr>
        <w:pStyle w:val="ListParagraph"/>
        <w:numPr>
          <w:ilvl w:val="1"/>
          <w:numId w:val="6"/>
        </w:numPr>
        <w:spacing w:after="100" w:afterAutospacing="1"/>
        <w:rPr>
          <w:rFonts w:eastAsia="Times New Roman" w:cstheme="minorHAnsi"/>
          <w:lang w:eastAsia="en-AU"/>
        </w:rPr>
      </w:pPr>
      <w:r>
        <w:rPr>
          <w:rFonts w:eastAsia="Times New Roman" w:cstheme="minorHAnsi"/>
          <w:lang w:eastAsia="en-AU"/>
        </w:rPr>
        <w:t>What</w:t>
      </w:r>
      <w:r w:rsidR="005178C0">
        <w:rPr>
          <w:rFonts w:eastAsia="Times New Roman" w:cstheme="minorHAnsi"/>
          <w:lang w:eastAsia="en-AU"/>
        </w:rPr>
        <w:t>, if any,</w:t>
      </w:r>
      <w:r>
        <w:rPr>
          <w:rFonts w:eastAsia="Times New Roman" w:cstheme="minorHAnsi"/>
          <w:lang w:eastAsia="en-AU"/>
        </w:rPr>
        <w:t xml:space="preserve"> </w:t>
      </w:r>
      <w:r w:rsidR="00FD744B" w:rsidRPr="00911A3E">
        <w:rPr>
          <w:rFonts w:eastAsia="Times New Roman" w:cstheme="minorHAnsi"/>
          <w:lang w:eastAsia="en-AU"/>
        </w:rPr>
        <w:t>changes in patient</w:t>
      </w:r>
      <w:r w:rsidR="00852983">
        <w:rPr>
          <w:rFonts w:eastAsia="Times New Roman" w:cstheme="minorHAnsi"/>
          <w:lang w:eastAsia="en-AU"/>
        </w:rPr>
        <w:t>-</w:t>
      </w:r>
      <w:r w:rsidR="00FD744B" w:rsidRPr="00911A3E">
        <w:rPr>
          <w:rFonts w:eastAsia="Times New Roman" w:cstheme="minorHAnsi"/>
          <w:lang w:eastAsia="en-AU"/>
        </w:rPr>
        <w:t xml:space="preserve">relevant outcomes </w:t>
      </w:r>
      <w:r w:rsidR="00441941">
        <w:rPr>
          <w:rFonts w:eastAsia="Times New Roman" w:cstheme="minorHAnsi"/>
          <w:lang w:eastAsia="en-AU"/>
        </w:rPr>
        <w:t xml:space="preserve">have been </w:t>
      </w:r>
      <w:r w:rsidR="00C33BFC">
        <w:rPr>
          <w:rFonts w:eastAsia="Times New Roman" w:cstheme="minorHAnsi"/>
          <w:lang w:eastAsia="en-AU"/>
        </w:rPr>
        <w:t xml:space="preserve">reported </w:t>
      </w:r>
      <w:r w:rsidR="00DF76E2">
        <w:rPr>
          <w:rFonts w:eastAsia="Times New Roman" w:cstheme="minorHAnsi"/>
          <w:lang w:eastAsia="en-AU"/>
        </w:rPr>
        <w:t>due to</w:t>
      </w:r>
      <w:r w:rsidR="00FD744B" w:rsidRPr="00911A3E">
        <w:rPr>
          <w:rFonts w:eastAsia="Times New Roman" w:cstheme="minorHAnsi"/>
          <w:lang w:eastAsia="en-AU"/>
        </w:rPr>
        <w:t xml:space="preserve"> the oral route of administration </w:t>
      </w:r>
      <w:r w:rsidR="00253F4B">
        <w:rPr>
          <w:rFonts w:eastAsia="Times New Roman" w:cstheme="minorHAnsi"/>
          <w:lang w:eastAsia="en-AU"/>
        </w:rPr>
        <w:t xml:space="preserve">with migalastat </w:t>
      </w:r>
      <w:r w:rsidR="004F456D">
        <w:rPr>
          <w:rFonts w:eastAsia="Times New Roman" w:cstheme="minorHAnsi"/>
          <w:lang w:eastAsia="en-AU"/>
        </w:rPr>
        <w:t>compared to</w:t>
      </w:r>
      <w:r w:rsidR="004F456D" w:rsidRPr="00911A3E">
        <w:rPr>
          <w:rFonts w:eastAsia="Times New Roman" w:cstheme="minorHAnsi"/>
          <w:lang w:eastAsia="en-AU"/>
        </w:rPr>
        <w:t xml:space="preserve"> </w:t>
      </w:r>
      <w:r w:rsidR="00FD744B" w:rsidRPr="00911A3E">
        <w:rPr>
          <w:rFonts w:eastAsia="Times New Roman" w:cstheme="minorHAnsi"/>
          <w:lang w:eastAsia="en-AU"/>
        </w:rPr>
        <w:t>IV</w:t>
      </w:r>
      <w:r w:rsidR="00253F4B" w:rsidRPr="00253F4B">
        <w:rPr>
          <w:rFonts w:eastAsia="Times New Roman" w:cstheme="minorHAnsi"/>
          <w:lang w:eastAsia="en-AU"/>
        </w:rPr>
        <w:t xml:space="preserve"> </w:t>
      </w:r>
      <w:r w:rsidR="00253F4B" w:rsidRPr="00911A3E">
        <w:rPr>
          <w:rFonts w:eastAsia="Times New Roman" w:cstheme="minorHAnsi"/>
          <w:lang w:eastAsia="en-AU"/>
        </w:rPr>
        <w:t>route of administration</w:t>
      </w:r>
      <w:r w:rsidR="00253F4B">
        <w:rPr>
          <w:rFonts w:eastAsia="Times New Roman" w:cstheme="minorHAnsi"/>
          <w:lang w:eastAsia="en-AU"/>
        </w:rPr>
        <w:t xml:space="preserve"> with ERTs</w:t>
      </w:r>
      <w:r w:rsidR="00FD744B" w:rsidRPr="00911A3E">
        <w:rPr>
          <w:rFonts w:eastAsia="Times New Roman" w:cstheme="minorHAnsi"/>
          <w:lang w:eastAsia="en-AU"/>
        </w:rPr>
        <w:t>?</w:t>
      </w:r>
      <w:r w:rsidR="00D5000A">
        <w:rPr>
          <w:rFonts w:eastAsia="Times New Roman" w:cstheme="minorHAnsi"/>
          <w:lang w:eastAsia="en-AU"/>
        </w:rPr>
        <w:t xml:space="preserve"> </w:t>
      </w:r>
      <w:r w:rsidR="00D5000A" w:rsidRPr="00740EAC">
        <w:rPr>
          <w:rFonts w:eastAsia="Times New Roman" w:cstheme="minorHAnsi"/>
          <w:lang w:eastAsia="en-AU"/>
        </w:rPr>
        <w:t xml:space="preserve">Are </w:t>
      </w:r>
      <w:r w:rsidR="00D5000A">
        <w:rPr>
          <w:rFonts w:eastAsia="Times New Roman" w:cstheme="minorHAnsi"/>
          <w:lang w:eastAsia="en-AU"/>
        </w:rPr>
        <w:t>there any other outcomes that are important to patients and their carers</w:t>
      </w:r>
      <w:r w:rsidR="00D5000A" w:rsidRPr="00740EAC">
        <w:rPr>
          <w:rFonts w:eastAsia="Times New Roman" w:cstheme="minorHAnsi"/>
          <w:lang w:eastAsia="en-AU"/>
        </w:rPr>
        <w:t>?</w:t>
      </w:r>
    </w:p>
    <w:p w14:paraId="3E62A5CB" w14:textId="59717FFB" w:rsidR="00FD744B" w:rsidRPr="00911A3E" w:rsidRDefault="00D5000A" w:rsidP="00FD744B">
      <w:pPr>
        <w:pStyle w:val="ListParagraph"/>
        <w:numPr>
          <w:ilvl w:val="1"/>
          <w:numId w:val="6"/>
        </w:numPr>
        <w:spacing w:after="100" w:afterAutospacing="1"/>
        <w:rPr>
          <w:rFonts w:eastAsia="Times New Roman" w:cstheme="minorHAnsi"/>
          <w:lang w:eastAsia="en-AU"/>
        </w:rPr>
      </w:pPr>
      <w:r w:rsidRPr="00911A3E">
        <w:rPr>
          <w:rFonts w:eastAsia="Times New Roman" w:cstheme="minorHAnsi"/>
          <w:lang w:eastAsia="en-AU"/>
        </w:rPr>
        <w:t xml:space="preserve">What </w:t>
      </w:r>
      <w:r>
        <w:rPr>
          <w:rFonts w:eastAsia="Times New Roman" w:cstheme="minorHAnsi"/>
          <w:lang w:eastAsia="en-AU"/>
        </w:rPr>
        <w:t xml:space="preserve">(if any) negative impacts do </w:t>
      </w:r>
      <w:r w:rsidRPr="00911A3E">
        <w:rPr>
          <w:rFonts w:eastAsia="Times New Roman" w:cstheme="minorHAnsi"/>
          <w:lang w:eastAsia="en-AU"/>
        </w:rPr>
        <w:t>patient</w:t>
      </w:r>
      <w:r>
        <w:rPr>
          <w:rFonts w:eastAsia="Times New Roman" w:cstheme="minorHAnsi"/>
          <w:lang w:eastAsia="en-AU"/>
        </w:rPr>
        <w:t>s experience during treatment</w:t>
      </w:r>
      <w:r w:rsidRPr="00911A3E">
        <w:rPr>
          <w:rFonts w:eastAsia="Times New Roman" w:cstheme="minorHAnsi"/>
          <w:lang w:eastAsia="en-AU"/>
        </w:rPr>
        <w:t xml:space="preserve"> </w:t>
      </w:r>
      <w:r w:rsidRPr="002677EB">
        <w:rPr>
          <w:rFonts w:eastAsia="Times New Roman" w:cstheme="minorHAnsi"/>
          <w:lang w:eastAsia="en-AU"/>
        </w:rPr>
        <w:t>with</w:t>
      </w:r>
      <w:r>
        <w:rPr>
          <w:rFonts w:eastAsia="Times New Roman" w:cstheme="minorHAnsi"/>
          <w:lang w:eastAsia="en-AU"/>
        </w:rPr>
        <w:t xml:space="preserve"> migalastat compared to those treated with ERT (for example out of pocket costs)</w:t>
      </w:r>
      <w:r w:rsidR="00FD744B" w:rsidRPr="00911A3E">
        <w:rPr>
          <w:rFonts w:eastAsia="Times New Roman" w:cstheme="minorHAnsi"/>
          <w:lang w:eastAsia="en-AU"/>
        </w:rPr>
        <w:t>?</w:t>
      </w:r>
    </w:p>
    <w:p w14:paraId="740F5BC9" w14:textId="3E039C48" w:rsidR="00FD744B" w:rsidRDefault="00B60264" w:rsidP="00FD744B">
      <w:pPr>
        <w:pStyle w:val="ListParagraph"/>
        <w:numPr>
          <w:ilvl w:val="1"/>
          <w:numId w:val="6"/>
        </w:numPr>
        <w:spacing w:after="100" w:afterAutospacing="1"/>
        <w:rPr>
          <w:rFonts w:eastAsia="Times New Roman" w:cstheme="minorHAnsi"/>
          <w:lang w:eastAsia="en-AU"/>
        </w:rPr>
      </w:pPr>
      <w:r>
        <w:rPr>
          <w:rFonts w:eastAsia="Times New Roman" w:cstheme="minorHAnsi"/>
          <w:lang w:eastAsia="en-AU"/>
        </w:rPr>
        <w:t xml:space="preserve">What, if any, other </w:t>
      </w:r>
      <w:r w:rsidR="00FD744B" w:rsidRPr="00911A3E">
        <w:rPr>
          <w:rFonts w:eastAsia="Times New Roman" w:cstheme="minorHAnsi"/>
          <w:lang w:eastAsia="en-AU"/>
        </w:rPr>
        <w:t xml:space="preserve">changes </w:t>
      </w:r>
      <w:r w:rsidR="00035122">
        <w:rPr>
          <w:rFonts w:eastAsia="Times New Roman" w:cstheme="minorHAnsi"/>
          <w:lang w:eastAsia="en-AU"/>
        </w:rPr>
        <w:t>in</w:t>
      </w:r>
      <w:r w:rsidR="00354B1B" w:rsidRPr="00911A3E">
        <w:rPr>
          <w:rFonts w:eastAsia="Times New Roman" w:cstheme="minorHAnsi"/>
          <w:lang w:eastAsia="en-AU"/>
        </w:rPr>
        <w:t xml:space="preserve"> </w:t>
      </w:r>
      <w:r w:rsidR="00FD744B" w:rsidRPr="00911A3E">
        <w:rPr>
          <w:rFonts w:eastAsia="Times New Roman" w:cstheme="minorHAnsi"/>
          <w:lang w:eastAsia="en-AU"/>
        </w:rPr>
        <w:t>patient</w:t>
      </w:r>
      <w:r w:rsidR="00035122">
        <w:rPr>
          <w:rFonts w:eastAsia="Times New Roman" w:cstheme="minorHAnsi"/>
          <w:lang w:eastAsia="en-AU"/>
        </w:rPr>
        <w:t>-</w:t>
      </w:r>
      <w:r w:rsidR="00FD744B" w:rsidRPr="00911A3E">
        <w:rPr>
          <w:rFonts w:eastAsia="Times New Roman" w:cstheme="minorHAnsi"/>
          <w:lang w:eastAsia="en-AU"/>
        </w:rPr>
        <w:t>relevant outcomes</w:t>
      </w:r>
      <w:r w:rsidR="00035122">
        <w:rPr>
          <w:rFonts w:eastAsia="Times New Roman" w:cstheme="minorHAnsi"/>
          <w:lang w:eastAsia="en-AU"/>
        </w:rPr>
        <w:t xml:space="preserve"> have been reported by patients treated with migalastat compared with ERT</w:t>
      </w:r>
      <w:r w:rsidR="00FD744B" w:rsidRPr="00911A3E">
        <w:rPr>
          <w:rFonts w:eastAsia="Times New Roman" w:cstheme="minorHAnsi"/>
          <w:lang w:eastAsia="en-AU"/>
        </w:rPr>
        <w:t>?</w:t>
      </w:r>
    </w:p>
    <w:p w14:paraId="040CF93C" w14:textId="1720B254" w:rsidR="003D13C2" w:rsidRPr="00911A3E" w:rsidRDefault="003D13C2" w:rsidP="003D13C2">
      <w:pPr>
        <w:rPr>
          <w:rFonts w:eastAsia="Times New Roman" w:cstheme="minorHAnsi"/>
          <w:b/>
          <w:bCs/>
          <w:sz w:val="24"/>
          <w:szCs w:val="24"/>
          <w:lang w:eastAsia="en-AU"/>
        </w:rPr>
      </w:pPr>
      <w:proofErr w:type="spellStart"/>
      <w:r w:rsidRPr="00911A3E">
        <w:rPr>
          <w:rFonts w:eastAsia="Times New Roman" w:cstheme="minorHAnsi"/>
          <w:b/>
          <w:bCs/>
          <w:sz w:val="24"/>
          <w:szCs w:val="24"/>
          <w:lang w:eastAsia="en-AU"/>
        </w:rPr>
        <w:t>ToR</w:t>
      </w:r>
      <w:proofErr w:type="spellEnd"/>
      <w:r w:rsidRPr="00911A3E">
        <w:rPr>
          <w:rFonts w:eastAsia="Times New Roman" w:cstheme="minorHAnsi"/>
          <w:b/>
          <w:bCs/>
          <w:sz w:val="24"/>
          <w:szCs w:val="24"/>
          <w:lang w:eastAsia="en-AU"/>
        </w:rPr>
        <w:t xml:space="preserve"> 4: Financial Impact</w:t>
      </w:r>
    </w:p>
    <w:p w14:paraId="624FA154" w14:textId="1406FD84" w:rsidR="00EF16F7" w:rsidRPr="00911A3E" w:rsidRDefault="003D13C2" w:rsidP="003D13C2">
      <w:pPr>
        <w:spacing w:before="100" w:beforeAutospacing="1" w:after="100" w:afterAutospacing="1"/>
        <w:rPr>
          <w:rFonts w:eastAsia="Times New Roman" w:cstheme="minorHAnsi"/>
          <w:lang w:eastAsia="en-AU"/>
        </w:rPr>
      </w:pPr>
      <w:r w:rsidRPr="00911A3E">
        <w:rPr>
          <w:rFonts w:eastAsia="Times New Roman" w:cstheme="minorHAnsi"/>
          <w:lang w:eastAsia="en-AU"/>
        </w:rPr>
        <w:t xml:space="preserve">This </w:t>
      </w:r>
      <w:proofErr w:type="spellStart"/>
      <w:r w:rsidRPr="00911A3E">
        <w:rPr>
          <w:rFonts w:eastAsia="Times New Roman" w:cstheme="minorHAnsi"/>
          <w:lang w:eastAsia="en-AU"/>
        </w:rPr>
        <w:t>ToR</w:t>
      </w:r>
      <w:proofErr w:type="spellEnd"/>
      <w:r w:rsidRPr="00911A3E">
        <w:rPr>
          <w:rFonts w:eastAsia="Times New Roman" w:cstheme="minorHAnsi"/>
          <w:lang w:eastAsia="en-AU"/>
        </w:rPr>
        <w:t xml:space="preserve"> aims to r</w:t>
      </w:r>
      <w:r w:rsidR="00EF16F7" w:rsidRPr="00911A3E">
        <w:rPr>
          <w:rFonts w:eastAsia="Times New Roman" w:cstheme="minorHAnsi"/>
          <w:lang w:eastAsia="en-AU"/>
        </w:rPr>
        <w:t xml:space="preserve">eview the value for money of migalastat under the current funding arrangements, including </w:t>
      </w:r>
      <w:r w:rsidR="0012151B" w:rsidRPr="00911A3E">
        <w:rPr>
          <w:rFonts w:eastAsia="Times New Roman" w:cstheme="minorHAnsi"/>
          <w:lang w:eastAsia="en-AU"/>
        </w:rPr>
        <w:t xml:space="preserve">a review of the </w:t>
      </w:r>
      <w:r w:rsidR="0079454E" w:rsidRPr="00911A3E">
        <w:rPr>
          <w:rFonts w:eastAsia="Times New Roman" w:cstheme="minorHAnsi"/>
          <w:lang w:eastAsia="en-AU"/>
        </w:rPr>
        <w:t xml:space="preserve">financial </w:t>
      </w:r>
      <w:r w:rsidR="0012151B" w:rsidRPr="00911A3E">
        <w:rPr>
          <w:rFonts w:eastAsia="Times New Roman" w:cstheme="minorHAnsi"/>
          <w:lang w:eastAsia="en-AU"/>
        </w:rPr>
        <w:t>outcomes and future implications of the current listing of migalastat on the LSDP.</w:t>
      </w:r>
    </w:p>
    <w:p w14:paraId="6B14AADF" w14:textId="115C8F38" w:rsidR="0012151B" w:rsidRPr="00911A3E" w:rsidRDefault="0012151B" w:rsidP="0012151B">
      <w:pPr>
        <w:spacing w:before="100" w:beforeAutospacing="1" w:after="100" w:afterAutospacing="1"/>
        <w:rPr>
          <w:rFonts w:eastAsia="Times New Roman" w:cstheme="minorHAnsi"/>
          <w:lang w:eastAsia="en-AU"/>
        </w:rPr>
      </w:pPr>
      <w:r w:rsidRPr="00911A3E">
        <w:rPr>
          <w:rFonts w:eastAsia="Times New Roman" w:cstheme="minorHAnsi"/>
          <w:lang w:eastAsia="en-AU"/>
        </w:rPr>
        <w:t xml:space="preserve">Protocol Questions </w:t>
      </w:r>
    </w:p>
    <w:p w14:paraId="4660531B" w14:textId="3E70F21F" w:rsidR="003D13C2" w:rsidRPr="00911A3E" w:rsidRDefault="002800C9" w:rsidP="0012151B">
      <w:pPr>
        <w:pStyle w:val="ListParagraph"/>
        <w:numPr>
          <w:ilvl w:val="0"/>
          <w:numId w:val="6"/>
        </w:numPr>
        <w:spacing w:after="100" w:afterAutospacing="1"/>
        <w:rPr>
          <w:rFonts w:eastAsia="Times New Roman" w:cstheme="minorHAnsi"/>
          <w:lang w:eastAsia="en-AU"/>
        </w:rPr>
      </w:pPr>
      <w:r w:rsidRPr="0043154F">
        <w:rPr>
          <w:rFonts w:eastAsia="Times New Roman" w:cstheme="minorHAnsi"/>
          <w:lang w:eastAsia="en-AU"/>
        </w:rPr>
        <w:t xml:space="preserve">What </w:t>
      </w:r>
      <w:proofErr w:type="gramStart"/>
      <w:r w:rsidRPr="0043154F">
        <w:rPr>
          <w:rFonts w:eastAsia="Times New Roman" w:cstheme="minorHAnsi"/>
          <w:lang w:eastAsia="en-AU"/>
        </w:rPr>
        <w:t>are</w:t>
      </w:r>
      <w:proofErr w:type="gramEnd"/>
      <w:r w:rsidRPr="0043154F">
        <w:rPr>
          <w:rFonts w:eastAsia="Times New Roman" w:cstheme="minorHAnsi"/>
          <w:lang w:eastAsia="en-AU"/>
        </w:rPr>
        <w:t xml:space="preserve"> the comparative total</w:t>
      </w:r>
      <w:r>
        <w:rPr>
          <w:rFonts w:eastAsia="Times New Roman" w:cstheme="minorHAnsi"/>
          <w:lang w:eastAsia="en-AU"/>
        </w:rPr>
        <w:t xml:space="preserve"> (to the program) and average </w:t>
      </w:r>
      <w:r w:rsidRPr="0043154F">
        <w:rPr>
          <w:rFonts w:eastAsia="Times New Roman" w:cstheme="minorHAnsi"/>
          <w:lang w:eastAsia="en-AU"/>
        </w:rPr>
        <w:t>per-patient costs</w:t>
      </w:r>
      <w:r>
        <w:rPr>
          <w:rFonts w:eastAsia="Times New Roman" w:cstheme="minorHAnsi"/>
          <w:lang w:eastAsia="en-AU"/>
        </w:rPr>
        <w:t>?</w:t>
      </w:r>
      <w:r w:rsidRPr="0043154F">
        <w:rPr>
          <w:rFonts w:eastAsia="Times New Roman" w:cstheme="minorHAnsi"/>
          <w:lang w:eastAsia="en-AU"/>
        </w:rPr>
        <w:t xml:space="preserve"> </w:t>
      </w:r>
      <w:r>
        <w:rPr>
          <w:rFonts w:eastAsia="Times New Roman" w:cstheme="minorHAnsi"/>
          <w:lang w:eastAsia="en-AU"/>
        </w:rPr>
        <w:t>H</w:t>
      </w:r>
      <w:r w:rsidRPr="0043154F">
        <w:rPr>
          <w:rFonts w:eastAsia="Times New Roman" w:cstheme="minorHAnsi"/>
          <w:lang w:eastAsia="en-AU"/>
        </w:rPr>
        <w:t xml:space="preserve">ave these changed over time? </w:t>
      </w:r>
      <w:r>
        <w:rPr>
          <w:rFonts w:eastAsia="Times New Roman" w:cstheme="minorHAnsi"/>
          <w:lang w:eastAsia="en-AU"/>
        </w:rPr>
        <w:t xml:space="preserve">How do they compare with expectations at the time of listing consideration? </w:t>
      </w:r>
      <w:r w:rsidRPr="00955F86">
        <w:rPr>
          <w:rFonts w:eastAsia="Times New Roman" w:cstheme="minorHAnsi"/>
          <w:lang w:eastAsia="en-AU"/>
        </w:rPr>
        <w:t xml:space="preserve">How do these </w:t>
      </w:r>
      <w:r>
        <w:rPr>
          <w:rFonts w:eastAsia="Times New Roman" w:cstheme="minorHAnsi"/>
          <w:lang w:eastAsia="en-AU"/>
        </w:rPr>
        <w:t xml:space="preserve">costs </w:t>
      </w:r>
      <w:r w:rsidRPr="00955F86">
        <w:rPr>
          <w:rFonts w:eastAsia="Times New Roman" w:cstheme="minorHAnsi"/>
          <w:lang w:eastAsia="en-AU"/>
        </w:rPr>
        <w:t xml:space="preserve">compare with </w:t>
      </w:r>
      <w:r>
        <w:rPr>
          <w:rFonts w:eastAsia="Times New Roman" w:cstheme="minorHAnsi"/>
          <w:lang w:eastAsia="en-AU"/>
        </w:rPr>
        <w:t xml:space="preserve">those of </w:t>
      </w:r>
      <w:r w:rsidRPr="00955F86">
        <w:rPr>
          <w:rFonts w:eastAsia="Times New Roman" w:cstheme="minorHAnsi"/>
          <w:lang w:eastAsia="en-AU"/>
        </w:rPr>
        <w:t>other LSDP drugs</w:t>
      </w:r>
      <w:r w:rsidR="003D13C2" w:rsidRPr="00911A3E">
        <w:rPr>
          <w:rFonts w:eastAsia="Times New Roman" w:cstheme="minorHAnsi"/>
          <w:lang w:eastAsia="en-AU"/>
        </w:rPr>
        <w:t>?</w:t>
      </w:r>
    </w:p>
    <w:p w14:paraId="45FFC2EF" w14:textId="0A566624" w:rsidR="00D5000A" w:rsidRPr="00911A3E" w:rsidRDefault="00D5000A" w:rsidP="00E511C5">
      <w:pPr>
        <w:pStyle w:val="ListParagraph"/>
        <w:numPr>
          <w:ilvl w:val="0"/>
          <w:numId w:val="6"/>
        </w:numPr>
        <w:spacing w:after="100" w:afterAutospacing="1"/>
        <w:rPr>
          <w:rFonts w:eastAsia="Times New Roman" w:cstheme="minorHAnsi"/>
          <w:lang w:eastAsia="en-AU"/>
        </w:rPr>
      </w:pPr>
      <w:r>
        <w:rPr>
          <w:lang w:eastAsia="en-AU"/>
        </w:rPr>
        <w:t>How do incremental cost-effectiveness ratios (ICERs) for migalastat in practice compare with ICERs expected at the time of inclusion of its inclusion on the LSDP?</w:t>
      </w:r>
      <w:r w:rsidRPr="00D5000A">
        <w:rPr>
          <w:rFonts w:eastAsia="Times New Roman" w:cstheme="minorHAnsi"/>
          <w:lang w:eastAsia="en-AU"/>
        </w:rPr>
        <w:t xml:space="preserve"> </w:t>
      </w:r>
      <w:r w:rsidRPr="00911A3E">
        <w:rPr>
          <w:rFonts w:eastAsia="Times New Roman" w:cstheme="minorHAnsi"/>
          <w:lang w:eastAsia="en-AU"/>
        </w:rPr>
        <w:t>Has the oral formulation reduced the</w:t>
      </w:r>
      <w:r w:rsidR="004878C9">
        <w:rPr>
          <w:rFonts w:eastAsia="Times New Roman" w:cstheme="minorHAnsi"/>
          <w:lang w:eastAsia="en-AU"/>
        </w:rPr>
        <w:t xml:space="preserve"> other</w:t>
      </w:r>
      <w:r w:rsidRPr="00911A3E">
        <w:rPr>
          <w:rFonts w:eastAsia="Times New Roman" w:cstheme="minorHAnsi"/>
          <w:lang w:eastAsia="en-AU"/>
        </w:rPr>
        <w:t xml:space="preserve"> indirect costs </w:t>
      </w:r>
      <w:r w:rsidR="004878C9">
        <w:rPr>
          <w:rFonts w:eastAsia="Times New Roman" w:cstheme="minorHAnsi"/>
          <w:lang w:eastAsia="en-AU"/>
        </w:rPr>
        <w:t>(for example, patient or public health)</w:t>
      </w:r>
      <w:r w:rsidR="004878C9">
        <w:rPr>
          <w:rFonts w:eastAsia="Times New Roman" w:cstheme="minorHAnsi"/>
          <w:lang w:eastAsia="en-AU"/>
        </w:rPr>
        <w:t xml:space="preserve"> </w:t>
      </w:r>
      <w:r w:rsidRPr="00911A3E">
        <w:rPr>
          <w:rFonts w:eastAsia="Times New Roman" w:cstheme="minorHAnsi"/>
          <w:lang w:eastAsia="en-AU"/>
        </w:rPr>
        <w:t>of treating Fabry disease with LSDP drugs?</w:t>
      </w:r>
    </w:p>
    <w:p w14:paraId="3F34E825" w14:textId="77777777" w:rsidR="00D5000A" w:rsidRDefault="00D5000A" w:rsidP="0012151B">
      <w:pPr>
        <w:pStyle w:val="ListParagraph"/>
        <w:numPr>
          <w:ilvl w:val="0"/>
          <w:numId w:val="6"/>
        </w:numPr>
        <w:spacing w:after="100" w:afterAutospacing="1"/>
        <w:rPr>
          <w:rFonts w:eastAsia="Times New Roman" w:cstheme="minorHAnsi"/>
          <w:lang w:eastAsia="en-AU"/>
        </w:rPr>
      </w:pPr>
      <w:r w:rsidRPr="0043154F">
        <w:rPr>
          <w:rFonts w:eastAsia="Times New Roman" w:cstheme="minorHAnsi"/>
          <w:lang w:eastAsia="en-AU"/>
        </w:rPr>
        <w:t>Ha</w:t>
      </w:r>
      <w:r>
        <w:rPr>
          <w:rFonts w:eastAsia="Times New Roman" w:cstheme="minorHAnsi"/>
          <w:lang w:eastAsia="en-AU"/>
        </w:rPr>
        <w:t xml:space="preserve">ve the arrangements under the deed of agreement </w:t>
      </w:r>
      <w:r w:rsidRPr="0043154F">
        <w:rPr>
          <w:rFonts w:eastAsia="Times New Roman" w:cstheme="minorHAnsi"/>
          <w:lang w:eastAsia="en-AU"/>
        </w:rPr>
        <w:t>provided adequate management of financial risk?</w:t>
      </w:r>
    </w:p>
    <w:p w14:paraId="049E7A78" w14:textId="49B3A0D3" w:rsidR="00280050" w:rsidRPr="00E511C5" w:rsidRDefault="003D13C2" w:rsidP="00E511C5">
      <w:pPr>
        <w:pStyle w:val="ListParagraph"/>
        <w:numPr>
          <w:ilvl w:val="0"/>
          <w:numId w:val="6"/>
        </w:numPr>
        <w:spacing w:before="100" w:beforeAutospacing="1" w:after="100" w:afterAutospacing="1"/>
        <w:rPr>
          <w:rFonts w:cstheme="minorHAnsi"/>
        </w:rPr>
      </w:pPr>
      <w:r w:rsidRPr="00E511C5">
        <w:rPr>
          <w:rFonts w:eastAsia="Times New Roman" w:cstheme="minorHAnsi"/>
          <w:lang w:eastAsia="en-AU"/>
        </w:rPr>
        <w:t>The sponsor claimed that the fixed</w:t>
      </w:r>
      <w:r w:rsidR="00075865" w:rsidRPr="00E511C5">
        <w:rPr>
          <w:rFonts w:eastAsia="Times New Roman" w:cstheme="minorHAnsi"/>
          <w:lang w:eastAsia="en-AU"/>
        </w:rPr>
        <w:t>-</w:t>
      </w:r>
      <w:r w:rsidRPr="00E511C5">
        <w:rPr>
          <w:rFonts w:eastAsia="Times New Roman" w:cstheme="minorHAnsi"/>
          <w:lang w:eastAsia="en-AU"/>
        </w:rPr>
        <w:t>dose formulation of migalastat would lead to savings over the weight</w:t>
      </w:r>
      <w:r w:rsidR="00A51EBD" w:rsidRPr="00E511C5">
        <w:rPr>
          <w:rFonts w:eastAsia="Times New Roman" w:cstheme="minorHAnsi"/>
          <w:lang w:eastAsia="en-AU"/>
        </w:rPr>
        <w:t>-</w:t>
      </w:r>
      <w:r w:rsidRPr="00E511C5">
        <w:rPr>
          <w:rFonts w:eastAsia="Times New Roman" w:cstheme="minorHAnsi"/>
          <w:lang w:eastAsia="en-AU"/>
        </w:rPr>
        <w:t>based ERT formulations. Has this eventuated?</w:t>
      </w:r>
    </w:p>
    <w:sectPr w:rsidR="00280050" w:rsidRPr="00E511C5">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492C32" w14:textId="77777777" w:rsidR="004A410D" w:rsidRDefault="004A410D" w:rsidP="00F67686">
      <w:pPr>
        <w:spacing w:after="0" w:line="240" w:lineRule="auto"/>
      </w:pPr>
      <w:r>
        <w:separator/>
      </w:r>
    </w:p>
  </w:endnote>
  <w:endnote w:type="continuationSeparator" w:id="0">
    <w:p w14:paraId="5A3C92DA" w14:textId="77777777" w:rsidR="004A410D" w:rsidRDefault="004A410D" w:rsidP="00F67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40AAD" w14:textId="77777777" w:rsidR="00FD744B" w:rsidRDefault="00FD74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B8268" w14:textId="77777777" w:rsidR="00FD744B" w:rsidRDefault="00FD74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HAnsi"/>
      </w:rPr>
      <w:id w:val="1902243280"/>
      <w:docPartObj>
        <w:docPartGallery w:val="Page Numbers (Bottom of Page)"/>
        <w:docPartUnique/>
      </w:docPartObj>
    </w:sdtPr>
    <w:sdtEndPr>
      <w:rPr>
        <w:color w:val="808080" w:themeColor="background1" w:themeShade="80"/>
        <w:spacing w:val="60"/>
        <w:sz w:val="20"/>
        <w:szCs w:val="20"/>
      </w:rPr>
    </w:sdtEndPr>
    <w:sdtContent>
      <w:p w14:paraId="7E3F3893" w14:textId="77777777" w:rsidR="00407F80" w:rsidRPr="003C7B16" w:rsidRDefault="000965D7" w:rsidP="00157165">
        <w:pPr>
          <w:pStyle w:val="Footer"/>
          <w:pBdr>
            <w:top w:val="single" w:sz="4" w:space="1" w:color="D9D9D9" w:themeColor="background1" w:themeShade="D9"/>
          </w:pBdr>
          <w:rPr>
            <w:rFonts w:asciiTheme="minorHAnsi" w:hAnsiTheme="minorHAnsi" w:cstheme="minorHAnsi"/>
            <w:bCs/>
            <w:sz w:val="20"/>
            <w:szCs w:val="20"/>
          </w:rPr>
        </w:pPr>
        <w:r w:rsidRPr="003C7B16">
          <w:rPr>
            <w:rFonts w:asciiTheme="minorHAnsi" w:hAnsiTheme="minorHAnsi" w:cstheme="minorHAnsi"/>
            <w:szCs w:val="20"/>
          </w:rPr>
          <w:fldChar w:fldCharType="begin"/>
        </w:r>
        <w:r w:rsidRPr="003C7B16">
          <w:rPr>
            <w:rFonts w:asciiTheme="minorHAnsi" w:hAnsiTheme="minorHAnsi" w:cstheme="minorHAnsi"/>
            <w:szCs w:val="20"/>
          </w:rPr>
          <w:instrText xml:space="preserve"> PAGE   \* MERGEFORMAT </w:instrText>
        </w:r>
        <w:r w:rsidRPr="003C7B16">
          <w:rPr>
            <w:rFonts w:asciiTheme="minorHAnsi" w:hAnsiTheme="minorHAnsi" w:cstheme="minorHAnsi"/>
            <w:szCs w:val="20"/>
          </w:rPr>
          <w:fldChar w:fldCharType="separate"/>
        </w:r>
        <w:r w:rsidRPr="00F315D8">
          <w:rPr>
            <w:rFonts w:asciiTheme="minorHAnsi" w:hAnsiTheme="minorHAnsi" w:cstheme="minorHAnsi"/>
            <w:bCs/>
            <w:noProof/>
            <w:szCs w:val="20"/>
          </w:rPr>
          <w:t>5</w:t>
        </w:r>
        <w:r w:rsidRPr="003C7B16">
          <w:rPr>
            <w:rFonts w:asciiTheme="minorHAnsi" w:hAnsiTheme="minorHAnsi" w:cstheme="minorHAnsi"/>
            <w:bCs/>
            <w:noProof/>
            <w:szCs w:val="20"/>
          </w:rPr>
          <w:fldChar w:fldCharType="end"/>
        </w:r>
        <w:r w:rsidRPr="003C7B16">
          <w:rPr>
            <w:rFonts w:asciiTheme="minorHAnsi" w:hAnsiTheme="minorHAnsi" w:cstheme="minorHAnsi"/>
            <w:bCs/>
            <w:szCs w:val="20"/>
          </w:rPr>
          <w:t xml:space="preserve"> </w:t>
        </w:r>
        <w:r w:rsidRPr="003C7B16">
          <w:rPr>
            <w:rFonts w:asciiTheme="minorHAnsi" w:hAnsiTheme="minorHAnsi" w:cstheme="minorHAnsi"/>
            <w:bCs/>
            <w:sz w:val="20"/>
            <w:szCs w:val="20"/>
          </w:rPr>
          <w:t>|</w:t>
        </w:r>
        <w:r w:rsidRPr="003C7B16">
          <w:rPr>
            <w:rFonts w:asciiTheme="minorHAnsi" w:hAnsiTheme="minorHAnsi" w:cstheme="minorHAnsi"/>
            <w:sz w:val="32"/>
            <w:szCs w:val="32"/>
          </w:rPr>
          <w:t xml:space="preserve"> </w:t>
        </w:r>
        <w:r w:rsidRPr="003C7B16">
          <w:rPr>
            <w:rFonts w:asciiTheme="minorHAnsi" w:hAnsiTheme="minorHAnsi" w:cstheme="minorHAnsi"/>
          </w:rPr>
          <w:t>Procedure guidance for medicines funded through the LSDP</w:t>
        </w:r>
      </w:p>
    </w:sdtContent>
  </w:sdt>
  <w:p w14:paraId="5A6A4BAC" w14:textId="77777777" w:rsidR="00407F80" w:rsidRDefault="004878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F23CE7" w14:textId="77777777" w:rsidR="004A410D" w:rsidRDefault="004A410D" w:rsidP="00F67686">
      <w:pPr>
        <w:spacing w:after="0" w:line="240" w:lineRule="auto"/>
      </w:pPr>
      <w:r>
        <w:separator/>
      </w:r>
    </w:p>
  </w:footnote>
  <w:footnote w:type="continuationSeparator" w:id="0">
    <w:p w14:paraId="5835C823" w14:textId="77777777" w:rsidR="004A410D" w:rsidRDefault="004A410D" w:rsidP="00F676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656E8" w14:textId="77777777" w:rsidR="00FD744B" w:rsidRDefault="00FD74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6187611"/>
      <w:docPartObj>
        <w:docPartGallery w:val="Watermarks"/>
        <w:docPartUnique/>
      </w:docPartObj>
    </w:sdtPr>
    <w:sdtEndPr/>
    <w:sdtContent>
      <w:p w14:paraId="31F28514" w14:textId="4A6658C9" w:rsidR="00FD744B" w:rsidRDefault="004878C9">
        <w:pPr>
          <w:pStyle w:val="Header"/>
        </w:pPr>
        <w:r>
          <w:rPr>
            <w:noProof/>
          </w:rPr>
          <w:pict w14:anchorId="2B69D1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B38FF" w14:textId="77777777" w:rsidR="00FD744B" w:rsidRDefault="00FD74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5C33CE"/>
    <w:multiLevelType w:val="hybridMultilevel"/>
    <w:tmpl w:val="26E468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38B38C1"/>
    <w:multiLevelType w:val="hybridMultilevel"/>
    <w:tmpl w:val="05EEB8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07E0538"/>
    <w:multiLevelType w:val="multilevel"/>
    <w:tmpl w:val="C3D45600"/>
    <w:styleLink w:val="Headings8"/>
    <w:lvl w:ilvl="0">
      <w:start w:val="1"/>
      <w:numFmt w:val="decimal"/>
      <w:suff w:val="nothing"/>
      <w:lvlText w:val="%1"/>
      <w:lvlJc w:val="left"/>
      <w:pPr>
        <w:ind w:left="0" w:firstLine="0"/>
      </w:pPr>
      <w:rPr>
        <w:rFonts w:ascii="Garamond" w:hAnsi="Garamond" w:hint="default"/>
        <w:b/>
        <w:i w:val="0"/>
        <w:color w:val="auto"/>
        <w:sz w:val="10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decimal"/>
      <w:lvlRestart w:val="0"/>
      <w:lvlText w:val="ES %5"/>
      <w:lvlJc w:val="left"/>
      <w:pPr>
        <w:ind w:left="0" w:firstLine="0"/>
      </w:pPr>
      <w:rPr>
        <w:rFonts w:hint="default"/>
      </w:rPr>
    </w:lvl>
    <w:lvl w:ilvl="5">
      <w:start w:val="1"/>
      <w:numFmt w:val="decimal"/>
      <w:lvlText w:val="ES %5.%6"/>
      <w:lvlJc w:val="left"/>
      <w:pPr>
        <w:ind w:left="0" w:firstLine="0"/>
      </w:pPr>
      <w:rPr>
        <w:rFonts w:hint="default"/>
      </w:rPr>
    </w:lvl>
    <w:lvl w:ilvl="6">
      <w:start w:val="1"/>
      <w:numFmt w:val="upperLetter"/>
      <w:lvlRestart w:val="0"/>
      <w:suff w:val="nothing"/>
      <w:lvlText w:val="Appendix %7"/>
      <w:lvlJc w:val="left"/>
      <w:pPr>
        <w:ind w:left="0" w:firstLine="0"/>
      </w:pPr>
      <w:rPr>
        <w:rFonts w:hint="default"/>
      </w:rPr>
    </w:lvl>
    <w:lvl w:ilvl="7">
      <w:start w:val="1"/>
      <w:numFmt w:val="decimal"/>
      <w:lvlText w:val="%7.%8"/>
      <w:lvlJc w:val="left"/>
      <w:pPr>
        <w:ind w:left="0" w:firstLine="0"/>
      </w:pPr>
      <w:rPr>
        <w:rFonts w:hint="default"/>
      </w:rPr>
    </w:lvl>
    <w:lvl w:ilvl="8">
      <w:start w:val="1"/>
      <w:numFmt w:val="decimal"/>
      <w:lvlText w:val="%7.%8.%9"/>
      <w:lvlJc w:val="left"/>
      <w:pPr>
        <w:ind w:left="0" w:firstLine="0"/>
      </w:pPr>
      <w:rPr>
        <w:rFonts w:hint="default"/>
      </w:rPr>
    </w:lvl>
  </w:abstractNum>
  <w:abstractNum w:abstractNumId="3" w15:restartNumberingAfterBreak="0">
    <w:nsid w:val="654D1261"/>
    <w:multiLevelType w:val="multilevel"/>
    <w:tmpl w:val="70A2617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lvlOverride w:ilvl="0">
      <w:lvl w:ilvl="0">
        <w:start w:val="1"/>
        <w:numFmt w:val="decimal"/>
        <w:suff w:val="nothing"/>
        <w:lvlText w:val="%1"/>
        <w:lvlJc w:val="left"/>
        <w:pPr>
          <w:ind w:left="0" w:firstLine="0"/>
        </w:pPr>
        <w:rPr>
          <w:rFonts w:ascii="Arial Narrow" w:hAnsi="Arial Narrow" w:hint="default"/>
          <w:b/>
          <w:i w:val="0"/>
          <w:color w:val="auto"/>
          <w:sz w:val="100"/>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decimal"/>
        <w:lvlRestart w:val="0"/>
        <w:lvlText w:val="ES %5"/>
        <w:lvlJc w:val="left"/>
        <w:pPr>
          <w:ind w:left="0" w:firstLine="0"/>
        </w:pPr>
        <w:rPr>
          <w:rFonts w:hint="default"/>
        </w:rPr>
      </w:lvl>
    </w:lvlOverride>
    <w:lvlOverride w:ilvl="5">
      <w:lvl w:ilvl="5">
        <w:start w:val="1"/>
        <w:numFmt w:val="decimal"/>
        <w:lvlText w:val="ES %5.%6"/>
        <w:lvlJc w:val="left"/>
        <w:pPr>
          <w:ind w:left="0" w:firstLine="0"/>
        </w:pPr>
        <w:rPr>
          <w:rFonts w:hint="default"/>
        </w:rPr>
      </w:lvl>
    </w:lvlOverride>
    <w:lvlOverride w:ilvl="6">
      <w:lvl w:ilvl="6">
        <w:start w:val="1"/>
        <w:numFmt w:val="upperLetter"/>
        <w:lvlRestart w:val="0"/>
        <w:suff w:val="nothing"/>
        <w:lvlText w:val="Appendix %7"/>
        <w:lvlJc w:val="left"/>
        <w:pPr>
          <w:ind w:left="0" w:firstLine="0"/>
        </w:pPr>
        <w:rPr>
          <w:rFonts w:hint="default"/>
        </w:rPr>
      </w:lvl>
    </w:lvlOverride>
    <w:lvlOverride w:ilvl="7">
      <w:lvl w:ilvl="7">
        <w:start w:val="1"/>
        <w:numFmt w:val="decimal"/>
        <w:lvlText w:val="%7.%8"/>
        <w:lvlJc w:val="left"/>
        <w:pPr>
          <w:ind w:left="0" w:firstLine="0"/>
        </w:pPr>
        <w:rPr>
          <w:rFonts w:hint="default"/>
        </w:rPr>
      </w:lvl>
    </w:lvlOverride>
    <w:lvlOverride w:ilvl="8">
      <w:lvl w:ilvl="8">
        <w:start w:val="1"/>
        <w:numFmt w:val="decimal"/>
        <w:lvlText w:val="%7.%8.%9"/>
        <w:lvlJc w:val="left"/>
        <w:pPr>
          <w:ind w:left="0" w:firstLine="0"/>
        </w:pPr>
        <w:rPr>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
    <w:abstractNumId w:val="2"/>
  </w:num>
  <w:num w:numId="4">
    <w:abstractNumId w:val="2"/>
    <w:lvlOverride w:ilvl="0">
      <w:lvl w:ilvl="0">
        <w:start w:val="1"/>
        <w:numFmt w:val="decimal"/>
        <w:suff w:val="nothing"/>
        <w:lvlText w:val="%1"/>
        <w:lvlJc w:val="left"/>
        <w:pPr>
          <w:ind w:left="0" w:firstLine="0"/>
        </w:pPr>
        <w:rPr>
          <w:rFonts w:ascii="Garamond" w:hAnsi="Garamond" w:hint="default"/>
          <w:b/>
          <w:i w:val="0"/>
          <w:color w:val="auto"/>
          <w:sz w:val="100"/>
        </w:rPr>
      </w:lvl>
    </w:lvlOverride>
    <w:lvlOverride w:ilvl="1">
      <w:lvl w:ilvl="1">
        <w:start w:val="1"/>
        <w:numFmt w:val="decimal"/>
        <w:lvlText w:val="%1.%2"/>
        <w:lvlJc w:val="left"/>
        <w:pPr>
          <w:ind w:left="142" w:firstLine="0"/>
        </w:pPr>
        <w:rPr>
          <w:rFonts w:hint="default"/>
        </w:rPr>
      </w:lvl>
    </w:lvlOverride>
    <w:lvlOverride w:ilvl="2">
      <w:lvl w:ilvl="2">
        <w:start w:val="1"/>
        <w:numFmt w:val="decimal"/>
        <w:lvlText w:val="%1.%2.%3"/>
        <w:lvlJc w:val="left"/>
        <w:pPr>
          <w:ind w:left="142" w:firstLine="0"/>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decimal"/>
        <w:lvlRestart w:val="0"/>
        <w:lvlText w:val="ES %5"/>
        <w:lvlJc w:val="left"/>
        <w:pPr>
          <w:ind w:left="0" w:firstLine="0"/>
        </w:pPr>
        <w:rPr>
          <w:rFonts w:hint="default"/>
        </w:rPr>
      </w:lvl>
    </w:lvlOverride>
    <w:lvlOverride w:ilvl="5">
      <w:lvl w:ilvl="5">
        <w:start w:val="1"/>
        <w:numFmt w:val="decimal"/>
        <w:lvlText w:val="ES %5.%6"/>
        <w:lvlJc w:val="left"/>
        <w:pPr>
          <w:ind w:left="0" w:firstLine="0"/>
        </w:pPr>
        <w:rPr>
          <w:rFonts w:hint="default"/>
        </w:rPr>
      </w:lvl>
    </w:lvlOverride>
    <w:lvlOverride w:ilvl="6">
      <w:lvl w:ilvl="6">
        <w:start w:val="1"/>
        <w:numFmt w:val="upperLetter"/>
        <w:lvlRestart w:val="0"/>
        <w:suff w:val="nothing"/>
        <w:lvlText w:val="Appendix %7"/>
        <w:lvlJc w:val="left"/>
        <w:pPr>
          <w:ind w:left="8930" w:firstLine="0"/>
        </w:pPr>
        <w:rPr>
          <w:rFonts w:hint="default"/>
        </w:rPr>
      </w:lvl>
    </w:lvlOverride>
    <w:lvlOverride w:ilvl="7">
      <w:lvl w:ilvl="7">
        <w:start w:val="1"/>
        <w:numFmt w:val="decimal"/>
        <w:lvlText w:val="%7.%8"/>
        <w:lvlJc w:val="left"/>
        <w:pPr>
          <w:ind w:left="0" w:firstLine="0"/>
        </w:pPr>
        <w:rPr>
          <w:rFonts w:hint="default"/>
        </w:rPr>
      </w:lvl>
    </w:lvlOverride>
    <w:lvlOverride w:ilvl="8">
      <w:lvl w:ilvl="8">
        <w:start w:val="1"/>
        <w:numFmt w:val="decimal"/>
        <w:lvlText w:val="%7.%8.%9"/>
        <w:lvlJc w:val="left"/>
        <w:pPr>
          <w:ind w:left="0" w:firstLine="0"/>
        </w:pPr>
        <w:rPr>
          <w:rFonts w:hint="default"/>
        </w:rPr>
      </w:lvl>
    </w:lvlOverride>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S0sDQCQmMzSwMzUyUdpeDU4uLM/DyQAuNaADYjyJIsAAAA"/>
  </w:docVars>
  <w:rsids>
    <w:rsidRoot w:val="00EF16F7"/>
    <w:rsid w:val="00007A5C"/>
    <w:rsid w:val="000308FF"/>
    <w:rsid w:val="00035122"/>
    <w:rsid w:val="00035D1E"/>
    <w:rsid w:val="00062EF3"/>
    <w:rsid w:val="00075865"/>
    <w:rsid w:val="00094D5A"/>
    <w:rsid w:val="000965D7"/>
    <w:rsid w:val="000F2024"/>
    <w:rsid w:val="0012151B"/>
    <w:rsid w:val="00127185"/>
    <w:rsid w:val="00142C73"/>
    <w:rsid w:val="001430FE"/>
    <w:rsid w:val="00187297"/>
    <w:rsid w:val="001C716F"/>
    <w:rsid w:val="00211249"/>
    <w:rsid w:val="002256A9"/>
    <w:rsid w:val="00233703"/>
    <w:rsid w:val="002375A9"/>
    <w:rsid w:val="00253F4B"/>
    <w:rsid w:val="00253FCE"/>
    <w:rsid w:val="00254582"/>
    <w:rsid w:val="00280050"/>
    <w:rsid w:val="002800C9"/>
    <w:rsid w:val="0028058C"/>
    <w:rsid w:val="0028067D"/>
    <w:rsid w:val="002916F3"/>
    <w:rsid w:val="0029573D"/>
    <w:rsid w:val="002A17A5"/>
    <w:rsid w:val="002A3CED"/>
    <w:rsid w:val="002D4EE5"/>
    <w:rsid w:val="002E10A2"/>
    <w:rsid w:val="00305698"/>
    <w:rsid w:val="00354B1B"/>
    <w:rsid w:val="00365104"/>
    <w:rsid w:val="00373ADB"/>
    <w:rsid w:val="00393858"/>
    <w:rsid w:val="003953E4"/>
    <w:rsid w:val="003C1933"/>
    <w:rsid w:val="003C3A7D"/>
    <w:rsid w:val="003D13C2"/>
    <w:rsid w:val="003F1AFA"/>
    <w:rsid w:val="003F682F"/>
    <w:rsid w:val="004324C7"/>
    <w:rsid w:val="00441941"/>
    <w:rsid w:val="004878C9"/>
    <w:rsid w:val="00492029"/>
    <w:rsid w:val="004A1753"/>
    <w:rsid w:val="004A410D"/>
    <w:rsid w:val="004B126B"/>
    <w:rsid w:val="004B2431"/>
    <w:rsid w:val="004B47B1"/>
    <w:rsid w:val="004B5BB2"/>
    <w:rsid w:val="004C6753"/>
    <w:rsid w:val="004E4729"/>
    <w:rsid w:val="004E67AF"/>
    <w:rsid w:val="004E76D7"/>
    <w:rsid w:val="004F21B3"/>
    <w:rsid w:val="004F456D"/>
    <w:rsid w:val="00505C22"/>
    <w:rsid w:val="00506A36"/>
    <w:rsid w:val="005178C0"/>
    <w:rsid w:val="005203D2"/>
    <w:rsid w:val="005211B3"/>
    <w:rsid w:val="00551699"/>
    <w:rsid w:val="005702C9"/>
    <w:rsid w:val="00592469"/>
    <w:rsid w:val="005A5FC7"/>
    <w:rsid w:val="005A7BB7"/>
    <w:rsid w:val="005C2382"/>
    <w:rsid w:val="005F02BC"/>
    <w:rsid w:val="005F4135"/>
    <w:rsid w:val="005F5436"/>
    <w:rsid w:val="00603D9A"/>
    <w:rsid w:val="0062484B"/>
    <w:rsid w:val="006338E2"/>
    <w:rsid w:val="006457BA"/>
    <w:rsid w:val="006B0AB9"/>
    <w:rsid w:val="006C6897"/>
    <w:rsid w:val="006F0390"/>
    <w:rsid w:val="006F3605"/>
    <w:rsid w:val="00710AE3"/>
    <w:rsid w:val="00713B9C"/>
    <w:rsid w:val="007210CC"/>
    <w:rsid w:val="0072431C"/>
    <w:rsid w:val="00756AC2"/>
    <w:rsid w:val="00781045"/>
    <w:rsid w:val="00787027"/>
    <w:rsid w:val="0079454E"/>
    <w:rsid w:val="007D7403"/>
    <w:rsid w:val="008264BF"/>
    <w:rsid w:val="00847A64"/>
    <w:rsid w:val="00852983"/>
    <w:rsid w:val="00853955"/>
    <w:rsid w:val="0089769A"/>
    <w:rsid w:val="008B5BF1"/>
    <w:rsid w:val="008C6D62"/>
    <w:rsid w:val="008D5654"/>
    <w:rsid w:val="008E0E36"/>
    <w:rsid w:val="008E5EC9"/>
    <w:rsid w:val="00911A3E"/>
    <w:rsid w:val="009353B0"/>
    <w:rsid w:val="00962EC5"/>
    <w:rsid w:val="00963E53"/>
    <w:rsid w:val="00970BA2"/>
    <w:rsid w:val="00970DC0"/>
    <w:rsid w:val="00995A8F"/>
    <w:rsid w:val="009A3420"/>
    <w:rsid w:val="009B1D1F"/>
    <w:rsid w:val="009C2D2B"/>
    <w:rsid w:val="009F2010"/>
    <w:rsid w:val="00A013DD"/>
    <w:rsid w:val="00A1678F"/>
    <w:rsid w:val="00A25632"/>
    <w:rsid w:val="00A26A54"/>
    <w:rsid w:val="00A42D5A"/>
    <w:rsid w:val="00A441A0"/>
    <w:rsid w:val="00A51EBD"/>
    <w:rsid w:val="00A657E7"/>
    <w:rsid w:val="00A8402A"/>
    <w:rsid w:val="00AB4877"/>
    <w:rsid w:val="00AB75EA"/>
    <w:rsid w:val="00AD0D8A"/>
    <w:rsid w:val="00AD4C8C"/>
    <w:rsid w:val="00AD675A"/>
    <w:rsid w:val="00AE5CEB"/>
    <w:rsid w:val="00B00791"/>
    <w:rsid w:val="00B03198"/>
    <w:rsid w:val="00B22395"/>
    <w:rsid w:val="00B2333B"/>
    <w:rsid w:val="00B270FB"/>
    <w:rsid w:val="00B43462"/>
    <w:rsid w:val="00B47500"/>
    <w:rsid w:val="00B5435B"/>
    <w:rsid w:val="00B60264"/>
    <w:rsid w:val="00B617AD"/>
    <w:rsid w:val="00B7221E"/>
    <w:rsid w:val="00B74C37"/>
    <w:rsid w:val="00B82907"/>
    <w:rsid w:val="00B86CAE"/>
    <w:rsid w:val="00B957F4"/>
    <w:rsid w:val="00B95FB1"/>
    <w:rsid w:val="00BD4618"/>
    <w:rsid w:val="00C03651"/>
    <w:rsid w:val="00C04570"/>
    <w:rsid w:val="00C05B58"/>
    <w:rsid w:val="00C12D44"/>
    <w:rsid w:val="00C33BFC"/>
    <w:rsid w:val="00C34F24"/>
    <w:rsid w:val="00C56792"/>
    <w:rsid w:val="00C66CD4"/>
    <w:rsid w:val="00C76AB1"/>
    <w:rsid w:val="00C82A14"/>
    <w:rsid w:val="00CC3494"/>
    <w:rsid w:val="00CC53AA"/>
    <w:rsid w:val="00CE71BF"/>
    <w:rsid w:val="00D137F6"/>
    <w:rsid w:val="00D20599"/>
    <w:rsid w:val="00D2543A"/>
    <w:rsid w:val="00D26A8A"/>
    <w:rsid w:val="00D3144C"/>
    <w:rsid w:val="00D37425"/>
    <w:rsid w:val="00D46838"/>
    <w:rsid w:val="00D46B13"/>
    <w:rsid w:val="00D5000A"/>
    <w:rsid w:val="00D60CF0"/>
    <w:rsid w:val="00D74160"/>
    <w:rsid w:val="00D91BE9"/>
    <w:rsid w:val="00DA03C7"/>
    <w:rsid w:val="00DA40FE"/>
    <w:rsid w:val="00DD4884"/>
    <w:rsid w:val="00DE746D"/>
    <w:rsid w:val="00DF6E6A"/>
    <w:rsid w:val="00DF76E2"/>
    <w:rsid w:val="00E034DC"/>
    <w:rsid w:val="00E1268D"/>
    <w:rsid w:val="00E13224"/>
    <w:rsid w:val="00E24E74"/>
    <w:rsid w:val="00E25A81"/>
    <w:rsid w:val="00E334FC"/>
    <w:rsid w:val="00E3722B"/>
    <w:rsid w:val="00E511C5"/>
    <w:rsid w:val="00E5447E"/>
    <w:rsid w:val="00E63B60"/>
    <w:rsid w:val="00E672AD"/>
    <w:rsid w:val="00E769D8"/>
    <w:rsid w:val="00E775BE"/>
    <w:rsid w:val="00E91EBD"/>
    <w:rsid w:val="00EB272D"/>
    <w:rsid w:val="00ED33B4"/>
    <w:rsid w:val="00ED5DE1"/>
    <w:rsid w:val="00EF152A"/>
    <w:rsid w:val="00EF16F7"/>
    <w:rsid w:val="00F14D6C"/>
    <w:rsid w:val="00F356A5"/>
    <w:rsid w:val="00F35BF3"/>
    <w:rsid w:val="00F43BF7"/>
    <w:rsid w:val="00F61DC7"/>
    <w:rsid w:val="00F66946"/>
    <w:rsid w:val="00F67686"/>
    <w:rsid w:val="00FD744B"/>
    <w:rsid w:val="00FF37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7DD362A"/>
  <w15:chartTrackingRefBased/>
  <w15:docId w15:val="{0AE750AB-1ABD-4661-8274-A0462727B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6F7"/>
    <w:rPr>
      <w:rFonts w:asciiTheme="minorHAnsi" w:hAnsiTheme="minorHAnsi" w:cstheme="minorBidi"/>
      <w:sz w:val="22"/>
      <w:szCs w:val="22"/>
    </w:rPr>
  </w:style>
  <w:style w:type="paragraph" w:styleId="Heading1">
    <w:name w:val="heading 1"/>
    <w:basedOn w:val="Normal"/>
    <w:next w:val="Normal"/>
    <w:link w:val="Heading1Char"/>
    <w:uiPriority w:val="9"/>
    <w:qFormat/>
    <w:rsid w:val="00962E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BodyText"/>
    <w:link w:val="Heading2Char"/>
    <w:uiPriority w:val="9"/>
    <w:unhideWhenUsed/>
    <w:qFormat/>
    <w:rsid w:val="00F67686"/>
    <w:pPr>
      <w:keepNext/>
      <w:spacing w:before="360" w:after="240" w:line="240" w:lineRule="auto"/>
      <w:ind w:left="567" w:hanging="567"/>
      <w:jc w:val="both"/>
      <w:outlineLvl w:val="1"/>
    </w:pPr>
    <w:rPr>
      <w:rFonts w:ascii="Arial Narrow" w:eastAsia="Times New Roman" w:hAnsi="Arial Narrow"/>
      <w:b/>
      <w:caps/>
      <w:szCs w:val="26"/>
    </w:rPr>
  </w:style>
  <w:style w:type="paragraph" w:styleId="Heading3">
    <w:name w:val="heading 3"/>
    <w:next w:val="BodyText"/>
    <w:link w:val="Heading3Char"/>
    <w:uiPriority w:val="9"/>
    <w:unhideWhenUsed/>
    <w:qFormat/>
    <w:rsid w:val="00F67686"/>
    <w:pPr>
      <w:keepNext/>
      <w:spacing w:before="360" w:after="120" w:line="240" w:lineRule="auto"/>
      <w:jc w:val="both"/>
      <w:outlineLvl w:val="2"/>
    </w:pPr>
    <w:rPr>
      <w:rFonts w:ascii="Garamond" w:eastAsia="Times New Roman" w:hAnsi="Garamond"/>
      <w:b/>
      <w:i/>
    </w:rPr>
  </w:style>
  <w:style w:type="paragraph" w:styleId="Heading4">
    <w:name w:val="heading 4"/>
    <w:aliases w:val="ExecSumm Lvl 1"/>
    <w:next w:val="BodyText"/>
    <w:link w:val="Heading4Char"/>
    <w:uiPriority w:val="9"/>
    <w:unhideWhenUsed/>
    <w:qFormat/>
    <w:rsid w:val="00F67686"/>
    <w:pPr>
      <w:pageBreakBefore/>
      <w:spacing w:before="360" w:after="480" w:line="240" w:lineRule="auto"/>
      <w:jc w:val="right"/>
      <w:outlineLvl w:val="3"/>
    </w:pPr>
    <w:rPr>
      <w:rFonts w:ascii="Garamond" w:eastAsia="Times New Roman" w:hAnsi="Garamond"/>
      <w:b/>
      <w:iCs/>
      <w:sz w:val="36"/>
    </w:rPr>
  </w:style>
  <w:style w:type="paragraph" w:styleId="Heading5">
    <w:name w:val="heading 5"/>
    <w:aliases w:val="ExecSumm Lvl 2"/>
    <w:next w:val="BodyText"/>
    <w:link w:val="Heading5Char"/>
    <w:uiPriority w:val="9"/>
    <w:unhideWhenUsed/>
    <w:qFormat/>
    <w:rsid w:val="00F67686"/>
    <w:pPr>
      <w:keepNext/>
      <w:tabs>
        <w:tab w:val="left" w:pos="851"/>
      </w:tabs>
      <w:spacing w:before="480" w:after="240" w:line="240" w:lineRule="auto"/>
      <w:jc w:val="both"/>
      <w:outlineLvl w:val="4"/>
    </w:pPr>
    <w:rPr>
      <w:rFonts w:ascii="Garamond" w:eastAsia="Times New Roman" w:hAnsi="Garamond"/>
      <w:b/>
      <w:iCs/>
      <w:caps/>
    </w:rPr>
  </w:style>
  <w:style w:type="paragraph" w:styleId="Heading6">
    <w:name w:val="heading 6"/>
    <w:aliases w:val="ExecSumm Lvl 3"/>
    <w:next w:val="BodyText"/>
    <w:link w:val="Heading6Char"/>
    <w:uiPriority w:val="9"/>
    <w:unhideWhenUsed/>
    <w:qFormat/>
    <w:rsid w:val="00F67686"/>
    <w:pPr>
      <w:keepNext/>
      <w:tabs>
        <w:tab w:val="left" w:pos="851"/>
      </w:tabs>
      <w:spacing w:before="240" w:after="120" w:line="240" w:lineRule="auto"/>
      <w:jc w:val="both"/>
      <w:outlineLvl w:val="5"/>
    </w:pPr>
    <w:rPr>
      <w:rFonts w:ascii="Garamond" w:eastAsia="Times New Roman" w:hAnsi="Garamond"/>
      <w:b/>
      <w:i/>
      <w:szCs w:val="22"/>
    </w:rPr>
  </w:style>
  <w:style w:type="paragraph" w:styleId="Heading7">
    <w:name w:val="heading 7"/>
    <w:aliases w:val="Appendix Lvl one"/>
    <w:next w:val="BodyText"/>
    <w:link w:val="Heading7Char"/>
    <w:uiPriority w:val="9"/>
    <w:unhideWhenUsed/>
    <w:qFormat/>
    <w:rsid w:val="00F67686"/>
    <w:pPr>
      <w:keepNext/>
      <w:pageBreakBefore/>
      <w:spacing w:after="480" w:line="240" w:lineRule="auto"/>
      <w:jc w:val="right"/>
      <w:outlineLvl w:val="6"/>
    </w:pPr>
    <w:rPr>
      <w:rFonts w:ascii="Arial Narrow" w:eastAsia="Times New Roman" w:hAnsi="Arial Narrow"/>
      <w:b/>
      <w:iCs/>
      <w:caps/>
      <w:sz w:val="36"/>
      <w:szCs w:val="22"/>
    </w:rPr>
  </w:style>
  <w:style w:type="paragraph" w:styleId="Heading8">
    <w:name w:val="heading 8"/>
    <w:aliases w:val="Appendix Lvl two"/>
    <w:next w:val="BodyText"/>
    <w:link w:val="Heading8Char"/>
    <w:uiPriority w:val="9"/>
    <w:unhideWhenUsed/>
    <w:qFormat/>
    <w:rsid w:val="00F67686"/>
    <w:pPr>
      <w:keepNext/>
      <w:tabs>
        <w:tab w:val="left" w:pos="709"/>
      </w:tabs>
      <w:spacing w:before="480" w:after="240" w:line="240" w:lineRule="auto"/>
      <w:jc w:val="both"/>
      <w:outlineLvl w:val="7"/>
    </w:pPr>
    <w:rPr>
      <w:rFonts w:ascii="Arial Narrow" w:eastAsia="Times New Roman" w:hAnsi="Arial Narrow"/>
      <w:b/>
      <w:iCs/>
      <w:caps/>
      <w:szCs w:val="21"/>
    </w:rPr>
  </w:style>
  <w:style w:type="paragraph" w:styleId="Heading9">
    <w:name w:val="heading 9"/>
    <w:aliases w:val="Appendix Lvl three"/>
    <w:next w:val="BodyText"/>
    <w:link w:val="Heading9Char"/>
    <w:uiPriority w:val="9"/>
    <w:unhideWhenUsed/>
    <w:qFormat/>
    <w:rsid w:val="00F67686"/>
    <w:pPr>
      <w:keepNext/>
      <w:tabs>
        <w:tab w:val="left" w:pos="709"/>
      </w:tabs>
      <w:spacing w:before="240" w:after="120" w:line="240" w:lineRule="auto"/>
      <w:jc w:val="both"/>
      <w:outlineLvl w:val="8"/>
    </w:pPr>
    <w:rPr>
      <w:rFonts w:ascii="Arial Narrow" w:eastAsia="Times New Roman" w:hAnsi="Arial Narrow"/>
      <w:b/>
      <w:i/>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5B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BB2"/>
    <w:rPr>
      <w:rFonts w:ascii="Segoe UI" w:hAnsi="Segoe UI" w:cs="Segoe UI"/>
      <w:sz w:val="18"/>
      <w:szCs w:val="18"/>
    </w:rPr>
  </w:style>
  <w:style w:type="character" w:customStyle="1" w:styleId="Heading1Char">
    <w:name w:val="Heading 1 Char"/>
    <w:basedOn w:val="DefaultParagraphFont"/>
    <w:link w:val="Heading1"/>
    <w:uiPriority w:val="9"/>
    <w:rsid w:val="00962EC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62EC5"/>
    <w:pPr>
      <w:outlineLvl w:val="9"/>
    </w:pPr>
    <w:rPr>
      <w:lang w:val="en-US"/>
    </w:rPr>
  </w:style>
  <w:style w:type="paragraph" w:styleId="TOC2">
    <w:name w:val="toc 2"/>
    <w:basedOn w:val="Normal"/>
    <w:next w:val="Normal"/>
    <w:autoRedefine/>
    <w:uiPriority w:val="39"/>
    <w:unhideWhenUsed/>
    <w:rsid w:val="00962EC5"/>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962EC5"/>
    <w:pPr>
      <w:spacing w:after="100"/>
    </w:pPr>
    <w:rPr>
      <w:rFonts w:eastAsiaTheme="minorEastAsia" w:cs="Times New Roman"/>
      <w:lang w:val="en-US"/>
    </w:rPr>
  </w:style>
  <w:style w:type="paragraph" w:styleId="TOC3">
    <w:name w:val="toc 3"/>
    <w:basedOn w:val="Normal"/>
    <w:next w:val="Normal"/>
    <w:autoRedefine/>
    <w:uiPriority w:val="39"/>
    <w:unhideWhenUsed/>
    <w:rsid w:val="00962EC5"/>
    <w:pPr>
      <w:spacing w:after="100"/>
      <w:ind w:left="440"/>
    </w:pPr>
    <w:rPr>
      <w:rFonts w:eastAsiaTheme="minorEastAsia" w:cs="Times New Roman"/>
      <w:lang w:val="en-US"/>
    </w:rPr>
  </w:style>
  <w:style w:type="paragraph" w:styleId="TOC7">
    <w:name w:val="toc 7"/>
    <w:basedOn w:val="Normal"/>
    <w:next w:val="Normal"/>
    <w:autoRedefine/>
    <w:uiPriority w:val="39"/>
    <w:semiHidden/>
    <w:unhideWhenUsed/>
    <w:rsid w:val="00F67686"/>
    <w:pPr>
      <w:spacing w:after="100"/>
      <w:ind w:left="1320"/>
    </w:pPr>
  </w:style>
  <w:style w:type="character" w:customStyle="1" w:styleId="Heading2Char">
    <w:name w:val="Heading 2 Char"/>
    <w:basedOn w:val="DefaultParagraphFont"/>
    <w:link w:val="Heading2"/>
    <w:uiPriority w:val="9"/>
    <w:rsid w:val="00F67686"/>
    <w:rPr>
      <w:rFonts w:ascii="Arial Narrow" w:eastAsia="Times New Roman" w:hAnsi="Arial Narrow"/>
      <w:b/>
      <w:caps/>
      <w:szCs w:val="26"/>
    </w:rPr>
  </w:style>
  <w:style w:type="character" w:customStyle="1" w:styleId="Heading3Char">
    <w:name w:val="Heading 3 Char"/>
    <w:basedOn w:val="DefaultParagraphFont"/>
    <w:link w:val="Heading3"/>
    <w:uiPriority w:val="9"/>
    <w:rsid w:val="00F67686"/>
    <w:rPr>
      <w:rFonts w:ascii="Garamond" w:eastAsia="Times New Roman" w:hAnsi="Garamond"/>
      <w:b/>
      <w:i/>
    </w:rPr>
  </w:style>
  <w:style w:type="character" w:customStyle="1" w:styleId="Heading4Char">
    <w:name w:val="Heading 4 Char"/>
    <w:aliases w:val="ExecSumm Lvl 1 Char"/>
    <w:basedOn w:val="DefaultParagraphFont"/>
    <w:link w:val="Heading4"/>
    <w:uiPriority w:val="9"/>
    <w:rsid w:val="00F67686"/>
    <w:rPr>
      <w:rFonts w:ascii="Garamond" w:eastAsia="Times New Roman" w:hAnsi="Garamond"/>
      <w:b/>
      <w:iCs/>
      <w:sz w:val="36"/>
    </w:rPr>
  </w:style>
  <w:style w:type="character" w:customStyle="1" w:styleId="Heading5Char">
    <w:name w:val="Heading 5 Char"/>
    <w:aliases w:val="ExecSumm Lvl 2 Char"/>
    <w:basedOn w:val="DefaultParagraphFont"/>
    <w:link w:val="Heading5"/>
    <w:uiPriority w:val="9"/>
    <w:rsid w:val="00F67686"/>
    <w:rPr>
      <w:rFonts w:ascii="Garamond" w:eastAsia="Times New Roman" w:hAnsi="Garamond"/>
      <w:b/>
      <w:iCs/>
      <w:caps/>
    </w:rPr>
  </w:style>
  <w:style w:type="character" w:customStyle="1" w:styleId="Heading6Char">
    <w:name w:val="Heading 6 Char"/>
    <w:aliases w:val="ExecSumm Lvl 3 Char"/>
    <w:basedOn w:val="DefaultParagraphFont"/>
    <w:link w:val="Heading6"/>
    <w:uiPriority w:val="9"/>
    <w:rsid w:val="00F67686"/>
    <w:rPr>
      <w:rFonts w:ascii="Garamond" w:eastAsia="Times New Roman" w:hAnsi="Garamond"/>
      <w:b/>
      <w:i/>
      <w:szCs w:val="22"/>
    </w:rPr>
  </w:style>
  <w:style w:type="character" w:customStyle="1" w:styleId="Heading7Char">
    <w:name w:val="Heading 7 Char"/>
    <w:aliases w:val="Appendix Lvl one Char"/>
    <w:basedOn w:val="DefaultParagraphFont"/>
    <w:link w:val="Heading7"/>
    <w:uiPriority w:val="9"/>
    <w:rsid w:val="00F67686"/>
    <w:rPr>
      <w:rFonts w:ascii="Arial Narrow" w:eastAsia="Times New Roman" w:hAnsi="Arial Narrow"/>
      <w:b/>
      <w:iCs/>
      <w:caps/>
      <w:sz w:val="36"/>
      <w:szCs w:val="22"/>
    </w:rPr>
  </w:style>
  <w:style w:type="character" w:customStyle="1" w:styleId="Heading8Char">
    <w:name w:val="Heading 8 Char"/>
    <w:aliases w:val="Appendix Lvl two Char"/>
    <w:basedOn w:val="DefaultParagraphFont"/>
    <w:link w:val="Heading8"/>
    <w:uiPriority w:val="9"/>
    <w:rsid w:val="00F67686"/>
    <w:rPr>
      <w:rFonts w:ascii="Arial Narrow" w:eastAsia="Times New Roman" w:hAnsi="Arial Narrow"/>
      <w:b/>
      <w:iCs/>
      <w:caps/>
      <w:szCs w:val="21"/>
    </w:rPr>
  </w:style>
  <w:style w:type="character" w:customStyle="1" w:styleId="Heading9Char">
    <w:name w:val="Heading 9 Char"/>
    <w:aliases w:val="Appendix Lvl three Char"/>
    <w:basedOn w:val="DefaultParagraphFont"/>
    <w:link w:val="Heading9"/>
    <w:uiPriority w:val="9"/>
    <w:rsid w:val="00F67686"/>
    <w:rPr>
      <w:rFonts w:ascii="Arial Narrow" w:eastAsia="Times New Roman" w:hAnsi="Arial Narrow"/>
      <w:b/>
      <w:i/>
      <w:szCs w:val="21"/>
    </w:rPr>
  </w:style>
  <w:style w:type="paragraph" w:styleId="BodyText">
    <w:name w:val="Body Text"/>
    <w:link w:val="BodyTextChar"/>
    <w:uiPriority w:val="99"/>
    <w:unhideWhenUsed/>
    <w:rsid w:val="00F67686"/>
    <w:pPr>
      <w:spacing w:before="120" w:after="240" w:line="240" w:lineRule="auto"/>
    </w:pPr>
    <w:rPr>
      <w:rFonts w:ascii="Arial Narrow" w:eastAsia="Calibri" w:hAnsi="Arial Narrow"/>
      <w:szCs w:val="22"/>
    </w:rPr>
  </w:style>
  <w:style w:type="character" w:customStyle="1" w:styleId="BodyTextChar">
    <w:name w:val="Body Text Char"/>
    <w:basedOn w:val="DefaultParagraphFont"/>
    <w:link w:val="BodyText"/>
    <w:uiPriority w:val="99"/>
    <w:rsid w:val="00F67686"/>
    <w:rPr>
      <w:rFonts w:ascii="Arial Narrow" w:eastAsia="Calibri" w:hAnsi="Arial Narrow"/>
      <w:szCs w:val="22"/>
    </w:rPr>
  </w:style>
  <w:style w:type="paragraph" w:customStyle="1" w:styleId="Bodytextbeforebulletlist">
    <w:name w:val="Body text before bullet list"/>
    <w:next w:val="Normal"/>
    <w:qFormat/>
    <w:rsid w:val="00F67686"/>
    <w:pPr>
      <w:keepNext/>
      <w:spacing w:before="120" w:after="120" w:line="240" w:lineRule="auto"/>
    </w:pPr>
    <w:rPr>
      <w:rFonts w:ascii="Arial Narrow" w:eastAsia="Calibri" w:hAnsi="Arial Narrow"/>
      <w:szCs w:val="22"/>
    </w:rPr>
  </w:style>
  <w:style w:type="numbering" w:customStyle="1" w:styleId="Headings8">
    <w:name w:val="Headings8"/>
    <w:uiPriority w:val="99"/>
    <w:rsid w:val="00F67686"/>
    <w:pPr>
      <w:numPr>
        <w:numId w:val="3"/>
      </w:numPr>
    </w:pPr>
  </w:style>
  <w:style w:type="paragraph" w:styleId="Footer">
    <w:name w:val="footer"/>
    <w:basedOn w:val="Normal"/>
    <w:link w:val="FooterChar"/>
    <w:uiPriority w:val="99"/>
    <w:rsid w:val="00F67686"/>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67686"/>
    <w:rPr>
      <w:rFonts w:eastAsia="Times New Roman"/>
    </w:rPr>
  </w:style>
  <w:style w:type="paragraph" w:styleId="Header">
    <w:name w:val="header"/>
    <w:basedOn w:val="Normal"/>
    <w:link w:val="HeaderChar"/>
    <w:uiPriority w:val="99"/>
    <w:unhideWhenUsed/>
    <w:rsid w:val="00F676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686"/>
    <w:rPr>
      <w:rFonts w:asciiTheme="minorHAnsi" w:hAnsiTheme="minorHAnsi" w:cstheme="minorBidi"/>
      <w:sz w:val="22"/>
      <w:szCs w:val="22"/>
    </w:rPr>
  </w:style>
  <w:style w:type="character" w:styleId="Hyperlink">
    <w:name w:val="Hyperlink"/>
    <w:basedOn w:val="DefaultParagraphFont"/>
    <w:uiPriority w:val="99"/>
    <w:unhideWhenUsed/>
    <w:rsid w:val="00E13224"/>
    <w:rPr>
      <w:color w:val="0563C1" w:themeColor="hyperlink"/>
      <w:u w:val="single"/>
    </w:rPr>
  </w:style>
  <w:style w:type="character" w:styleId="UnresolvedMention">
    <w:name w:val="Unresolved Mention"/>
    <w:basedOn w:val="DefaultParagraphFont"/>
    <w:uiPriority w:val="99"/>
    <w:semiHidden/>
    <w:unhideWhenUsed/>
    <w:rsid w:val="00E13224"/>
    <w:rPr>
      <w:color w:val="605E5C"/>
      <w:shd w:val="clear" w:color="auto" w:fill="E1DFDD"/>
    </w:rPr>
  </w:style>
  <w:style w:type="paragraph" w:styleId="ListParagraph">
    <w:name w:val="List Paragraph"/>
    <w:basedOn w:val="Normal"/>
    <w:uiPriority w:val="34"/>
    <w:qFormat/>
    <w:rsid w:val="00E13224"/>
    <w:pPr>
      <w:ind w:left="720"/>
      <w:contextualSpacing/>
    </w:pPr>
  </w:style>
  <w:style w:type="character" w:styleId="CommentReference">
    <w:name w:val="annotation reference"/>
    <w:basedOn w:val="DefaultParagraphFont"/>
    <w:uiPriority w:val="99"/>
    <w:semiHidden/>
    <w:unhideWhenUsed/>
    <w:rsid w:val="00492029"/>
    <w:rPr>
      <w:sz w:val="16"/>
      <w:szCs w:val="16"/>
    </w:rPr>
  </w:style>
  <w:style w:type="paragraph" w:styleId="CommentText">
    <w:name w:val="annotation text"/>
    <w:basedOn w:val="Normal"/>
    <w:link w:val="CommentTextChar"/>
    <w:uiPriority w:val="99"/>
    <w:unhideWhenUsed/>
    <w:rsid w:val="00492029"/>
    <w:pPr>
      <w:spacing w:line="240" w:lineRule="auto"/>
    </w:pPr>
    <w:rPr>
      <w:sz w:val="20"/>
      <w:szCs w:val="20"/>
    </w:rPr>
  </w:style>
  <w:style w:type="character" w:customStyle="1" w:styleId="CommentTextChar">
    <w:name w:val="Comment Text Char"/>
    <w:basedOn w:val="DefaultParagraphFont"/>
    <w:link w:val="CommentText"/>
    <w:uiPriority w:val="99"/>
    <w:rsid w:val="00492029"/>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492029"/>
    <w:rPr>
      <w:b/>
      <w:bCs/>
    </w:rPr>
  </w:style>
  <w:style w:type="character" w:customStyle="1" w:styleId="CommentSubjectChar">
    <w:name w:val="Comment Subject Char"/>
    <w:basedOn w:val="CommentTextChar"/>
    <w:link w:val="CommentSubject"/>
    <w:uiPriority w:val="99"/>
    <w:semiHidden/>
    <w:rsid w:val="00492029"/>
    <w:rPr>
      <w:rFonts w:asciiTheme="minorHAnsi" w:hAnsiTheme="minorHAnsi" w:cstheme="minorBidi"/>
      <w:b/>
      <w:bCs/>
      <w:sz w:val="20"/>
      <w:szCs w:val="20"/>
    </w:rPr>
  </w:style>
  <w:style w:type="character" w:styleId="PlaceholderText">
    <w:name w:val="Placeholder Text"/>
    <w:basedOn w:val="DefaultParagraphFont"/>
    <w:uiPriority w:val="99"/>
    <w:semiHidden/>
    <w:rsid w:val="005924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health.gov.au/resources/publications/procedure-guidance-for-medicines-funded-through-the-life-saving-drugs-program-lsd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F7FADA799083D4D9042000B2D0ABBB4" ma:contentTypeVersion="12" ma:contentTypeDescription="Create a new document." ma:contentTypeScope="" ma:versionID="9433a26ff48197c1881a24bb1b3cdb9e">
  <xsd:schema xmlns:xsd="http://www.w3.org/2001/XMLSchema" xmlns:xs="http://www.w3.org/2001/XMLSchema" xmlns:p="http://schemas.microsoft.com/office/2006/metadata/properties" xmlns:ns2="24fceb34-c807-4869-943f-cc9a77e16409" xmlns:ns3="14189e96-b2f0-4a74-afe6-2cabc1c5fe3c" targetNamespace="http://schemas.microsoft.com/office/2006/metadata/properties" ma:root="true" ma:fieldsID="62bf099c90e064c4e47872596db90445" ns2:_="" ns3:_="">
    <xsd:import namespace="24fceb34-c807-4869-943f-cc9a77e16409"/>
    <xsd:import namespace="14189e96-b2f0-4a74-afe6-2cabc1c5fe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fceb34-c807-4869-943f-cc9a77e164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89e96-b2f0-4a74-afe6-2cabc1c5fe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C7526B-0CD9-4703-BE29-7EAE227C0A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050377-9DF8-4EE3-8DA4-A8DD5977D568}">
  <ds:schemaRefs>
    <ds:schemaRef ds:uri="http://schemas.microsoft.com/sharepoint/v3/contenttype/forms"/>
  </ds:schemaRefs>
</ds:datastoreItem>
</file>

<file path=customXml/itemProps3.xml><?xml version="1.0" encoding="utf-8"?>
<ds:datastoreItem xmlns:ds="http://schemas.openxmlformats.org/officeDocument/2006/customXml" ds:itemID="{6CDAD30B-9D5D-4477-A901-7A08FB599D19}">
  <ds:schemaRefs>
    <ds:schemaRef ds:uri="http://schemas.openxmlformats.org/officeDocument/2006/bibliography"/>
  </ds:schemaRefs>
</ds:datastoreItem>
</file>

<file path=customXml/itemProps4.xml><?xml version="1.0" encoding="utf-8"?>
<ds:datastoreItem xmlns:ds="http://schemas.openxmlformats.org/officeDocument/2006/customXml" ds:itemID="{357A348E-C639-4728-AB9F-BE9F7CEB6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fceb34-c807-4869-943f-cc9a77e16409"/>
    <ds:schemaRef ds:uri="14189e96-b2f0-4a74-afe6-2cabc1c5f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1605</Words>
  <Characters>9149</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Kayla</dc:creator>
  <cp:keywords/>
  <dc:description/>
  <cp:lastModifiedBy>QUINN, Melissa</cp:lastModifiedBy>
  <cp:revision>2</cp:revision>
  <dcterms:created xsi:type="dcterms:W3CDTF">2021-08-09T05:00:00Z</dcterms:created>
  <dcterms:modified xsi:type="dcterms:W3CDTF">2021-08-09T05:00:00Z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0x0101001F7FADA799083D4D9042000B2D0ABBB4</vt:lpwstr>
  </property>
</Properties>
</file>