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638"/>
      </w:tblGrid>
      <w:tr w:rsidR="006165D3" w14:paraId="261DE5DF" w14:textId="77777777" w:rsidTr="00B15FD6">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638"/>
            </w:tblGrid>
            <w:tr w:rsidR="006165D3" w14:paraId="26476849" w14:textId="77777777">
              <w:trPr>
                <w:jc w:val="center"/>
              </w:trPr>
              <w:tc>
                <w:tcPr>
                  <w:tcW w:w="0" w:type="auto"/>
                  <w:shd w:val="clear" w:color="auto" w:fill="01653F"/>
                  <w:tcMar>
                    <w:top w:w="135" w:type="dxa"/>
                    <w:left w:w="0" w:type="dxa"/>
                    <w:bottom w:w="135" w:type="dxa"/>
                    <w:right w:w="0" w:type="dxa"/>
                  </w:tcMar>
                  <w:hideMark/>
                </w:tcPr>
                <w:tbl>
                  <w:tblPr>
                    <w:tblW w:w="5000" w:type="pct"/>
                    <w:shd w:val="clear" w:color="auto" w:fill="01653F"/>
                    <w:tblCellMar>
                      <w:left w:w="0" w:type="dxa"/>
                      <w:right w:w="0" w:type="dxa"/>
                    </w:tblCellMar>
                    <w:tblLook w:val="04A0" w:firstRow="1" w:lastRow="0" w:firstColumn="1" w:lastColumn="0" w:noHBand="0" w:noVBand="1"/>
                  </w:tblPr>
                  <w:tblGrid>
                    <w:gridCol w:w="9638"/>
                  </w:tblGrid>
                  <w:tr w:rsidR="006165D3" w14:paraId="16B97DD5" w14:textId="77777777">
                    <w:tc>
                      <w:tcPr>
                        <w:tcW w:w="0" w:type="auto"/>
                        <w:shd w:val="clear" w:color="auto" w:fill="01653F"/>
                        <w:tcMar>
                          <w:top w:w="75" w:type="dxa"/>
                          <w:left w:w="270"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9098"/>
                        </w:tblGrid>
                        <w:tr w:rsidR="006165D3" w14:paraId="0548E52A" w14:textId="77777777">
                          <w:tc>
                            <w:tcPr>
                              <w:tcW w:w="0" w:type="auto"/>
                              <w:vAlign w:val="center"/>
                              <w:hideMark/>
                            </w:tcPr>
                            <w:p w14:paraId="57697F63" w14:textId="77777777" w:rsidR="006165D3" w:rsidRDefault="006165D3"/>
                          </w:tc>
                        </w:tr>
                      </w:tbl>
                      <w:p w14:paraId="588C3AD2" w14:textId="77777777" w:rsidR="006165D3" w:rsidRDefault="006165D3">
                        <w:pPr>
                          <w:rPr>
                            <w:rFonts w:eastAsia="Times New Roman"/>
                            <w:sz w:val="20"/>
                            <w:szCs w:val="20"/>
                          </w:rPr>
                        </w:pPr>
                      </w:p>
                    </w:tc>
                  </w:tr>
                </w:tbl>
                <w:p w14:paraId="651D0B4D" w14:textId="77777777" w:rsidR="006165D3" w:rsidRDefault="006165D3">
                  <w:pPr>
                    <w:rPr>
                      <w:rFonts w:eastAsia="Times New Roman"/>
                      <w:sz w:val="20"/>
                      <w:szCs w:val="20"/>
                    </w:rPr>
                  </w:pPr>
                </w:p>
              </w:tc>
            </w:tr>
            <w:tr w:rsidR="006165D3" w14:paraId="09E453D4"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638"/>
                  </w:tblGrid>
                  <w:tr w:rsidR="006165D3" w14:paraId="3F3B147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8"/>
                        </w:tblGrid>
                        <w:tr w:rsidR="006165D3" w14:paraId="5318E434" w14:textId="77777777">
                          <w:tc>
                            <w:tcPr>
                              <w:tcW w:w="0" w:type="auto"/>
                              <w:tcMar>
                                <w:top w:w="0" w:type="dxa"/>
                                <w:left w:w="135" w:type="dxa"/>
                                <w:bottom w:w="0" w:type="dxa"/>
                                <w:right w:w="135" w:type="dxa"/>
                              </w:tcMar>
                              <w:hideMark/>
                            </w:tcPr>
                            <w:p w14:paraId="1C786DCC" w14:textId="77777777" w:rsidR="006165D3" w:rsidRDefault="006165D3">
                              <w:pPr>
                                <w:jc w:val="center"/>
                              </w:pPr>
                              <w:r>
                                <w:rPr>
                                  <w:noProof/>
                                </w:rPr>
                                <w:drawing>
                                  <wp:inline distT="0" distB="0" distL="0" distR="0" wp14:anchorId="2DFDDEA9" wp14:editId="51CA5B72">
                                    <wp:extent cx="1871345" cy="446405"/>
                                    <wp:effectExtent l="0" t="0" r="0" b="0"/>
                                    <wp:docPr id="1" name="Picture 1"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1345" cy="446405"/>
                                            </a:xfrm>
                                            <a:prstGeom prst="rect">
                                              <a:avLst/>
                                            </a:prstGeom>
                                            <a:noFill/>
                                            <a:ln>
                                              <a:noFill/>
                                            </a:ln>
                                          </pic:spPr>
                                        </pic:pic>
                                      </a:graphicData>
                                    </a:graphic>
                                  </wp:inline>
                                </w:drawing>
                              </w:r>
                            </w:p>
                          </w:tc>
                        </w:tr>
                      </w:tbl>
                      <w:p w14:paraId="7CF78876" w14:textId="77777777" w:rsidR="006165D3" w:rsidRDefault="006165D3">
                        <w:pPr>
                          <w:rPr>
                            <w:rFonts w:eastAsia="Times New Roman"/>
                            <w:sz w:val="20"/>
                            <w:szCs w:val="20"/>
                          </w:rPr>
                        </w:pPr>
                      </w:p>
                    </w:tc>
                  </w:tr>
                  <w:tr w:rsidR="006165D3" w14:paraId="6DC2FB92" w14:textId="77777777">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38"/>
                        </w:tblGrid>
                        <w:tr w:rsidR="006165D3" w14:paraId="264262F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165D3" w14:paraId="24C1C7DB" w14:textId="77777777">
                                <w:tc>
                                  <w:tcPr>
                                    <w:tcW w:w="0" w:type="auto"/>
                                    <w:tcMar>
                                      <w:top w:w="0" w:type="dxa"/>
                                      <w:left w:w="270" w:type="dxa"/>
                                      <w:bottom w:w="135" w:type="dxa"/>
                                      <w:right w:w="270" w:type="dxa"/>
                                    </w:tcMar>
                                    <w:hideMark/>
                                  </w:tcPr>
                                  <w:p w14:paraId="66634E61" w14:textId="77777777" w:rsidR="00B03A1C" w:rsidRDefault="006165D3" w:rsidP="00B03A1C">
                                    <w:pPr>
                                      <w:spacing w:before="240" w:line="480" w:lineRule="auto"/>
                                      <w:jc w:val="center"/>
                                      <w:rPr>
                                        <w:rStyle w:val="Strong"/>
                                        <w:rFonts w:ascii="Arial" w:hAnsi="Arial" w:cs="Arial"/>
                                        <w:color w:val="01653F"/>
                                        <w:sz w:val="39"/>
                                        <w:szCs w:val="39"/>
                                      </w:rPr>
                                    </w:pPr>
                                    <w:r>
                                      <w:rPr>
                                        <w:rStyle w:val="Strong"/>
                                        <w:rFonts w:ascii="Arial" w:hAnsi="Arial" w:cs="Arial"/>
                                        <w:color w:val="01653F"/>
                                        <w:sz w:val="39"/>
                                        <w:szCs w:val="39"/>
                                      </w:rPr>
                                      <w:t>MBS REVIEW</w:t>
                                    </w:r>
                                  </w:p>
                                  <w:p w14:paraId="180F79D6" w14:textId="02072000" w:rsidR="006165D3" w:rsidRDefault="006165D3" w:rsidP="00B03A1C">
                                    <w:pPr>
                                      <w:spacing w:before="240" w:line="480" w:lineRule="auto"/>
                                      <w:jc w:val="center"/>
                                      <w:rPr>
                                        <w:rFonts w:ascii="Arial" w:hAnsi="Arial" w:cs="Arial"/>
                                        <w:color w:val="01653F"/>
                                      </w:rPr>
                                    </w:pPr>
                                    <w:r>
                                      <w:rPr>
                                        <w:rStyle w:val="Strong"/>
                                        <w:rFonts w:ascii="Arial" w:hAnsi="Arial" w:cs="Arial"/>
                                        <w:color w:val="01653F"/>
                                        <w:sz w:val="27"/>
                                        <w:szCs w:val="27"/>
                                      </w:rPr>
                                      <w:t>JULY 2020 UPDATE</w:t>
                                    </w:r>
                                  </w:p>
                                </w:tc>
                              </w:tr>
                            </w:tbl>
                            <w:p w14:paraId="391CF07B" w14:textId="77777777" w:rsidR="006165D3" w:rsidRDefault="006165D3">
                              <w:pPr>
                                <w:rPr>
                                  <w:rFonts w:eastAsia="Times New Roman"/>
                                  <w:sz w:val="20"/>
                                  <w:szCs w:val="20"/>
                                </w:rPr>
                              </w:pPr>
                            </w:p>
                          </w:tc>
                        </w:tr>
                      </w:tbl>
                      <w:p w14:paraId="5BDAA399" w14:textId="77777777" w:rsidR="006165D3" w:rsidRDefault="006165D3">
                        <w:pPr>
                          <w:rPr>
                            <w:rFonts w:eastAsia="Times New Roman"/>
                            <w:sz w:val="20"/>
                            <w:szCs w:val="20"/>
                          </w:rPr>
                        </w:pPr>
                      </w:p>
                    </w:tc>
                  </w:tr>
                </w:tbl>
                <w:p w14:paraId="6C3A0BD1" w14:textId="77777777" w:rsidR="006165D3" w:rsidRDefault="006165D3">
                  <w:pPr>
                    <w:rPr>
                      <w:rFonts w:eastAsia="Times New Roman"/>
                    </w:rPr>
                  </w:pPr>
                </w:p>
              </w:tc>
            </w:tr>
            <w:tr w:rsidR="006165D3" w14:paraId="56F8E7DC"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638"/>
                  </w:tblGrid>
                  <w:tr w:rsidR="006165D3" w14:paraId="6B6A4E92" w14:textId="77777777" w:rsidTr="002E39D8">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38"/>
                        </w:tblGrid>
                        <w:tr w:rsidR="006165D3" w14:paraId="0815830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B15FD6" w14:paraId="588660B8" w14:textId="77777777" w:rsidTr="00B15FD6">
                                <w:tc>
                                  <w:tcPr>
                                    <w:tcW w:w="5000" w:type="pct"/>
                                    <w:shd w:val="clear" w:color="auto" w:fill="01653F"/>
                                    <w:tcMar>
                                      <w:top w:w="0" w:type="dxa"/>
                                      <w:left w:w="270" w:type="dxa"/>
                                      <w:bottom w:w="135" w:type="dxa"/>
                                      <w:right w:w="270" w:type="dxa"/>
                                    </w:tcMar>
                                  </w:tcPr>
                                  <w:p w14:paraId="1770AC15" w14:textId="77777777" w:rsidR="00B15FD6" w:rsidRPr="006165D3" w:rsidRDefault="00B15FD6" w:rsidP="00B03A1C">
                                    <w:pPr>
                                      <w:spacing w:before="120" w:after="120"/>
                                      <w:rPr>
                                        <w:rStyle w:val="Strong"/>
                                        <w:rFonts w:ascii="Arial" w:hAnsi="Arial" w:cs="Arial"/>
                                        <w:color w:val="01653F"/>
                                        <w:szCs w:val="21"/>
                                      </w:rPr>
                                    </w:pPr>
                                    <w:r w:rsidRPr="002E39D8">
                                      <w:rPr>
                                        <w:rStyle w:val="Strong"/>
                                        <w:rFonts w:ascii="Helvetica" w:hAnsi="Helvetica"/>
                                        <w:color w:val="FFFFFF"/>
                                        <w:sz w:val="27"/>
                                        <w:szCs w:val="27"/>
                                      </w:rPr>
                                      <w:t>The MBS Review Taskforce</w:t>
                                    </w:r>
                                  </w:p>
                                </w:tc>
                              </w:tr>
                              <w:tr w:rsidR="006165D3" w14:paraId="430AA78A" w14:textId="77777777" w:rsidTr="00B15FD6">
                                <w:tc>
                                  <w:tcPr>
                                    <w:tcW w:w="5000" w:type="pct"/>
                                    <w:tcMar>
                                      <w:top w:w="0" w:type="dxa"/>
                                      <w:left w:w="270" w:type="dxa"/>
                                      <w:bottom w:w="135" w:type="dxa"/>
                                      <w:right w:w="270" w:type="dxa"/>
                                    </w:tcMar>
                                    <w:hideMark/>
                                  </w:tcPr>
                                  <w:p w14:paraId="36394A70" w14:textId="77777777" w:rsidR="006165D3" w:rsidRPr="002E39D8" w:rsidRDefault="006165D3" w:rsidP="00B03A1C">
                                    <w:pPr>
                                      <w:spacing w:before="120" w:after="120"/>
                                      <w:rPr>
                                        <w:rStyle w:val="Strong"/>
                                        <w:rFonts w:ascii="Arial" w:hAnsi="Arial" w:cs="Arial"/>
                                        <w:color w:val="01653F"/>
                                        <w:sz w:val="22"/>
                                        <w:szCs w:val="21"/>
                                      </w:rPr>
                                    </w:pPr>
                                    <w:r w:rsidRPr="002E39D8">
                                      <w:rPr>
                                        <w:rStyle w:val="Strong"/>
                                        <w:rFonts w:ascii="Arial" w:hAnsi="Arial" w:cs="Arial"/>
                                        <w:color w:val="01653F"/>
                                        <w:sz w:val="22"/>
                                        <w:szCs w:val="21"/>
                                      </w:rPr>
                                      <w:t>Overview</w:t>
                                    </w:r>
                                  </w:p>
                                  <w:p w14:paraId="4EE96B20" w14:textId="77777777" w:rsidR="006165D3" w:rsidRPr="002E39D8"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 xml:space="preserve">After five years, over 100 clinical committees and groups and the hard work of more than 700 clinicians, health system experts and consumer advisers, the Taskforce held its last meeting on 30 June 2020 and is now in the final stages of its review of the Medicare Benefits Schedule (MBS). </w:t>
                                    </w:r>
                                  </w:p>
                                  <w:p w14:paraId="6BBF8C8E" w14:textId="77777777" w:rsidR="006165D3" w:rsidRPr="002E39D8"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Unfortunately, the Taskforce’s planned schedule of work was affected by the Coronavirus (COVID-19) pandemic. Many members of the Taskforce are also clinicians supporting front-line work in response to the COVID-19 pandemic, and understandably their focus was on the immediate needs of our health system. Also, many staff from the Department of Health (the Department) who support the Taskforce were responsible for the work needed to rapidly add the more than 270 MBS temporary telehealth items to the MBS schedule.</w:t>
                                    </w:r>
                                  </w:p>
                                  <w:p w14:paraId="2E800CF0" w14:textId="77777777" w:rsidR="006165D3" w:rsidRPr="002E39D8"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However, since late April, the Department has supported the Taskforce in progressing the work of the MBS Review, despite the challenges presented by the COVID-19 pandemic. Further information on the status of each area of the MBS Review is available below.</w:t>
                                    </w:r>
                                  </w:p>
                                  <w:p w14:paraId="45F952B7" w14:textId="77777777" w:rsidR="00B03A1C"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Thank you for your ongoing support and patience as we navigate through this unique public health emergency.</w:t>
                                    </w:r>
                                  </w:p>
                                  <w:p w14:paraId="017D15A7" w14:textId="1810577F" w:rsidR="006165D3" w:rsidRDefault="006165D3" w:rsidP="00B03A1C">
                                    <w:pPr>
                                      <w:spacing w:before="120" w:after="120"/>
                                      <w:rPr>
                                        <w:rStyle w:val="Strong"/>
                                        <w:rFonts w:ascii="Arial" w:hAnsi="Arial" w:cs="Arial"/>
                                        <w:color w:val="01653F"/>
                                        <w:szCs w:val="21"/>
                                      </w:rPr>
                                    </w:pPr>
                                    <w:r w:rsidRPr="002E39D8">
                                      <w:rPr>
                                        <w:rStyle w:val="Strong"/>
                                        <w:rFonts w:ascii="Arial" w:hAnsi="Arial" w:cs="Arial"/>
                                        <w:color w:val="01653F"/>
                                        <w:sz w:val="22"/>
                                        <w:szCs w:val="21"/>
                                      </w:rPr>
                                      <w:t>Updates to the MBS</w:t>
                                    </w:r>
                                  </w:p>
                                  <w:p w14:paraId="143170B0" w14:textId="77777777" w:rsidR="00B03A1C"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The below changes to the MBS follow the Government’s acceptance of recommendations from the MBS Review Taskforce.</w:t>
                                    </w:r>
                                  </w:p>
                                  <w:p w14:paraId="36B45F91" w14:textId="139D4A20" w:rsidR="006165D3" w:rsidRPr="002E39D8" w:rsidRDefault="006165D3" w:rsidP="00B03A1C">
                                    <w:pPr>
                                      <w:spacing w:before="120" w:after="120"/>
                                      <w:rPr>
                                        <w:rFonts w:ascii="Arial" w:hAnsi="Arial" w:cs="Arial"/>
                                        <w:color w:val="202020"/>
                                        <w:sz w:val="20"/>
                                        <w:szCs w:val="21"/>
                                      </w:rPr>
                                    </w:pPr>
                                    <w:r w:rsidRPr="002E39D8">
                                      <w:rPr>
                                        <w:rStyle w:val="Strong"/>
                                        <w:rFonts w:ascii="Arial" w:hAnsi="Arial" w:cs="Arial"/>
                                        <w:color w:val="202020"/>
                                        <w:sz w:val="20"/>
                                        <w:szCs w:val="21"/>
                                      </w:rPr>
                                      <w:t>The following changes were introduced to the MBS on March 1:</w:t>
                                    </w:r>
                                  </w:p>
                                  <w:p w14:paraId="40C3047C" w14:textId="77777777" w:rsidR="006165D3" w:rsidRPr="002E39D8" w:rsidRDefault="006165D3" w:rsidP="00B03A1C">
                                    <w:pPr>
                                      <w:numPr>
                                        <w:ilvl w:val="0"/>
                                        <w:numId w:val="1"/>
                                      </w:numPr>
                                      <w:spacing w:before="120" w:after="120"/>
                                      <w:rPr>
                                        <w:rFonts w:ascii="Arial" w:eastAsia="Times New Roman" w:hAnsi="Arial" w:cs="Arial"/>
                                        <w:color w:val="202020"/>
                                        <w:sz w:val="20"/>
                                        <w:szCs w:val="21"/>
                                      </w:rPr>
                                    </w:pPr>
                                    <w:r w:rsidRPr="002E39D8">
                                      <w:rPr>
                                        <w:rFonts w:ascii="Arial" w:eastAsia="Times New Roman" w:hAnsi="Arial" w:cs="Arial"/>
                                        <w:color w:val="202020"/>
                                        <w:sz w:val="20"/>
                                        <w:szCs w:val="21"/>
                                      </w:rPr>
                                      <w:t>emergency medicine attendance items were revised under a new base attendance item structure, including 40 new items to replace existing Items, amendment to three existing items, and consolidation of two items;</w:t>
                                    </w:r>
                                  </w:p>
                                  <w:p w14:paraId="148FE0F1" w14:textId="77777777" w:rsidR="006165D3" w:rsidRPr="002E39D8" w:rsidRDefault="006165D3" w:rsidP="00B03A1C">
                                    <w:pPr>
                                      <w:numPr>
                                        <w:ilvl w:val="0"/>
                                        <w:numId w:val="1"/>
                                      </w:numPr>
                                      <w:spacing w:before="120" w:after="120"/>
                                      <w:rPr>
                                        <w:rFonts w:ascii="Arial" w:eastAsia="Times New Roman" w:hAnsi="Arial" w:cs="Arial"/>
                                        <w:color w:val="202020"/>
                                        <w:sz w:val="20"/>
                                        <w:szCs w:val="21"/>
                                      </w:rPr>
                                    </w:pPr>
                                    <w:r w:rsidRPr="002E39D8">
                                      <w:rPr>
                                        <w:rFonts w:ascii="Arial" w:eastAsia="Times New Roman" w:hAnsi="Arial" w:cs="Arial"/>
                                        <w:color w:val="202020"/>
                                        <w:sz w:val="20"/>
                                        <w:szCs w:val="21"/>
                                      </w:rPr>
                                      <w:t>intensive care service Items were restructured – including seven new items, amendment to four existing items, consolidation of two items, and the deletion of one item; and</w:t>
                                    </w:r>
                                  </w:p>
                                  <w:p w14:paraId="6EB5337F" w14:textId="77777777" w:rsidR="006165D3" w:rsidRPr="002E39D8" w:rsidRDefault="006165D3" w:rsidP="00B03A1C">
                                    <w:pPr>
                                      <w:numPr>
                                        <w:ilvl w:val="0"/>
                                        <w:numId w:val="1"/>
                                      </w:numPr>
                                      <w:spacing w:before="120" w:after="120"/>
                                      <w:rPr>
                                        <w:rFonts w:ascii="Arial" w:eastAsia="Times New Roman" w:hAnsi="Arial" w:cs="Arial"/>
                                        <w:color w:val="202020"/>
                                        <w:sz w:val="20"/>
                                        <w:szCs w:val="21"/>
                                      </w:rPr>
                                    </w:pPr>
                                    <w:r w:rsidRPr="002E39D8">
                                      <w:rPr>
                                        <w:rFonts w:ascii="Arial" w:eastAsia="Times New Roman" w:hAnsi="Arial" w:cs="Arial"/>
                                        <w:color w:val="202020"/>
                                        <w:sz w:val="20"/>
                                        <w:szCs w:val="21"/>
                                      </w:rPr>
                                      <w:t>six new items were introduced for the provision of extracorporeal life support services.</w:t>
                                    </w:r>
                                  </w:p>
                                  <w:p w14:paraId="388586F3" w14:textId="77777777" w:rsidR="006165D3" w:rsidRPr="002E39D8" w:rsidRDefault="006165D3" w:rsidP="00B03A1C">
                                    <w:pPr>
                                      <w:spacing w:before="120" w:after="120"/>
                                      <w:rPr>
                                        <w:rFonts w:ascii="Arial" w:hAnsi="Arial" w:cs="Arial"/>
                                        <w:color w:val="202020"/>
                                        <w:sz w:val="20"/>
                                        <w:szCs w:val="21"/>
                                      </w:rPr>
                                    </w:pPr>
                                    <w:r w:rsidRPr="002E39D8">
                                      <w:rPr>
                                        <w:rStyle w:val="Strong"/>
                                        <w:rFonts w:ascii="Arial" w:hAnsi="Arial" w:cs="Arial"/>
                                        <w:color w:val="202020"/>
                                        <w:sz w:val="20"/>
                                        <w:szCs w:val="21"/>
                                      </w:rPr>
                                      <w:t>The following changes were introduced to the MBS on 1 May 2020:</w:t>
                                    </w:r>
                                    <w:r w:rsidRPr="002E39D8">
                                      <w:rPr>
                                        <w:rFonts w:ascii="Arial" w:hAnsi="Arial" w:cs="Arial"/>
                                        <w:color w:val="202020"/>
                                        <w:sz w:val="20"/>
                                        <w:szCs w:val="21"/>
                                      </w:rPr>
                                      <w:t xml:space="preserve"> </w:t>
                                    </w:r>
                                  </w:p>
                                  <w:p w14:paraId="7596DCD5" w14:textId="77777777" w:rsidR="006165D3" w:rsidRPr="002E39D8" w:rsidRDefault="006165D3" w:rsidP="00B03A1C">
                                    <w:pPr>
                                      <w:numPr>
                                        <w:ilvl w:val="0"/>
                                        <w:numId w:val="1"/>
                                      </w:numPr>
                                      <w:spacing w:before="120" w:after="120"/>
                                      <w:rPr>
                                        <w:rFonts w:ascii="Arial" w:eastAsia="Times New Roman" w:hAnsi="Arial" w:cs="Arial"/>
                                        <w:color w:val="202020"/>
                                        <w:sz w:val="20"/>
                                        <w:szCs w:val="21"/>
                                      </w:rPr>
                                    </w:pPr>
                                    <w:r w:rsidRPr="002E39D8">
                                      <w:rPr>
                                        <w:rFonts w:ascii="Arial" w:eastAsia="Times New Roman" w:hAnsi="Arial" w:cs="Arial"/>
                                        <w:color w:val="202020"/>
                                        <w:sz w:val="20"/>
                                        <w:szCs w:val="21"/>
                                      </w:rPr>
                                      <w:t>two anaesthesia age modifier items (25013 and 25014) were introduced, replacing the anaesthesia age modifier item 25015 and interim item 25012;</w:t>
                                    </w:r>
                                  </w:p>
                                  <w:p w14:paraId="37A2DF4D" w14:textId="77777777" w:rsidR="006165D3" w:rsidRPr="002E39D8" w:rsidRDefault="006165D3" w:rsidP="00B03A1C">
                                    <w:pPr>
                                      <w:numPr>
                                        <w:ilvl w:val="0"/>
                                        <w:numId w:val="1"/>
                                      </w:numPr>
                                      <w:spacing w:before="120" w:after="120"/>
                                      <w:rPr>
                                        <w:rFonts w:ascii="Arial" w:eastAsia="Times New Roman" w:hAnsi="Arial" w:cs="Arial"/>
                                        <w:color w:val="202020"/>
                                        <w:sz w:val="20"/>
                                        <w:szCs w:val="21"/>
                                      </w:rPr>
                                    </w:pPr>
                                    <w:r w:rsidRPr="002E39D8">
                                      <w:rPr>
                                        <w:rFonts w:ascii="Arial" w:eastAsia="Times New Roman" w:hAnsi="Arial" w:cs="Arial"/>
                                        <w:color w:val="202020"/>
                                        <w:sz w:val="20"/>
                                        <w:szCs w:val="21"/>
                                      </w:rPr>
                                      <w:t>minor changes were made to the descriptors for colonoscopy items 32084, 32087 and 32224; and</w:t>
                                    </w:r>
                                  </w:p>
                                  <w:p w14:paraId="7E5D53A0" w14:textId="77777777" w:rsidR="006165D3" w:rsidRPr="002E39D8" w:rsidRDefault="006165D3" w:rsidP="00B03A1C">
                                    <w:pPr>
                                      <w:numPr>
                                        <w:ilvl w:val="0"/>
                                        <w:numId w:val="1"/>
                                      </w:numPr>
                                      <w:spacing w:before="120" w:after="120"/>
                                      <w:rPr>
                                        <w:rFonts w:ascii="Arial" w:eastAsia="Times New Roman" w:hAnsi="Arial" w:cs="Arial"/>
                                        <w:color w:val="202020"/>
                                        <w:sz w:val="20"/>
                                        <w:szCs w:val="21"/>
                                      </w:rPr>
                                    </w:pPr>
                                    <w:r w:rsidRPr="002E39D8">
                                      <w:rPr>
                                        <w:rFonts w:ascii="Arial" w:eastAsia="Times New Roman" w:hAnsi="Arial" w:cs="Arial"/>
                                        <w:color w:val="202020"/>
                                        <w:sz w:val="20"/>
                                        <w:szCs w:val="21"/>
                                      </w:rPr>
                                      <w:t>a number of changes relating to MBS items and rules were made for diagnostic imaging services.</w:t>
                                    </w:r>
                                  </w:p>
                                  <w:p w14:paraId="7DA507AC" w14:textId="77777777" w:rsidR="00B03A1C" w:rsidRDefault="006165D3" w:rsidP="00B03A1C">
                                    <w:pPr>
                                      <w:spacing w:before="120" w:after="120"/>
                                      <w:rPr>
                                        <w:rFonts w:ascii="Arial" w:hAnsi="Arial" w:cs="Arial"/>
                                        <w:color w:val="202020"/>
                                        <w:sz w:val="21"/>
                                        <w:szCs w:val="21"/>
                                      </w:rPr>
                                    </w:pPr>
                                    <w:r w:rsidRPr="002E39D8">
                                      <w:rPr>
                                        <w:rFonts w:ascii="Arial" w:hAnsi="Arial" w:cs="Arial"/>
                                        <w:color w:val="202020"/>
                                        <w:sz w:val="20"/>
                                        <w:szCs w:val="21"/>
                                      </w:rPr>
                                      <w:t>For more information on previous and upcoming MBS changes, visit </w:t>
                                    </w:r>
                                    <w:hyperlink r:id="rId8" w:tgtFrame="_blank" w:history="1">
                                      <w:r w:rsidRPr="002E39D8">
                                        <w:rPr>
                                          <w:rStyle w:val="Hyperlink"/>
                                          <w:rFonts w:ascii="Arial" w:hAnsi="Arial" w:cs="Arial"/>
                                          <w:color w:val="0E84C8"/>
                                          <w:sz w:val="20"/>
                                          <w:szCs w:val="21"/>
                                        </w:rPr>
                                        <w:t>MBS Online</w:t>
                                      </w:r>
                                    </w:hyperlink>
                                    <w:r w:rsidRPr="002E39D8">
                                      <w:rPr>
                                        <w:rFonts w:ascii="Arial" w:hAnsi="Arial" w:cs="Arial"/>
                                        <w:color w:val="202020"/>
                                        <w:sz w:val="20"/>
                                        <w:szCs w:val="21"/>
                                      </w:rPr>
                                      <w:t>.</w:t>
                                    </w:r>
                                    <w:r w:rsidRPr="006165D3">
                                      <w:rPr>
                                        <w:rFonts w:ascii="Arial" w:hAnsi="Arial" w:cs="Arial"/>
                                        <w:color w:val="202020"/>
                                        <w:sz w:val="21"/>
                                        <w:szCs w:val="21"/>
                                      </w:rPr>
                                      <w:t> </w:t>
                                    </w:r>
                                  </w:p>
                                  <w:p w14:paraId="5D5E2C57" w14:textId="3D6F9B49" w:rsidR="006165D3" w:rsidRDefault="006165D3" w:rsidP="00B03A1C">
                                    <w:pPr>
                                      <w:spacing w:before="120" w:after="120"/>
                                      <w:rPr>
                                        <w:rStyle w:val="Strong"/>
                                        <w:rFonts w:ascii="Arial" w:hAnsi="Arial" w:cs="Arial"/>
                                        <w:color w:val="01653F"/>
                                        <w:szCs w:val="21"/>
                                      </w:rPr>
                                    </w:pPr>
                                    <w:r w:rsidRPr="002E39D8">
                                      <w:rPr>
                                        <w:rStyle w:val="Strong"/>
                                        <w:rFonts w:ascii="Arial" w:hAnsi="Arial" w:cs="Arial"/>
                                        <w:color w:val="01653F"/>
                                        <w:sz w:val="22"/>
                                        <w:szCs w:val="21"/>
                                      </w:rPr>
                                      <w:lastRenderedPageBreak/>
                                      <w:t>A Note on COVID-19</w:t>
                                    </w:r>
                                  </w:p>
                                  <w:p w14:paraId="4654FE3F" w14:textId="77777777" w:rsidR="00B03A1C"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More than 270 temporary telehealth MBS Items are now available as part of the Government’s direct response to the COVID-19 pandemic. These Items are in place until 30 September 2020, pending consideration of any further advice from the Australian Health Protection Principal Committee. The temporary telehealth MBS Items are designed to substitute a range of face-to-face consultations already available under the MBS. They are not related to the work of the MBS Review Taskforce.</w:t>
                                    </w:r>
                                  </w:p>
                                  <w:p w14:paraId="5B184FA7" w14:textId="5886CC35" w:rsidR="00B03A1C"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Details of all temporary telehealth items are available at </w:t>
                                    </w:r>
                                    <w:hyperlink r:id="rId9" w:tgtFrame="_blank" w:history="1">
                                      <w:r w:rsidRPr="002E39D8">
                                        <w:rPr>
                                          <w:rStyle w:val="Hyperlink"/>
                                          <w:rFonts w:ascii="Arial" w:hAnsi="Arial" w:cs="Arial"/>
                                          <w:color w:val="0E84C8"/>
                                          <w:sz w:val="20"/>
                                          <w:szCs w:val="21"/>
                                        </w:rPr>
                                        <w:t>MBS Online</w:t>
                                      </w:r>
                                    </w:hyperlink>
                                    <w:r w:rsidRPr="002E39D8">
                                      <w:rPr>
                                        <w:rFonts w:ascii="Arial" w:hAnsi="Arial" w:cs="Arial"/>
                                        <w:color w:val="202020"/>
                                        <w:sz w:val="20"/>
                                        <w:szCs w:val="21"/>
                                      </w:rPr>
                                      <w:t>.</w:t>
                                    </w:r>
                                  </w:p>
                                  <w:p w14:paraId="00D7F255" w14:textId="72B66A48" w:rsidR="006165D3" w:rsidRDefault="006165D3" w:rsidP="00B03A1C">
                                    <w:pPr>
                                      <w:spacing w:before="120" w:after="120"/>
                                      <w:rPr>
                                        <w:rStyle w:val="Strong"/>
                                        <w:rFonts w:ascii="Arial" w:hAnsi="Arial" w:cs="Arial"/>
                                        <w:color w:val="01653F"/>
                                        <w:szCs w:val="21"/>
                                      </w:rPr>
                                    </w:pPr>
                                    <w:r w:rsidRPr="002E39D8">
                                      <w:rPr>
                                        <w:rStyle w:val="Strong"/>
                                        <w:rFonts w:ascii="Arial" w:hAnsi="Arial" w:cs="Arial"/>
                                        <w:color w:val="01653F"/>
                                        <w:sz w:val="22"/>
                                        <w:szCs w:val="21"/>
                                      </w:rPr>
                                      <w:t>Taskforce Meetings</w:t>
                                    </w:r>
                                  </w:p>
                                  <w:p w14:paraId="616A4850" w14:textId="77777777" w:rsidR="00B03A1C" w:rsidRDefault="006165D3" w:rsidP="00B03A1C">
                                    <w:pPr>
                                      <w:spacing w:before="120" w:after="120"/>
                                      <w:rPr>
                                        <w:rFonts w:ascii="Arial" w:hAnsi="Arial" w:cs="Arial"/>
                                        <w:color w:val="202020"/>
                                        <w:sz w:val="20"/>
                                        <w:szCs w:val="21"/>
                                      </w:rPr>
                                    </w:pPr>
                                    <w:r w:rsidRPr="002E39D8">
                                      <w:rPr>
                                        <w:rFonts w:ascii="Arial" w:hAnsi="Arial" w:cs="Arial"/>
                                        <w:color w:val="202020"/>
                                        <w:sz w:val="20"/>
                                        <w:szCs w:val="21"/>
                                      </w:rPr>
                                      <w:t>Weekly Taskforce meetings began in late April 2020 and continued throughout May and June 2020. The Taskforce held its 53rd and final meeting on 30 June 2020.</w:t>
                                    </w:r>
                                  </w:p>
                                  <w:p w14:paraId="5CA863D4" w14:textId="7D021E58" w:rsidR="002E39D8" w:rsidRPr="00B03A1C" w:rsidRDefault="006165D3" w:rsidP="00B03A1C">
                                    <w:pPr>
                                      <w:spacing w:before="120" w:after="120"/>
                                      <w:rPr>
                                        <w:rFonts w:ascii="Arial" w:hAnsi="Arial" w:cs="Arial"/>
                                        <w:color w:val="202020"/>
                                        <w:sz w:val="14"/>
                                        <w:szCs w:val="18"/>
                                      </w:rPr>
                                    </w:pPr>
                                    <w:r w:rsidRPr="002E39D8">
                                      <w:rPr>
                                        <w:rFonts w:ascii="Arial" w:hAnsi="Arial" w:cs="Arial"/>
                                        <w:color w:val="202020"/>
                                        <w:sz w:val="20"/>
                                        <w:szCs w:val="21"/>
                                      </w:rPr>
                                      <w:t>For outcomes of previous Taskforce meetings, visit the </w:t>
                                    </w:r>
                                    <w:hyperlink r:id="rId10" w:history="1">
                                      <w:r w:rsidRPr="002E39D8">
                                        <w:rPr>
                                          <w:rStyle w:val="Hyperlink"/>
                                          <w:rFonts w:ascii="Arial" w:hAnsi="Arial" w:cs="Arial"/>
                                          <w:color w:val="0E84C8"/>
                                          <w:sz w:val="20"/>
                                          <w:szCs w:val="21"/>
                                        </w:rPr>
                                        <w:t>Department’s website</w:t>
                                      </w:r>
                                    </w:hyperlink>
                                    <w:r w:rsidRPr="002E39D8">
                                      <w:rPr>
                                        <w:rFonts w:ascii="Arial" w:hAnsi="Arial" w:cs="Arial"/>
                                        <w:color w:val="202020"/>
                                        <w:sz w:val="20"/>
                                        <w:szCs w:val="21"/>
                                      </w:rPr>
                                      <w:t>.</w:t>
                                    </w:r>
                                    <w:r w:rsidRPr="002E39D8">
                                      <w:rPr>
                                        <w:rFonts w:ascii="Arial" w:hAnsi="Arial" w:cs="Arial"/>
                                        <w:color w:val="202020"/>
                                        <w:sz w:val="14"/>
                                        <w:szCs w:val="18"/>
                                      </w:rPr>
                                      <w:t xml:space="preserve"> </w:t>
                                    </w:r>
                                  </w:p>
                                </w:tc>
                              </w:tr>
                            </w:tbl>
                            <w:p w14:paraId="0ACA25B7" w14:textId="77777777" w:rsidR="006165D3" w:rsidRDefault="006165D3" w:rsidP="00B03A1C">
                              <w:pPr>
                                <w:spacing w:before="120" w:after="120"/>
                                <w:rPr>
                                  <w:rFonts w:eastAsia="Times New Roman"/>
                                  <w:sz w:val="20"/>
                                  <w:szCs w:val="20"/>
                                </w:rPr>
                              </w:pPr>
                            </w:p>
                          </w:tc>
                        </w:tr>
                      </w:tbl>
                      <w:p w14:paraId="3C5030BB" w14:textId="77777777" w:rsidR="006165D3" w:rsidRDefault="006165D3" w:rsidP="00B03A1C">
                        <w:pPr>
                          <w:spacing w:before="120" w:after="120"/>
                          <w:rPr>
                            <w:rFonts w:eastAsia="Times New Roman"/>
                            <w:sz w:val="20"/>
                            <w:szCs w:val="20"/>
                          </w:rPr>
                        </w:pPr>
                      </w:p>
                    </w:tc>
                  </w:tr>
                  <w:tr w:rsidR="002E39D8" w14:paraId="2785BF3C" w14:textId="77777777" w:rsidTr="00F95ED0">
                    <w:tblPrEx>
                      <w:shd w:val="clear" w:color="auto" w:fill="01653F"/>
                    </w:tblPrEx>
                    <w:trPr>
                      <w:trHeight w:hRule="exact" w:val="737"/>
                    </w:trPr>
                    <w:tc>
                      <w:tcPr>
                        <w:tcW w:w="5000" w:type="pct"/>
                        <w:shd w:val="clear" w:color="auto" w:fill="01653F"/>
                        <w:tcMar>
                          <w:top w:w="270" w:type="dxa"/>
                          <w:left w:w="270" w:type="dxa"/>
                          <w:bottom w:w="270" w:type="dxa"/>
                          <w:right w:w="270" w:type="dxa"/>
                        </w:tcMar>
                        <w:hideMark/>
                      </w:tcPr>
                      <w:p w14:paraId="25603747" w14:textId="77777777" w:rsidR="002E39D8" w:rsidRPr="00F95ED0" w:rsidRDefault="002E39D8" w:rsidP="00F95ED0">
                        <w:pPr>
                          <w:spacing w:before="120" w:after="120"/>
                          <w:rPr>
                            <w:rStyle w:val="Strong"/>
                            <w:rFonts w:ascii="Helvetica" w:hAnsi="Helvetica"/>
                            <w:color w:val="FFFFFF"/>
                            <w:sz w:val="28"/>
                            <w:szCs w:val="28"/>
                          </w:rPr>
                        </w:pPr>
                        <w:r w:rsidRPr="00F95ED0">
                          <w:rPr>
                            <w:rStyle w:val="Strong"/>
                            <w:rFonts w:ascii="Helvetica" w:hAnsi="Helvetica"/>
                            <w:color w:val="FFFFFF"/>
                            <w:sz w:val="28"/>
                            <w:szCs w:val="28"/>
                          </w:rPr>
                          <w:lastRenderedPageBreak/>
                          <w:t>MBS Review Clinical Committees and Groups</w:t>
                        </w:r>
                      </w:p>
                      <w:p w14:paraId="55487FBA" w14:textId="77777777" w:rsidR="00F95ED0" w:rsidRPr="00F95ED0" w:rsidRDefault="00F95ED0" w:rsidP="00F95ED0">
                        <w:pPr>
                          <w:spacing w:before="120" w:after="120"/>
                          <w:rPr>
                            <w:rStyle w:val="Strong"/>
                            <w:rFonts w:ascii="Helvetica" w:hAnsi="Helvetica"/>
                            <w:color w:val="FFFFFF"/>
                            <w:sz w:val="20"/>
                            <w:szCs w:val="20"/>
                          </w:rPr>
                        </w:pPr>
                      </w:p>
                      <w:p w14:paraId="4231ACA0" w14:textId="77777777" w:rsidR="00F95ED0" w:rsidRPr="00F95ED0" w:rsidRDefault="00F95ED0" w:rsidP="00F95ED0">
                        <w:pPr>
                          <w:spacing w:before="120" w:after="120"/>
                          <w:rPr>
                            <w:rStyle w:val="Strong"/>
                            <w:rFonts w:ascii="Helvetica" w:hAnsi="Helvetica"/>
                            <w:color w:val="FFFFFF"/>
                            <w:sz w:val="20"/>
                            <w:szCs w:val="20"/>
                          </w:rPr>
                        </w:pPr>
                      </w:p>
                      <w:p w14:paraId="685532AB" w14:textId="5958E40D" w:rsidR="00F95ED0" w:rsidRPr="00F95ED0" w:rsidRDefault="00F95ED0" w:rsidP="00F95ED0">
                        <w:pPr>
                          <w:spacing w:before="120" w:after="120"/>
                          <w:rPr>
                            <w:rStyle w:val="Strong"/>
                            <w:rFonts w:ascii="Arial" w:hAnsi="Arial" w:cs="Arial"/>
                            <w:color w:val="01653F"/>
                            <w:sz w:val="20"/>
                            <w:szCs w:val="20"/>
                          </w:rPr>
                        </w:pPr>
                      </w:p>
                    </w:tc>
                  </w:tr>
                  <w:tr w:rsidR="006165D3" w14:paraId="70C96AAB" w14:textId="77777777">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38"/>
                        </w:tblGrid>
                        <w:tr w:rsidR="006165D3" w14:paraId="711889B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165D3" w14:paraId="6025A936" w14:textId="77777777">
                                <w:tc>
                                  <w:tcPr>
                                    <w:tcW w:w="0" w:type="auto"/>
                                    <w:tcMar>
                                      <w:top w:w="0" w:type="dxa"/>
                                      <w:left w:w="270" w:type="dxa"/>
                                      <w:bottom w:w="135" w:type="dxa"/>
                                      <w:right w:w="270" w:type="dxa"/>
                                    </w:tcMar>
                                    <w:hideMark/>
                                  </w:tcPr>
                                  <w:p w14:paraId="7EC9DC61" w14:textId="77777777" w:rsidR="00B03A1C" w:rsidRDefault="002E39D8" w:rsidP="00B03A1C">
                                    <w:pPr>
                                      <w:spacing w:before="120" w:after="120"/>
                                      <w:rPr>
                                        <w:rFonts w:ascii="Arial" w:hAnsi="Arial" w:cs="Arial"/>
                                        <w:color w:val="202020"/>
                                        <w:sz w:val="20"/>
                                        <w:szCs w:val="21"/>
                                      </w:rPr>
                                    </w:pPr>
                                    <w:r w:rsidRPr="002E39D8">
                                      <w:rPr>
                                        <w:rFonts w:ascii="Arial" w:hAnsi="Arial" w:cs="Arial"/>
                                        <w:color w:val="202020"/>
                                        <w:sz w:val="20"/>
                                        <w:szCs w:val="21"/>
                                      </w:rPr>
                                      <w:t>B</w:t>
                                    </w:r>
                                    <w:r w:rsidR="006165D3" w:rsidRPr="002E39D8">
                                      <w:rPr>
                                        <w:rFonts w:ascii="Arial" w:hAnsi="Arial" w:cs="Arial"/>
                                        <w:color w:val="202020"/>
                                        <w:sz w:val="20"/>
                                        <w:szCs w:val="21"/>
                                      </w:rPr>
                                      <w:t>elow are updates from 33 clinical committees and working groups.</w:t>
                                    </w:r>
                                  </w:p>
                                  <w:p w14:paraId="64E207C9" w14:textId="77777777" w:rsidR="00B03A1C" w:rsidRDefault="006165D3" w:rsidP="00B03A1C">
                                    <w:pPr>
                                      <w:spacing w:before="120" w:after="120"/>
                                      <w:rPr>
                                        <w:rStyle w:val="Strong"/>
                                        <w:color w:val="01653F"/>
                                      </w:rPr>
                                    </w:pPr>
                                    <w:r w:rsidRPr="00B15FD6">
                                      <w:rPr>
                                        <w:rStyle w:val="Strong"/>
                                        <w:rFonts w:ascii="Arial" w:hAnsi="Arial" w:cs="Arial"/>
                                        <w:color w:val="01653F"/>
                                        <w:sz w:val="18"/>
                                        <w:szCs w:val="21"/>
                                      </w:rPr>
                                      <w:t>Quick Glossary</w:t>
                                    </w:r>
                                  </w:p>
                                  <w:p w14:paraId="7E17AC69" w14:textId="77777777" w:rsidR="00B03A1C" w:rsidRDefault="006165D3" w:rsidP="00B03A1C">
                                    <w:pPr>
                                      <w:spacing w:before="120" w:after="120"/>
                                      <w:rPr>
                                        <w:rFonts w:ascii="Arial" w:hAnsi="Arial" w:cs="Arial"/>
                                        <w:color w:val="202020"/>
                                        <w:sz w:val="18"/>
                                        <w:szCs w:val="21"/>
                                      </w:rPr>
                                    </w:pPr>
                                    <w:r w:rsidRPr="00B15FD6">
                                      <w:rPr>
                                        <w:rFonts w:ascii="Arial" w:hAnsi="Arial" w:cs="Arial"/>
                                        <w:color w:val="202020"/>
                                        <w:sz w:val="18"/>
                                        <w:szCs w:val="21"/>
                                      </w:rPr>
                                      <w:t>ILG = Implementation Liaison Group</w:t>
                                    </w:r>
                                  </w:p>
                                  <w:p w14:paraId="547746C9" w14:textId="77777777" w:rsidR="00B03A1C" w:rsidRDefault="006165D3" w:rsidP="00B03A1C">
                                    <w:pPr>
                                      <w:spacing w:before="120" w:after="120"/>
                                      <w:rPr>
                                        <w:rFonts w:ascii="Arial" w:hAnsi="Arial" w:cs="Arial"/>
                                        <w:color w:val="202020"/>
                                        <w:sz w:val="18"/>
                                        <w:szCs w:val="21"/>
                                      </w:rPr>
                                    </w:pPr>
                                    <w:r w:rsidRPr="00B15FD6">
                                      <w:rPr>
                                        <w:rFonts w:ascii="Arial" w:hAnsi="Arial" w:cs="Arial"/>
                                        <w:color w:val="202020"/>
                                        <w:sz w:val="18"/>
                                        <w:szCs w:val="21"/>
                                      </w:rPr>
                                      <w:t>MBS = Medicare Benefits Schedule</w:t>
                                    </w:r>
                                  </w:p>
                                  <w:p w14:paraId="2A7A313B" w14:textId="77777777" w:rsidR="00B03A1C" w:rsidRDefault="006165D3" w:rsidP="00B03A1C">
                                    <w:pPr>
                                      <w:spacing w:before="120" w:after="120"/>
                                      <w:rPr>
                                        <w:rFonts w:ascii="Arial" w:hAnsi="Arial" w:cs="Arial"/>
                                        <w:color w:val="202020"/>
                                        <w:sz w:val="18"/>
                                        <w:szCs w:val="21"/>
                                      </w:rPr>
                                    </w:pPr>
                                    <w:r w:rsidRPr="00B15FD6">
                                      <w:rPr>
                                        <w:rFonts w:ascii="Arial" w:hAnsi="Arial" w:cs="Arial"/>
                                        <w:color w:val="202020"/>
                                        <w:sz w:val="18"/>
                                        <w:szCs w:val="21"/>
                                      </w:rPr>
                                      <w:t>The Taskforce = MBS Review Taskforce</w:t>
                                    </w:r>
                                  </w:p>
                                  <w:p w14:paraId="60FCBEE5" w14:textId="77777777" w:rsidR="00B03A1C" w:rsidRDefault="00F95ED0" w:rsidP="00B03A1C">
                                    <w:pPr>
                                      <w:spacing w:before="60" w:after="60"/>
                                      <w:rPr>
                                        <w:rStyle w:val="Hyperlink"/>
                                        <w:color w:val="0E84C8"/>
                                      </w:rPr>
                                    </w:pPr>
                                    <w:hyperlink w:anchor="Anaesthesia" w:tgtFrame="_self" w:history="1">
                                      <w:r w:rsidR="006165D3">
                                        <w:rPr>
                                          <w:rStyle w:val="Hyperlink"/>
                                          <w:rFonts w:ascii="Arial" w:hAnsi="Arial" w:cs="Arial"/>
                                          <w:color w:val="0E84C8"/>
                                          <w:sz w:val="17"/>
                                          <w:szCs w:val="17"/>
                                        </w:rPr>
                                        <w:t>Anaesthesia Clinical Committee</w:t>
                                      </w:r>
                                    </w:hyperlink>
                                  </w:p>
                                  <w:p w14:paraId="74A21B61" w14:textId="6DBF5A6B" w:rsidR="00B03A1C" w:rsidRDefault="00F95ED0" w:rsidP="00B03A1C">
                                    <w:pPr>
                                      <w:spacing w:before="60" w:after="60"/>
                                      <w:rPr>
                                        <w:rStyle w:val="Hyperlink"/>
                                        <w:color w:val="0E84C8"/>
                                      </w:rPr>
                                    </w:pPr>
                                    <w:hyperlink w:anchor="Bloods" w:tgtFrame="_self" w:history="1">
                                      <w:r w:rsidR="006165D3">
                                        <w:rPr>
                                          <w:rStyle w:val="Hyperlink"/>
                                          <w:rFonts w:ascii="Arial" w:hAnsi="Arial" w:cs="Arial"/>
                                          <w:color w:val="0E84C8"/>
                                          <w:sz w:val="17"/>
                                          <w:szCs w:val="17"/>
                                        </w:rPr>
                                        <w:t>Blood Products Working Group</w:t>
                                      </w:r>
                                    </w:hyperlink>
                                  </w:p>
                                  <w:p w14:paraId="25BB137B" w14:textId="03DA9C12" w:rsidR="00B03A1C" w:rsidRDefault="00F95ED0" w:rsidP="00B03A1C">
                                    <w:pPr>
                                      <w:spacing w:before="60" w:after="60"/>
                                      <w:rPr>
                                        <w:rStyle w:val="Hyperlink"/>
                                        <w:color w:val="0E84C8"/>
                                      </w:rPr>
                                    </w:pPr>
                                    <w:hyperlink w:anchor="Cardiac" w:tgtFrame="_self" w:history="1">
                                      <w:r w:rsidR="006165D3">
                                        <w:rPr>
                                          <w:rStyle w:val="Hyperlink"/>
                                          <w:rFonts w:ascii="Arial" w:hAnsi="Arial" w:cs="Arial"/>
                                          <w:color w:val="0E84C8"/>
                                          <w:sz w:val="17"/>
                                          <w:szCs w:val="17"/>
                                        </w:rPr>
                                        <w:t>Cardiac Services Clinical Committee</w:t>
                                      </w:r>
                                    </w:hyperlink>
                                  </w:p>
                                  <w:p w14:paraId="205696DE" w14:textId="0C0E901B" w:rsidR="00B03A1C" w:rsidRDefault="00F95ED0" w:rsidP="00B03A1C">
                                    <w:pPr>
                                      <w:spacing w:before="60" w:after="60"/>
                                      <w:rPr>
                                        <w:rStyle w:val="Hyperlink"/>
                                        <w:color w:val="0E84C8"/>
                                      </w:rPr>
                                    </w:pPr>
                                    <w:hyperlink w:anchor="Cleft" w:tgtFrame="_self" w:history="1">
                                      <w:r w:rsidR="006165D3">
                                        <w:rPr>
                                          <w:rStyle w:val="Hyperlink"/>
                                          <w:rFonts w:ascii="Arial" w:hAnsi="Arial" w:cs="Arial"/>
                                          <w:color w:val="0E84C8"/>
                                          <w:sz w:val="17"/>
                                          <w:szCs w:val="17"/>
                                        </w:rPr>
                                        <w:t>Cleft Dental Services Working Group</w:t>
                                      </w:r>
                                    </w:hyperlink>
                                  </w:p>
                                  <w:p w14:paraId="71657D5C" w14:textId="259A024A" w:rsidR="00B03A1C" w:rsidRDefault="00F95ED0" w:rsidP="00B03A1C">
                                    <w:pPr>
                                      <w:spacing w:before="60" w:after="60"/>
                                      <w:rPr>
                                        <w:rStyle w:val="Hyperlink"/>
                                        <w:color w:val="0E84C8"/>
                                      </w:rPr>
                                    </w:pPr>
                                    <w:hyperlink w:anchor="Colorectal" w:tgtFrame="_self" w:history="1">
                                      <w:r w:rsidR="006165D3">
                                        <w:rPr>
                                          <w:rStyle w:val="Hyperlink"/>
                                          <w:rFonts w:ascii="Arial" w:hAnsi="Arial" w:cs="Arial"/>
                                          <w:color w:val="0E84C8"/>
                                          <w:sz w:val="17"/>
                                          <w:szCs w:val="17"/>
                                        </w:rPr>
                                        <w:t>Colorectal Surgery Clinical Committee</w:t>
                                      </w:r>
                                    </w:hyperlink>
                                  </w:p>
                                  <w:p w14:paraId="37C78AB5" w14:textId="78BC7871" w:rsidR="00B03A1C" w:rsidRDefault="00F95ED0" w:rsidP="00B03A1C">
                                    <w:pPr>
                                      <w:spacing w:before="60" w:after="60"/>
                                      <w:rPr>
                                        <w:rStyle w:val="Hyperlink"/>
                                        <w:rFonts w:ascii="Arial" w:hAnsi="Arial" w:cs="Arial"/>
                                        <w:color w:val="0E84C8"/>
                                        <w:sz w:val="17"/>
                                        <w:szCs w:val="17"/>
                                      </w:rPr>
                                    </w:pPr>
                                    <w:hyperlink w:anchor="Consumer" w:tgtFrame="_self" w:history="1">
                                      <w:r w:rsidR="006165D3">
                                        <w:rPr>
                                          <w:rStyle w:val="Hyperlink"/>
                                          <w:rFonts w:ascii="Arial" w:hAnsi="Arial" w:cs="Arial"/>
                                          <w:color w:val="0E84C8"/>
                                          <w:sz w:val="17"/>
                                          <w:szCs w:val="17"/>
                                        </w:rPr>
                                        <w:t>Consumer Panel</w:t>
                                      </w:r>
                                    </w:hyperlink>
                                  </w:p>
                                  <w:p w14:paraId="5CCE95A7" w14:textId="77777777" w:rsidR="00B03A1C" w:rsidRDefault="00F95ED0" w:rsidP="00B03A1C">
                                    <w:pPr>
                                      <w:spacing w:before="60" w:after="60"/>
                                      <w:rPr>
                                        <w:rStyle w:val="Hyperlink"/>
                                        <w:color w:val="0E84C8"/>
                                      </w:rPr>
                                    </w:pPr>
                                    <w:hyperlink w:anchor="DI" w:tgtFrame="_self" w:history="1">
                                      <w:r w:rsidR="006165D3">
                                        <w:rPr>
                                          <w:rStyle w:val="Hyperlink"/>
                                          <w:rFonts w:ascii="Arial" w:hAnsi="Arial" w:cs="Arial"/>
                                          <w:color w:val="0E84C8"/>
                                          <w:sz w:val="17"/>
                                          <w:szCs w:val="17"/>
                                        </w:rPr>
                                        <w:t>Diagnostic Imaging Clinical Committee</w:t>
                                      </w:r>
                                    </w:hyperlink>
                                  </w:p>
                                  <w:p w14:paraId="52C1CC30" w14:textId="2DE8F368" w:rsidR="00B03A1C" w:rsidRDefault="00F95ED0" w:rsidP="00B03A1C">
                                    <w:pPr>
                                      <w:spacing w:before="60" w:after="60"/>
                                      <w:rPr>
                                        <w:rStyle w:val="Hyperlink"/>
                                        <w:color w:val="0E84C8"/>
                                      </w:rPr>
                                    </w:pPr>
                                    <w:hyperlink w:anchor="DM" w:tgtFrame="_self" w:history="1">
                                      <w:r w:rsidR="006165D3">
                                        <w:rPr>
                                          <w:rStyle w:val="Hyperlink"/>
                                          <w:rFonts w:ascii="Arial" w:hAnsi="Arial" w:cs="Arial"/>
                                          <w:color w:val="0E84C8"/>
                                          <w:sz w:val="17"/>
                                          <w:szCs w:val="17"/>
                                        </w:rPr>
                                        <w:t>Diagnostic Medicine Clinical Committee</w:t>
                                      </w:r>
                                    </w:hyperlink>
                                  </w:p>
                                  <w:p w14:paraId="4993BFB3" w14:textId="39036837" w:rsidR="00B03A1C" w:rsidRDefault="00F95ED0" w:rsidP="00B03A1C">
                                    <w:pPr>
                                      <w:spacing w:before="60" w:after="60"/>
                                      <w:rPr>
                                        <w:rStyle w:val="Hyperlink"/>
                                        <w:color w:val="0E84C8"/>
                                      </w:rPr>
                                    </w:pPr>
                                    <w:hyperlink w:anchor="Eating" w:tgtFrame="_self" w:history="1">
                                      <w:r w:rsidR="006165D3">
                                        <w:rPr>
                                          <w:rStyle w:val="Hyperlink"/>
                                          <w:rFonts w:ascii="Arial" w:hAnsi="Arial" w:cs="Arial"/>
                                          <w:color w:val="0E84C8"/>
                                          <w:sz w:val="17"/>
                                          <w:szCs w:val="17"/>
                                        </w:rPr>
                                        <w:t>Eating Disorders Working Group</w:t>
                                      </w:r>
                                    </w:hyperlink>
                                  </w:p>
                                  <w:p w14:paraId="5594F4AE" w14:textId="78B16C46" w:rsidR="00B03A1C" w:rsidRDefault="00F95ED0" w:rsidP="00B03A1C">
                                    <w:pPr>
                                      <w:spacing w:before="60" w:after="60"/>
                                      <w:rPr>
                                        <w:rStyle w:val="Hyperlink"/>
                                        <w:color w:val="0E84C8"/>
                                      </w:rPr>
                                    </w:pPr>
                                    <w:hyperlink w:anchor="Gastroenterology" w:tgtFrame="_blank" w:history="1">
                                      <w:r w:rsidR="006165D3">
                                        <w:rPr>
                                          <w:rStyle w:val="Hyperlink"/>
                                          <w:rFonts w:ascii="Arial" w:hAnsi="Arial" w:cs="Arial"/>
                                          <w:color w:val="0E84C8"/>
                                          <w:sz w:val="17"/>
                                          <w:szCs w:val="17"/>
                                        </w:rPr>
                                        <w:t>Gastroenterology Clinical Committee</w:t>
                                      </w:r>
                                    </w:hyperlink>
                                  </w:p>
                                  <w:p w14:paraId="72C62B8F" w14:textId="77777777" w:rsidR="00B03A1C" w:rsidRDefault="00F95ED0" w:rsidP="00B03A1C">
                                    <w:pPr>
                                      <w:spacing w:before="60" w:after="60"/>
                                      <w:rPr>
                                        <w:rStyle w:val="Hyperlink"/>
                                        <w:rFonts w:ascii="Arial" w:hAnsi="Arial" w:cs="Arial"/>
                                        <w:color w:val="0E84C8"/>
                                        <w:sz w:val="17"/>
                                        <w:szCs w:val="17"/>
                                      </w:rPr>
                                    </w:pPr>
                                    <w:hyperlink w:anchor="General" w:tgtFrame="_blank" w:history="1">
                                      <w:r w:rsidR="006165D3">
                                        <w:rPr>
                                          <w:rStyle w:val="Hyperlink"/>
                                          <w:rFonts w:ascii="Arial" w:hAnsi="Arial" w:cs="Arial"/>
                                          <w:color w:val="0E84C8"/>
                                          <w:sz w:val="17"/>
                                          <w:szCs w:val="17"/>
                                        </w:rPr>
                                        <w:t>General Surgery Clinical Committee</w:t>
                                      </w:r>
                                    </w:hyperlink>
                                  </w:p>
                                  <w:p w14:paraId="3CA11A04" w14:textId="77777777" w:rsidR="00B03A1C" w:rsidRDefault="00F95ED0" w:rsidP="00B03A1C">
                                    <w:pPr>
                                      <w:spacing w:before="60" w:after="60"/>
                                      <w:rPr>
                                        <w:rStyle w:val="Hyperlink"/>
                                        <w:color w:val="0E84C8"/>
                                      </w:rPr>
                                    </w:pPr>
                                    <w:hyperlink w:anchor="PrimaryCare" w:tgtFrame="_blank" w:history="1">
                                      <w:r w:rsidR="006165D3">
                                        <w:rPr>
                                          <w:rStyle w:val="Hyperlink"/>
                                          <w:rFonts w:ascii="Arial" w:hAnsi="Arial" w:cs="Arial"/>
                                          <w:color w:val="0E84C8"/>
                                          <w:sz w:val="17"/>
                                          <w:szCs w:val="17"/>
                                        </w:rPr>
                                        <w:t>General Practice and Primary Care Clinical Committee</w:t>
                                      </w:r>
                                    </w:hyperlink>
                                  </w:p>
                                  <w:p w14:paraId="4BDE3749" w14:textId="77777777" w:rsidR="00B03A1C" w:rsidRDefault="00F95ED0" w:rsidP="00B03A1C">
                                    <w:pPr>
                                      <w:spacing w:before="60" w:after="60"/>
                                      <w:rPr>
                                        <w:rStyle w:val="Hyperlink"/>
                                        <w:color w:val="0E84C8"/>
                                      </w:rPr>
                                    </w:pPr>
                                    <w:hyperlink w:anchor="Gynaecology" w:tgtFrame="_self" w:history="1">
                                      <w:r w:rsidR="006165D3">
                                        <w:rPr>
                                          <w:rStyle w:val="Hyperlink"/>
                                          <w:rFonts w:ascii="Arial" w:hAnsi="Arial" w:cs="Arial"/>
                                          <w:color w:val="0E84C8"/>
                                          <w:sz w:val="17"/>
                                          <w:szCs w:val="17"/>
                                        </w:rPr>
                                        <w:t>Gynaecology Clinical Committee</w:t>
                                      </w:r>
                                    </w:hyperlink>
                                  </w:p>
                                  <w:p w14:paraId="5B9732B9" w14:textId="77777777" w:rsidR="00B03A1C" w:rsidRDefault="00F95ED0" w:rsidP="00B03A1C">
                                    <w:pPr>
                                      <w:spacing w:before="60" w:after="60"/>
                                      <w:rPr>
                                        <w:rStyle w:val="Hyperlink"/>
                                        <w:color w:val="0E84C8"/>
                                      </w:rPr>
                                    </w:pPr>
                                    <w:hyperlink w:anchor="ICEM" w:tgtFrame="_self" w:history="1">
                                      <w:r w:rsidR="006165D3">
                                        <w:rPr>
                                          <w:rStyle w:val="Hyperlink"/>
                                          <w:rFonts w:ascii="Arial" w:hAnsi="Arial" w:cs="Arial"/>
                                          <w:color w:val="0E84C8"/>
                                          <w:sz w:val="17"/>
                                          <w:szCs w:val="17"/>
                                        </w:rPr>
                                        <w:t>Intensive Care and Emergency Medicine Clinical Committee</w:t>
                                      </w:r>
                                    </w:hyperlink>
                                  </w:p>
                                  <w:p w14:paraId="516CC94D" w14:textId="77777777" w:rsidR="00B03A1C" w:rsidRDefault="00F95ED0" w:rsidP="00B03A1C">
                                    <w:pPr>
                                      <w:spacing w:before="60" w:after="60"/>
                                      <w:rPr>
                                        <w:rStyle w:val="Hyperlink"/>
                                        <w:color w:val="0E84C8"/>
                                      </w:rPr>
                                    </w:pPr>
                                    <w:hyperlink w:anchor="Neurology" w:tgtFrame="_self" w:history="1">
                                      <w:r w:rsidR="006165D3">
                                        <w:rPr>
                                          <w:rStyle w:val="Hyperlink"/>
                                          <w:rFonts w:ascii="Arial" w:hAnsi="Arial" w:cs="Arial"/>
                                          <w:color w:val="0E84C8"/>
                                          <w:sz w:val="17"/>
                                          <w:szCs w:val="17"/>
                                        </w:rPr>
                                        <w:t>Neurology and Neurosurgery Clinical Committee</w:t>
                                      </w:r>
                                    </w:hyperlink>
                                  </w:p>
                                  <w:p w14:paraId="43963D23" w14:textId="77777777" w:rsidR="00B03A1C" w:rsidRDefault="00F95ED0" w:rsidP="00B03A1C">
                                    <w:pPr>
                                      <w:spacing w:before="60" w:after="60"/>
                                      <w:rPr>
                                        <w:rStyle w:val="Hyperlink"/>
                                        <w:color w:val="0E84C8"/>
                                      </w:rPr>
                                    </w:pPr>
                                    <w:hyperlink w:anchor="Oncology" w:tgtFrame="_self" w:history="1">
                                      <w:r w:rsidR="006165D3">
                                        <w:rPr>
                                          <w:rStyle w:val="Hyperlink"/>
                                          <w:rFonts w:ascii="Arial" w:hAnsi="Arial" w:cs="Arial"/>
                                          <w:color w:val="0E84C8"/>
                                          <w:sz w:val="17"/>
                                          <w:szCs w:val="17"/>
                                        </w:rPr>
                                        <w:t>Oncology Clinical Committee</w:t>
                                      </w:r>
                                    </w:hyperlink>
                                  </w:p>
                                  <w:p w14:paraId="24C3AF18" w14:textId="77777777" w:rsidR="00B03A1C" w:rsidRDefault="00F95ED0" w:rsidP="00B03A1C">
                                    <w:pPr>
                                      <w:spacing w:before="60" w:after="60"/>
                                      <w:rPr>
                                        <w:rStyle w:val="Hyperlink"/>
                                        <w:color w:val="0E84C8"/>
                                      </w:rPr>
                                    </w:pPr>
                                    <w:hyperlink w:anchor="Ophthal" w:tgtFrame="_self" w:history="1">
                                      <w:r w:rsidR="006165D3">
                                        <w:rPr>
                                          <w:rStyle w:val="Hyperlink"/>
                                          <w:rFonts w:ascii="Arial" w:hAnsi="Arial" w:cs="Arial"/>
                                          <w:color w:val="0E84C8"/>
                                          <w:sz w:val="17"/>
                                          <w:szCs w:val="17"/>
                                        </w:rPr>
                                        <w:t>Ophthalmology Clinical Committee</w:t>
                                      </w:r>
                                    </w:hyperlink>
                                  </w:p>
                                  <w:p w14:paraId="1A92F2B3" w14:textId="77777777" w:rsidR="00B03A1C" w:rsidRDefault="00F95ED0" w:rsidP="00B03A1C">
                                    <w:pPr>
                                      <w:spacing w:before="60" w:after="60"/>
                                      <w:rPr>
                                        <w:rStyle w:val="Hyperlink"/>
                                        <w:color w:val="0E84C8"/>
                                      </w:rPr>
                                    </w:pPr>
                                    <w:hyperlink w:anchor="Optometry" w:tgtFrame="_self" w:history="1">
                                      <w:r w:rsidR="006165D3">
                                        <w:rPr>
                                          <w:rStyle w:val="Hyperlink"/>
                                          <w:rFonts w:ascii="Arial" w:hAnsi="Arial" w:cs="Arial"/>
                                          <w:color w:val="0E84C8"/>
                                          <w:sz w:val="17"/>
                                          <w:szCs w:val="17"/>
                                        </w:rPr>
                                        <w:t>Optometry Clinical Committee</w:t>
                                      </w:r>
                                    </w:hyperlink>
                                  </w:p>
                                  <w:p w14:paraId="67161247" w14:textId="77777777" w:rsidR="00B03A1C" w:rsidRDefault="00F95ED0" w:rsidP="00B03A1C">
                                    <w:pPr>
                                      <w:spacing w:before="60" w:after="60"/>
                                      <w:rPr>
                                        <w:rStyle w:val="Hyperlink"/>
                                        <w:color w:val="0E84C8"/>
                                      </w:rPr>
                                    </w:pPr>
                                    <w:hyperlink w:anchor="OMS" w:tgtFrame="_self" w:history="1">
                                      <w:r w:rsidR="006165D3">
                                        <w:rPr>
                                          <w:rStyle w:val="Hyperlink"/>
                                          <w:rFonts w:ascii="Arial" w:hAnsi="Arial" w:cs="Arial"/>
                                          <w:color w:val="0E84C8"/>
                                          <w:sz w:val="17"/>
                                          <w:szCs w:val="17"/>
                                        </w:rPr>
                                        <w:t>Oral and Maxillofacial Services Category 4 Working Group</w:t>
                                      </w:r>
                                    </w:hyperlink>
                                  </w:p>
                                  <w:p w14:paraId="22CF3796" w14:textId="77777777" w:rsidR="00B03A1C" w:rsidRDefault="00F95ED0" w:rsidP="00B03A1C">
                                    <w:pPr>
                                      <w:spacing w:before="60" w:after="60"/>
                                      <w:rPr>
                                        <w:rStyle w:val="Hyperlink"/>
                                        <w:color w:val="0E84C8"/>
                                      </w:rPr>
                                    </w:pPr>
                                    <w:hyperlink w:anchor="Orthopaedics" w:tgtFrame="_self" w:history="1">
                                      <w:r w:rsidR="006165D3">
                                        <w:rPr>
                                          <w:rStyle w:val="Hyperlink"/>
                                          <w:rFonts w:ascii="Arial" w:hAnsi="Arial" w:cs="Arial"/>
                                          <w:color w:val="0E84C8"/>
                                          <w:sz w:val="17"/>
                                          <w:szCs w:val="17"/>
                                        </w:rPr>
                                        <w:t>Orthopaedics Clinical Committee</w:t>
                                      </w:r>
                                    </w:hyperlink>
                                  </w:p>
                                  <w:p w14:paraId="386EB710" w14:textId="77777777" w:rsidR="00B03A1C" w:rsidRDefault="00F95ED0" w:rsidP="00B03A1C">
                                    <w:pPr>
                                      <w:spacing w:before="60" w:after="60"/>
                                      <w:rPr>
                                        <w:rStyle w:val="Hyperlink"/>
                                        <w:color w:val="0E84C8"/>
                                      </w:rPr>
                                    </w:pPr>
                                    <w:hyperlink w:anchor="Otolaryngology" w:tgtFrame="_self" w:history="1">
                                      <w:r w:rsidR="006165D3">
                                        <w:rPr>
                                          <w:rStyle w:val="Hyperlink"/>
                                          <w:rFonts w:ascii="Arial" w:hAnsi="Arial" w:cs="Arial"/>
                                          <w:color w:val="0E84C8"/>
                                          <w:sz w:val="17"/>
                                          <w:szCs w:val="17"/>
                                        </w:rPr>
                                        <w:t>Otolaryngology, Head and Neck Clinical Committee</w:t>
                                      </w:r>
                                    </w:hyperlink>
                                  </w:p>
                                  <w:p w14:paraId="1336C874" w14:textId="77777777" w:rsidR="00B03A1C" w:rsidRDefault="00F95ED0" w:rsidP="00B03A1C">
                                    <w:pPr>
                                      <w:spacing w:before="60" w:after="60"/>
                                      <w:rPr>
                                        <w:rStyle w:val="Hyperlink"/>
                                        <w:color w:val="0E84C8"/>
                                      </w:rPr>
                                    </w:pPr>
                                    <w:hyperlink w:anchor="Paeds" w:tgtFrame="_self" w:history="1">
                                      <w:r w:rsidR="006165D3">
                                        <w:rPr>
                                          <w:rStyle w:val="Hyperlink"/>
                                          <w:rFonts w:ascii="Arial" w:hAnsi="Arial" w:cs="Arial"/>
                                          <w:color w:val="0E84C8"/>
                                          <w:sz w:val="17"/>
                                          <w:szCs w:val="17"/>
                                        </w:rPr>
                                        <w:t>Paediatric Surgery Advisory Group</w:t>
                                      </w:r>
                                    </w:hyperlink>
                                  </w:p>
                                  <w:p w14:paraId="62441AE6" w14:textId="77777777" w:rsidR="00B03A1C" w:rsidRDefault="00F95ED0" w:rsidP="00B03A1C">
                                    <w:pPr>
                                      <w:spacing w:before="60" w:after="60"/>
                                      <w:rPr>
                                        <w:rStyle w:val="Hyperlink"/>
                                        <w:color w:val="0E84C8"/>
                                      </w:rPr>
                                    </w:pPr>
                                    <w:hyperlink w:anchor="Pain" w:tgtFrame="_self" w:history="1">
                                      <w:r w:rsidR="006165D3">
                                        <w:rPr>
                                          <w:rStyle w:val="Hyperlink"/>
                                          <w:rFonts w:ascii="Arial" w:hAnsi="Arial" w:cs="Arial"/>
                                          <w:color w:val="0E84C8"/>
                                          <w:sz w:val="17"/>
                                          <w:szCs w:val="17"/>
                                        </w:rPr>
                                        <w:t>Pain Management Clinical Committee</w:t>
                                      </w:r>
                                    </w:hyperlink>
                                  </w:p>
                                  <w:p w14:paraId="2CB38DFA" w14:textId="77777777" w:rsidR="00B03A1C" w:rsidRDefault="00F95ED0" w:rsidP="00B03A1C">
                                    <w:pPr>
                                      <w:spacing w:before="60" w:after="60"/>
                                      <w:rPr>
                                        <w:rStyle w:val="Hyperlink"/>
                                        <w:color w:val="0E84C8"/>
                                      </w:rPr>
                                    </w:pPr>
                                    <w:hyperlink w:anchor="Pathology" w:tgtFrame="_self" w:history="1">
                                      <w:r w:rsidR="006165D3">
                                        <w:rPr>
                                          <w:rStyle w:val="Hyperlink"/>
                                          <w:rFonts w:ascii="Arial" w:hAnsi="Arial" w:cs="Arial"/>
                                          <w:color w:val="0E84C8"/>
                                          <w:sz w:val="17"/>
                                          <w:szCs w:val="17"/>
                                        </w:rPr>
                                        <w:t>Pathology Clinical Committee</w:t>
                                      </w:r>
                                    </w:hyperlink>
                                  </w:p>
                                  <w:p w14:paraId="65529FA4" w14:textId="77777777" w:rsidR="00B03A1C" w:rsidRDefault="00F95ED0" w:rsidP="00B03A1C">
                                    <w:pPr>
                                      <w:spacing w:before="60" w:after="60"/>
                                      <w:rPr>
                                        <w:rStyle w:val="Hyperlink"/>
                                        <w:color w:val="0E84C8"/>
                                      </w:rPr>
                                    </w:pPr>
                                    <w:hyperlink w:anchor="PRSCC" w:tgtFrame="_self" w:history="1">
                                      <w:r w:rsidR="006165D3">
                                        <w:rPr>
                                          <w:rStyle w:val="Hyperlink"/>
                                          <w:rFonts w:ascii="Arial" w:hAnsi="Arial" w:cs="Arial"/>
                                          <w:color w:val="0E84C8"/>
                                          <w:sz w:val="17"/>
                                          <w:szCs w:val="17"/>
                                        </w:rPr>
                                        <w:t>Plastic and Reconstructive Surgery Clinical Committee</w:t>
                                      </w:r>
                                    </w:hyperlink>
                                  </w:p>
                                  <w:p w14:paraId="2D17D230" w14:textId="77777777" w:rsidR="00B03A1C" w:rsidRDefault="00F95ED0" w:rsidP="00B03A1C">
                                    <w:pPr>
                                      <w:spacing w:before="60" w:after="60"/>
                                      <w:rPr>
                                        <w:rStyle w:val="Hyperlink"/>
                                        <w:color w:val="0E84C8"/>
                                      </w:rPr>
                                    </w:pPr>
                                    <w:hyperlink w:anchor="PCRG" w:tgtFrame="_self" w:history="1">
                                      <w:r w:rsidR="006165D3">
                                        <w:rPr>
                                          <w:rStyle w:val="Hyperlink"/>
                                          <w:rFonts w:ascii="Arial" w:hAnsi="Arial" w:cs="Arial"/>
                                          <w:color w:val="0E84C8"/>
                                          <w:sz w:val="17"/>
                                          <w:szCs w:val="17"/>
                                        </w:rPr>
                                        <w:t>Primary Care Reference Group</w:t>
                                      </w:r>
                                    </w:hyperlink>
                                    <w:hyperlink w:anchor="PrimaryCare" w:tgtFrame="_blank" w:history="1">
                                      <w:r w:rsidR="006165D3">
                                        <w:rPr>
                                          <w:rStyle w:val="Hyperlink"/>
                                          <w:rFonts w:ascii="Arial" w:hAnsi="Arial" w:cs="Arial"/>
                                          <w:color w:val="0E84C8"/>
                                          <w:sz w:val="17"/>
                                          <w:szCs w:val="17"/>
                                        </w:rPr>
                                        <w:t>s</w:t>
                                      </w:r>
                                    </w:hyperlink>
                                  </w:p>
                                  <w:p w14:paraId="6916530D" w14:textId="77777777" w:rsidR="00B03A1C" w:rsidRDefault="00F95ED0" w:rsidP="00B03A1C">
                                    <w:pPr>
                                      <w:spacing w:before="60" w:after="60"/>
                                      <w:rPr>
                                        <w:rStyle w:val="Hyperlink"/>
                                        <w:color w:val="0E84C8"/>
                                      </w:rPr>
                                    </w:pPr>
                                    <w:hyperlink w:anchor="PARC" w:tgtFrame="_self" w:history="1">
                                      <w:r w:rsidR="006165D3">
                                        <w:rPr>
                                          <w:rStyle w:val="Hyperlink"/>
                                          <w:rFonts w:ascii="Arial" w:hAnsi="Arial" w:cs="Arial"/>
                                          <w:color w:val="0E84C8"/>
                                          <w:sz w:val="17"/>
                                          <w:szCs w:val="17"/>
                                        </w:rPr>
                                        <w:t>Principles and Rules Committee</w:t>
                                      </w:r>
                                    </w:hyperlink>
                                  </w:p>
                                  <w:p w14:paraId="5FAD8C15" w14:textId="77777777" w:rsidR="00B03A1C" w:rsidRDefault="00F95ED0" w:rsidP="00B03A1C">
                                    <w:pPr>
                                      <w:spacing w:before="60" w:after="60"/>
                                      <w:rPr>
                                        <w:rStyle w:val="Hyperlink"/>
                                        <w:color w:val="0E84C8"/>
                                      </w:rPr>
                                    </w:pPr>
                                    <w:hyperlink w:anchor="Psychiatry" w:tgtFrame="_self" w:history="1">
                                      <w:r w:rsidR="006165D3">
                                        <w:rPr>
                                          <w:rStyle w:val="Hyperlink"/>
                                          <w:rFonts w:ascii="Arial" w:hAnsi="Arial" w:cs="Arial"/>
                                          <w:color w:val="0E84C8"/>
                                          <w:sz w:val="17"/>
                                          <w:szCs w:val="17"/>
                                        </w:rPr>
                                        <w:t>Psychiatry Clinical Committee</w:t>
                                      </w:r>
                                    </w:hyperlink>
                                  </w:p>
                                  <w:p w14:paraId="0343D0C4" w14:textId="77777777" w:rsidR="00B03A1C" w:rsidRDefault="00F95ED0" w:rsidP="00B03A1C">
                                    <w:pPr>
                                      <w:spacing w:before="60" w:after="60"/>
                                      <w:rPr>
                                        <w:rStyle w:val="Hyperlink"/>
                                        <w:color w:val="0E84C8"/>
                                      </w:rPr>
                                    </w:pPr>
                                    <w:hyperlink w:anchor="Specialist" w:tgtFrame="_self" w:history="1">
                                      <w:r w:rsidR="006165D3">
                                        <w:rPr>
                                          <w:rStyle w:val="Hyperlink"/>
                                          <w:rFonts w:ascii="Arial" w:hAnsi="Arial" w:cs="Arial"/>
                                          <w:color w:val="0E84C8"/>
                                          <w:sz w:val="17"/>
                                          <w:szCs w:val="17"/>
                                        </w:rPr>
                                        <w:t>Specialist and Consultant Physician Consultation Clinical Committee</w:t>
                                      </w:r>
                                    </w:hyperlink>
                                  </w:p>
                                  <w:p w14:paraId="430924BC" w14:textId="77777777" w:rsidR="00B03A1C" w:rsidRDefault="00F95ED0" w:rsidP="00B03A1C">
                                    <w:pPr>
                                      <w:spacing w:before="60" w:after="60"/>
                                      <w:rPr>
                                        <w:rStyle w:val="Hyperlink"/>
                                        <w:color w:val="0E84C8"/>
                                      </w:rPr>
                                    </w:pPr>
                                    <w:hyperlink w:anchor="Thoracic" w:tgtFrame="_self" w:history="1">
                                      <w:r w:rsidR="006165D3">
                                        <w:rPr>
                                          <w:rStyle w:val="Hyperlink"/>
                                          <w:rFonts w:ascii="Arial" w:hAnsi="Arial" w:cs="Arial"/>
                                          <w:color w:val="0E84C8"/>
                                          <w:sz w:val="17"/>
                                          <w:szCs w:val="17"/>
                                        </w:rPr>
                                        <w:t>Thoracic Surgery Clinical Committee</w:t>
                                      </w:r>
                                    </w:hyperlink>
                                  </w:p>
                                  <w:p w14:paraId="7FEC88B8" w14:textId="77777777" w:rsidR="00B03A1C" w:rsidRDefault="00F95ED0" w:rsidP="00B03A1C">
                                    <w:pPr>
                                      <w:spacing w:before="60" w:after="60"/>
                                      <w:rPr>
                                        <w:rStyle w:val="Hyperlink"/>
                                        <w:color w:val="0E84C8"/>
                                      </w:rPr>
                                    </w:pPr>
                                    <w:hyperlink w:anchor="Urology" w:tgtFrame="_self" w:history="1">
                                      <w:r w:rsidR="006165D3">
                                        <w:rPr>
                                          <w:rStyle w:val="Hyperlink"/>
                                          <w:rFonts w:ascii="Arial" w:hAnsi="Arial" w:cs="Arial"/>
                                          <w:color w:val="0E84C8"/>
                                          <w:sz w:val="17"/>
                                          <w:szCs w:val="17"/>
                                        </w:rPr>
                                        <w:t>Urology Clinical Committee</w:t>
                                      </w:r>
                                    </w:hyperlink>
                                  </w:p>
                                  <w:p w14:paraId="5F29BC77" w14:textId="4FF1879E" w:rsidR="00B03A1C" w:rsidRPr="00B03A1C" w:rsidRDefault="00F95ED0" w:rsidP="00B03A1C">
                                    <w:pPr>
                                      <w:spacing w:before="60" w:after="60"/>
                                      <w:rPr>
                                        <w:rStyle w:val="Hyperlink"/>
                                        <w:color w:val="0E84C8"/>
                                      </w:rPr>
                                    </w:pPr>
                                    <w:hyperlink w:anchor="Vascular" w:tgtFrame="_self" w:history="1">
                                      <w:r w:rsidR="006165D3">
                                        <w:rPr>
                                          <w:rStyle w:val="Hyperlink"/>
                                          <w:rFonts w:ascii="Arial" w:hAnsi="Arial" w:cs="Arial"/>
                                          <w:color w:val="0E84C8"/>
                                          <w:sz w:val="17"/>
                                          <w:szCs w:val="17"/>
                                        </w:rPr>
                                        <w:t>Vascular Clinical Committee</w:t>
                                      </w:r>
                                    </w:hyperlink>
                                  </w:p>
                                  <w:p w14:paraId="76777738" w14:textId="00873C87" w:rsidR="006165D3" w:rsidRPr="00B03A1C" w:rsidRDefault="00F95ED0" w:rsidP="00B03A1C">
                                    <w:pPr>
                                      <w:spacing w:before="60" w:after="60"/>
                                      <w:rPr>
                                        <w:rFonts w:ascii="Arial" w:hAnsi="Arial" w:cs="Arial"/>
                                        <w:color w:val="202020"/>
                                        <w:sz w:val="20"/>
                                        <w:szCs w:val="21"/>
                                      </w:rPr>
                                    </w:pPr>
                                    <w:hyperlink w:anchor="Wounds" w:tgtFrame="_self" w:history="1">
                                      <w:r w:rsidR="006165D3">
                                        <w:rPr>
                                          <w:rStyle w:val="Hyperlink"/>
                                          <w:rFonts w:ascii="Arial" w:hAnsi="Arial" w:cs="Arial"/>
                                          <w:color w:val="0E84C8"/>
                                          <w:sz w:val="17"/>
                                          <w:szCs w:val="17"/>
                                        </w:rPr>
                                        <w:t>Wound Management Working Group</w:t>
                                      </w:r>
                                    </w:hyperlink>
                                    <w:r w:rsidR="006165D3">
                                      <w:rPr>
                                        <w:rFonts w:ascii="Arial" w:hAnsi="Arial" w:cs="Arial"/>
                                        <w:color w:val="202020"/>
                                        <w:sz w:val="18"/>
                                        <w:szCs w:val="18"/>
                                      </w:rPr>
                                      <w:t xml:space="preserve"> </w:t>
                                    </w:r>
                                  </w:p>
                                </w:tc>
                              </w:tr>
                            </w:tbl>
                            <w:p w14:paraId="1FD95EDA" w14:textId="77777777" w:rsidR="006165D3" w:rsidRDefault="006165D3" w:rsidP="00B03A1C">
                              <w:pPr>
                                <w:spacing w:before="120" w:after="120"/>
                                <w:rPr>
                                  <w:rFonts w:eastAsia="Times New Roman"/>
                                  <w:sz w:val="20"/>
                                  <w:szCs w:val="20"/>
                                </w:rPr>
                              </w:pPr>
                            </w:p>
                          </w:tc>
                        </w:tr>
                      </w:tbl>
                      <w:p w14:paraId="5567237E" w14:textId="77777777" w:rsidR="006165D3" w:rsidRDefault="006165D3" w:rsidP="00B03A1C">
                        <w:pPr>
                          <w:spacing w:before="120" w:after="120"/>
                          <w:rPr>
                            <w:rFonts w:eastAsia="Times New Roman"/>
                            <w:sz w:val="20"/>
                            <w:szCs w:val="20"/>
                          </w:rPr>
                        </w:pPr>
                      </w:p>
                    </w:tc>
                  </w:tr>
                  <w:tr w:rsidR="006165D3" w14:paraId="6FAB1228" w14:textId="77777777">
                    <w:tc>
                      <w:tcPr>
                        <w:tcW w:w="0" w:type="auto"/>
                        <w:tcMar>
                          <w:top w:w="150" w:type="dxa"/>
                          <w:left w:w="270" w:type="dxa"/>
                          <w:bottom w:w="225" w:type="dxa"/>
                          <w:right w:w="270" w:type="dxa"/>
                        </w:tcMar>
                        <w:vAlign w:val="center"/>
                        <w:hideMark/>
                      </w:tcPr>
                      <w:tbl>
                        <w:tblPr>
                          <w:tblpPr w:leftFromText="45" w:rightFromText="45" w:vertAnchor="text" w:tblpY="-344"/>
                          <w:tblOverlap w:val="never"/>
                          <w:tblW w:w="5000" w:type="pct"/>
                          <w:tblCellMar>
                            <w:left w:w="0" w:type="dxa"/>
                            <w:right w:w="0" w:type="dxa"/>
                          </w:tblCellMar>
                          <w:tblLook w:val="04A0" w:firstRow="1" w:lastRow="0" w:firstColumn="1" w:lastColumn="0" w:noHBand="0" w:noVBand="1"/>
                        </w:tblPr>
                        <w:tblGrid>
                          <w:gridCol w:w="9098"/>
                        </w:tblGrid>
                        <w:tr w:rsidR="00F95ED0" w14:paraId="5C1F09B9" w14:textId="77777777" w:rsidTr="00F95ED0">
                          <w:tc>
                            <w:tcPr>
                              <w:tcW w:w="0" w:type="auto"/>
                              <w:tcMar>
                                <w:top w:w="0" w:type="dxa"/>
                                <w:left w:w="270" w:type="dxa"/>
                                <w:bottom w:w="135" w:type="dxa"/>
                                <w:right w:w="270" w:type="dxa"/>
                              </w:tcMar>
                              <w:hideMark/>
                            </w:tcPr>
                            <w:p w14:paraId="23A6BEF7"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lastRenderedPageBreak/>
                                <w:t>Anaesthesia Clinical Committee</w:t>
                              </w:r>
                              <w:bookmarkStart w:id="0" w:name="Anaesthesia"/>
                              <w:bookmarkEnd w:id="0"/>
                            </w:p>
                            <w:p w14:paraId="4EF8C1A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On 13 February 2020, the ILG on </w:t>
                              </w:r>
                              <w:hyperlink r:id="rId11" w:history="1">
                                <w:r w:rsidRPr="00B15FD6">
                                  <w:rPr>
                                    <w:rStyle w:val="Hyperlink"/>
                                    <w:rFonts w:ascii="Arial" w:hAnsi="Arial" w:cs="Arial"/>
                                    <w:color w:val="0E84C8"/>
                                    <w:sz w:val="20"/>
                                    <w:szCs w:val="20"/>
                                  </w:rPr>
                                  <w:t>Anaesthesia</w:t>
                                </w:r>
                              </w:hyperlink>
                              <w:r w:rsidRPr="00B15FD6">
                                <w:rPr>
                                  <w:rFonts w:ascii="Arial" w:hAnsi="Arial" w:cs="Arial"/>
                                  <w:color w:val="202020"/>
                                  <w:sz w:val="20"/>
                                  <w:szCs w:val="20"/>
                                </w:rPr>
                                <w:t xml:space="preserve"> held its fifth meeting to further discuss stakeholder submissions and Taskforce recommendations on anaesthesia MBS items which have not been implemented. </w:t>
                              </w:r>
                            </w:p>
                            <w:p w14:paraId="3829044C"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On 1 May 2020, two anaesthesia age modifier items (25013 and 25014) were introduced on the MBS. These new items replace the anaesthesia age modifier item 25015 and interim item 25012. This administrative change also separates the paediatric and adult anaesthesia age modifier items to allow for easier processing of claims. There has been no change to the age ranges that can claim an anaesthesia age modifier.</w:t>
                              </w:r>
                            </w:p>
                            <w:p w14:paraId="1896A40A"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For more information on these changes, visit </w:t>
                              </w:r>
                              <w:hyperlink r:id="rId12" w:history="1">
                                <w:r w:rsidRPr="00B15FD6">
                                  <w:rPr>
                                    <w:rStyle w:val="Hyperlink"/>
                                    <w:rFonts w:ascii="Arial" w:hAnsi="Arial" w:cs="Arial"/>
                                    <w:color w:val="0E84C8"/>
                                    <w:sz w:val="20"/>
                                    <w:szCs w:val="20"/>
                                  </w:rPr>
                                  <w:t>MBS Online</w:t>
                                </w:r>
                              </w:hyperlink>
                              <w:r w:rsidRPr="00B15FD6">
                                <w:rPr>
                                  <w:rFonts w:ascii="Arial" w:hAnsi="Arial" w:cs="Arial"/>
                                  <w:color w:val="202020"/>
                                  <w:sz w:val="20"/>
                                  <w:szCs w:val="20"/>
                                </w:rPr>
                                <w:t>.</w:t>
                              </w:r>
                            </w:p>
                            <w:p w14:paraId="661FD199"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Anaesthesia Clinical Committee, please contact </w:t>
                              </w:r>
                              <w:hyperlink r:id="rId13"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Sarah Kennedy).</w:t>
                              </w:r>
                            </w:p>
                            <w:p w14:paraId="6DB8BCBC"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Blood Products Working Group</w:t>
                              </w:r>
                              <w:bookmarkStart w:id="1" w:name="Bloods"/>
                              <w:bookmarkEnd w:id="1"/>
                            </w:p>
                            <w:p w14:paraId="632D768D"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Changes to </w:t>
                              </w:r>
                              <w:hyperlink r:id="rId14" w:tgtFrame="_blank" w:history="1">
                                <w:r w:rsidRPr="00B15FD6">
                                  <w:rPr>
                                    <w:rStyle w:val="Hyperlink"/>
                                    <w:rFonts w:ascii="Arial" w:hAnsi="Arial" w:cs="Arial"/>
                                    <w:color w:val="0E84C8"/>
                                    <w:sz w:val="20"/>
                                    <w:szCs w:val="20"/>
                                  </w:rPr>
                                  <w:t>Blood Products</w:t>
                                </w:r>
                              </w:hyperlink>
                              <w:r w:rsidRPr="00B15FD6">
                                <w:rPr>
                                  <w:rFonts w:ascii="Arial" w:hAnsi="Arial" w:cs="Arial"/>
                                  <w:color w:val="202020"/>
                                  <w:sz w:val="20"/>
                                  <w:szCs w:val="20"/>
                                </w:rPr>
                                <w:t xml:space="preserve"> MBS Items have been endorsed by the Government, and are scheduled to come into effect on 1 November 2020. For more information on these changes, visit </w:t>
                              </w:r>
                              <w:hyperlink r:id="rId15" w:tgtFrame="_blank" w:history="1">
                                <w:r w:rsidRPr="00B15FD6">
                                  <w:rPr>
                                    <w:rStyle w:val="Hyperlink"/>
                                    <w:rFonts w:ascii="Arial" w:hAnsi="Arial" w:cs="Arial"/>
                                    <w:color w:val="0E84C8"/>
                                    <w:sz w:val="20"/>
                                    <w:szCs w:val="20"/>
                                  </w:rPr>
                                  <w:t>MBS Online</w:t>
                                </w:r>
                              </w:hyperlink>
                              <w:r w:rsidRPr="00B15FD6">
                                <w:rPr>
                                  <w:rFonts w:ascii="Arial" w:hAnsi="Arial" w:cs="Arial"/>
                                  <w:color w:val="202020"/>
                                  <w:sz w:val="20"/>
                                  <w:szCs w:val="20"/>
                                </w:rPr>
                                <w:t>.</w:t>
                              </w:r>
                            </w:p>
                            <w:p w14:paraId="6229DB9C"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Blood Products Working Group please contact </w:t>
                              </w:r>
                              <w:hyperlink r:id="rId16"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7ADAC816"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Cardiac Services Clinical Committee</w:t>
                              </w:r>
                              <w:bookmarkStart w:id="2" w:name="Cardiac"/>
                              <w:bookmarkEnd w:id="2"/>
                            </w:p>
                            <w:p w14:paraId="363ADAB8"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ILG on </w:t>
                              </w:r>
                              <w:hyperlink r:id="rId17" w:history="1">
                                <w:r w:rsidRPr="00B15FD6">
                                  <w:rPr>
                                    <w:rStyle w:val="Hyperlink"/>
                                    <w:rFonts w:ascii="Arial" w:hAnsi="Arial" w:cs="Arial"/>
                                    <w:color w:val="0E84C8"/>
                                    <w:sz w:val="20"/>
                                    <w:szCs w:val="20"/>
                                  </w:rPr>
                                  <w:t>Cardiac Services</w:t>
                                </w:r>
                              </w:hyperlink>
                              <w:r w:rsidRPr="00B15FD6">
                                <w:rPr>
                                  <w:rFonts w:ascii="Arial" w:hAnsi="Arial" w:cs="Arial"/>
                                  <w:color w:val="202020"/>
                                  <w:sz w:val="20"/>
                                  <w:szCs w:val="20"/>
                                </w:rPr>
                                <w:t xml:space="preserve"> held four meetings between October 2019 and February 2020. The ILG continued work on the complex Cardiac Services Items, including drafting the new items in a collaborative way to avoid unintended consequences and maximise patient care.</w:t>
                              </w:r>
                            </w:p>
                            <w:p w14:paraId="0AE59FE3"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Due to the unprecedented impact of the COVID-19 pandemic, implementation of MBS changes originally planned for 1 July 2020 have been delayed.</w:t>
                              </w:r>
                            </w:p>
                            <w:p w14:paraId="26336F2E"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Effective from 1 August 2020, the existing cardiac imaging items will be replaced by approximately 30 new items, including items for echocardiogram, electrocardiogram, ambulatory ECG and myocardial perfusion studies. These changes will not include any procedural items.</w:t>
                              </w:r>
                            </w:p>
                            <w:p w14:paraId="1E3CF587"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On 29 June 2020, the Department hosted an information webinar regarding the 1 August 2020 changes to cardiac imaging services. This webinar was designed for clinicians, private health insurers, private hospitals, practice managers and system administrators and provided an opportunity for questions.</w:t>
                              </w:r>
                            </w:p>
                            <w:p w14:paraId="23A41044"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webinar was live, however, a recording will be published on the </w:t>
                              </w:r>
                              <w:hyperlink r:id="rId18" w:tgtFrame="_blank" w:history="1">
                                <w:r w:rsidRPr="00B15FD6">
                                  <w:rPr>
                                    <w:rStyle w:val="Hyperlink"/>
                                    <w:rFonts w:ascii="Arial" w:hAnsi="Arial" w:cs="Arial"/>
                                    <w:color w:val="0E84C8"/>
                                    <w:sz w:val="20"/>
                                    <w:szCs w:val="20"/>
                                  </w:rPr>
                                  <w:t>Department’s website</w:t>
                                </w:r>
                              </w:hyperlink>
                              <w:r w:rsidRPr="00B15FD6">
                                <w:rPr>
                                  <w:rFonts w:ascii="Arial" w:hAnsi="Arial" w:cs="Arial"/>
                                  <w:color w:val="202020"/>
                                  <w:sz w:val="20"/>
                                  <w:szCs w:val="20"/>
                                </w:rPr>
                                <w:t xml:space="preserve"> in the coming days.</w:t>
                              </w:r>
                            </w:p>
                            <w:p w14:paraId="6810BA79"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Cardiac Services Clinical Committee, please contact </w:t>
                              </w:r>
                              <w:hyperlink r:id="rId19"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Sarah Kennedy).</w:t>
                              </w:r>
                            </w:p>
                            <w:p w14:paraId="64CE8F84"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Cleft Dental Services Working Group</w:t>
                              </w:r>
                              <w:bookmarkStart w:id="3" w:name="Cleft"/>
                              <w:bookmarkEnd w:id="3"/>
                            </w:p>
                            <w:p w14:paraId="6364B9CE"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20" w:tgtFrame="_blank" w:history="1">
                                <w:r w:rsidRPr="00B15FD6">
                                  <w:rPr>
                                    <w:rStyle w:val="Hyperlink"/>
                                    <w:rFonts w:ascii="Arial" w:hAnsi="Arial" w:cs="Arial"/>
                                    <w:color w:val="0E84C8"/>
                                    <w:sz w:val="20"/>
                                    <w:szCs w:val="20"/>
                                  </w:rPr>
                                  <w:t>Cleft Dental Services Working Group</w:t>
                                </w:r>
                              </w:hyperlink>
                              <w:r w:rsidRPr="00B15FD6">
                                <w:rPr>
                                  <w:rFonts w:ascii="Arial" w:hAnsi="Arial" w:cs="Arial"/>
                                  <w:color w:val="202020"/>
                                  <w:sz w:val="20"/>
                                  <w:szCs w:val="20"/>
                                </w:rPr>
                                <w:t xml:space="preserve">’s Final Report was endorsed for Government consideration by the Taskforce in early May 2020 and will now be progressed to the Government </w:t>
                              </w:r>
                              <w:r w:rsidRPr="00B15FD6">
                                <w:rPr>
                                  <w:rFonts w:ascii="Arial" w:hAnsi="Arial" w:cs="Arial"/>
                                  <w:color w:val="202020"/>
                                  <w:sz w:val="20"/>
                                  <w:szCs w:val="20"/>
                                </w:rPr>
                                <w:lastRenderedPageBreak/>
                                <w:t>for consideration. The updated report incorporated evidence based feedback received during public consultation from 29 August to 20 December 2019. </w:t>
                              </w:r>
                            </w:p>
                            <w:p w14:paraId="2A390188"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Cleft Dental Services Working Group, please contact </w:t>
                              </w:r>
                              <w:hyperlink r:id="rId21"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67FC953F"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Colorectal Surgery Clinical Committee</w:t>
                              </w:r>
                              <w:bookmarkStart w:id="4" w:name="Colorectal"/>
                              <w:bookmarkEnd w:id="4"/>
                            </w:p>
                            <w:p w14:paraId="5FF67FBB"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w:t>
                              </w:r>
                              <w:hyperlink r:id="rId22" w:tgtFrame="_blank" w:history="1">
                                <w:r w:rsidRPr="00B15FD6">
                                  <w:rPr>
                                    <w:rStyle w:val="Hyperlink"/>
                                    <w:rFonts w:ascii="Arial" w:hAnsi="Arial" w:cs="Arial"/>
                                    <w:color w:val="0E84C8"/>
                                    <w:sz w:val="20"/>
                                    <w:szCs w:val="20"/>
                                  </w:rPr>
                                  <w:t>Colorectal Surgery Clinical Committee</w:t>
                                </w:r>
                              </w:hyperlink>
                              <w:r w:rsidRPr="00B15FD6">
                                <w:rPr>
                                  <w:rFonts w:ascii="Arial" w:hAnsi="Arial" w:cs="Arial"/>
                                  <w:color w:val="202020"/>
                                  <w:sz w:val="20"/>
                                  <w:szCs w:val="20"/>
                                </w:rPr>
                                <w:t>’s Final Report is currently under Government consideration. An ILG will be established in 2020 to support implementation of the recommendations to MBS changes for colorectal surgery Items.</w:t>
                              </w:r>
                            </w:p>
                            <w:p w14:paraId="0E8F0DB7"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Colorectal Surgery Clinical Committee, please contact </w:t>
                              </w:r>
                              <w:hyperlink r:id="rId23"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210DE4B9"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Consumer Panel</w:t>
                              </w:r>
                              <w:bookmarkStart w:id="5" w:name="Consumer"/>
                              <w:bookmarkEnd w:id="5"/>
                            </w:p>
                            <w:p w14:paraId="2D0C4C6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24" w:tgtFrame="_blank" w:history="1">
                                <w:r w:rsidRPr="00B15FD6">
                                  <w:rPr>
                                    <w:rStyle w:val="Hyperlink"/>
                                    <w:rFonts w:ascii="Arial" w:hAnsi="Arial" w:cs="Arial"/>
                                    <w:color w:val="0E84C8"/>
                                    <w:sz w:val="20"/>
                                    <w:szCs w:val="20"/>
                                  </w:rPr>
                                  <w:t>Consumer Panel</w:t>
                                </w:r>
                              </w:hyperlink>
                              <w:r w:rsidRPr="00B15FD6">
                                <w:rPr>
                                  <w:rFonts w:ascii="Arial" w:hAnsi="Arial" w:cs="Arial"/>
                                  <w:color w:val="202020"/>
                                  <w:sz w:val="20"/>
                                  <w:szCs w:val="20"/>
                                </w:rPr>
                                <w:t> met on 14 January 2020 to consider all feedback received and finalise its Final Report to the Taskforce. </w:t>
                              </w:r>
                            </w:p>
                            <w:p w14:paraId="4BDAB712"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Taskforce endorsed the Consumer Panel’s Final Report in early May 2020 and the recommendations are now being progressed for Government consideration.</w:t>
                              </w:r>
                            </w:p>
                            <w:p w14:paraId="20AE1039"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Consumer Panel, please contact </w:t>
                              </w:r>
                              <w:hyperlink r:id="rId25"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Steve Dunlop).</w:t>
                              </w:r>
                            </w:p>
                            <w:p w14:paraId="50B116A6"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Diagnostic Imaging Clinical Committee</w:t>
                              </w:r>
                              <w:bookmarkStart w:id="6" w:name="DI"/>
                              <w:bookmarkEnd w:id="6"/>
                            </w:p>
                            <w:p w14:paraId="34BEC422"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changes arising from the </w:t>
                              </w:r>
                              <w:hyperlink r:id="rId26" w:tgtFrame="_blank" w:history="1">
                                <w:r w:rsidRPr="00B15FD6">
                                  <w:rPr>
                                    <w:rStyle w:val="Hyperlink"/>
                                    <w:rFonts w:ascii="Arial" w:hAnsi="Arial" w:cs="Arial"/>
                                    <w:color w:val="0E84C8"/>
                                    <w:sz w:val="20"/>
                                    <w:szCs w:val="20"/>
                                  </w:rPr>
                                  <w:t>Diagnostic Imaging Clinical Committee</w:t>
                                </w:r>
                              </w:hyperlink>
                              <w:r w:rsidRPr="00B15FD6">
                                <w:rPr>
                                  <w:rFonts w:ascii="Arial" w:hAnsi="Arial" w:cs="Arial"/>
                                  <w:color w:val="202020"/>
                                  <w:sz w:val="20"/>
                                  <w:szCs w:val="20"/>
                                </w:rPr>
                                <w:t> recommendations as announced in the 2019 Budget came into effect on 1 May 2020.  </w:t>
                              </w:r>
                            </w:p>
                            <w:p w14:paraId="1577206D"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For more information on these changes, visit </w:t>
                              </w:r>
                              <w:hyperlink r:id="rId27" w:history="1">
                                <w:r w:rsidRPr="00B15FD6">
                                  <w:rPr>
                                    <w:rStyle w:val="Hyperlink"/>
                                    <w:rFonts w:ascii="Arial" w:hAnsi="Arial" w:cs="Arial"/>
                                    <w:color w:val="0E84C8"/>
                                    <w:sz w:val="20"/>
                                    <w:szCs w:val="20"/>
                                  </w:rPr>
                                  <w:t>MBS Online</w:t>
                                </w:r>
                              </w:hyperlink>
                              <w:r w:rsidRPr="00B15FD6">
                                <w:rPr>
                                  <w:rFonts w:ascii="Arial" w:hAnsi="Arial" w:cs="Arial"/>
                                  <w:color w:val="202020"/>
                                  <w:sz w:val="20"/>
                                  <w:szCs w:val="20"/>
                                </w:rPr>
                                <w:t>.</w:t>
                              </w:r>
                            </w:p>
                            <w:p w14:paraId="1623A16F"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Work will now progress on other recommendations in the DICC report that require further investigation and were consequently not included in the 2019 Budget. Many of these recommendations will need to be considered by the Medical Services Advisory Committee.</w:t>
                              </w:r>
                            </w:p>
                            <w:p w14:paraId="6FF4DCC3"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Diagnostic Imaging Clinical Committee, please contact </w:t>
                              </w:r>
                              <w:hyperlink r:id="rId28"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Kim Williams).</w:t>
                              </w:r>
                            </w:p>
                            <w:p w14:paraId="1FC622F2"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Diagnostic Medicine Clinical Committee</w:t>
                              </w:r>
                              <w:bookmarkStart w:id="7" w:name="DM"/>
                              <w:bookmarkEnd w:id="7"/>
                            </w:p>
                            <w:p w14:paraId="0F376C5E"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29" w:history="1">
                                <w:r w:rsidRPr="00B15FD6">
                                  <w:rPr>
                                    <w:rStyle w:val="Hyperlink"/>
                                    <w:rFonts w:ascii="Arial" w:hAnsi="Arial" w:cs="Arial"/>
                                    <w:color w:val="0E84C8"/>
                                    <w:sz w:val="20"/>
                                    <w:szCs w:val="20"/>
                                  </w:rPr>
                                  <w:t>Diagnostic and Medical Clinical Committee</w:t>
                                </w:r>
                              </w:hyperlink>
                              <w:r w:rsidRPr="00B15FD6">
                                <w:rPr>
                                  <w:rFonts w:ascii="Arial" w:hAnsi="Arial" w:cs="Arial"/>
                                  <w:color w:val="202020"/>
                                  <w:sz w:val="20"/>
                                  <w:szCs w:val="20"/>
                                </w:rPr>
                                <w:t> recommendations on vitamin D testing were considered by the Taskforce at its December 2019 meeting. The Taskforce endorsed the recommendations for Government consideration, pending minor amendments to relevant item descriptors. These recommendations complete the Taskforce’s recommendations on diagnostic medicine Items, with all now endorsed for consideration by the Government.</w:t>
                              </w:r>
                            </w:p>
                            <w:p w14:paraId="5C450C71"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Diagnostic Medicine Clinical Committee, please contact </w:t>
                              </w:r>
                              <w:hyperlink r:id="rId30"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Sarah Kennedy).</w:t>
                              </w:r>
                            </w:p>
                            <w:p w14:paraId="5FFB3107"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Eating Disorders Working Group</w:t>
                              </w:r>
                              <w:bookmarkStart w:id="8" w:name="Eating"/>
                              <w:bookmarkEnd w:id="8"/>
                            </w:p>
                            <w:p w14:paraId="4294BB8D"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Policy responsibility for </w:t>
                              </w:r>
                              <w:hyperlink r:id="rId31" w:history="1">
                                <w:r w:rsidRPr="00B15FD6">
                                  <w:rPr>
                                    <w:rStyle w:val="Hyperlink"/>
                                    <w:rFonts w:ascii="Arial" w:hAnsi="Arial" w:cs="Arial"/>
                                    <w:color w:val="0E84C8"/>
                                    <w:sz w:val="20"/>
                                    <w:szCs w:val="20"/>
                                  </w:rPr>
                                  <w:t>Eating Disorders</w:t>
                                </w:r>
                              </w:hyperlink>
                              <w:r w:rsidRPr="00B15FD6">
                                <w:rPr>
                                  <w:rFonts w:ascii="Arial" w:hAnsi="Arial" w:cs="Arial"/>
                                  <w:color w:val="202020"/>
                                  <w:sz w:val="20"/>
                                  <w:szCs w:val="20"/>
                                </w:rPr>
                                <w:t xml:space="preserve"> Items transitioned to Mental Health Division in late December 2019. This transition brings together Eating Disorders Policy and Program activities and provides a single point of contact for stakeholders.</w:t>
                              </w:r>
                            </w:p>
                            <w:p w14:paraId="5EEBDA2D"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lastRenderedPageBreak/>
                                <w:t>Item uptake is being seen nationally and the Department continues to monitor and assess item usage over time to inform evaluation processes and work with stakeholders to address unintended consequences.</w:t>
                              </w:r>
                            </w:p>
                            <w:p w14:paraId="191DD4E7"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We thank stakeholders for their input to the MBS Review process and improving services for people with eating disorders.</w:t>
                              </w:r>
                            </w:p>
                            <w:p w14:paraId="287D729E"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Eating Disorder Items, please contact the new email address: </w:t>
                              </w:r>
                              <w:hyperlink r:id="rId32" w:history="1">
                                <w:r w:rsidRPr="00B15FD6">
                                  <w:rPr>
                                    <w:rStyle w:val="Hyperlink"/>
                                    <w:rFonts w:ascii="Arial" w:hAnsi="Arial" w:cs="Arial"/>
                                    <w:color w:val="0E84C8"/>
                                    <w:sz w:val="20"/>
                                    <w:szCs w:val="20"/>
                                  </w:rPr>
                                  <w:t>EatingDisorderMBS@health.gov.au</w:t>
                                </w:r>
                              </w:hyperlink>
                              <w:r w:rsidRPr="00B15FD6">
                                <w:rPr>
                                  <w:rFonts w:ascii="Arial" w:hAnsi="Arial" w:cs="Arial"/>
                                  <w:color w:val="202020"/>
                                  <w:sz w:val="20"/>
                                  <w:szCs w:val="20"/>
                                </w:rPr>
                                <w:t>.</w:t>
                              </w:r>
                            </w:p>
                            <w:p w14:paraId="6FA2E2EC"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Gastroenterology Clinical Committee</w:t>
                              </w:r>
                              <w:bookmarkStart w:id="9" w:name="Gastroenterology"/>
                              <w:bookmarkEnd w:id="9"/>
                            </w:p>
                            <w:p w14:paraId="56E87B88"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Recommendations from the </w:t>
                              </w:r>
                              <w:hyperlink r:id="rId33" w:tgtFrame="_blank" w:history="1">
                                <w:r w:rsidRPr="00B15FD6">
                                  <w:rPr>
                                    <w:rStyle w:val="Hyperlink"/>
                                    <w:rFonts w:ascii="Arial" w:hAnsi="Arial" w:cs="Arial"/>
                                    <w:color w:val="0E84C8"/>
                                    <w:sz w:val="20"/>
                                    <w:szCs w:val="20"/>
                                  </w:rPr>
                                  <w:t>Gastroenterology Clinical Committee</w:t>
                                </w:r>
                              </w:hyperlink>
                              <w:r w:rsidRPr="00B15FD6">
                                <w:rPr>
                                  <w:rFonts w:ascii="Arial" w:hAnsi="Arial" w:cs="Arial"/>
                                  <w:color w:val="202020"/>
                                  <w:sz w:val="20"/>
                                  <w:szCs w:val="20"/>
                                </w:rPr>
                                <w:t> have been endorsed by the Government.</w:t>
                              </w:r>
                            </w:p>
                            <w:p w14:paraId="2FD7FDBA"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On 1 May 2020, minor changes to colonoscopy items 32084, 32087 and 32224 were implemented. These changes included amending the descriptor for items 32084 and 32087 to reflect modern clinical practice and an amendment to item 32224 to remove the ambiguity around the current descriptor. The updates to these items builds upon previously implemented colonoscopy changes as well as responding to feedback received on the 1 November 2019 colonoscopy changes.  </w:t>
                              </w:r>
                            </w:p>
                            <w:p w14:paraId="0C2DA2F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For more information on these changes, visit </w:t>
                              </w:r>
                              <w:hyperlink r:id="rId34" w:history="1">
                                <w:r w:rsidRPr="00B15FD6">
                                  <w:rPr>
                                    <w:rStyle w:val="Hyperlink"/>
                                    <w:rFonts w:ascii="Arial" w:hAnsi="Arial" w:cs="Arial"/>
                                    <w:color w:val="0E84C8"/>
                                    <w:sz w:val="20"/>
                                    <w:szCs w:val="20"/>
                                  </w:rPr>
                                  <w:t>MBS Online</w:t>
                                </w:r>
                              </w:hyperlink>
                              <w:r w:rsidRPr="00B15FD6">
                                <w:rPr>
                                  <w:rFonts w:ascii="Arial" w:hAnsi="Arial" w:cs="Arial"/>
                                  <w:color w:val="202020"/>
                                  <w:sz w:val="20"/>
                                  <w:szCs w:val="20"/>
                                </w:rPr>
                                <w:t>.</w:t>
                              </w:r>
                            </w:p>
                            <w:p w14:paraId="4DD086E9"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Gastroenterology Clinical Committee, please contact </w:t>
                              </w:r>
                              <w:hyperlink r:id="rId35"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Sarah Kennedy).</w:t>
                              </w:r>
                            </w:p>
                            <w:p w14:paraId="53D47B8D"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General Practice and Primary Care</w:t>
                              </w:r>
                              <w:bookmarkStart w:id="10" w:name="PrimaryCare"/>
                              <w:bookmarkEnd w:id="10"/>
                            </w:p>
                            <w:p w14:paraId="1994A113"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Final Reports from the </w:t>
                              </w:r>
                              <w:hyperlink r:id="rId36" w:history="1">
                                <w:r w:rsidRPr="00B15FD6">
                                  <w:rPr>
                                    <w:rStyle w:val="Hyperlink"/>
                                    <w:rFonts w:ascii="Arial" w:hAnsi="Arial" w:cs="Arial"/>
                                    <w:color w:val="0E84C8"/>
                                    <w:sz w:val="20"/>
                                    <w:szCs w:val="20"/>
                                  </w:rPr>
                                  <w:t>General Practice and Primary Care Clinical Committee</w:t>
                                </w:r>
                              </w:hyperlink>
                              <w:r w:rsidRPr="00B15FD6">
                                <w:rPr>
                                  <w:rFonts w:ascii="Arial" w:hAnsi="Arial" w:cs="Arial"/>
                                  <w:color w:val="202020"/>
                                  <w:sz w:val="20"/>
                                  <w:szCs w:val="20"/>
                                </w:rPr>
                                <w:t xml:space="preserve">, the </w:t>
                              </w:r>
                              <w:hyperlink r:id="rId37" w:history="1">
                                <w:r w:rsidRPr="00B15FD6">
                                  <w:rPr>
                                    <w:rStyle w:val="Hyperlink"/>
                                    <w:rFonts w:ascii="Arial" w:hAnsi="Arial" w:cs="Arial"/>
                                    <w:color w:val="0E84C8"/>
                                    <w:sz w:val="20"/>
                                    <w:szCs w:val="20"/>
                                  </w:rPr>
                                  <w:t>Aboriginal and Torres Strait Islander Health Reference Group</w:t>
                                </w:r>
                              </w:hyperlink>
                              <w:r w:rsidRPr="00B15FD6">
                                <w:rPr>
                                  <w:rFonts w:ascii="Arial" w:hAnsi="Arial" w:cs="Arial"/>
                                  <w:color w:val="202020"/>
                                  <w:sz w:val="20"/>
                                  <w:szCs w:val="20"/>
                                </w:rPr>
                                <w:t xml:space="preserve">, the </w:t>
                              </w:r>
                              <w:hyperlink r:id="rId38" w:history="1">
                                <w:r w:rsidRPr="00B15FD6">
                                  <w:rPr>
                                    <w:rStyle w:val="Hyperlink"/>
                                    <w:rFonts w:ascii="Arial" w:hAnsi="Arial" w:cs="Arial"/>
                                    <w:color w:val="0E84C8"/>
                                    <w:sz w:val="20"/>
                                    <w:szCs w:val="20"/>
                                  </w:rPr>
                                  <w:t>Allied Health Reference Group</w:t>
                                </w:r>
                              </w:hyperlink>
                              <w:r w:rsidRPr="00B15FD6">
                                <w:rPr>
                                  <w:rFonts w:ascii="Arial" w:hAnsi="Arial" w:cs="Arial"/>
                                  <w:color w:val="202020"/>
                                  <w:sz w:val="20"/>
                                  <w:szCs w:val="20"/>
                                </w:rPr>
                                <w:t xml:space="preserve">, the </w:t>
                              </w:r>
                              <w:hyperlink r:id="rId39" w:history="1">
                                <w:r w:rsidRPr="00B15FD6">
                                  <w:rPr>
                                    <w:rStyle w:val="Hyperlink"/>
                                    <w:rFonts w:ascii="Arial" w:hAnsi="Arial" w:cs="Arial"/>
                                    <w:color w:val="0E84C8"/>
                                    <w:sz w:val="20"/>
                                    <w:szCs w:val="20"/>
                                  </w:rPr>
                                  <w:t>Mental Health Reference Group</w:t>
                                </w:r>
                              </w:hyperlink>
                              <w:r w:rsidRPr="00B15FD6">
                                <w:rPr>
                                  <w:rFonts w:ascii="Arial" w:hAnsi="Arial" w:cs="Arial"/>
                                  <w:color w:val="202020"/>
                                  <w:sz w:val="20"/>
                                  <w:szCs w:val="20"/>
                                </w:rPr>
                                <w:t xml:space="preserve">, the </w:t>
                              </w:r>
                              <w:hyperlink r:id="rId40" w:history="1">
                                <w:r w:rsidRPr="00B15FD6">
                                  <w:rPr>
                                    <w:rStyle w:val="Hyperlink"/>
                                    <w:rFonts w:ascii="Arial" w:hAnsi="Arial" w:cs="Arial"/>
                                    <w:color w:val="0E84C8"/>
                                    <w:sz w:val="20"/>
                                    <w:szCs w:val="20"/>
                                  </w:rPr>
                                  <w:t>Nurse Practitioners Reference Group</w:t>
                                </w:r>
                              </w:hyperlink>
                              <w:r w:rsidRPr="00B15FD6">
                                <w:rPr>
                                  <w:rFonts w:ascii="Arial" w:hAnsi="Arial" w:cs="Arial"/>
                                  <w:color w:val="202020"/>
                                  <w:sz w:val="20"/>
                                  <w:szCs w:val="20"/>
                                </w:rPr>
                                <w:t xml:space="preserve">, and the </w:t>
                              </w:r>
                              <w:hyperlink r:id="rId41" w:history="1">
                                <w:r w:rsidRPr="00B15FD6">
                                  <w:rPr>
                                    <w:rStyle w:val="Hyperlink"/>
                                    <w:rFonts w:ascii="Arial" w:hAnsi="Arial" w:cs="Arial"/>
                                    <w:color w:val="0E84C8"/>
                                    <w:sz w:val="20"/>
                                    <w:szCs w:val="20"/>
                                  </w:rPr>
                                  <w:t>Participating Midwives Reference Group</w:t>
                                </w:r>
                              </w:hyperlink>
                              <w:r w:rsidRPr="00B15FD6">
                                <w:rPr>
                                  <w:rFonts w:ascii="Arial" w:hAnsi="Arial" w:cs="Arial"/>
                                  <w:color w:val="202020"/>
                                  <w:sz w:val="20"/>
                                  <w:szCs w:val="20"/>
                                </w:rPr>
                                <w:t xml:space="preserve"> were considered by the Taskforce at its August and December 2019 meetings. </w:t>
                              </w:r>
                            </w:p>
                            <w:p w14:paraId="75F4090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Over the first half of 2020, the Taskforce focused on completing additional work to ensure its primary care recommendations are as strong as possible. The reports where then considered again at multiple meetings throughout May and June 2020.</w:t>
                              </w:r>
                            </w:p>
                            <w:p w14:paraId="2E0A408F"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Taskforce finalised its primary care recommendations in mid-June 2020 and these are now being progressed for Government consideration.</w:t>
                              </w:r>
                            </w:p>
                            <w:p w14:paraId="5A5B75A8"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General Practice and Primary Care Clinical Committee, please contact </w:t>
                              </w:r>
                              <w:hyperlink r:id="rId42"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Roland Balodis). For any questions about the Primary Care Reference Groups, please contact </w:t>
                              </w:r>
                              <w:hyperlink r:id="rId43"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Steve Dunlop).</w:t>
                              </w:r>
                            </w:p>
                            <w:p w14:paraId="01BD815B"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General Surgery Clinical Committee</w:t>
                              </w:r>
                              <w:bookmarkStart w:id="11" w:name="General"/>
                              <w:bookmarkEnd w:id="11"/>
                            </w:p>
                            <w:p w14:paraId="5E1832EF"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As part of the Mid-Year Economic and Fiscal Outlook / Budget 2019-20, the </w:t>
                              </w:r>
                              <w:hyperlink r:id="rId44" w:history="1">
                                <w:r w:rsidRPr="00B15FD6">
                                  <w:rPr>
                                    <w:rStyle w:val="Hyperlink"/>
                                    <w:rFonts w:ascii="Arial" w:hAnsi="Arial" w:cs="Arial"/>
                                    <w:color w:val="0E84C8"/>
                                    <w:sz w:val="20"/>
                                    <w:szCs w:val="20"/>
                                  </w:rPr>
                                  <w:t>Government announced</w:t>
                                </w:r>
                              </w:hyperlink>
                              <w:r w:rsidRPr="00B15FD6">
                                <w:rPr>
                                  <w:rFonts w:ascii="Arial" w:hAnsi="Arial" w:cs="Arial"/>
                                  <w:color w:val="202020"/>
                                  <w:sz w:val="20"/>
                                  <w:szCs w:val="20"/>
                                </w:rPr>
                                <w:t xml:space="preserve"> from 1 July 2021 it will make changes to Medicare-funded general surgery services to support best practice treatment and improve patient outcomes. These changes follow the Government’s acceptance of the Taskforce’s recommendations informed by the </w:t>
                              </w:r>
                              <w:hyperlink r:id="rId45" w:history="1">
                                <w:r w:rsidRPr="00B15FD6">
                                  <w:rPr>
                                    <w:rStyle w:val="Hyperlink"/>
                                    <w:rFonts w:ascii="Arial" w:hAnsi="Arial" w:cs="Arial"/>
                                    <w:color w:val="0E84C8"/>
                                    <w:sz w:val="20"/>
                                    <w:szCs w:val="20"/>
                                  </w:rPr>
                                  <w:t>General Surgery Clinical Committee</w:t>
                                </w:r>
                              </w:hyperlink>
                              <w:r w:rsidRPr="00B15FD6">
                                <w:rPr>
                                  <w:rFonts w:ascii="Arial" w:hAnsi="Arial" w:cs="Arial"/>
                                  <w:color w:val="202020"/>
                                  <w:sz w:val="20"/>
                                  <w:szCs w:val="20"/>
                                </w:rPr>
                                <w:t>. The General Surgery ILG was established and met on 29 April and 4 May 2020 to progress draft Items.</w:t>
                              </w:r>
                            </w:p>
                            <w:p w14:paraId="6166E17A"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General Surgery Clinical Committee, please contact </w:t>
                              </w:r>
                              <w:hyperlink r:id="rId46"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Mary Warner)</w:t>
                              </w:r>
                              <w:r>
                                <w:rPr>
                                  <w:rFonts w:ascii="Arial" w:hAnsi="Arial" w:cs="Arial"/>
                                  <w:color w:val="202020"/>
                                  <w:sz w:val="20"/>
                                  <w:szCs w:val="20"/>
                                </w:rPr>
                                <w:t>.</w:t>
                              </w:r>
                            </w:p>
                            <w:p w14:paraId="42E4F051"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lastRenderedPageBreak/>
                                <w:t>Gynaecology Clinical Committee</w:t>
                              </w:r>
                              <w:bookmarkStart w:id="12" w:name="Gynaecology"/>
                              <w:bookmarkEnd w:id="12"/>
                            </w:p>
                            <w:p w14:paraId="63E43BF3"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w:t>
                              </w:r>
                              <w:hyperlink r:id="rId47" w:history="1">
                                <w:r w:rsidRPr="00B15FD6">
                                  <w:rPr>
                                    <w:rStyle w:val="Hyperlink"/>
                                    <w:rFonts w:ascii="Arial" w:hAnsi="Arial" w:cs="Arial"/>
                                    <w:color w:val="0E84C8"/>
                                    <w:sz w:val="20"/>
                                    <w:szCs w:val="20"/>
                                  </w:rPr>
                                  <w:t>Gynaecology Clinical Committee</w:t>
                                </w:r>
                              </w:hyperlink>
                              <w:r w:rsidRPr="00B15FD6">
                                <w:rPr>
                                  <w:rFonts w:ascii="Arial" w:hAnsi="Arial" w:cs="Arial"/>
                                  <w:color w:val="202020"/>
                                  <w:sz w:val="20"/>
                                  <w:szCs w:val="20"/>
                                </w:rPr>
                                <w:t xml:space="preserve"> considered 141 Items and made recommendations to change many of the Items. The Gynaecology Clinical Committee’s Final Report was presented at the August 2019 Taskforce before progressing to the Government. A Gynaecology ILG was established, and met for the first time on 2 March 2020.</w:t>
                              </w:r>
                            </w:p>
                            <w:p w14:paraId="45DCC207"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Gynaecology Clinical Committee, please contact </w:t>
                              </w:r>
                              <w:hyperlink r:id="rId48"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Mary Warner).</w:t>
                              </w:r>
                            </w:p>
                            <w:p w14:paraId="410C5DD6"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Intensive Care and Emergency Medicine Clinical Committee</w:t>
                              </w:r>
                              <w:bookmarkStart w:id="13" w:name="ICEM"/>
                              <w:bookmarkEnd w:id="13"/>
                            </w:p>
                            <w:p w14:paraId="1278A5AC"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From March 1, the emergency department attendance Items have been restructured into new tiered base Items under Group A21 with new add-on therapeutic and procedure Items under Group T1 to more effectively reflect the level of professional involvement required in emergency medicine services. In addition to amendments to existing intensive care MBS Items to clarify services, six new Items have been introduced for the provision of extracorporeal life support services.</w:t>
                              </w:r>
                            </w:p>
                            <w:p w14:paraId="3978838A"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For more information on the </w:t>
                              </w:r>
                              <w:hyperlink r:id="rId49" w:tgtFrame="_blank" w:history="1">
                                <w:r w:rsidRPr="00B15FD6">
                                  <w:rPr>
                                    <w:rStyle w:val="Hyperlink"/>
                                    <w:rFonts w:ascii="Arial" w:hAnsi="Arial" w:cs="Arial"/>
                                    <w:color w:val="0E84C8"/>
                                    <w:sz w:val="20"/>
                                    <w:szCs w:val="20"/>
                                  </w:rPr>
                                  <w:t>Intensive Care and Emergency Medicine</w:t>
                                </w:r>
                              </w:hyperlink>
                              <w:r w:rsidRPr="00B15FD6">
                                <w:rPr>
                                  <w:rFonts w:ascii="Arial" w:hAnsi="Arial" w:cs="Arial"/>
                                  <w:color w:val="202020"/>
                                  <w:sz w:val="20"/>
                                  <w:szCs w:val="20"/>
                                </w:rPr>
                                <w:t xml:space="preserve"> changes, visit </w:t>
                              </w:r>
                              <w:hyperlink r:id="rId50" w:history="1">
                                <w:r w:rsidRPr="00B15FD6">
                                  <w:rPr>
                                    <w:rStyle w:val="Hyperlink"/>
                                    <w:rFonts w:ascii="Arial" w:hAnsi="Arial" w:cs="Arial"/>
                                    <w:color w:val="0E84C8"/>
                                    <w:sz w:val="20"/>
                                    <w:szCs w:val="20"/>
                                  </w:rPr>
                                  <w:t>MBS Online</w:t>
                                </w:r>
                              </w:hyperlink>
                              <w:r w:rsidRPr="00B15FD6">
                                <w:rPr>
                                  <w:rFonts w:ascii="Arial" w:hAnsi="Arial" w:cs="Arial"/>
                                  <w:color w:val="202020"/>
                                  <w:sz w:val="20"/>
                                  <w:szCs w:val="20"/>
                                </w:rPr>
                                <w:t>.</w:t>
                              </w:r>
                            </w:p>
                            <w:p w14:paraId="5F5B069E"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Intensive Care and Emergency Medicine Clinical Committee, please contact </w:t>
                              </w:r>
                              <w:hyperlink r:id="rId51"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Mary Warner).</w:t>
                              </w:r>
                            </w:p>
                            <w:p w14:paraId="4219D229"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Neurosurgery and Neurology Clinical Committee</w:t>
                              </w:r>
                              <w:bookmarkStart w:id="14" w:name="Neurology"/>
                              <w:bookmarkEnd w:id="14"/>
                            </w:p>
                            <w:p w14:paraId="73A044E9"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Recommendations from the </w:t>
                              </w:r>
                              <w:hyperlink r:id="rId52" w:tgtFrame="_blank" w:history="1">
                                <w:r w:rsidRPr="00B15FD6">
                                  <w:rPr>
                                    <w:rStyle w:val="Hyperlink"/>
                                    <w:rFonts w:ascii="Arial" w:hAnsi="Arial" w:cs="Arial"/>
                                    <w:color w:val="0E84C8"/>
                                    <w:sz w:val="20"/>
                                    <w:szCs w:val="20"/>
                                  </w:rPr>
                                  <w:t>Neurosurgery and Neurology Clinical Committee</w:t>
                                </w:r>
                              </w:hyperlink>
                              <w:r w:rsidRPr="00B15FD6">
                                <w:rPr>
                                  <w:rFonts w:ascii="Arial" w:hAnsi="Arial" w:cs="Arial"/>
                                  <w:color w:val="202020"/>
                                  <w:sz w:val="20"/>
                                  <w:szCs w:val="20"/>
                                </w:rPr>
                                <w:t> have been endorsed by the Government. The second meeting of the Neurosurgery and Neurology ILG was held on 3 December 2019. The ILG continues to provide valuable input and advice on the implementation of the Government endorsed recommendations, with focus now on the development of communication materials to support implementation.</w:t>
                              </w:r>
                            </w:p>
                            <w:p w14:paraId="66808C9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Due to a number of factors, including the impact of the COVID-19 pandemic, the implementation of neurosurgery and neurology MBS changes has been deferred from 1 July 2020 and is now likely to occur on or after 1 November 2020.</w:t>
                              </w:r>
                            </w:p>
                            <w:p w14:paraId="6C9D5C22"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Neurosurgery and Neurology Clinical Committee or the ILG, please contact </w:t>
                              </w:r>
                              <w:hyperlink r:id="rId53"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Sarah Kennedy).</w:t>
                              </w:r>
                            </w:p>
                            <w:p w14:paraId="6BE46CCD"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Oncology Clinical Committee</w:t>
                              </w:r>
                              <w:bookmarkStart w:id="15" w:name="Oncology"/>
                              <w:bookmarkEnd w:id="15"/>
                            </w:p>
                            <w:p w14:paraId="352ED668"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54" w:tgtFrame="_blank" w:history="1">
                                <w:r w:rsidRPr="00B15FD6">
                                  <w:rPr>
                                    <w:rStyle w:val="Hyperlink"/>
                                    <w:rFonts w:ascii="Arial" w:hAnsi="Arial" w:cs="Arial"/>
                                    <w:color w:val="0E84C8"/>
                                    <w:sz w:val="20"/>
                                    <w:szCs w:val="20"/>
                                  </w:rPr>
                                  <w:t>Oncology Clinical Committee</w:t>
                                </w:r>
                              </w:hyperlink>
                              <w:r w:rsidRPr="00B15FD6">
                                <w:rPr>
                                  <w:rFonts w:ascii="Arial" w:hAnsi="Arial" w:cs="Arial"/>
                                  <w:color w:val="202020"/>
                                  <w:sz w:val="20"/>
                                  <w:szCs w:val="20"/>
                                </w:rPr>
                                <w:t> was made up of two working groups: Medical Oncology and Radiation Oncology. The Taskforce endorsed the OCC report and its recommendations in September 2018.</w:t>
                              </w:r>
                            </w:p>
                            <w:p w14:paraId="60E416D7"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In the Mid-Year Economic and Fiscal Outlook (MYEFO) 2019-20, the Government announced changes to chemotherapy services listed on the MBS. These changes follow the Government’s acceptance of the Taskforce recommendations in this area.</w:t>
                              </w:r>
                            </w:p>
                            <w:p w14:paraId="294D25C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Following the MYEFO announcement, the Government established an ILG to support the 1 November 2020 implementation of changes to chemotherapy Items listed on the MBS. The ILG met on 26 March 2020 to discuss specifics of the changes, including the development of strategies for consumer and provider communication and education in the lead-up to the 1 November 2020 implementation date.</w:t>
                              </w:r>
                            </w:p>
                            <w:p w14:paraId="0FAE02F5"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Work has commenced on an impact assessment modelling exercise of the restructured radiation oncology MBS Items, in line with recommendations made in the Oncology Clinical Committee’s Final Report. The Department anticipates establishing a radiation oncology ILG towards the </w:t>
                              </w:r>
                              <w:r w:rsidRPr="00B15FD6">
                                <w:rPr>
                                  <w:rFonts w:ascii="Arial" w:hAnsi="Arial" w:cs="Arial"/>
                                  <w:color w:val="202020"/>
                                  <w:sz w:val="20"/>
                                  <w:szCs w:val="20"/>
                                </w:rPr>
                                <w:lastRenderedPageBreak/>
                                <w:t>end of 2020 (or as soon as practicable following delays caused by COVID-19) to consider the findings of the impact assessment modelling exercise.</w:t>
                              </w:r>
                            </w:p>
                            <w:p w14:paraId="21B41A11"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Oncology Clinical Committee or the ILG, please contact </w:t>
                              </w:r>
                              <w:hyperlink r:id="rId55"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Louise Morgan).</w:t>
                              </w:r>
                            </w:p>
                            <w:p w14:paraId="1558C656"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Ophthalmology Clinical Committee</w:t>
                              </w:r>
                              <w:bookmarkStart w:id="16" w:name="Ophthal"/>
                              <w:bookmarkEnd w:id="16"/>
                            </w:p>
                            <w:p w14:paraId="09BD81A6"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stakeholder consultation period for the </w:t>
                              </w:r>
                              <w:hyperlink r:id="rId56" w:tgtFrame="_blank" w:history="1">
                                <w:r w:rsidRPr="00B15FD6">
                                  <w:rPr>
                                    <w:rStyle w:val="Hyperlink"/>
                                    <w:rFonts w:ascii="Arial" w:hAnsi="Arial" w:cs="Arial"/>
                                    <w:color w:val="0E84C8"/>
                                    <w:sz w:val="20"/>
                                    <w:szCs w:val="20"/>
                                  </w:rPr>
                                  <w:t>Ophthalmology Clinical Committee's</w:t>
                                </w:r>
                              </w:hyperlink>
                              <w:r w:rsidRPr="00B15FD6">
                                <w:rPr>
                                  <w:rFonts w:ascii="Arial" w:hAnsi="Arial" w:cs="Arial"/>
                                  <w:color w:val="202020"/>
                                  <w:sz w:val="20"/>
                                  <w:szCs w:val="20"/>
                                </w:rPr>
                                <w:t> Draft Report closed on 20 December 2019. The Ophthalmology Clinical Committee considered all feedback received in response to the report, before presenting its Final Report to the Taskforce.</w:t>
                              </w:r>
                            </w:p>
                            <w:p w14:paraId="46237DD1"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Taskforce undertook work to review and refine the recommendations, before finalising its advice on ophthalmology in early June 2020. The recommendations are now being progressed to the Government for consideration.</w:t>
                              </w:r>
                            </w:p>
                            <w:p w14:paraId="5A9EA3D3"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Ophthalmology Clinical Committee, please contact </w:t>
                              </w:r>
                              <w:hyperlink r:id="rId57"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12FFBAE2"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Optometry Clinical Committee</w:t>
                              </w:r>
                              <w:bookmarkStart w:id="17" w:name="Optometry"/>
                              <w:bookmarkEnd w:id="17"/>
                            </w:p>
                            <w:p w14:paraId="77B132C9"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58" w:tgtFrame="_blank" w:history="1">
                                <w:r w:rsidRPr="00B15FD6">
                                  <w:rPr>
                                    <w:rStyle w:val="Hyperlink"/>
                                    <w:rFonts w:ascii="Arial" w:hAnsi="Arial" w:cs="Arial"/>
                                    <w:color w:val="0E84C8"/>
                                    <w:sz w:val="20"/>
                                    <w:szCs w:val="20"/>
                                  </w:rPr>
                                  <w:t>Optometry Clinical Committee</w:t>
                                </w:r>
                              </w:hyperlink>
                              <w:r w:rsidRPr="00B15FD6">
                                <w:rPr>
                                  <w:rFonts w:ascii="Arial" w:hAnsi="Arial" w:cs="Arial"/>
                                  <w:color w:val="202020"/>
                                  <w:sz w:val="20"/>
                                  <w:szCs w:val="20"/>
                                </w:rPr>
                                <w:t>’s Final Report was presented to the Taskforce in December 2019. Following work by the Taskforce to review and refine the recommendations, the Taskforce finalised its advice on optometry in mid-May 2020. The recommendations will now be progressed to the Government for consideration.</w:t>
                              </w:r>
                            </w:p>
                            <w:p w14:paraId="63F63C2F"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Optometry Clinical Committee, please contact </w:t>
                              </w:r>
                              <w:hyperlink r:id="rId59"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Steve Dunlop).</w:t>
                              </w:r>
                            </w:p>
                            <w:p w14:paraId="786FB7F4"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Oral and Maxillofacial Services Category 4 Working Group</w:t>
                              </w:r>
                              <w:bookmarkStart w:id="18" w:name="OMS"/>
                              <w:bookmarkEnd w:id="18"/>
                            </w:p>
                            <w:p w14:paraId="70F10685"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review of changes to MBS Items listed in Category 4: Oral and Maxillofacial Services is currently underway. Access to Category 4 was withdrawn from 1 November 2004. However, dental practitioners approved by the Minister for Health prior to that date continue to have access to Category 4 Items.</w:t>
                              </w:r>
                            </w:p>
                            <w:p w14:paraId="69941852"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Oral and Maxillofacial Services Category 4 Working Group, please contact </w:t>
                              </w:r>
                              <w:hyperlink r:id="rId60"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7175F34D"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Orthopaedics Clinical Committee</w:t>
                              </w:r>
                              <w:bookmarkStart w:id="19" w:name="Orthopaedics"/>
                              <w:bookmarkEnd w:id="19"/>
                            </w:p>
                            <w:p w14:paraId="5503D84B"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Taskforce-endorsed </w:t>
                              </w:r>
                              <w:hyperlink r:id="rId61" w:history="1">
                                <w:r w:rsidRPr="00B15FD6">
                                  <w:rPr>
                                    <w:rStyle w:val="Hyperlink"/>
                                    <w:rFonts w:ascii="Arial" w:hAnsi="Arial" w:cs="Arial"/>
                                    <w:color w:val="0E84C8"/>
                                    <w:sz w:val="20"/>
                                    <w:szCs w:val="20"/>
                                  </w:rPr>
                                  <w:t>Orthopaedic Surgery Clinical Committee’s</w:t>
                                </w:r>
                              </w:hyperlink>
                              <w:r w:rsidRPr="00B15FD6">
                                <w:rPr>
                                  <w:rFonts w:ascii="Arial" w:hAnsi="Arial" w:cs="Arial"/>
                                  <w:color w:val="202020"/>
                                  <w:sz w:val="20"/>
                                  <w:szCs w:val="20"/>
                                </w:rPr>
                                <w:t xml:space="preserve"> Final Report is currently undergoing Government consideration. The Orthopaedic Surgery ILG has been established and members have been asked to provide advice on the development of new and amended MBS Items for future implementation.</w:t>
                              </w:r>
                            </w:p>
                            <w:p w14:paraId="0F8D90E3"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Orthopaedics Clinical Committee, please contact </w:t>
                              </w:r>
                              <w:hyperlink r:id="rId62"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Mary Warner).</w:t>
                              </w:r>
                            </w:p>
                            <w:p w14:paraId="44FC0D8F"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Otolaryngology, Head and Neck Surgery Clinical Committee</w:t>
                              </w:r>
                              <w:bookmarkStart w:id="20" w:name="Otolaryngology"/>
                              <w:bookmarkEnd w:id="20"/>
                            </w:p>
                            <w:p w14:paraId="14A11087"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63" w:history="1">
                                <w:r w:rsidRPr="00B15FD6">
                                  <w:rPr>
                                    <w:rStyle w:val="Hyperlink"/>
                                    <w:rFonts w:ascii="Arial" w:hAnsi="Arial" w:cs="Arial"/>
                                    <w:color w:val="0E84C8"/>
                                    <w:sz w:val="20"/>
                                    <w:szCs w:val="20"/>
                                  </w:rPr>
                                  <w:t>Otolaryngology, Head and Neck Surgery Clinical Committee</w:t>
                                </w:r>
                              </w:hyperlink>
                              <w:r w:rsidRPr="00B15FD6">
                                <w:rPr>
                                  <w:rFonts w:ascii="Arial" w:hAnsi="Arial" w:cs="Arial"/>
                                  <w:color w:val="202020"/>
                                  <w:sz w:val="20"/>
                                  <w:szCs w:val="20"/>
                                </w:rPr>
                                <w:t xml:space="preserve"> met on 6 February 2020 to consider consultation feedback and to finalise its report. The Taskforce finalise its advice on Otolaryngology, Head and Neck Surgery in early May 2020, and the recommendations are now being progressed to the Government for consideration.</w:t>
                              </w:r>
                            </w:p>
                            <w:p w14:paraId="0203BBE6"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Otolaryngology, Head and Neck Surgery Clinical Committee, please contact </w:t>
                              </w:r>
                              <w:hyperlink r:id="rId64"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Sarah Kennedy).</w:t>
                              </w:r>
                            </w:p>
                            <w:p w14:paraId="644C2A83"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lastRenderedPageBreak/>
                                <w:t>Paediatric Advisory Group</w:t>
                              </w:r>
                              <w:bookmarkStart w:id="21" w:name="Paeds"/>
                              <w:bookmarkEnd w:id="21"/>
                            </w:p>
                            <w:p w14:paraId="5907DA21"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stakeholder consultation period for the </w:t>
                              </w:r>
                              <w:hyperlink r:id="rId65" w:tgtFrame="_blank" w:history="1">
                                <w:r w:rsidRPr="00B15FD6">
                                  <w:rPr>
                                    <w:rStyle w:val="Hyperlink"/>
                                    <w:rFonts w:ascii="Arial" w:hAnsi="Arial" w:cs="Arial"/>
                                    <w:color w:val="0E84C8"/>
                                    <w:sz w:val="20"/>
                                    <w:szCs w:val="20"/>
                                  </w:rPr>
                                  <w:t>Paediatric Advisory Group's</w:t>
                                </w:r>
                              </w:hyperlink>
                              <w:r w:rsidRPr="00B15FD6">
                                <w:rPr>
                                  <w:rFonts w:ascii="Arial" w:hAnsi="Arial" w:cs="Arial"/>
                                  <w:color w:val="202020"/>
                                  <w:sz w:val="20"/>
                                  <w:szCs w:val="20"/>
                                </w:rPr>
                                <w:t> Draft Report closed on 20 December 2019. The Paediatric Advisory Group met in February 2020 to consider all feedback received. The Paediatric Advisory Group Final Report was endorsed by the Taskforce in mid-May 2020 and the recommendations are now being progressed to the Government for consideration.</w:t>
                              </w:r>
                            </w:p>
                            <w:p w14:paraId="1D47FC1B"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Paediatric Advisory Group report, please email </w:t>
                              </w:r>
                              <w:hyperlink r:id="rId66"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(attention: David O’Neill)</w:t>
                              </w:r>
                              <w:r>
                                <w:rPr>
                                  <w:rFonts w:ascii="Arial" w:hAnsi="Arial" w:cs="Arial"/>
                                  <w:color w:val="202020"/>
                                  <w:sz w:val="20"/>
                                  <w:szCs w:val="20"/>
                                </w:rPr>
                                <w:t>.</w:t>
                              </w:r>
                            </w:p>
                            <w:p w14:paraId="6D9F62A9"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Pain Management Clinical Committee</w:t>
                              </w:r>
                              <w:bookmarkStart w:id="22" w:name="Pain"/>
                              <w:bookmarkEnd w:id="22"/>
                            </w:p>
                            <w:p w14:paraId="1698D8D8"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67" w:tgtFrame="_blank" w:history="1">
                                <w:r w:rsidRPr="00B15FD6">
                                  <w:rPr>
                                    <w:rStyle w:val="Hyperlink"/>
                                    <w:rFonts w:ascii="Arial" w:hAnsi="Arial" w:cs="Arial"/>
                                    <w:color w:val="0E84C8"/>
                                    <w:sz w:val="20"/>
                                    <w:szCs w:val="20"/>
                                  </w:rPr>
                                  <w:t>Pain Management Clinical Committee</w:t>
                                </w:r>
                              </w:hyperlink>
                              <w:r w:rsidRPr="00B15FD6">
                                <w:rPr>
                                  <w:rFonts w:ascii="Arial" w:hAnsi="Arial" w:cs="Arial"/>
                                  <w:color w:val="202020"/>
                                  <w:sz w:val="20"/>
                                  <w:szCs w:val="20"/>
                                </w:rPr>
                                <w:t>’s Final Report was endorsed for Government consideration by the Taskforce in December 2019 and was progressed to the Government for consideration.</w:t>
                              </w:r>
                            </w:p>
                            <w:p w14:paraId="00C39C3B"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Pain Management Clinical Committee, please contact </w:t>
                              </w:r>
                              <w:hyperlink r:id="rId68"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6B4D3B07"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Pathology Clinical Committee</w:t>
                              </w:r>
                              <w:bookmarkStart w:id="23" w:name="Pathology"/>
                              <w:bookmarkEnd w:id="23"/>
                            </w:p>
                            <w:p w14:paraId="0CDE7335"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Department is presently consulting with patients, requestors, the pathology sector and the Government as part of a project looking at the delivery of pathology services in Australia. Consultation will continue through mid-2020. Government consideration of the </w:t>
                              </w:r>
                              <w:hyperlink r:id="rId69" w:history="1">
                                <w:r w:rsidRPr="00B15FD6">
                                  <w:rPr>
                                    <w:rStyle w:val="Hyperlink"/>
                                    <w:rFonts w:ascii="Arial" w:hAnsi="Arial" w:cs="Arial"/>
                                    <w:color w:val="0E84C8"/>
                                    <w:sz w:val="20"/>
                                    <w:szCs w:val="20"/>
                                  </w:rPr>
                                  <w:t>Pathology Clinical Committee</w:t>
                                </w:r>
                              </w:hyperlink>
                              <w:r w:rsidRPr="00B15FD6">
                                <w:rPr>
                                  <w:rFonts w:ascii="Arial" w:hAnsi="Arial" w:cs="Arial"/>
                                  <w:color w:val="202020"/>
                                  <w:sz w:val="20"/>
                                  <w:szCs w:val="20"/>
                                </w:rPr>
                                <w:t>’s recommendations from the Taskforce will be further informed by the present consultation process.</w:t>
                              </w:r>
                            </w:p>
                            <w:p w14:paraId="4CF67A6A"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Pathology Clinical Committee, please contact </w:t>
                              </w:r>
                              <w:hyperlink r:id="rId70"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Nathan Hyson).</w:t>
                              </w:r>
                            </w:p>
                            <w:p w14:paraId="26C31D42"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Plastic and Reconstructive Surgery Clinical Committee</w:t>
                              </w:r>
                              <w:bookmarkStart w:id="24" w:name="PRSCC"/>
                              <w:bookmarkEnd w:id="24"/>
                            </w:p>
                            <w:p w14:paraId="26464445"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Taskforce-endorsed </w:t>
                              </w:r>
                              <w:hyperlink r:id="rId71" w:history="1">
                                <w:r w:rsidRPr="00B15FD6">
                                  <w:rPr>
                                    <w:rStyle w:val="Hyperlink"/>
                                    <w:rFonts w:ascii="Arial" w:hAnsi="Arial" w:cs="Arial"/>
                                    <w:color w:val="0E84C8"/>
                                    <w:sz w:val="20"/>
                                    <w:szCs w:val="20"/>
                                  </w:rPr>
                                  <w:t>Plastic and Reconstructive Surgery Clinical Committee</w:t>
                                </w:r>
                              </w:hyperlink>
                              <w:r w:rsidRPr="00B15FD6">
                                <w:rPr>
                                  <w:rFonts w:ascii="Arial" w:hAnsi="Arial" w:cs="Arial"/>
                                  <w:color w:val="202020"/>
                                  <w:sz w:val="20"/>
                                  <w:szCs w:val="20"/>
                                </w:rPr>
                                <w:t xml:space="preserve"> Final Report is currently undergoing Government consideration. A Plastic and Reconstructive Surgery ILG has been established, and met for the first time on 12 March 2020. The ILG has provided valuable input and advice on the development of new and amended MBS Items for future implementation. </w:t>
                              </w:r>
                            </w:p>
                            <w:p w14:paraId="70B5D5FE"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Plastic and Reconstructive Surgery Clinical Committee, please contact </w:t>
                              </w:r>
                              <w:hyperlink r:id="rId72"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Mary Warner).</w:t>
                              </w:r>
                            </w:p>
                            <w:p w14:paraId="0ADF63B1"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Principles and Rules Committee</w:t>
                              </w:r>
                              <w:bookmarkStart w:id="25" w:name="PARC"/>
                              <w:bookmarkEnd w:id="25"/>
                            </w:p>
                            <w:p w14:paraId="37003EDD"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73" w:tgtFrame="_blank" w:history="1">
                                <w:r w:rsidRPr="00B15FD6">
                                  <w:rPr>
                                    <w:rStyle w:val="Hyperlink"/>
                                    <w:rFonts w:ascii="Arial" w:hAnsi="Arial" w:cs="Arial"/>
                                    <w:color w:val="0E84C8"/>
                                    <w:sz w:val="20"/>
                                    <w:szCs w:val="20"/>
                                  </w:rPr>
                                  <w:t>Principles and Rules Committee</w:t>
                                </w:r>
                              </w:hyperlink>
                              <w:r w:rsidRPr="00B15FD6">
                                <w:rPr>
                                  <w:rFonts w:ascii="Arial" w:hAnsi="Arial" w:cs="Arial"/>
                                  <w:color w:val="202020"/>
                                  <w:sz w:val="20"/>
                                  <w:szCs w:val="20"/>
                                </w:rPr>
                                <w:t> continues to support the Taskforce through examination and provision of advice on the legislative and regulatory framework underpinning MBS operations. Intrinsic to all Committee deliberations is a set of guiding principles that includes recognition of the GP as a key component in the delivery of holistic, longitudinal patient</w:t>
                              </w:r>
                              <w:r w:rsidRPr="00B15FD6">
                                <w:rPr>
                                  <w:rFonts w:ascii="Arial" w:hAnsi="Arial" w:cs="Arial"/>
                                  <w:color w:val="202020"/>
                                  <w:sz w:val="20"/>
                                  <w:szCs w:val="20"/>
                                </w:rPr>
                                <w:noBreakHyphen/>
                                <w:t>centred care in the community.</w:t>
                              </w:r>
                            </w:p>
                            <w:p w14:paraId="1F787BA7"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Principles and Rules Committee, please contact </w:t>
                              </w:r>
                              <w:hyperlink r:id="rId74"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6C2C8790"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Psychiatry Clinical Committee</w:t>
                              </w:r>
                              <w:bookmarkStart w:id="26" w:name="Psychiatry"/>
                              <w:bookmarkEnd w:id="26"/>
                            </w:p>
                            <w:p w14:paraId="03598D9C"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75" w:history="1">
                                <w:r w:rsidRPr="00B15FD6">
                                  <w:rPr>
                                    <w:rStyle w:val="Hyperlink"/>
                                    <w:rFonts w:ascii="Arial" w:hAnsi="Arial" w:cs="Arial"/>
                                    <w:color w:val="0E84C8"/>
                                    <w:sz w:val="20"/>
                                    <w:szCs w:val="20"/>
                                  </w:rPr>
                                  <w:t>Psychiatry Clinical Committee</w:t>
                                </w:r>
                              </w:hyperlink>
                              <w:r w:rsidRPr="00B15FD6">
                                <w:rPr>
                                  <w:rFonts w:ascii="Arial" w:hAnsi="Arial" w:cs="Arial"/>
                                  <w:color w:val="202020"/>
                                  <w:sz w:val="20"/>
                                  <w:szCs w:val="20"/>
                                </w:rPr>
                                <w:t>’s Draft Report closed for public consultation on 20 December 2019. The Psychiatry Clinical Committee met in February to consider the stakeholder feedback, before presenting its Final Report to the Taskforce.</w:t>
                              </w:r>
                            </w:p>
                            <w:p w14:paraId="1D9A5B89"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lastRenderedPageBreak/>
                                <w:t>Following work by the Taskforce to review and refine the recommendations, the Taskforce finalised its advice on psychiatry in mid-May 2020. The recommendations are now being progressed to the Government for consideration.</w:t>
                              </w:r>
                            </w:p>
                            <w:p w14:paraId="45B663A5"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Psychiatry Clinical Committee, please contact </w:t>
                              </w:r>
                              <w:hyperlink r:id="rId76"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Steve Dunlop).</w:t>
                              </w:r>
                            </w:p>
                            <w:p w14:paraId="011998B9"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Specialist and Consultant Physician Consultation Clinical Committee</w:t>
                              </w:r>
                              <w:bookmarkStart w:id="27" w:name="Specialist"/>
                              <w:bookmarkEnd w:id="27"/>
                            </w:p>
                            <w:p w14:paraId="4E049446"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77" w:history="1">
                                <w:r w:rsidRPr="00B15FD6">
                                  <w:rPr>
                                    <w:rStyle w:val="Hyperlink"/>
                                    <w:rFonts w:ascii="Arial" w:hAnsi="Arial" w:cs="Arial"/>
                                    <w:color w:val="0E84C8"/>
                                    <w:sz w:val="20"/>
                                    <w:szCs w:val="20"/>
                                  </w:rPr>
                                  <w:t>Specialist and Consultant Physician Consultation Clinical Committee</w:t>
                                </w:r>
                              </w:hyperlink>
                              <w:r w:rsidRPr="00B15FD6">
                                <w:rPr>
                                  <w:rFonts w:ascii="Arial" w:hAnsi="Arial" w:cs="Arial"/>
                                  <w:color w:val="202020"/>
                                  <w:sz w:val="20"/>
                                  <w:szCs w:val="20"/>
                                </w:rPr>
                                <w:t xml:space="preserve">’s Final Report was presented to the Taskforce for consideration in December 2019. </w:t>
                              </w:r>
                            </w:p>
                            <w:p w14:paraId="20B91B92"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Taskforce undertook work to review and refine the recommendations on Specialist and Consultant Physician consultation MBS items before finalising them in late June 2020. The recommendations will now be progressed to the Government for consideration.</w:t>
                              </w:r>
                            </w:p>
                            <w:p w14:paraId="786382AF"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Specialist and Consultant Physician Consultation Clinical Committee, please contact </w:t>
                              </w:r>
                              <w:hyperlink r:id="rId78"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Steve Dunlop).</w:t>
                              </w:r>
                            </w:p>
                            <w:p w14:paraId="1C995AD4"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Thoracic Surgery Clinical Committee</w:t>
                              </w:r>
                              <w:bookmarkStart w:id="28" w:name="Thoracic"/>
                              <w:bookmarkEnd w:id="28"/>
                            </w:p>
                            <w:p w14:paraId="423E362E"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The </w:t>
                              </w:r>
                              <w:hyperlink r:id="rId79" w:tgtFrame="_blank" w:history="1">
                                <w:r w:rsidRPr="00B15FD6">
                                  <w:rPr>
                                    <w:rStyle w:val="Hyperlink"/>
                                    <w:rFonts w:ascii="Arial" w:hAnsi="Arial" w:cs="Arial"/>
                                    <w:color w:val="0E84C8"/>
                                    <w:sz w:val="20"/>
                                    <w:szCs w:val="20"/>
                                  </w:rPr>
                                  <w:t>Thoracic Surgery Clinical Committee</w:t>
                                </w:r>
                              </w:hyperlink>
                              <w:r w:rsidRPr="00B15FD6">
                                <w:rPr>
                                  <w:rFonts w:ascii="Arial" w:hAnsi="Arial" w:cs="Arial"/>
                                  <w:color w:val="202020"/>
                                  <w:sz w:val="20"/>
                                  <w:szCs w:val="20"/>
                                </w:rPr>
                                <w:t>’s Final Report was endorsed for Government consideration by the Taskforce in December 2019 and was progressed to the Government for consideration.</w:t>
                              </w:r>
                            </w:p>
                            <w:p w14:paraId="67B16145"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Thoracic Surgery Clinical Committee, please contact </w:t>
                              </w:r>
                              <w:hyperlink r:id="rId80"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David O’Neill).</w:t>
                              </w:r>
                            </w:p>
                            <w:p w14:paraId="1AED76C0"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Urology Clinical Committee</w:t>
                              </w:r>
                              <w:bookmarkStart w:id="29" w:name="Urology"/>
                              <w:bookmarkEnd w:id="29"/>
                            </w:p>
                            <w:p w14:paraId="22F15FB2"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recommendations from the </w:t>
                              </w:r>
                              <w:hyperlink r:id="rId81" w:tgtFrame="_blank" w:history="1">
                                <w:r w:rsidRPr="00B15FD6">
                                  <w:rPr>
                                    <w:rStyle w:val="Hyperlink"/>
                                    <w:rFonts w:ascii="Arial" w:hAnsi="Arial" w:cs="Arial"/>
                                    <w:color w:val="0E84C8"/>
                                    <w:sz w:val="20"/>
                                    <w:szCs w:val="20"/>
                                  </w:rPr>
                                  <w:t>Urology Clinical Committee</w:t>
                                </w:r>
                              </w:hyperlink>
                              <w:r w:rsidRPr="00B15FD6">
                                <w:rPr>
                                  <w:rFonts w:ascii="Arial" w:hAnsi="Arial" w:cs="Arial"/>
                                  <w:color w:val="202020"/>
                                  <w:sz w:val="20"/>
                                  <w:szCs w:val="20"/>
                                </w:rPr>
                                <w:t xml:space="preserve"> report have been endorsed by the Government for implementation. The ILG has provided feedback to support the effective implementation of these recommended changes to urology services.</w:t>
                              </w:r>
                            </w:p>
                            <w:p w14:paraId="20F0EF21"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Urology Clinical Committee, please contact </w:t>
                              </w:r>
                              <w:hyperlink r:id="rId82"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Mary Warner).</w:t>
                              </w:r>
                            </w:p>
                            <w:p w14:paraId="5612990F" w14:textId="77777777" w:rsidR="00F95ED0" w:rsidRDefault="00F95ED0" w:rsidP="00F95ED0">
                              <w:pPr>
                                <w:spacing w:before="240" w:after="240"/>
                                <w:rPr>
                                  <w:rFonts w:ascii="Arial" w:hAnsi="Arial" w:cs="Arial"/>
                                  <w:color w:val="202020"/>
                                  <w:sz w:val="20"/>
                                  <w:szCs w:val="20"/>
                                </w:rPr>
                              </w:pPr>
                              <w:r w:rsidRPr="00B15FD6">
                                <w:rPr>
                                  <w:rStyle w:val="Strong"/>
                                  <w:rFonts w:ascii="Arial" w:hAnsi="Arial" w:cs="Arial"/>
                                  <w:color w:val="01653F"/>
                                  <w:sz w:val="20"/>
                                  <w:szCs w:val="20"/>
                                </w:rPr>
                                <w:t>Vascular Clinical Committee</w:t>
                              </w:r>
                              <w:bookmarkStart w:id="30" w:name="Vascular"/>
                              <w:bookmarkEnd w:id="30"/>
                              <w:r w:rsidRPr="00B15FD6">
                                <w:rPr>
                                  <w:rFonts w:ascii="Arial" w:hAnsi="Arial" w:cs="Arial"/>
                                  <w:color w:val="202020"/>
                                  <w:sz w:val="20"/>
                                  <w:szCs w:val="20"/>
                                </w:rPr>
                                <w:t xml:space="preserve"> </w:t>
                              </w:r>
                            </w:p>
                            <w:p w14:paraId="2286A6A6"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w:t>
                              </w:r>
                              <w:hyperlink r:id="rId83" w:tgtFrame="_blank" w:history="1">
                                <w:r w:rsidRPr="00B15FD6">
                                  <w:rPr>
                                    <w:rStyle w:val="Hyperlink"/>
                                    <w:rFonts w:ascii="Arial" w:hAnsi="Arial" w:cs="Arial"/>
                                    <w:color w:val="0E84C8"/>
                                    <w:sz w:val="20"/>
                                    <w:szCs w:val="20"/>
                                  </w:rPr>
                                  <w:t>Vascular Clinical Committee</w:t>
                                </w:r>
                              </w:hyperlink>
                              <w:r w:rsidRPr="00B15FD6">
                                <w:rPr>
                                  <w:rFonts w:ascii="Arial" w:hAnsi="Arial" w:cs="Arial"/>
                                  <w:color w:val="202020"/>
                                  <w:sz w:val="20"/>
                                  <w:szCs w:val="20"/>
                                </w:rPr>
                                <w:t>’s Final Report was endorsed by the Taskforce in late May 2020 and the recommendations are now being progressed to the Government for consideration.</w:t>
                              </w:r>
                            </w:p>
                            <w:p w14:paraId="22B3EBBF"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Stakeholder consultation will continue to be an integral part of the MBS Review process; the Department is currently undertaking consultation planning around the development and implementation of changes resulting from any vascular related recommendations endorsed by the Government.</w:t>
                              </w:r>
                            </w:p>
                            <w:p w14:paraId="6B67D62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If you have any questions about the work of the Vascular Clinical Committee, please contact </w:t>
                              </w:r>
                              <w:hyperlink r:id="rId84"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xml:space="preserve"> (attention: Sarah Kennedy).</w:t>
                              </w:r>
                            </w:p>
                            <w:p w14:paraId="098E7E5E" w14:textId="77777777" w:rsidR="00F95ED0" w:rsidRDefault="00F95ED0" w:rsidP="00F95ED0">
                              <w:pPr>
                                <w:spacing w:before="240" w:after="240"/>
                                <w:rPr>
                                  <w:rStyle w:val="Strong"/>
                                  <w:color w:val="01653F"/>
                                </w:rPr>
                              </w:pPr>
                              <w:r w:rsidRPr="00B15FD6">
                                <w:rPr>
                                  <w:rStyle w:val="Strong"/>
                                  <w:rFonts w:ascii="Arial" w:hAnsi="Arial" w:cs="Arial"/>
                                  <w:color w:val="01653F"/>
                                  <w:sz w:val="20"/>
                                  <w:szCs w:val="20"/>
                                </w:rPr>
                                <w:t>Wound Management Working Group</w:t>
                              </w:r>
                              <w:bookmarkStart w:id="31" w:name="Wounds"/>
                              <w:bookmarkEnd w:id="31"/>
                            </w:p>
                            <w:p w14:paraId="3A928FA0"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 xml:space="preserve">The </w:t>
                              </w:r>
                              <w:hyperlink r:id="rId85" w:tgtFrame="_blank" w:history="1">
                                <w:r w:rsidRPr="00B15FD6">
                                  <w:rPr>
                                    <w:rStyle w:val="Hyperlink"/>
                                    <w:rFonts w:ascii="Arial" w:hAnsi="Arial" w:cs="Arial"/>
                                    <w:color w:val="0E84C8"/>
                                    <w:sz w:val="20"/>
                                    <w:szCs w:val="20"/>
                                  </w:rPr>
                                  <w:t>Wound Management Working Group</w:t>
                                </w:r>
                              </w:hyperlink>
                              <w:r w:rsidRPr="00B15FD6">
                                <w:rPr>
                                  <w:rFonts w:ascii="Arial" w:hAnsi="Arial" w:cs="Arial"/>
                                  <w:color w:val="202020"/>
                                  <w:sz w:val="20"/>
                                  <w:szCs w:val="20"/>
                                </w:rPr>
                                <w:t>’s Draft Report closed for consultation on 12 February 2020. The WMWG thank all those who have participated in the wound management consultation process to date. The WMWG considered stakeholder feedback and provided its Final Report to the Taskforce in early June 2020. </w:t>
                              </w:r>
                            </w:p>
                            <w:p w14:paraId="239CBECD" w14:textId="77777777" w:rsidR="00F95ED0"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lastRenderedPageBreak/>
                                <w:t>The Taskforce finalised its recommendations on wound management in late June 2020, and these are now being progressed to the Government for consideration.</w:t>
                              </w:r>
                            </w:p>
                            <w:p w14:paraId="4F507180" w14:textId="77777777" w:rsidR="00F95ED0" w:rsidRPr="00B03A1C" w:rsidRDefault="00F95ED0" w:rsidP="00F95ED0">
                              <w:pPr>
                                <w:spacing w:before="240" w:after="240"/>
                                <w:rPr>
                                  <w:rFonts w:ascii="Arial" w:hAnsi="Arial" w:cs="Arial"/>
                                  <w:color w:val="202020"/>
                                  <w:sz w:val="20"/>
                                  <w:szCs w:val="20"/>
                                </w:rPr>
                              </w:pPr>
                              <w:r w:rsidRPr="00B15FD6">
                                <w:rPr>
                                  <w:rFonts w:ascii="Arial" w:hAnsi="Arial" w:cs="Arial"/>
                                  <w:color w:val="202020"/>
                                  <w:sz w:val="20"/>
                                  <w:szCs w:val="20"/>
                                </w:rPr>
                                <w:t>If you have any questions about the work of the Wound Management Clinical Committee, please contact </w:t>
                              </w:r>
                              <w:hyperlink r:id="rId86" w:history="1">
                                <w:r w:rsidRPr="00B15FD6">
                                  <w:rPr>
                                    <w:rStyle w:val="Hyperlink"/>
                                    <w:rFonts w:ascii="Arial" w:hAnsi="Arial" w:cs="Arial"/>
                                    <w:color w:val="0E84C8"/>
                                    <w:sz w:val="20"/>
                                    <w:szCs w:val="20"/>
                                  </w:rPr>
                                  <w:t>MBSReviews@health.gov.au</w:t>
                                </w:r>
                              </w:hyperlink>
                              <w:r w:rsidRPr="00B15FD6">
                                <w:rPr>
                                  <w:rFonts w:ascii="Arial" w:hAnsi="Arial" w:cs="Arial"/>
                                  <w:color w:val="202020"/>
                                  <w:sz w:val="20"/>
                                  <w:szCs w:val="20"/>
                                </w:rPr>
                                <w:t> (attention: Roland Balodis).</w:t>
                              </w:r>
                              <w:r>
                                <w:rPr>
                                  <w:rFonts w:ascii="Arial" w:hAnsi="Arial" w:cs="Arial"/>
                                  <w:color w:val="202020"/>
                                  <w:sz w:val="18"/>
                                  <w:szCs w:val="18"/>
                                </w:rPr>
                                <w:t xml:space="preserve"> </w:t>
                              </w:r>
                            </w:p>
                          </w:tc>
                        </w:tr>
                      </w:tbl>
                      <w:p w14:paraId="5D71BEA1" w14:textId="77777777" w:rsidR="006165D3" w:rsidRDefault="006165D3" w:rsidP="00B03A1C">
                        <w:pPr>
                          <w:spacing w:before="120" w:after="120"/>
                          <w:rPr>
                            <w:rFonts w:eastAsia="Times New Roman"/>
                            <w:sz w:val="20"/>
                            <w:szCs w:val="20"/>
                          </w:rPr>
                        </w:pPr>
                      </w:p>
                    </w:tc>
                  </w:tr>
                  <w:tr w:rsidR="006165D3" w14:paraId="2C97F501" w14:textId="77777777">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38"/>
                        </w:tblGrid>
                        <w:tr w:rsidR="006165D3" w14:paraId="09C376D8" w14:textId="77777777">
                          <w:tc>
                            <w:tcPr>
                              <w:tcW w:w="9000" w:type="dxa"/>
                              <w:hideMark/>
                            </w:tcPr>
                            <w:p w14:paraId="606E7D22" w14:textId="77777777" w:rsidR="006165D3" w:rsidRDefault="006165D3" w:rsidP="00B03A1C">
                              <w:pPr>
                                <w:spacing w:before="120" w:after="120"/>
                                <w:rPr>
                                  <w:rFonts w:eastAsia="Times New Roman"/>
                                  <w:sz w:val="20"/>
                                  <w:szCs w:val="20"/>
                                </w:rPr>
                              </w:pPr>
                            </w:p>
                          </w:tc>
                        </w:tr>
                      </w:tbl>
                      <w:p w14:paraId="2AB2E8C1" w14:textId="77777777" w:rsidR="006165D3" w:rsidRDefault="006165D3" w:rsidP="00B03A1C">
                        <w:pPr>
                          <w:spacing w:before="120" w:after="120"/>
                          <w:rPr>
                            <w:rFonts w:eastAsia="Times New Roman"/>
                            <w:sz w:val="20"/>
                            <w:szCs w:val="20"/>
                          </w:rPr>
                        </w:pPr>
                      </w:p>
                    </w:tc>
                  </w:tr>
                </w:tbl>
                <w:p w14:paraId="5C9EE660" w14:textId="77777777" w:rsidR="006165D3" w:rsidRDefault="006165D3" w:rsidP="00B03A1C">
                  <w:pPr>
                    <w:spacing w:before="120" w:after="120"/>
                    <w:rPr>
                      <w:rFonts w:eastAsia="Times New Roman"/>
                    </w:rPr>
                  </w:pPr>
                </w:p>
              </w:tc>
            </w:tr>
            <w:tr w:rsidR="006165D3" w14:paraId="5D0EF2B9"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638"/>
                  </w:tblGrid>
                  <w:tr w:rsidR="006165D3" w14:paraId="7A6E8032" w14:textId="77777777">
                    <w:tc>
                      <w:tcPr>
                        <w:tcW w:w="0" w:type="auto"/>
                        <w:tcMar>
                          <w:top w:w="135" w:type="dxa"/>
                          <w:left w:w="0" w:type="dxa"/>
                          <w:bottom w:w="0" w:type="dxa"/>
                          <w:right w:w="0" w:type="dxa"/>
                        </w:tcMar>
                        <w:hideMark/>
                      </w:tcPr>
                      <w:tbl>
                        <w:tblPr>
                          <w:tblpPr w:leftFromText="9" w:rightFromText="9" w:vertAnchor="text"/>
                          <w:tblW w:w="5000" w:type="pct"/>
                          <w:tblCellMar>
                            <w:left w:w="0" w:type="dxa"/>
                            <w:right w:w="0" w:type="dxa"/>
                          </w:tblCellMar>
                          <w:tblLook w:val="04A0" w:firstRow="1" w:lastRow="0" w:firstColumn="1" w:lastColumn="0" w:noHBand="0" w:noVBand="1"/>
                        </w:tblPr>
                        <w:tblGrid>
                          <w:gridCol w:w="9638"/>
                        </w:tblGrid>
                        <w:tr w:rsidR="006165D3" w14:paraId="27C8B1A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165D3" w14:paraId="2F5CB907" w14:textId="77777777">
                                <w:tc>
                                  <w:tcPr>
                                    <w:tcW w:w="0" w:type="auto"/>
                                    <w:tcMar>
                                      <w:top w:w="0" w:type="dxa"/>
                                      <w:left w:w="270" w:type="dxa"/>
                                      <w:bottom w:w="135" w:type="dxa"/>
                                      <w:right w:w="270" w:type="dxa"/>
                                    </w:tcMar>
                                    <w:hideMark/>
                                  </w:tcPr>
                                  <w:p w14:paraId="25E3CDD9" w14:textId="77777777" w:rsidR="006165D3" w:rsidRDefault="006165D3" w:rsidP="002E39D8">
                                    <w:pPr>
                                      <w:spacing w:line="360" w:lineRule="auto"/>
                                      <w:jc w:val="center"/>
                                      <w:rPr>
                                        <w:rFonts w:ascii="Helvetica" w:hAnsi="Helvetica"/>
                                        <w:color w:val="656565"/>
                                        <w:sz w:val="18"/>
                                        <w:szCs w:val="18"/>
                                      </w:rPr>
                                    </w:pPr>
                                    <w:r>
                                      <w:rPr>
                                        <w:rFonts w:ascii="Helvetica" w:hAnsi="Helvetica"/>
                                        <w:color w:val="656565"/>
                                        <w:sz w:val="18"/>
                                        <w:szCs w:val="18"/>
                                      </w:rPr>
                                      <w:lastRenderedPageBreak/>
                                      <w:t xml:space="preserve">This newsletter forms part of regular updates on the progress of the MBS Review. This update has been provided by the Department of Health’s Medicare Reviews Unit. Previous newsletter updates are available on the Department's website. To subscribe please email </w:t>
                                    </w:r>
                                    <w:hyperlink r:id="rId87" w:history="1">
                                      <w:r>
                                        <w:rPr>
                                          <w:rStyle w:val="Hyperlink"/>
                                          <w:rFonts w:ascii="Helvetica" w:hAnsi="Helvetica"/>
                                          <w:sz w:val="18"/>
                                          <w:szCs w:val="18"/>
                                        </w:rPr>
                                        <w:t>MBSReviews@health.gov.au</w:t>
                                      </w:r>
                                    </w:hyperlink>
                                    <w:r w:rsidR="002E39D8">
                                      <w:rPr>
                                        <w:rFonts w:ascii="Helvetica" w:hAnsi="Helvetica"/>
                                        <w:color w:val="656565"/>
                                        <w:sz w:val="18"/>
                                        <w:szCs w:val="18"/>
                                      </w:rPr>
                                      <w:t>.</w:t>
                                    </w:r>
                                  </w:p>
                                </w:tc>
                              </w:tr>
                            </w:tbl>
                            <w:p w14:paraId="1333080E" w14:textId="77777777" w:rsidR="006165D3" w:rsidRDefault="006165D3">
                              <w:pPr>
                                <w:rPr>
                                  <w:rFonts w:eastAsia="Times New Roman"/>
                                  <w:sz w:val="20"/>
                                  <w:szCs w:val="20"/>
                                </w:rPr>
                              </w:pPr>
                            </w:p>
                          </w:tc>
                        </w:tr>
                      </w:tbl>
                      <w:p w14:paraId="5953AF07" w14:textId="77777777" w:rsidR="006165D3" w:rsidRDefault="006165D3">
                        <w:pPr>
                          <w:rPr>
                            <w:rFonts w:eastAsia="Times New Roman"/>
                            <w:sz w:val="20"/>
                            <w:szCs w:val="20"/>
                          </w:rPr>
                        </w:pPr>
                      </w:p>
                    </w:tc>
                  </w:tr>
                  <w:tr w:rsidR="006165D3" w14:paraId="674ECF4F" w14:textId="77777777">
                    <w:tblPrEx>
                      <w:shd w:val="clear" w:color="auto" w:fill="01653F"/>
                    </w:tblPrEx>
                    <w:tc>
                      <w:tcPr>
                        <w:tcW w:w="0" w:type="auto"/>
                        <w:shd w:val="clear" w:color="auto" w:fill="01653F"/>
                        <w:tcMar>
                          <w:top w:w="450" w:type="dxa"/>
                          <w:left w:w="270" w:type="dxa"/>
                          <w:bottom w:w="36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9098"/>
                        </w:tblGrid>
                        <w:tr w:rsidR="006165D3" w14:paraId="59138CE9" w14:textId="77777777">
                          <w:tc>
                            <w:tcPr>
                              <w:tcW w:w="0" w:type="auto"/>
                              <w:vAlign w:val="center"/>
                              <w:hideMark/>
                            </w:tcPr>
                            <w:p w14:paraId="3354D8F2" w14:textId="77777777" w:rsidR="006165D3" w:rsidRDefault="006165D3"/>
                          </w:tc>
                        </w:tr>
                      </w:tbl>
                      <w:p w14:paraId="5E11AE0B" w14:textId="77777777" w:rsidR="006165D3" w:rsidRDefault="006165D3">
                        <w:pPr>
                          <w:rPr>
                            <w:rFonts w:eastAsia="Times New Roman"/>
                            <w:sz w:val="20"/>
                            <w:szCs w:val="20"/>
                          </w:rPr>
                        </w:pPr>
                      </w:p>
                    </w:tc>
                  </w:tr>
                </w:tbl>
                <w:p w14:paraId="5573F871" w14:textId="77777777" w:rsidR="006165D3" w:rsidRDefault="006165D3">
                  <w:pPr>
                    <w:rPr>
                      <w:rFonts w:eastAsia="Times New Roman"/>
                    </w:rPr>
                  </w:pPr>
                </w:p>
              </w:tc>
            </w:tr>
          </w:tbl>
          <w:p w14:paraId="21827DB9" w14:textId="77777777" w:rsidR="006165D3" w:rsidRDefault="006165D3">
            <w:pPr>
              <w:jc w:val="center"/>
              <w:rPr>
                <w:rFonts w:eastAsia="Times New Roman"/>
                <w:sz w:val="20"/>
                <w:szCs w:val="20"/>
              </w:rPr>
            </w:pPr>
          </w:p>
        </w:tc>
      </w:tr>
    </w:tbl>
    <w:p w14:paraId="6408504F" w14:textId="77777777" w:rsidR="00280050" w:rsidRDefault="00280050"/>
    <w:sectPr w:rsidR="00280050" w:rsidSect="00B15F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F0418" w14:textId="77777777" w:rsidR="001F5670" w:rsidRDefault="001F5670" w:rsidP="001F5670">
      <w:r>
        <w:separator/>
      </w:r>
    </w:p>
  </w:endnote>
  <w:endnote w:type="continuationSeparator" w:id="0">
    <w:p w14:paraId="139CD2BE" w14:textId="77777777" w:rsidR="001F5670" w:rsidRDefault="001F5670" w:rsidP="001F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E346" w14:textId="77777777" w:rsidR="001F5670" w:rsidRDefault="001F5670" w:rsidP="001F5670">
      <w:r>
        <w:separator/>
      </w:r>
    </w:p>
  </w:footnote>
  <w:footnote w:type="continuationSeparator" w:id="0">
    <w:p w14:paraId="73CB1791" w14:textId="77777777" w:rsidR="001F5670" w:rsidRDefault="001F5670" w:rsidP="001F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06A95"/>
    <w:multiLevelType w:val="multilevel"/>
    <w:tmpl w:val="2E445E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6F411D"/>
    <w:multiLevelType w:val="multilevel"/>
    <w:tmpl w:val="6150C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D3"/>
    <w:rsid w:val="001F5670"/>
    <w:rsid w:val="00280050"/>
    <w:rsid w:val="002E39D8"/>
    <w:rsid w:val="00375228"/>
    <w:rsid w:val="006165D3"/>
    <w:rsid w:val="00861101"/>
    <w:rsid w:val="00B03A1C"/>
    <w:rsid w:val="00B15FD6"/>
    <w:rsid w:val="00DB30E0"/>
    <w:rsid w:val="00F14D6C"/>
    <w:rsid w:val="00F95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8052"/>
  <w15:chartTrackingRefBased/>
  <w15:docId w15:val="{D3899CAC-9B0D-4F37-93D6-17AE9AD6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D3"/>
    <w:pPr>
      <w:spacing w:after="0" w:line="240" w:lineRule="auto"/>
    </w:pPr>
    <w:rPr>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5D3"/>
    <w:rPr>
      <w:color w:val="0000FF"/>
      <w:u w:val="single"/>
    </w:rPr>
  </w:style>
  <w:style w:type="character" w:styleId="Strong">
    <w:name w:val="Strong"/>
    <w:basedOn w:val="DefaultParagraphFont"/>
    <w:uiPriority w:val="22"/>
    <w:qFormat/>
    <w:rsid w:val="006165D3"/>
    <w:rPr>
      <w:b/>
      <w:bCs/>
    </w:rPr>
  </w:style>
  <w:style w:type="character" w:styleId="FollowedHyperlink">
    <w:name w:val="FollowedHyperlink"/>
    <w:basedOn w:val="DefaultParagraphFont"/>
    <w:uiPriority w:val="99"/>
    <w:semiHidden/>
    <w:unhideWhenUsed/>
    <w:rsid w:val="00B15FD6"/>
    <w:rPr>
      <w:color w:val="954F72" w:themeColor="followedHyperlink"/>
      <w:u w:val="single"/>
    </w:rPr>
  </w:style>
  <w:style w:type="paragraph" w:styleId="Header">
    <w:name w:val="header"/>
    <w:basedOn w:val="Normal"/>
    <w:link w:val="HeaderChar"/>
    <w:uiPriority w:val="99"/>
    <w:unhideWhenUsed/>
    <w:rsid w:val="001F5670"/>
    <w:pPr>
      <w:tabs>
        <w:tab w:val="center" w:pos="4513"/>
        <w:tab w:val="right" w:pos="9026"/>
      </w:tabs>
    </w:pPr>
  </w:style>
  <w:style w:type="character" w:customStyle="1" w:styleId="HeaderChar">
    <w:name w:val="Header Char"/>
    <w:basedOn w:val="DefaultParagraphFont"/>
    <w:link w:val="Header"/>
    <w:uiPriority w:val="99"/>
    <w:rsid w:val="001F5670"/>
    <w:rPr>
      <w:lang w:eastAsia="en-AU"/>
    </w:rPr>
  </w:style>
  <w:style w:type="paragraph" w:styleId="Footer">
    <w:name w:val="footer"/>
    <w:basedOn w:val="Normal"/>
    <w:link w:val="FooterChar"/>
    <w:uiPriority w:val="99"/>
    <w:unhideWhenUsed/>
    <w:rsid w:val="001F5670"/>
    <w:pPr>
      <w:tabs>
        <w:tab w:val="center" w:pos="4513"/>
        <w:tab w:val="right" w:pos="9026"/>
      </w:tabs>
    </w:pPr>
  </w:style>
  <w:style w:type="character" w:customStyle="1" w:styleId="FooterChar">
    <w:name w:val="Footer Char"/>
    <w:basedOn w:val="DefaultParagraphFont"/>
    <w:link w:val="Footer"/>
    <w:uiPriority w:val="99"/>
    <w:rsid w:val="001F5670"/>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BSReviews@health.gov.au" TargetMode="External"/><Relationship Id="rId18" Type="http://schemas.openxmlformats.org/officeDocument/2006/relationships/hyperlink" Target="https://health.us3.list-manage.com/track/click?u=1f52d99769eadbb98a6751dbd&amp;id=8b57ff6151&amp;e=098a771c38" TargetMode="External"/><Relationship Id="rId26" Type="http://schemas.openxmlformats.org/officeDocument/2006/relationships/hyperlink" Target="https://health.us3.list-manage.com/track/click?u=1f52d99769eadbb98a6751dbd&amp;id=3f897c8c64&amp;e=098a771c38" TargetMode="External"/><Relationship Id="rId39" Type="http://schemas.openxmlformats.org/officeDocument/2006/relationships/hyperlink" Target="https://health.us3.list-manage.com/track/click?u=1f52d99769eadbb98a6751dbd&amp;id=2ddf5bf22a&amp;e=098a771c38" TargetMode="External"/><Relationship Id="rId21" Type="http://schemas.openxmlformats.org/officeDocument/2006/relationships/hyperlink" Target="mailto:MBSReviews@health.gov.au" TargetMode="External"/><Relationship Id="rId34" Type="http://schemas.openxmlformats.org/officeDocument/2006/relationships/hyperlink" Target="https://health.us3.list-manage.com/track/click?u=1f52d99769eadbb98a6751dbd&amp;id=04a3c5fdd8&amp;e=098a771c38" TargetMode="External"/><Relationship Id="rId42" Type="http://schemas.openxmlformats.org/officeDocument/2006/relationships/hyperlink" Target="mailto:MBSReviews@health.gov.au" TargetMode="External"/><Relationship Id="rId47" Type="http://schemas.openxmlformats.org/officeDocument/2006/relationships/hyperlink" Target="https://health.us3.list-manage.com/track/click?u=1f52d99769eadbb98a6751dbd&amp;id=6e1a161bf3&amp;e=098a771c38" TargetMode="External"/><Relationship Id="rId50" Type="http://schemas.openxmlformats.org/officeDocument/2006/relationships/hyperlink" Target="https://health.us3.list-manage.com/track/click?u=1f52d99769eadbb98a6751dbd&amp;id=74bf8265a0&amp;e=098a771c38" TargetMode="External"/><Relationship Id="rId55" Type="http://schemas.openxmlformats.org/officeDocument/2006/relationships/hyperlink" Target="mailto:MBSReviews@health.gov.au" TargetMode="External"/><Relationship Id="rId63" Type="http://schemas.openxmlformats.org/officeDocument/2006/relationships/hyperlink" Target="https://health.us3.list-manage.com/track/click?u=1f52d99769eadbb98a6751dbd&amp;id=fdd7642ba5&amp;e=098a771c38" TargetMode="External"/><Relationship Id="rId68" Type="http://schemas.openxmlformats.org/officeDocument/2006/relationships/hyperlink" Target="mailto:MBSReviews@health.gov.au" TargetMode="External"/><Relationship Id="rId76" Type="http://schemas.openxmlformats.org/officeDocument/2006/relationships/hyperlink" Target="mailto:MBSReviews@health.gov.au" TargetMode="External"/><Relationship Id="rId84" Type="http://schemas.openxmlformats.org/officeDocument/2006/relationships/hyperlink" Target="mailto:MBSReviews@health.gov.au" TargetMode="Externa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health.us3.list-manage.com/track/click?u=1f52d99769eadbb98a6751dbd&amp;id=e29984b872&amp;e=098a771c38" TargetMode="External"/><Relationship Id="rId2" Type="http://schemas.openxmlformats.org/officeDocument/2006/relationships/styles" Target="styles.xml"/><Relationship Id="rId16" Type="http://schemas.openxmlformats.org/officeDocument/2006/relationships/hyperlink" Target="mailto:MBSReviews@health.gov.au" TargetMode="External"/><Relationship Id="rId29" Type="http://schemas.openxmlformats.org/officeDocument/2006/relationships/hyperlink" Target="https://health.us3.list-manage.com/track/click?u=1f52d99769eadbb98a6751dbd&amp;id=5b7497ea93&amp;e=098a771c38" TargetMode="External"/><Relationship Id="rId11" Type="http://schemas.openxmlformats.org/officeDocument/2006/relationships/hyperlink" Target="https://health.us3.list-manage.com/track/click?u=1f52d99769eadbb98a6751dbd&amp;id=9bfca3b5f6&amp;e=098a771c38" TargetMode="External"/><Relationship Id="rId24" Type="http://schemas.openxmlformats.org/officeDocument/2006/relationships/hyperlink" Target="https://health.us3.list-manage.com/track/click?u=1f52d99769eadbb98a6751dbd&amp;id=51254516c1&amp;e=098a771c38" TargetMode="External"/><Relationship Id="rId32" Type="http://schemas.openxmlformats.org/officeDocument/2006/relationships/hyperlink" Target="mailto:EatingDisorderMBS@health.gov.au" TargetMode="External"/><Relationship Id="rId37" Type="http://schemas.openxmlformats.org/officeDocument/2006/relationships/hyperlink" Target="https://health.us3.list-manage.com/track/click?u=1f52d99769eadbb98a6751dbd&amp;id=b10405dc60&amp;e=098a771c38" TargetMode="External"/><Relationship Id="rId40" Type="http://schemas.openxmlformats.org/officeDocument/2006/relationships/hyperlink" Target="https://health.us3.list-manage.com/track/click?u=1f52d99769eadbb98a6751dbd&amp;id=a1dac7bf2d&amp;e=098a771c38" TargetMode="External"/><Relationship Id="rId45" Type="http://schemas.openxmlformats.org/officeDocument/2006/relationships/hyperlink" Target="https://health.us3.list-manage.com/track/click?u=1f52d99769eadbb98a6751dbd&amp;id=7fbf2f930d&amp;e=098a771c38" TargetMode="External"/><Relationship Id="rId53" Type="http://schemas.openxmlformats.org/officeDocument/2006/relationships/hyperlink" Target="mailto:MBSReviews@health.gov.au" TargetMode="External"/><Relationship Id="rId58" Type="http://schemas.openxmlformats.org/officeDocument/2006/relationships/hyperlink" Target="https://health.us3.list-manage.com/track/click?u=1f52d99769eadbb98a6751dbd&amp;id=ba77679cad&amp;e=098a771c38" TargetMode="External"/><Relationship Id="rId66" Type="http://schemas.openxmlformats.org/officeDocument/2006/relationships/hyperlink" Target="mailto:MBSReviews@health.gov.au" TargetMode="External"/><Relationship Id="rId74" Type="http://schemas.openxmlformats.org/officeDocument/2006/relationships/hyperlink" Target="mailto:MBSReviews@health.gov.au" TargetMode="External"/><Relationship Id="rId79" Type="http://schemas.openxmlformats.org/officeDocument/2006/relationships/hyperlink" Target="https://health.us3.list-manage.com/track/click?u=1f52d99769eadbb98a6751dbd&amp;id=c6e15fef41&amp;e=098a771c38" TargetMode="External"/><Relationship Id="rId87" Type="http://schemas.openxmlformats.org/officeDocument/2006/relationships/hyperlink" Target="mailto:MBSReviews@health.gov.au" TargetMode="External"/><Relationship Id="rId5" Type="http://schemas.openxmlformats.org/officeDocument/2006/relationships/footnotes" Target="footnotes.xml"/><Relationship Id="rId61" Type="http://schemas.openxmlformats.org/officeDocument/2006/relationships/hyperlink" Target="https://health.us3.list-manage.com/track/click?u=1f52d99769eadbb98a6751dbd&amp;id=b376b0071c&amp;e=098a771c38" TargetMode="External"/><Relationship Id="rId82" Type="http://schemas.openxmlformats.org/officeDocument/2006/relationships/hyperlink" Target="mailto:MBSReviews@health.gov.au" TargetMode="External"/><Relationship Id="rId19" Type="http://schemas.openxmlformats.org/officeDocument/2006/relationships/hyperlink" Target="mailto:MBSReviews@health.gov.au" TargetMode="External"/><Relationship Id="rId4" Type="http://schemas.openxmlformats.org/officeDocument/2006/relationships/webSettings" Target="webSettings.xml"/><Relationship Id="rId9" Type="http://schemas.openxmlformats.org/officeDocument/2006/relationships/hyperlink" Target="https://health.us3.list-manage.com/track/click?u=1f52d99769eadbb98a6751dbd&amp;id=5a6444ef37&amp;e=098a771c38" TargetMode="External"/><Relationship Id="rId14" Type="http://schemas.openxmlformats.org/officeDocument/2006/relationships/hyperlink" Target="https://health.us3.list-manage.com/track/click?u=1f52d99769eadbb98a6751dbd&amp;id=fa754fbec7&amp;e=098a771c38" TargetMode="External"/><Relationship Id="rId22" Type="http://schemas.openxmlformats.org/officeDocument/2006/relationships/hyperlink" Target="https://health.us3.list-manage.com/track/click?u=1f52d99769eadbb98a6751dbd&amp;id=238ee12c7d&amp;e=098a771c38" TargetMode="External"/><Relationship Id="rId27" Type="http://schemas.openxmlformats.org/officeDocument/2006/relationships/hyperlink" Target="https://health.us3.list-manage.com/track/click?u=1f52d99769eadbb98a6751dbd&amp;id=8a65681f36&amp;e=098a771c38" TargetMode="External"/><Relationship Id="rId30" Type="http://schemas.openxmlformats.org/officeDocument/2006/relationships/hyperlink" Target="mailto:MBSReviews@health.gov.au" TargetMode="External"/><Relationship Id="rId35" Type="http://schemas.openxmlformats.org/officeDocument/2006/relationships/hyperlink" Target="mailto:MBSReviews@health.gov.au" TargetMode="External"/><Relationship Id="rId43" Type="http://schemas.openxmlformats.org/officeDocument/2006/relationships/hyperlink" Target="mailto:MBSReviews@health.gov.au" TargetMode="External"/><Relationship Id="rId48" Type="http://schemas.openxmlformats.org/officeDocument/2006/relationships/hyperlink" Target="mailto:MBSReviews@health.gov.au" TargetMode="External"/><Relationship Id="rId56" Type="http://schemas.openxmlformats.org/officeDocument/2006/relationships/hyperlink" Target="https://health.us3.list-manage.com/track/click?u=1f52d99769eadbb98a6751dbd&amp;id=a91f7313b3&amp;e=098a771c38" TargetMode="External"/><Relationship Id="rId64" Type="http://schemas.openxmlformats.org/officeDocument/2006/relationships/hyperlink" Target="mailto:MBSReviews@health.gov.au" TargetMode="External"/><Relationship Id="rId69" Type="http://schemas.openxmlformats.org/officeDocument/2006/relationships/hyperlink" Target="https://health.us3.list-manage.com/track/click?u=1f52d99769eadbb98a6751dbd&amp;id=d412304936&amp;e=098a771c38" TargetMode="External"/><Relationship Id="rId77" Type="http://schemas.openxmlformats.org/officeDocument/2006/relationships/hyperlink" Target="https://health.us3.list-manage.com/track/click?u=1f52d99769eadbb98a6751dbd&amp;id=c63abb0aa0&amp;e=098a771c38" TargetMode="External"/><Relationship Id="rId8" Type="http://schemas.openxmlformats.org/officeDocument/2006/relationships/hyperlink" Target="https://health.us3.list-manage.com/track/click?u=1f52d99769eadbb98a6751dbd&amp;id=f6abcfc0b3&amp;e=098a771c38" TargetMode="External"/><Relationship Id="rId51" Type="http://schemas.openxmlformats.org/officeDocument/2006/relationships/hyperlink" Target="mailto:MBSReviews@health.gov.au" TargetMode="External"/><Relationship Id="rId72" Type="http://schemas.openxmlformats.org/officeDocument/2006/relationships/hyperlink" Target="mailto:MBSReviews@health.gov.au" TargetMode="External"/><Relationship Id="rId80" Type="http://schemas.openxmlformats.org/officeDocument/2006/relationships/hyperlink" Target="mailto:MBSReviews@health.gov.au" TargetMode="External"/><Relationship Id="rId85" Type="http://schemas.openxmlformats.org/officeDocument/2006/relationships/hyperlink" Target="https://health.us3.list-manage.com/track/click?u=1f52d99769eadbb98a6751dbd&amp;id=90ead27752&amp;e=098a771c38" TargetMode="External"/><Relationship Id="rId3" Type="http://schemas.openxmlformats.org/officeDocument/2006/relationships/settings" Target="settings.xml"/><Relationship Id="rId12" Type="http://schemas.openxmlformats.org/officeDocument/2006/relationships/hyperlink" Target="https://health.us3.list-manage.com/track/click?u=1f52d99769eadbb98a6751dbd&amp;id=9c1febe4a7&amp;e=098a771c38" TargetMode="External"/><Relationship Id="rId17" Type="http://schemas.openxmlformats.org/officeDocument/2006/relationships/hyperlink" Target="https://health.us3.list-manage.com/track/click?u=1f52d99769eadbb98a6751dbd&amp;id=fb56da65a7&amp;e=098a771c38" TargetMode="External"/><Relationship Id="rId25" Type="http://schemas.openxmlformats.org/officeDocument/2006/relationships/hyperlink" Target="mailto:MBSReviews@health.gov.au" TargetMode="External"/><Relationship Id="rId33" Type="http://schemas.openxmlformats.org/officeDocument/2006/relationships/hyperlink" Target="https://health.us3.list-manage.com/track/click?u=1f52d99769eadbb98a6751dbd&amp;id=dfd2e5d4aa&amp;e=098a771c38" TargetMode="External"/><Relationship Id="rId38" Type="http://schemas.openxmlformats.org/officeDocument/2006/relationships/hyperlink" Target="https://health.us3.list-manage.com/track/click?u=1f52d99769eadbb98a6751dbd&amp;id=3f2ef3e849&amp;e=098a771c38" TargetMode="External"/><Relationship Id="rId46" Type="http://schemas.openxmlformats.org/officeDocument/2006/relationships/hyperlink" Target="mailto:MBSReviews@health.gov.au" TargetMode="External"/><Relationship Id="rId59" Type="http://schemas.openxmlformats.org/officeDocument/2006/relationships/hyperlink" Target="mailto:MBSReviews@health.gov.au" TargetMode="External"/><Relationship Id="rId67" Type="http://schemas.openxmlformats.org/officeDocument/2006/relationships/hyperlink" Target="https://health.us3.list-manage.com/track/click?u=1f52d99769eadbb98a6751dbd&amp;id=c9809cca04&amp;e=098a771c38" TargetMode="External"/><Relationship Id="rId20" Type="http://schemas.openxmlformats.org/officeDocument/2006/relationships/hyperlink" Target="https://health.us3.list-manage.com/track/click?u=1f52d99769eadbb98a6751dbd&amp;id=875a9e5a53&amp;e=098a771c38" TargetMode="External"/><Relationship Id="rId41" Type="http://schemas.openxmlformats.org/officeDocument/2006/relationships/hyperlink" Target="https://health.us3.list-manage.com/track/click?u=1f52d99769eadbb98a6751dbd&amp;id=f67699326e&amp;e=098a771c38" TargetMode="External"/><Relationship Id="rId54" Type="http://schemas.openxmlformats.org/officeDocument/2006/relationships/hyperlink" Target="https://health.us3.list-manage.com/track/click?u=1f52d99769eadbb98a6751dbd&amp;id=74cce5c0b1&amp;e=098a771c38" TargetMode="External"/><Relationship Id="rId62" Type="http://schemas.openxmlformats.org/officeDocument/2006/relationships/hyperlink" Target="mailto:MBSReviews@health.gov.au" TargetMode="External"/><Relationship Id="rId70" Type="http://schemas.openxmlformats.org/officeDocument/2006/relationships/hyperlink" Target="mailto:MBSReviews@health.gov.au" TargetMode="External"/><Relationship Id="rId75" Type="http://schemas.openxmlformats.org/officeDocument/2006/relationships/hyperlink" Target="https://health.us3.list-manage.com/track/click?u=1f52d99769eadbb98a6751dbd&amp;id=b187acbbd5&amp;e=098a771c38" TargetMode="External"/><Relationship Id="rId83" Type="http://schemas.openxmlformats.org/officeDocument/2006/relationships/hyperlink" Target="https://health.us3.list-manage.com/track/click?u=1f52d99769eadbb98a6751dbd&amp;id=6cfe46f0c7&amp;e=098a771c3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ealth.us3.list-manage.com/track/click?u=1f52d99769eadbb98a6751dbd&amp;id=f6131035fb&amp;e=098a771c38" TargetMode="External"/><Relationship Id="rId23" Type="http://schemas.openxmlformats.org/officeDocument/2006/relationships/hyperlink" Target="mailto:MBSReviews@health.gov.au" TargetMode="External"/><Relationship Id="rId28" Type="http://schemas.openxmlformats.org/officeDocument/2006/relationships/hyperlink" Target="mailto:MBSReviews@health.gov.au" TargetMode="External"/><Relationship Id="rId36" Type="http://schemas.openxmlformats.org/officeDocument/2006/relationships/hyperlink" Target="https://health.us3.list-manage.com/track/click?u=1f52d99769eadbb98a6751dbd&amp;id=eb0c919e65&amp;e=098a771c38" TargetMode="External"/><Relationship Id="rId49" Type="http://schemas.openxmlformats.org/officeDocument/2006/relationships/hyperlink" Target="https://health.us3.list-manage.com/track/click?u=1f52d99769eadbb98a6751dbd&amp;id=756c39ca05&amp;e=098a771c38" TargetMode="External"/><Relationship Id="rId57" Type="http://schemas.openxmlformats.org/officeDocument/2006/relationships/hyperlink" Target="mailto:MBSReviews@health.gov.au" TargetMode="External"/><Relationship Id="rId10" Type="http://schemas.openxmlformats.org/officeDocument/2006/relationships/hyperlink" Target="https://health.us3.list-manage.com/track/click?u=1f52d99769eadbb98a6751dbd&amp;id=3e9ccdcca1&amp;e=098a771c38" TargetMode="External"/><Relationship Id="rId31" Type="http://schemas.openxmlformats.org/officeDocument/2006/relationships/hyperlink" Target="https://health.us3.list-manage.com/track/click?u=1f52d99769eadbb98a6751dbd&amp;id=d77a9482d3&amp;e=098a771c38" TargetMode="External"/><Relationship Id="rId44" Type="http://schemas.openxmlformats.org/officeDocument/2006/relationships/hyperlink" Target="https://health.us3.list-manage.com/track/click?u=1f52d99769eadbb98a6751dbd&amp;id=5a25189225&amp;e=098a771c38" TargetMode="External"/><Relationship Id="rId52" Type="http://schemas.openxmlformats.org/officeDocument/2006/relationships/hyperlink" Target="https://health.us3.list-manage.com/track/click?u=1f52d99769eadbb98a6751dbd&amp;id=92a84622ef&amp;e=098a771c38" TargetMode="External"/><Relationship Id="rId60" Type="http://schemas.openxmlformats.org/officeDocument/2006/relationships/hyperlink" Target="mailto:MBSReviews@health.gov.au" TargetMode="External"/><Relationship Id="rId65" Type="http://schemas.openxmlformats.org/officeDocument/2006/relationships/hyperlink" Target="https://health.us3.list-manage.com/track/click?u=1f52d99769eadbb98a6751dbd&amp;id=a648b78ce8&amp;e=098a771c38" TargetMode="External"/><Relationship Id="rId73" Type="http://schemas.openxmlformats.org/officeDocument/2006/relationships/hyperlink" Target="https://health.us3.list-manage.com/track/click?u=1f52d99769eadbb98a6751dbd&amp;id=27b9d40ad8&amp;e=098a771c38" TargetMode="External"/><Relationship Id="rId78" Type="http://schemas.openxmlformats.org/officeDocument/2006/relationships/hyperlink" Target="mailto:MBSReviews@health.gov.au" TargetMode="External"/><Relationship Id="rId81" Type="http://schemas.openxmlformats.org/officeDocument/2006/relationships/hyperlink" Target="https://health.us3.list-manage.com/track/click?u=1f52d99769eadbb98a6751dbd&amp;id=1ce019acf3&amp;e=098a771c38" TargetMode="External"/><Relationship Id="rId86" Type="http://schemas.openxmlformats.org/officeDocument/2006/relationships/hyperlink" Target="mailto:MBSReviews@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4819</Words>
  <Characters>29499</Characters>
  <Application>Microsoft Office Word</Application>
  <DocSecurity>0</DocSecurity>
  <Lines>526</Lines>
  <Paragraphs>290</Paragraphs>
  <ScaleCrop>false</ScaleCrop>
  <HeadingPairs>
    <vt:vector size="2" baseType="variant">
      <vt:variant>
        <vt:lpstr>Title</vt:lpstr>
      </vt:variant>
      <vt:variant>
        <vt:i4>1</vt:i4>
      </vt:variant>
    </vt:vector>
  </HeadingPairs>
  <TitlesOfParts>
    <vt:vector size="1" baseType="lpstr">
      <vt:lpstr>MBS Review July 2020 update</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July 2020 update</dc:title>
  <dc:subject>Medicare Benefits Schedule</dc:subject>
  <dc:creator>Australian Government Department of Health</dc:creator>
  <cp:keywords>Medicare Benefits Schedule</cp:keywords>
  <dc:description/>
  <cp:lastModifiedBy>SMEDLEY, Tyne</cp:lastModifiedBy>
  <cp:revision>3</cp:revision>
  <dcterms:created xsi:type="dcterms:W3CDTF">2021-08-10T02:50:00Z</dcterms:created>
  <dcterms:modified xsi:type="dcterms:W3CDTF">2021-08-10T06:02:00Z</dcterms:modified>
</cp:coreProperties>
</file>