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E37" w14:textId="77777777" w:rsidR="00C41430" w:rsidRPr="00CF6260" w:rsidRDefault="00C41430" w:rsidP="00BE4A6D">
      <w:pPr>
        <w:pStyle w:val="Title"/>
        <w:spacing w:before="160" w:after="0"/>
        <w:rPr>
          <w:rFonts w:eastAsia="Times New Roman" w:cstheme="minorHAnsi"/>
          <w:bCs/>
          <w:color w:val="3F4A75"/>
          <w:kern w:val="28"/>
        </w:rPr>
      </w:pPr>
      <w:r w:rsidRPr="00C41430">
        <w:rPr>
          <w:rFonts w:eastAsia="Times New Roman" w:cstheme="minorHAnsi"/>
          <w:bCs/>
          <w:color w:val="3F4A75"/>
          <w:kern w:val="28"/>
        </w:rPr>
        <w:t xml:space="preserve">Aboriginal and Torres Strait Islander Health Services </w:t>
      </w:r>
    </w:p>
    <w:p w14:paraId="67011ABE" w14:textId="5580D4DE" w:rsidR="00C41430" w:rsidRPr="00C41430" w:rsidRDefault="00C41430" w:rsidP="00BE4A6D">
      <w:pPr>
        <w:pStyle w:val="Title"/>
        <w:spacing w:before="0" w:after="0"/>
        <w:rPr>
          <w:rFonts w:eastAsia="Times New Roman" w:cstheme="minorHAnsi"/>
          <w:bCs/>
          <w:color w:val="3F4A75"/>
          <w:kern w:val="28"/>
        </w:rPr>
      </w:pPr>
      <w:r w:rsidRPr="00C41430">
        <w:rPr>
          <w:rFonts w:eastAsia="Times New Roman" w:cstheme="minorHAnsi"/>
          <w:bCs/>
          <w:color w:val="3F4A75"/>
          <w:kern w:val="28"/>
        </w:rPr>
        <w:t>Data Advisory Group Communique #5</w:t>
      </w:r>
    </w:p>
    <w:p w14:paraId="306BC9F5" w14:textId="77777777" w:rsidR="00C41430" w:rsidRPr="00C41430" w:rsidRDefault="00C41430" w:rsidP="00BE4A6D">
      <w:pPr>
        <w:pStyle w:val="Title"/>
        <w:spacing w:before="0" w:after="0"/>
        <w:rPr>
          <w:rFonts w:eastAsia="Times New Roman" w:cstheme="minorHAnsi"/>
          <w:bCs/>
          <w:color w:val="3F4A75"/>
          <w:kern w:val="28"/>
        </w:rPr>
      </w:pPr>
      <w:r w:rsidRPr="00C41430">
        <w:rPr>
          <w:rFonts w:eastAsia="Times New Roman" w:cstheme="minorHAnsi"/>
          <w:bCs/>
          <w:color w:val="3F4A75"/>
          <w:kern w:val="28"/>
        </w:rPr>
        <w:t>August 2021</w:t>
      </w:r>
    </w:p>
    <w:p w14:paraId="40A2F15D" w14:textId="104D9F57" w:rsidR="00C028B0" w:rsidRPr="00CF6260" w:rsidRDefault="007F7BDF" w:rsidP="00C028B0">
      <w:pPr>
        <w:spacing w:after="0"/>
        <w:rPr>
          <w:rFonts w:cstheme="minorHAnsi"/>
        </w:rPr>
      </w:pPr>
      <w:r w:rsidRPr="00CF6260">
        <w:rPr>
          <w:rFonts w:cstheme="minorHAnsi"/>
        </w:rPr>
        <w:t xml:space="preserve">The </w:t>
      </w:r>
      <w:r w:rsidR="00C028B0" w:rsidRPr="00CF6260">
        <w:rPr>
          <w:rFonts w:cstheme="minorHAnsi"/>
        </w:rPr>
        <w:t>Aboriginal and Torres Strait Islander Health Services Data Advisory Group (</w:t>
      </w:r>
      <w:r w:rsidR="00C94115" w:rsidRPr="00CF6260">
        <w:rPr>
          <w:rFonts w:cstheme="minorHAnsi"/>
        </w:rPr>
        <w:t>HS DAG</w:t>
      </w:r>
      <w:r w:rsidR="00C028B0" w:rsidRPr="00CF6260">
        <w:rPr>
          <w:rFonts w:cstheme="minorHAnsi"/>
        </w:rPr>
        <w:t>)</w:t>
      </w:r>
      <w:r w:rsidR="00E166B0" w:rsidRPr="00CF6260">
        <w:rPr>
          <w:rFonts w:cstheme="minorHAnsi"/>
        </w:rPr>
        <w:t xml:space="preserve"> </w:t>
      </w:r>
      <w:r w:rsidR="00CE0C24">
        <w:rPr>
          <w:rFonts w:cstheme="minorHAnsi"/>
        </w:rPr>
        <w:t>C</w:t>
      </w:r>
      <w:r w:rsidR="00E166B0" w:rsidRPr="00CF6260">
        <w:rPr>
          <w:rFonts w:cstheme="minorHAnsi"/>
        </w:rPr>
        <w:t>ommunique</w:t>
      </w:r>
      <w:r w:rsidR="00C94115" w:rsidRPr="00CF6260">
        <w:rPr>
          <w:rFonts w:cstheme="minorHAnsi"/>
        </w:rPr>
        <w:t xml:space="preserve"> </w:t>
      </w:r>
      <w:r w:rsidR="005E4817" w:rsidRPr="00CF6260">
        <w:rPr>
          <w:rFonts w:cstheme="minorHAnsi"/>
        </w:rPr>
        <w:t xml:space="preserve">keeps </w:t>
      </w:r>
      <w:r w:rsidR="00C94115" w:rsidRPr="00CF6260">
        <w:rPr>
          <w:rFonts w:cstheme="minorHAnsi"/>
        </w:rPr>
        <w:t>Aborigi</w:t>
      </w:r>
      <w:r w:rsidR="00AF0AD6" w:rsidRPr="00CF6260">
        <w:rPr>
          <w:rFonts w:cstheme="minorHAnsi"/>
        </w:rPr>
        <w:t>nal and Torres Strait Islander primary health care s</w:t>
      </w:r>
      <w:r w:rsidR="00C94115" w:rsidRPr="00CF6260">
        <w:rPr>
          <w:rFonts w:cstheme="minorHAnsi"/>
        </w:rPr>
        <w:t xml:space="preserve">ervices </w:t>
      </w:r>
      <w:r w:rsidR="005E4817" w:rsidRPr="00CF6260">
        <w:rPr>
          <w:rFonts w:cstheme="minorHAnsi"/>
        </w:rPr>
        <w:t xml:space="preserve">up to date about </w:t>
      </w:r>
      <w:r w:rsidR="00C94115" w:rsidRPr="00CF6260">
        <w:rPr>
          <w:rFonts w:cstheme="minorHAnsi"/>
        </w:rPr>
        <w:t xml:space="preserve">outcomes </w:t>
      </w:r>
      <w:r w:rsidR="005E4817" w:rsidRPr="00CF6260">
        <w:rPr>
          <w:rFonts w:cstheme="minorHAnsi"/>
        </w:rPr>
        <w:t>regarding</w:t>
      </w:r>
      <w:r w:rsidR="00C94115" w:rsidRPr="00CF6260">
        <w:rPr>
          <w:rFonts w:cstheme="minorHAnsi"/>
        </w:rPr>
        <w:t xml:space="preserve"> the National Key Performance Indicator (nKPI) and Online Services Report (OSR) data collections</w:t>
      </w:r>
      <w:r w:rsidR="00C7566A" w:rsidRPr="00CF6260">
        <w:rPr>
          <w:rFonts w:cstheme="minorHAnsi"/>
        </w:rPr>
        <w:t>. This Communique</w:t>
      </w:r>
      <w:r w:rsidR="005E4817" w:rsidRPr="00CF6260">
        <w:rPr>
          <w:rFonts w:cstheme="minorHAnsi"/>
        </w:rPr>
        <w:t xml:space="preserve"> also to </w:t>
      </w:r>
      <w:r w:rsidR="0031138E" w:rsidRPr="00CF6260">
        <w:rPr>
          <w:rFonts w:cstheme="minorHAnsi"/>
        </w:rPr>
        <w:t>provides</w:t>
      </w:r>
      <w:r w:rsidR="005E4817" w:rsidRPr="00CF6260">
        <w:rPr>
          <w:rFonts w:cstheme="minorHAnsi"/>
        </w:rPr>
        <w:t xml:space="preserve"> information about</w:t>
      </w:r>
      <w:r w:rsidR="00C94115" w:rsidRPr="00CF6260">
        <w:rPr>
          <w:rFonts w:cstheme="minorHAnsi"/>
        </w:rPr>
        <w:t xml:space="preserve"> the work o</w:t>
      </w:r>
      <w:r w:rsidR="005E4817" w:rsidRPr="00CF6260">
        <w:rPr>
          <w:rFonts w:cstheme="minorHAnsi"/>
        </w:rPr>
        <w:t>f the group more broadly regarding Indigenous health data</w:t>
      </w:r>
      <w:r w:rsidR="00C94115" w:rsidRPr="00CF6260">
        <w:rPr>
          <w:rFonts w:cstheme="minorHAnsi"/>
        </w:rPr>
        <w:t>.</w:t>
      </w:r>
      <w:r w:rsidR="00C028B0" w:rsidRPr="00CF6260">
        <w:rPr>
          <w:rFonts w:cstheme="minorHAnsi"/>
        </w:rPr>
        <w:t xml:space="preserve"> This is the </w:t>
      </w:r>
      <w:r w:rsidR="000D31B0" w:rsidRPr="00CF6260">
        <w:rPr>
          <w:rFonts w:cstheme="minorHAnsi"/>
        </w:rPr>
        <w:t>fifth</w:t>
      </w:r>
      <w:r w:rsidR="00C028B0" w:rsidRPr="00CF6260">
        <w:rPr>
          <w:rFonts w:cstheme="minorHAnsi"/>
        </w:rPr>
        <w:t xml:space="preserve"> HS</w:t>
      </w:r>
      <w:r w:rsidR="00CE0C24">
        <w:rPr>
          <w:rFonts w:cstheme="minorHAnsi"/>
        </w:rPr>
        <w:t> </w:t>
      </w:r>
      <w:r w:rsidR="00C028B0" w:rsidRPr="00CF6260">
        <w:rPr>
          <w:rFonts w:cstheme="minorHAnsi"/>
        </w:rPr>
        <w:t>DAG</w:t>
      </w:r>
      <w:r w:rsidR="005E4817" w:rsidRPr="00CF6260">
        <w:rPr>
          <w:rFonts w:cstheme="minorHAnsi"/>
        </w:rPr>
        <w:t xml:space="preserve"> Communique</w:t>
      </w:r>
      <w:r w:rsidR="00C028B0" w:rsidRPr="00CF6260">
        <w:rPr>
          <w:rFonts w:cstheme="minorHAnsi"/>
        </w:rPr>
        <w:t xml:space="preserve">. </w:t>
      </w:r>
      <w:r w:rsidR="00BC1FE9" w:rsidRPr="00CF6260">
        <w:rPr>
          <w:rFonts w:cstheme="minorHAnsi"/>
        </w:rPr>
        <w:t>P</w:t>
      </w:r>
      <w:r w:rsidR="0031138E" w:rsidRPr="00CF6260">
        <w:rPr>
          <w:rFonts w:cstheme="minorHAnsi"/>
        </w:rPr>
        <w:t xml:space="preserve">revious Communiques can be found </w:t>
      </w:r>
      <w:r w:rsidR="000D31B0" w:rsidRPr="00CF6260">
        <w:rPr>
          <w:rFonts w:cstheme="minorHAnsi"/>
        </w:rPr>
        <w:t xml:space="preserve">on the </w:t>
      </w:r>
      <w:hyperlink r:id="rId8" w:anchor="communiques" w:history="1">
        <w:r w:rsidR="000D31B0" w:rsidRPr="00CF6260">
          <w:rPr>
            <w:rStyle w:val="Hyperlink"/>
            <w:rFonts w:cstheme="minorHAnsi"/>
          </w:rPr>
          <w:t>HS DAG website</w:t>
        </w:r>
      </w:hyperlink>
      <w:r w:rsidR="0031138E" w:rsidRPr="00CF6260">
        <w:rPr>
          <w:rFonts w:cstheme="minorHAnsi"/>
        </w:rPr>
        <w:t>.</w:t>
      </w:r>
    </w:p>
    <w:p w14:paraId="461248C3" w14:textId="336F4310" w:rsidR="005E4817" w:rsidRPr="00CF6260" w:rsidRDefault="00892F3E" w:rsidP="00301964">
      <w:pPr>
        <w:spacing w:after="0"/>
        <w:rPr>
          <w:rFonts w:cstheme="minorHAnsi"/>
        </w:rPr>
      </w:pPr>
      <w:r w:rsidRPr="00CF6260">
        <w:rPr>
          <w:rFonts w:cstheme="minorHAnsi"/>
        </w:rPr>
        <w:t xml:space="preserve">On </w:t>
      </w:r>
      <w:r w:rsidR="000D31B0" w:rsidRPr="00CF6260">
        <w:rPr>
          <w:rFonts w:cstheme="minorHAnsi"/>
        </w:rPr>
        <w:t>30 July</w:t>
      </w:r>
      <w:r w:rsidR="004A269D" w:rsidRPr="00CF6260">
        <w:rPr>
          <w:rFonts w:cstheme="minorHAnsi"/>
        </w:rPr>
        <w:t xml:space="preserve"> 202</w:t>
      </w:r>
      <w:r w:rsidR="00F33915" w:rsidRPr="00CF6260">
        <w:rPr>
          <w:rFonts w:cstheme="minorHAnsi"/>
        </w:rPr>
        <w:t>1</w:t>
      </w:r>
      <w:r w:rsidRPr="00CF6260">
        <w:rPr>
          <w:rFonts w:cstheme="minorHAnsi"/>
        </w:rPr>
        <w:t xml:space="preserve">, </w:t>
      </w:r>
      <w:r w:rsidR="007C5D01" w:rsidRPr="00CF6260">
        <w:rPr>
          <w:rFonts w:cstheme="minorHAnsi"/>
        </w:rPr>
        <w:t xml:space="preserve">the </w:t>
      </w:r>
      <w:r w:rsidR="00D677A9" w:rsidRPr="00CF6260">
        <w:rPr>
          <w:rFonts w:cstheme="minorHAnsi"/>
        </w:rPr>
        <w:t>HS DAG met</w:t>
      </w:r>
      <w:r w:rsidR="00EA79D3" w:rsidRPr="00CF6260">
        <w:rPr>
          <w:rFonts w:cstheme="minorHAnsi"/>
        </w:rPr>
        <w:t xml:space="preserve"> via teleconference</w:t>
      </w:r>
      <w:r w:rsidR="003371CB" w:rsidRPr="00CF6260">
        <w:rPr>
          <w:rFonts w:cstheme="minorHAnsi"/>
        </w:rPr>
        <w:t xml:space="preserve"> as </w:t>
      </w:r>
      <w:r w:rsidR="005E4817" w:rsidRPr="00CF6260">
        <w:rPr>
          <w:rFonts w:cstheme="minorHAnsi"/>
        </w:rPr>
        <w:t>non-essential travel is discouraged during the COVID-19 pandemic.</w:t>
      </w:r>
    </w:p>
    <w:p w14:paraId="004FA53D" w14:textId="0CE69643" w:rsidR="00AD09A9" w:rsidRPr="00CF6260" w:rsidRDefault="00E01068" w:rsidP="00BE4A6D">
      <w:pPr>
        <w:spacing w:after="160"/>
        <w:rPr>
          <w:rFonts w:cstheme="minorHAnsi"/>
        </w:rPr>
      </w:pPr>
      <w:r w:rsidRPr="00CF6260">
        <w:rPr>
          <w:rFonts w:cstheme="minorHAnsi"/>
        </w:rPr>
        <w:t xml:space="preserve">If you would like to submit an item for consideration by the HS DAG, please send your submission using a </w:t>
      </w:r>
      <w:hyperlink r:id="rId9" w:history="1">
        <w:r w:rsidR="00BC1FE9" w:rsidRPr="00CF6260">
          <w:rPr>
            <w:rStyle w:val="Hyperlink"/>
            <w:rFonts w:cstheme="minorHAnsi"/>
          </w:rPr>
          <w:t>submission template</w:t>
        </w:r>
      </w:hyperlink>
      <w:r w:rsidRPr="00CF6260">
        <w:rPr>
          <w:rFonts w:cstheme="minorHAnsi"/>
        </w:rPr>
        <w:t xml:space="preserve"> to the HS DAG Secretariat at: </w:t>
      </w:r>
      <w:hyperlink r:id="rId10" w:history="1">
        <w:r w:rsidRPr="00CF6260">
          <w:rPr>
            <w:rStyle w:val="Hyperlink"/>
            <w:rFonts w:cstheme="minorHAnsi"/>
          </w:rPr>
          <w:t>hs.data.advisory.group@health.gov.au</w:t>
        </w:r>
      </w:hyperlink>
      <w:r w:rsidRPr="00CF6260">
        <w:rPr>
          <w:rFonts w:cstheme="minorHAnsi"/>
        </w:rPr>
        <w:t>. All submissions will be reviewed for inclusion by the co-chairs for appropriateness.</w:t>
      </w:r>
    </w:p>
    <w:p w14:paraId="2CDAB7C7" w14:textId="0804BA7A" w:rsidR="00595C26" w:rsidRPr="00C41430" w:rsidRDefault="00595C26" w:rsidP="00595C26">
      <w:pPr>
        <w:pStyle w:val="Headertext"/>
        <w:spacing w:before="120" w:after="120"/>
        <w:jc w:val="left"/>
        <w:rPr>
          <w:rFonts w:cs="Arial"/>
        </w:rPr>
      </w:pPr>
      <w:r w:rsidRPr="00C41430">
        <w:rPr>
          <w:rFonts w:cs="Arial"/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75629290" wp14:editId="6CBC4572">
            <wp:simplePos x="0" y="0"/>
            <wp:positionH relativeFrom="margin">
              <wp:posOffset>-21590</wp:posOffset>
            </wp:positionH>
            <wp:positionV relativeFrom="paragraph">
              <wp:posOffset>12065</wp:posOffset>
            </wp:positionV>
            <wp:extent cx="5918200" cy="45719"/>
            <wp:effectExtent l="0" t="0" r="0" b="0"/>
            <wp:wrapNone/>
            <wp:docPr id="1" name="Picture 1" descr="&quot;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3 Word pillar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53664" b="45559"/>
                    <a:stretch/>
                  </pic:blipFill>
                  <pic:spPr bwMode="auto">
                    <a:xfrm>
                      <a:off x="0" y="0"/>
                      <a:ext cx="5918200" cy="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F3BD0" w14:textId="77777777" w:rsidR="00CF6260" w:rsidRPr="00CF6260" w:rsidRDefault="00CF6260" w:rsidP="00887C68">
      <w:pPr>
        <w:pStyle w:val="Heading3"/>
        <w:rPr>
          <w:sz w:val="32"/>
          <w:szCs w:val="32"/>
        </w:rPr>
      </w:pPr>
      <w:r w:rsidRPr="00CF6260">
        <w:rPr>
          <w:sz w:val="32"/>
          <w:szCs w:val="32"/>
        </w:rPr>
        <w:t>Outcomes of 30 July 2021 meeting</w:t>
      </w:r>
    </w:p>
    <w:p w14:paraId="0BEFF738" w14:textId="7007B6ED" w:rsidR="00751B60" w:rsidRPr="00887C68" w:rsidRDefault="00751B60" w:rsidP="00887C68">
      <w:pPr>
        <w:pStyle w:val="Heading3"/>
      </w:pPr>
      <w:r w:rsidRPr="00D009C9">
        <w:t xml:space="preserve">New national Key </w:t>
      </w:r>
      <w:bookmarkStart w:id="0" w:name="_Hlk80867787"/>
      <w:r w:rsidRPr="00D009C9">
        <w:t>Performance Indicators</w:t>
      </w:r>
      <w:r>
        <w:t xml:space="preserve"> </w:t>
      </w:r>
      <w:bookmarkEnd w:id="0"/>
      <w:r>
        <w:t>(nKPIs)</w:t>
      </w:r>
    </w:p>
    <w:p w14:paraId="4C0E4168" w14:textId="78962C89" w:rsidR="002049A6" w:rsidRDefault="00751B60" w:rsidP="00C851DF">
      <w:pPr>
        <w:spacing w:after="0"/>
        <w:rPr>
          <w:rFonts w:cstheme="minorHAnsi"/>
        </w:rPr>
      </w:pPr>
      <w:r>
        <w:rPr>
          <w:rFonts w:cstheme="minorHAnsi"/>
        </w:rPr>
        <w:t xml:space="preserve">The February 2020 </w:t>
      </w:r>
      <w:hyperlink r:id="rId12" w:history="1">
        <w:r>
          <w:rPr>
            <w:rStyle w:val="Hyperlink"/>
            <w:rFonts w:cstheme="minorHAnsi"/>
          </w:rPr>
          <w:t>review of the nKPI and OSR collections</w:t>
        </w:r>
      </w:hyperlink>
      <w:r>
        <w:rPr>
          <w:rFonts w:cstheme="minorHAnsi"/>
        </w:rPr>
        <w:t xml:space="preserve"> </w:t>
      </w:r>
      <w:r w:rsidR="00E64E1D">
        <w:rPr>
          <w:rFonts w:cstheme="minorHAnsi"/>
        </w:rPr>
        <w:t xml:space="preserve">by the Australian Institute of Health and Welfare (AIHW) </w:t>
      </w:r>
      <w:r>
        <w:rPr>
          <w:rFonts w:cstheme="minorHAnsi"/>
        </w:rPr>
        <w:t xml:space="preserve">recommended that consideration be given to developing </w:t>
      </w:r>
      <w:r w:rsidR="00A3034C">
        <w:rPr>
          <w:rFonts w:cstheme="minorHAnsi"/>
        </w:rPr>
        <w:t>4</w:t>
      </w:r>
      <w:r w:rsidR="00C7566A">
        <w:rPr>
          <w:rFonts w:cstheme="minorHAnsi"/>
        </w:rPr>
        <w:t xml:space="preserve"> </w:t>
      </w:r>
      <w:r>
        <w:rPr>
          <w:rFonts w:cstheme="minorHAnsi"/>
        </w:rPr>
        <w:t xml:space="preserve">new </w:t>
      </w:r>
      <w:r w:rsidR="00A3034C">
        <w:rPr>
          <w:rFonts w:cstheme="minorHAnsi"/>
        </w:rPr>
        <w:t xml:space="preserve">nKPIs - </w:t>
      </w:r>
      <w:r>
        <w:rPr>
          <w:rFonts w:cstheme="minorHAnsi"/>
        </w:rPr>
        <w:t>for eye health, sexual health, ear and hearing health</w:t>
      </w:r>
      <w:r w:rsidR="00CA4206">
        <w:rPr>
          <w:rFonts w:cstheme="minorHAnsi"/>
        </w:rPr>
        <w:t>,</w:t>
      </w:r>
      <w:r>
        <w:rPr>
          <w:rFonts w:cstheme="minorHAnsi"/>
        </w:rPr>
        <w:t xml:space="preserve"> and mental health</w:t>
      </w:r>
      <w:r w:rsidR="0036198F">
        <w:rPr>
          <w:rFonts w:cstheme="minorHAnsi"/>
        </w:rPr>
        <w:t xml:space="preserve"> or </w:t>
      </w:r>
      <w:r w:rsidR="00CA4206">
        <w:rPr>
          <w:rFonts w:cstheme="minorHAnsi"/>
        </w:rPr>
        <w:t>social and emotional wellbeing</w:t>
      </w:r>
      <w:r>
        <w:rPr>
          <w:rFonts w:cstheme="minorHAnsi"/>
        </w:rPr>
        <w:t xml:space="preserve">.  </w:t>
      </w:r>
      <w:r w:rsidR="00A3034C">
        <w:rPr>
          <w:rFonts w:cstheme="minorHAnsi"/>
        </w:rPr>
        <w:t>At the</w:t>
      </w:r>
      <w:r w:rsidR="00CA4206">
        <w:rPr>
          <w:rFonts w:cstheme="minorHAnsi"/>
        </w:rPr>
        <w:t xml:space="preserve"> 23</w:t>
      </w:r>
      <w:r w:rsidR="00C16CAA">
        <w:rPr>
          <w:rFonts w:cstheme="minorHAnsi"/>
        </w:rPr>
        <w:t> </w:t>
      </w:r>
      <w:r w:rsidR="00CA4206">
        <w:rPr>
          <w:rFonts w:cstheme="minorHAnsi"/>
        </w:rPr>
        <w:t>March</w:t>
      </w:r>
      <w:r w:rsidR="00C16CAA">
        <w:rPr>
          <w:rFonts w:cstheme="minorHAnsi"/>
        </w:rPr>
        <w:t> </w:t>
      </w:r>
      <w:r w:rsidR="00CA4206">
        <w:rPr>
          <w:rFonts w:cstheme="minorHAnsi"/>
        </w:rPr>
        <w:t>2021</w:t>
      </w:r>
      <w:r w:rsidR="00A3034C">
        <w:rPr>
          <w:rFonts w:cstheme="minorHAnsi"/>
        </w:rPr>
        <w:t xml:space="preserve"> HS DAG</w:t>
      </w:r>
      <w:r w:rsidR="00CA4206">
        <w:rPr>
          <w:rFonts w:cstheme="minorHAnsi"/>
        </w:rPr>
        <w:t xml:space="preserve"> meeting</w:t>
      </w:r>
      <w:r w:rsidR="00A3034C">
        <w:rPr>
          <w:rFonts w:cstheme="minorHAnsi"/>
        </w:rPr>
        <w:t xml:space="preserve">, members referred this matter to the </w:t>
      </w:r>
      <w:r w:rsidRPr="006C5E94">
        <w:rPr>
          <w:rFonts w:cstheme="minorHAnsi"/>
        </w:rPr>
        <w:t>Clinical and Techni</w:t>
      </w:r>
      <w:r w:rsidR="00CA4206" w:rsidRPr="006C5E94">
        <w:rPr>
          <w:rFonts w:cstheme="minorHAnsi"/>
        </w:rPr>
        <w:t>cal Working Group</w:t>
      </w:r>
      <w:r w:rsidR="00A3034C">
        <w:rPr>
          <w:rFonts w:cstheme="minorHAnsi"/>
        </w:rPr>
        <w:t xml:space="preserve"> to consider</w:t>
      </w:r>
      <w:r w:rsidR="00CA4206" w:rsidRPr="006C5E94">
        <w:rPr>
          <w:rFonts w:cstheme="minorHAnsi"/>
        </w:rPr>
        <w:t xml:space="preserve"> the feasibility of developing each of the potential indicators</w:t>
      </w:r>
      <w:r w:rsidR="00A3034C">
        <w:rPr>
          <w:rFonts w:cstheme="minorHAnsi"/>
        </w:rPr>
        <w:t xml:space="preserve">. The Working Group met via teleconference over 4 sessions in April and May 2021. </w:t>
      </w:r>
    </w:p>
    <w:p w14:paraId="01415EA3" w14:textId="6C27C06F" w:rsidR="00C851DF" w:rsidRDefault="00A3034C" w:rsidP="00C851DF">
      <w:pPr>
        <w:spacing w:after="0"/>
        <w:rPr>
          <w:rFonts w:cstheme="minorHAnsi"/>
        </w:rPr>
      </w:pPr>
      <w:r>
        <w:rPr>
          <w:rFonts w:cstheme="minorHAnsi"/>
        </w:rPr>
        <w:t xml:space="preserve">The </w:t>
      </w:r>
      <w:r w:rsidR="00C851DF">
        <w:rPr>
          <w:rFonts w:cstheme="minorHAnsi"/>
        </w:rPr>
        <w:t>Working Group did not support development of an eye health nKPI at this time. The Working Group recommended progression of the following 3 indicators, with further consultation required from the sector on acceptability:</w:t>
      </w:r>
    </w:p>
    <w:p w14:paraId="1D21C267" w14:textId="5D73BF49" w:rsidR="00C851DF" w:rsidRPr="00C851DF" w:rsidRDefault="0036198F" w:rsidP="002049A6">
      <w:pPr>
        <w:pStyle w:val="ListParagraph"/>
        <w:numPr>
          <w:ilvl w:val="0"/>
          <w:numId w:val="35"/>
        </w:numPr>
        <w:ind w:left="714" w:hanging="357"/>
        <w:contextualSpacing w:val="0"/>
        <w:rPr>
          <w:rFonts w:cstheme="minorHAnsi"/>
        </w:rPr>
      </w:pPr>
      <w:r>
        <w:t xml:space="preserve">a </w:t>
      </w:r>
      <w:r w:rsidR="00C851DF" w:rsidRPr="00873911">
        <w:t xml:space="preserve">sexual health </w:t>
      </w:r>
      <w:r w:rsidR="00C851DF">
        <w:t>nKPI</w:t>
      </w:r>
      <w:r w:rsidR="00C851DF" w:rsidRPr="00873911">
        <w:t xml:space="preserve"> </w:t>
      </w:r>
      <w:r w:rsidR="00C851DF">
        <w:t>to measure the p</w:t>
      </w:r>
      <w:r w:rsidR="00C851DF" w:rsidRPr="00873911">
        <w:t>roportion of Indigenous regular clients who were tested for one or more sexually transmissible infections</w:t>
      </w:r>
      <w:r>
        <w:t xml:space="preserve"> (syphilis / gonorrhoea)</w:t>
      </w:r>
    </w:p>
    <w:p w14:paraId="051A2709" w14:textId="1C0E6BF4" w:rsidR="00C851DF" w:rsidRPr="00C851DF" w:rsidRDefault="00C851DF" w:rsidP="002049A6">
      <w:pPr>
        <w:pStyle w:val="ListParagraph"/>
        <w:numPr>
          <w:ilvl w:val="0"/>
          <w:numId w:val="35"/>
        </w:numPr>
        <w:ind w:left="714" w:hanging="357"/>
        <w:contextualSpacing w:val="0"/>
        <w:rPr>
          <w:rFonts w:cstheme="minorHAnsi"/>
        </w:rPr>
      </w:pPr>
      <w:r>
        <w:t>an ear health nKPI to measure the p</w:t>
      </w:r>
      <w:r w:rsidRPr="00873911">
        <w:t>roportion of Indigenous regular clients aged 0-14 years who</w:t>
      </w:r>
      <w:r>
        <w:t xml:space="preserve"> have</w:t>
      </w:r>
      <w:r w:rsidRPr="00873911">
        <w:t xml:space="preserve"> received an ear health check</w:t>
      </w:r>
    </w:p>
    <w:p w14:paraId="70503FD0" w14:textId="3B3994B9" w:rsidR="00C851DF" w:rsidRDefault="00C851DF" w:rsidP="002049A6">
      <w:pPr>
        <w:pStyle w:val="ListParagraph"/>
        <w:numPr>
          <w:ilvl w:val="0"/>
          <w:numId w:val="35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a mental health nKPI based on the Medicare-</w:t>
      </w:r>
      <w:r w:rsidR="002049A6">
        <w:rPr>
          <w:rFonts w:cstheme="minorHAnsi"/>
        </w:rPr>
        <w:t>rebated</w:t>
      </w:r>
      <w:r>
        <w:rPr>
          <w:rFonts w:cstheme="minorHAnsi"/>
        </w:rPr>
        <w:t xml:space="preserve"> GP Mental Health Treatment Plan.</w:t>
      </w:r>
    </w:p>
    <w:p w14:paraId="3FDE6FEC" w14:textId="77777777" w:rsidR="00236500" w:rsidRDefault="002049A6" w:rsidP="002049A6">
      <w:pPr>
        <w:spacing w:after="0"/>
      </w:pPr>
      <w:r>
        <w:t xml:space="preserve">A public consultation process via the Department’s online Consultation Hub </w:t>
      </w:r>
      <w:r w:rsidR="00236500">
        <w:t xml:space="preserve">was open from </w:t>
      </w:r>
      <w:r>
        <w:t>26 June </w:t>
      </w:r>
      <w:r w:rsidR="00236500">
        <w:t>to</w:t>
      </w:r>
      <w:r>
        <w:t xml:space="preserve"> 29 July 2021 to seek stakeholder and community feedback on the 3 proposed new nKPIs.</w:t>
      </w:r>
      <w:r w:rsidR="00236500">
        <w:t xml:space="preserve"> </w:t>
      </w:r>
    </w:p>
    <w:p w14:paraId="4D884607" w14:textId="1D728EE6" w:rsidR="002049A6" w:rsidRDefault="002049A6" w:rsidP="002049A6">
      <w:pPr>
        <w:spacing w:after="0"/>
        <w:rPr>
          <w:rFonts w:cstheme="minorHAnsi"/>
        </w:rPr>
      </w:pPr>
      <w:r w:rsidRPr="002049A6">
        <w:rPr>
          <w:rFonts w:cstheme="minorHAnsi"/>
        </w:rPr>
        <w:lastRenderedPageBreak/>
        <w:t>A total of 47 submissions were received</w:t>
      </w:r>
      <w:r>
        <w:rPr>
          <w:rFonts w:cstheme="minorHAnsi"/>
        </w:rPr>
        <w:t xml:space="preserve"> from a range of stakeholders including Aboriginal </w:t>
      </w:r>
      <w:r w:rsidR="002E4BDB">
        <w:rPr>
          <w:rFonts w:cstheme="minorHAnsi"/>
        </w:rPr>
        <w:t>C</w:t>
      </w:r>
      <w:r w:rsidR="00236500">
        <w:rPr>
          <w:rFonts w:cstheme="minorHAnsi"/>
        </w:rPr>
        <w:t>ommunity</w:t>
      </w:r>
      <w:r w:rsidR="002E4BDB">
        <w:rPr>
          <w:rFonts w:cstheme="minorHAnsi"/>
        </w:rPr>
        <w:t xml:space="preserve"> C</w:t>
      </w:r>
      <w:r w:rsidR="00236500">
        <w:rPr>
          <w:rFonts w:cstheme="minorHAnsi"/>
        </w:rPr>
        <w:t>ontrolled</w:t>
      </w:r>
      <w:r>
        <w:rPr>
          <w:rFonts w:cstheme="minorHAnsi"/>
        </w:rPr>
        <w:t xml:space="preserve"> </w:t>
      </w:r>
      <w:r w:rsidR="002E4BDB">
        <w:rPr>
          <w:rFonts w:cstheme="minorHAnsi"/>
        </w:rPr>
        <w:t>H</w:t>
      </w:r>
      <w:r>
        <w:rPr>
          <w:rFonts w:cstheme="minorHAnsi"/>
        </w:rPr>
        <w:t xml:space="preserve">ealth </w:t>
      </w:r>
      <w:r w:rsidR="002E4BDB">
        <w:rPr>
          <w:rFonts w:cstheme="minorHAnsi"/>
        </w:rPr>
        <w:t>O</w:t>
      </w:r>
      <w:r>
        <w:rPr>
          <w:rFonts w:cstheme="minorHAnsi"/>
        </w:rPr>
        <w:t xml:space="preserve">rganisations, state/territory health services, </w:t>
      </w:r>
      <w:r w:rsidR="002E4BDB">
        <w:rPr>
          <w:rFonts w:cstheme="minorHAnsi"/>
        </w:rPr>
        <w:t>S</w:t>
      </w:r>
      <w:r w:rsidR="0021094A">
        <w:rPr>
          <w:rFonts w:cstheme="minorHAnsi"/>
        </w:rPr>
        <w:t xml:space="preserve">ector </w:t>
      </w:r>
      <w:r w:rsidR="002E4BDB">
        <w:rPr>
          <w:rFonts w:cstheme="minorHAnsi"/>
        </w:rPr>
        <w:t>S</w:t>
      </w:r>
      <w:r w:rsidR="0021094A">
        <w:rPr>
          <w:rFonts w:cstheme="minorHAnsi"/>
        </w:rPr>
        <w:t xml:space="preserve">upport </w:t>
      </w:r>
      <w:r w:rsidR="002E4BDB">
        <w:rPr>
          <w:rFonts w:cstheme="minorHAnsi"/>
        </w:rPr>
        <w:t>O</w:t>
      </w:r>
      <w:r w:rsidR="0021094A">
        <w:rPr>
          <w:rFonts w:cstheme="minorHAnsi"/>
        </w:rPr>
        <w:t>rganisations</w:t>
      </w:r>
      <w:r>
        <w:rPr>
          <w:rFonts w:cstheme="minorHAnsi"/>
        </w:rPr>
        <w:t>,</w:t>
      </w:r>
      <w:r w:rsidR="00236500">
        <w:rPr>
          <w:rFonts w:cstheme="minorHAnsi"/>
        </w:rPr>
        <w:t xml:space="preserve"> and state/territory government health departments.</w:t>
      </w:r>
    </w:p>
    <w:p w14:paraId="25A92097" w14:textId="5181E2B4" w:rsidR="002049A6" w:rsidRDefault="00236500" w:rsidP="00BE1406">
      <w:pPr>
        <w:spacing w:after="0"/>
        <w:rPr>
          <w:rFonts w:cstheme="minorHAnsi"/>
        </w:rPr>
      </w:pPr>
      <w:bookmarkStart w:id="1" w:name="_Hlk80878689"/>
      <w:r>
        <w:rPr>
          <w:rFonts w:cstheme="minorHAnsi"/>
        </w:rPr>
        <w:t xml:space="preserve">The HS DAG </w:t>
      </w:r>
      <w:r w:rsidR="007E086D">
        <w:rPr>
          <w:rFonts w:cstheme="minorHAnsi"/>
        </w:rPr>
        <w:t>is</w:t>
      </w:r>
      <w:r>
        <w:rPr>
          <w:rFonts w:cstheme="minorHAnsi"/>
        </w:rPr>
        <w:t xml:space="preserve"> considering the Working Group’s recommendations and the consultation feedback out of session</w:t>
      </w:r>
      <w:bookmarkEnd w:id="1"/>
      <w:r>
        <w:rPr>
          <w:rFonts w:cstheme="minorHAnsi"/>
        </w:rPr>
        <w:t>.</w:t>
      </w:r>
    </w:p>
    <w:p w14:paraId="5BDF8111" w14:textId="20F39059" w:rsidR="00236500" w:rsidRDefault="00236500" w:rsidP="00236500">
      <w:pPr>
        <w:rPr>
          <w:rFonts w:ascii="Times New Roman" w:hAnsi="Times New Roman"/>
        </w:rPr>
      </w:pPr>
      <w:r>
        <w:rPr>
          <w:rFonts w:cstheme="minorHAnsi"/>
        </w:rPr>
        <w:t>If development of new nKPIs is endorsed by the HS DAG,</w:t>
      </w:r>
      <w:r>
        <w:t xml:space="preserve"> </w:t>
      </w:r>
      <w:r w:rsidR="00C81545">
        <w:t>i</w:t>
      </w:r>
      <w:r>
        <w:t xml:space="preserve">t is proposed that the indicators will be pilot tested for at least two reporting periods. IHD will work with the </w:t>
      </w:r>
      <w:r w:rsidR="00883458">
        <w:t>AIHW</w:t>
      </w:r>
      <w:r>
        <w:t xml:space="preserve"> and HS DAG members to analyse the data from the pilot testing collection periods to then determine whether the new indicators should be implemented for all reporting organisations. </w:t>
      </w:r>
    </w:p>
    <w:p w14:paraId="4834FFDC" w14:textId="4B37B361" w:rsidR="00236500" w:rsidRPr="00304D22" w:rsidRDefault="00236500" w:rsidP="00236500">
      <w:pPr>
        <w:pStyle w:val="Heading3"/>
      </w:pPr>
      <w:r w:rsidRPr="00304D22">
        <w:t xml:space="preserve">The OSR and nKPI Data Framework </w:t>
      </w:r>
    </w:p>
    <w:p w14:paraId="5E1F110C" w14:textId="2FFC6F0F" w:rsidR="00C851DF" w:rsidRDefault="00A32D1C" w:rsidP="00C851DF">
      <w:pPr>
        <w:spacing w:after="0"/>
      </w:pPr>
      <w:r w:rsidRPr="00A32D1C">
        <w:rPr>
          <w:rFonts w:cstheme="minorHAnsi"/>
        </w:rPr>
        <w:t xml:space="preserve">The </w:t>
      </w:r>
      <w:r w:rsidRPr="00A32D1C">
        <w:rPr>
          <w:rFonts w:cstheme="minorHAnsi"/>
          <w:i/>
          <w:iCs/>
        </w:rPr>
        <w:t xml:space="preserve">OSR and </w:t>
      </w:r>
      <w:r w:rsidR="002A5C14">
        <w:rPr>
          <w:rFonts w:cstheme="minorHAnsi"/>
          <w:i/>
          <w:iCs/>
        </w:rPr>
        <w:t>n</w:t>
      </w:r>
      <w:r w:rsidRPr="00A32D1C">
        <w:rPr>
          <w:rFonts w:cstheme="minorHAnsi"/>
          <w:i/>
          <w:iCs/>
        </w:rPr>
        <w:t>KPI for Aboriginal and Torres Strait Islander Primary Health Care Data Framework</w:t>
      </w:r>
      <w:r w:rsidRPr="00A32D1C">
        <w:t xml:space="preserve"> articulates the roles and responsibilities of participants in the collection, use, access, privacy and security of the nKPI and OSR data</w:t>
      </w:r>
      <w:r>
        <w:t>.</w:t>
      </w:r>
      <w:r w:rsidRPr="00A32D1C">
        <w:t xml:space="preserve"> </w:t>
      </w:r>
      <w:r w:rsidR="00E72217">
        <w:t xml:space="preserve">A public consultation process for </w:t>
      </w:r>
      <w:r w:rsidR="00B27B09">
        <w:t xml:space="preserve">revision of the </w:t>
      </w:r>
      <w:r w:rsidR="00B27B09">
        <w:t xml:space="preserve">October </w:t>
      </w:r>
      <w:r w:rsidR="00B27B09">
        <w:t xml:space="preserve">2015 </w:t>
      </w:r>
      <w:r w:rsidRPr="00A32D1C">
        <w:rPr>
          <w:rFonts w:cstheme="minorHAnsi"/>
        </w:rPr>
        <w:t>Framework</w:t>
      </w:r>
      <w:r w:rsidR="00E72217" w:rsidRPr="001C2639">
        <w:rPr>
          <w:rFonts w:ascii="Times New Roman" w:hAnsi="Times New Roman"/>
        </w:rPr>
        <w:t xml:space="preserve"> </w:t>
      </w:r>
      <w:r w:rsidR="00E72217">
        <w:t xml:space="preserve">was open from </w:t>
      </w:r>
      <w:r w:rsidR="007E086D">
        <w:t xml:space="preserve">3 May to 14 June </w:t>
      </w:r>
      <w:r w:rsidR="00E72217">
        <w:t xml:space="preserve">2021 </w:t>
      </w:r>
      <w:r w:rsidR="007E086D">
        <w:t>on</w:t>
      </w:r>
      <w:r w:rsidR="00E72217">
        <w:t xml:space="preserve"> the Department’s online Consultation Hub.</w:t>
      </w:r>
      <w:r w:rsidR="007E086D">
        <w:t xml:space="preserve"> A total of 15 responses were received from Aboriginal </w:t>
      </w:r>
      <w:r w:rsidR="002E4BDB">
        <w:rPr>
          <w:rFonts w:cstheme="minorHAnsi"/>
        </w:rPr>
        <w:t>C</w:t>
      </w:r>
      <w:r w:rsidR="0021094A">
        <w:rPr>
          <w:rFonts w:cstheme="minorHAnsi"/>
        </w:rPr>
        <w:t>ommunity</w:t>
      </w:r>
      <w:r w:rsidR="002E4BDB">
        <w:rPr>
          <w:rFonts w:cstheme="minorHAnsi"/>
        </w:rPr>
        <w:t xml:space="preserve"> C</w:t>
      </w:r>
      <w:r w:rsidR="0021094A">
        <w:rPr>
          <w:rFonts w:cstheme="minorHAnsi"/>
        </w:rPr>
        <w:t xml:space="preserve">ontrolled </w:t>
      </w:r>
      <w:r w:rsidR="002E4BDB">
        <w:rPr>
          <w:rFonts w:cstheme="minorHAnsi"/>
        </w:rPr>
        <w:t>H</w:t>
      </w:r>
      <w:r w:rsidR="0021094A">
        <w:rPr>
          <w:rFonts w:cstheme="minorHAnsi"/>
        </w:rPr>
        <w:t xml:space="preserve">ealth </w:t>
      </w:r>
      <w:r w:rsidR="002E4BDB">
        <w:rPr>
          <w:rFonts w:cstheme="minorHAnsi"/>
        </w:rPr>
        <w:t>O</w:t>
      </w:r>
      <w:r w:rsidR="0021094A">
        <w:rPr>
          <w:rFonts w:cstheme="minorHAnsi"/>
        </w:rPr>
        <w:t>rganisations</w:t>
      </w:r>
      <w:r w:rsidR="007E086D">
        <w:t xml:space="preserve">, a </w:t>
      </w:r>
      <w:r w:rsidR="002E4BDB">
        <w:t>S</w:t>
      </w:r>
      <w:r w:rsidR="007E086D">
        <w:t xml:space="preserve">ector </w:t>
      </w:r>
      <w:r w:rsidR="002E4BDB">
        <w:t>S</w:t>
      </w:r>
      <w:r w:rsidR="007E086D">
        <w:t xml:space="preserve">upport </w:t>
      </w:r>
      <w:r w:rsidR="002E4BDB">
        <w:t>O</w:t>
      </w:r>
      <w:r w:rsidR="007E086D">
        <w:t>rganisation and a Local Health Network.</w:t>
      </w:r>
    </w:p>
    <w:p w14:paraId="2302F94D" w14:textId="3BE25276" w:rsidR="007E086D" w:rsidRDefault="007E086D" w:rsidP="007E086D">
      <w:pPr>
        <w:spacing w:after="0"/>
        <w:rPr>
          <w:rFonts w:cstheme="minorHAnsi"/>
        </w:rPr>
      </w:pPr>
      <w:r>
        <w:rPr>
          <w:rFonts w:cstheme="minorHAnsi"/>
        </w:rPr>
        <w:t xml:space="preserve">The HS DAG is considering the consultation feedback and the final Framework document out of session. Once endorsed, the </w:t>
      </w:r>
      <w:r>
        <w:t>Framework will be published on the Department’s website.</w:t>
      </w:r>
    </w:p>
    <w:p w14:paraId="74D04EA9" w14:textId="77777777" w:rsidR="007E086D" w:rsidRDefault="007E086D" w:rsidP="007E086D">
      <w:pPr>
        <w:pStyle w:val="Heading3"/>
      </w:pPr>
      <w:r>
        <w:t>Process for regular review of the nKPI collection</w:t>
      </w:r>
    </w:p>
    <w:p w14:paraId="61930FC0" w14:textId="3AF562BA" w:rsidR="003B3CCD" w:rsidRDefault="00395824" w:rsidP="00B307ED">
      <w:pPr>
        <w:rPr>
          <w:rFonts w:cstheme="minorHAnsi"/>
        </w:rPr>
      </w:pPr>
      <w:r>
        <w:t xml:space="preserve">The HS DAG </w:t>
      </w:r>
      <w:r w:rsidR="00503EFA">
        <w:t>discussed</w:t>
      </w:r>
      <w:r>
        <w:t xml:space="preserve"> a</w:t>
      </w:r>
      <w:r w:rsidR="00B307ED">
        <w:t xml:space="preserve"> process for reviewing and maintaining the nKPI</w:t>
      </w:r>
      <w:r w:rsidR="004C7BC0">
        <w:t xml:space="preserve">s </w:t>
      </w:r>
      <w:r w:rsidR="004C7BC0">
        <w:rPr>
          <w:rFonts w:cstheme="minorHAnsi"/>
        </w:rPr>
        <w:t>to ensure the</w:t>
      </w:r>
      <w:r w:rsidR="004C7BC0">
        <w:t xml:space="preserve"> ongoing relevance and utility of the collection. The process w</w:t>
      </w:r>
      <w:r w:rsidR="003B3CCD">
        <w:t>ill</w:t>
      </w:r>
      <w:r w:rsidR="004C7BC0">
        <w:t xml:space="preserve"> </w:t>
      </w:r>
      <w:r>
        <w:t xml:space="preserve">include </w:t>
      </w:r>
      <w:r w:rsidR="00B307ED" w:rsidRPr="00395824">
        <w:rPr>
          <w:rFonts w:cstheme="minorHAnsi"/>
        </w:rPr>
        <w:t xml:space="preserve">updates </w:t>
      </w:r>
      <w:r w:rsidR="004C7BC0">
        <w:rPr>
          <w:rFonts w:cstheme="minorHAnsi"/>
        </w:rPr>
        <w:t>or</w:t>
      </w:r>
      <w:r>
        <w:rPr>
          <w:rFonts w:cstheme="minorHAnsi"/>
        </w:rPr>
        <w:t xml:space="preserve"> </w:t>
      </w:r>
      <w:r w:rsidR="00B307ED" w:rsidRPr="00395824">
        <w:rPr>
          <w:rFonts w:cstheme="minorHAnsi"/>
        </w:rPr>
        <w:t>retirement of existing indicators</w:t>
      </w:r>
      <w:r w:rsidR="003B3CCD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B307ED" w:rsidRPr="00395824">
        <w:rPr>
          <w:rFonts w:cstheme="minorHAnsi"/>
        </w:rPr>
        <w:t xml:space="preserve">addition of </w:t>
      </w:r>
      <w:r w:rsidR="004C7BC0">
        <w:rPr>
          <w:rFonts w:cstheme="minorHAnsi"/>
        </w:rPr>
        <w:t xml:space="preserve">any </w:t>
      </w:r>
      <w:r w:rsidR="00B307ED" w:rsidRPr="00395824">
        <w:rPr>
          <w:rFonts w:cstheme="minorHAnsi"/>
        </w:rPr>
        <w:t>new indicators</w:t>
      </w:r>
      <w:r w:rsidR="003B3CCD">
        <w:rPr>
          <w:rFonts w:cstheme="minorHAnsi"/>
        </w:rPr>
        <w:t xml:space="preserve">, and </w:t>
      </w:r>
      <w:r w:rsidR="003B3CCD">
        <w:t>allows for a 5-yearly formal review cycle.</w:t>
      </w:r>
    </w:p>
    <w:p w14:paraId="703DB4FB" w14:textId="6E0D44E0" w:rsidR="003B3CCD" w:rsidRDefault="00B307ED" w:rsidP="00B307ED">
      <w:r>
        <w:t xml:space="preserve">An end-to-end process </w:t>
      </w:r>
      <w:r w:rsidR="00395824">
        <w:t>w</w:t>
      </w:r>
      <w:r w:rsidR="00503EFA">
        <w:t>ill</w:t>
      </w:r>
      <w:r>
        <w:t xml:space="preserve"> make the management of the collection </w:t>
      </w:r>
      <w:r w:rsidR="009664AA">
        <w:t>more transparent, systematic</w:t>
      </w:r>
      <w:r>
        <w:t xml:space="preserve"> </w:t>
      </w:r>
      <w:r w:rsidR="009664AA">
        <w:t xml:space="preserve">and efficient. </w:t>
      </w:r>
      <w:r w:rsidR="003B3CCD">
        <w:t>The HS DAG will endorse a final process out of session.</w:t>
      </w:r>
    </w:p>
    <w:p w14:paraId="18F803B6" w14:textId="2F3BDA15" w:rsidR="00B20569" w:rsidRPr="00B20569" w:rsidRDefault="00B20569" w:rsidP="007E086D">
      <w:pPr>
        <w:pStyle w:val="Heading3"/>
      </w:pPr>
      <w:r w:rsidRPr="00B20569">
        <w:t xml:space="preserve">OSR Stage 4 </w:t>
      </w:r>
      <w:r w:rsidR="00AD12B8">
        <w:t>build</w:t>
      </w:r>
    </w:p>
    <w:p w14:paraId="4AD9CFAC" w14:textId="26CBE6BC" w:rsidR="00503EFA" w:rsidRPr="00503EFA" w:rsidRDefault="00503EFA" w:rsidP="00503EFA">
      <w:r w:rsidRPr="00503EFA">
        <w:t xml:space="preserve">The OSR has been streamlined and restructured following the </w:t>
      </w:r>
      <w:r w:rsidR="00E64E1D">
        <w:t>AIHW’s</w:t>
      </w:r>
      <w:r w:rsidRPr="00503EFA">
        <w:t xml:space="preserve"> February 2020</w:t>
      </w:r>
      <w:r w:rsidRPr="00503EFA">
        <w:rPr>
          <w:i/>
          <w:iCs/>
        </w:rPr>
        <w:t xml:space="preserve"> </w:t>
      </w:r>
      <w:hyperlink r:id="rId13" w:history="1">
        <w:r w:rsidR="00E64E1D" w:rsidRPr="00E64E1D">
          <w:rPr>
            <w:rStyle w:val="Hyperlink"/>
          </w:rPr>
          <w:t>review of the nKPI and OSR collections</w:t>
        </w:r>
      </w:hyperlink>
      <w:r w:rsidRPr="00E64E1D">
        <w:t>.</w:t>
      </w:r>
      <w:r w:rsidRPr="00503EFA">
        <w:t xml:space="preserve"> Implementation of the new OSR has taken place in stages, with Stage 3 features launched for the </w:t>
      </w:r>
      <w:r w:rsidR="00F97AC5">
        <w:t xml:space="preserve">recent </w:t>
      </w:r>
      <w:r w:rsidRPr="00503EFA">
        <w:t xml:space="preserve">2020-21 OSR collection. </w:t>
      </w:r>
    </w:p>
    <w:p w14:paraId="629996E4" w14:textId="630FB7E2" w:rsidR="00863C83" w:rsidRDefault="00503EFA" w:rsidP="00503EFA">
      <w:pPr>
        <w:rPr>
          <w:rFonts w:ascii="Calibri" w:hAnsi="Calibri"/>
        </w:rPr>
      </w:pPr>
      <w:r w:rsidRPr="00503EFA">
        <w:t>Stage 4</w:t>
      </w:r>
      <w:r w:rsidR="00F97AC5">
        <w:t xml:space="preserve"> will be implemented</w:t>
      </w:r>
      <w:r w:rsidRPr="00503EFA">
        <w:t xml:space="preserve"> in time for the 2021-22 </w:t>
      </w:r>
      <w:r w:rsidR="00F97AC5">
        <w:t xml:space="preserve">data </w:t>
      </w:r>
      <w:r w:rsidRPr="00503EFA">
        <w:t>collection</w:t>
      </w:r>
      <w:r w:rsidR="00F97AC5">
        <w:t xml:space="preserve"> period which will</w:t>
      </w:r>
      <w:r w:rsidRPr="00503EFA">
        <w:t xml:space="preserve"> open on 1 July 2022</w:t>
      </w:r>
      <w:r w:rsidR="00F97AC5">
        <w:t>.</w:t>
      </w:r>
      <w:r w:rsidRPr="00503EFA">
        <w:t xml:space="preserve"> The major</w:t>
      </w:r>
      <w:r w:rsidR="00F97AC5">
        <w:t xml:space="preserve"> new</w:t>
      </w:r>
      <w:r w:rsidRPr="00503EFA">
        <w:t xml:space="preserve"> item </w:t>
      </w:r>
      <w:r w:rsidR="00F97AC5">
        <w:t>will be</w:t>
      </w:r>
      <w:r w:rsidRPr="00503EFA">
        <w:t xml:space="preserve"> the collection of a high-level list of services provided by each organisation</w:t>
      </w:r>
      <w:r w:rsidR="00F97AC5">
        <w:t xml:space="preserve">. This is intended </w:t>
      </w:r>
      <w:r w:rsidRPr="00503EFA">
        <w:t>to highlight the wide range of services provided by the sector compared to GP</w:t>
      </w:r>
      <w:r w:rsidR="00E658F1">
        <w:t xml:space="preserve"> </w:t>
      </w:r>
      <w:r w:rsidRPr="00503EFA">
        <w:t>clinics.</w:t>
      </w:r>
      <w:r w:rsidR="00F97AC5">
        <w:t xml:space="preserve"> </w:t>
      </w:r>
      <w:r w:rsidR="00E00649">
        <w:t xml:space="preserve">The </w:t>
      </w:r>
      <w:r w:rsidR="00863C83">
        <w:t>HS DAG has agreed to h</w:t>
      </w:r>
      <w:r w:rsidR="00E00649">
        <w:t>old</w:t>
      </w:r>
      <w:r w:rsidR="00863C83">
        <w:t xml:space="preserve"> a workshop</w:t>
      </w:r>
      <w:r w:rsidR="00E00649">
        <w:t xml:space="preserve"> in September 2021 to</w:t>
      </w:r>
      <w:r w:rsidR="00863C83">
        <w:t xml:space="preserve"> focus on </w:t>
      </w:r>
      <w:r w:rsidR="00E00649">
        <w:t xml:space="preserve">the </w:t>
      </w:r>
      <w:r w:rsidR="00863C83">
        <w:t>final OSR build questions</w:t>
      </w:r>
      <w:r w:rsidR="00E00649">
        <w:t>.</w:t>
      </w:r>
    </w:p>
    <w:p w14:paraId="7666B056" w14:textId="7DB31D1A" w:rsidR="007E086D" w:rsidRPr="00304D22" w:rsidRDefault="007E086D" w:rsidP="007E086D">
      <w:pPr>
        <w:pStyle w:val="Heading3"/>
      </w:pPr>
      <w:r w:rsidRPr="00304D22">
        <w:t>Condition Coding Framework</w:t>
      </w:r>
    </w:p>
    <w:p w14:paraId="6A032308" w14:textId="77777777" w:rsidR="00FE164A" w:rsidRDefault="00A52F1E" w:rsidP="00A52F1E">
      <w:pPr>
        <w:spacing w:after="0"/>
      </w:pPr>
      <w:r w:rsidRPr="00A52F1E">
        <w:t xml:space="preserve">NPS MedicineWise was engaged by the Department </w:t>
      </w:r>
      <w:r w:rsidR="00756550">
        <w:t>in</w:t>
      </w:r>
      <w:r w:rsidR="007B5362">
        <w:t xml:space="preserve"> February 2021 </w:t>
      </w:r>
      <w:r w:rsidRPr="00A52F1E">
        <w:t>to undertake a review of the condition codes currently used in clinical information systems (CIS) to produce values for the nKPIs</w:t>
      </w:r>
      <w:r w:rsidR="00E64E1D">
        <w:t>.</w:t>
      </w:r>
      <w:r w:rsidRPr="00A52F1E">
        <w:t xml:space="preserve"> The original condition code lists for the nKPIs were created in 2016 by the Improvement Foundation and have not been systematically reviewed since. </w:t>
      </w:r>
    </w:p>
    <w:p w14:paraId="3DFC1E4F" w14:textId="5BEB3954" w:rsidR="00A52F1E" w:rsidRPr="00A52F1E" w:rsidRDefault="00E64E1D" w:rsidP="00A52F1E">
      <w:pPr>
        <w:spacing w:after="0"/>
      </w:pPr>
      <w:r>
        <w:lastRenderedPageBreak/>
        <w:t>As part of this work, NPS MedicineWise has produced a Condition Coding Framework, which was noted by the HS DAG.</w:t>
      </w:r>
    </w:p>
    <w:p w14:paraId="0C239112" w14:textId="16DCFF85" w:rsidR="00A52F1E" w:rsidRPr="00A52F1E" w:rsidRDefault="00A52F1E" w:rsidP="00A52F1E">
      <w:pPr>
        <w:spacing w:after="0"/>
      </w:pPr>
      <w:r w:rsidRPr="00A52F1E">
        <w:t>Each CIS uses a different clinical term set (e.g. ICPC2, DOCLE) to define the set of conditions and sub-conditions which make up type 2 diabetes, chronic kidney disease, chronic obstructive pulmonary disease</w:t>
      </w:r>
      <w:r w:rsidR="00E64E1D">
        <w:t>,</w:t>
      </w:r>
      <w:r w:rsidRPr="00A52F1E">
        <w:t xml:space="preserve"> </w:t>
      </w:r>
      <w:r w:rsidR="00E64E1D">
        <w:t xml:space="preserve">and </w:t>
      </w:r>
      <w:r w:rsidRPr="00A52F1E">
        <w:t>cardiovascular disease. The current application of condition definitions varies between CIS vendors. Bringing these into closer alignment will improve both the accuracy of reporting from each CIS and</w:t>
      </w:r>
      <w:r w:rsidR="00E64E1D">
        <w:t xml:space="preserve"> the </w:t>
      </w:r>
      <w:r w:rsidRPr="00A52F1E">
        <w:t>comparability across CIS outputs.</w:t>
      </w:r>
    </w:p>
    <w:p w14:paraId="7D56516C" w14:textId="6B8CD3BB" w:rsidR="00A52F1E" w:rsidRPr="00A52F1E" w:rsidRDefault="00A52F1E" w:rsidP="00A52F1E">
      <w:pPr>
        <w:spacing w:after="0"/>
      </w:pPr>
      <w:r w:rsidRPr="00A52F1E">
        <w:t xml:space="preserve">Condition coding lists for each CIS will be incorporated into the </w:t>
      </w:r>
      <w:hyperlink r:id="rId14" w:anchor="reporting-specifications" w:history="1">
        <w:r w:rsidR="00BE2B14" w:rsidRPr="00BE2B14">
          <w:rPr>
            <w:rStyle w:val="Hyperlink"/>
            <w:i/>
            <w:iCs/>
          </w:rPr>
          <w:t>Specifications for National Key Performance Indicators And Online Services Reporting</w:t>
        </w:r>
      </w:hyperlink>
      <w:r w:rsidR="00BE2B14">
        <w:t xml:space="preserve"> document </w:t>
      </w:r>
      <w:r w:rsidRPr="00A52F1E">
        <w:t xml:space="preserve">which </w:t>
      </w:r>
      <w:r w:rsidR="00BE2B14">
        <w:t>is</w:t>
      </w:r>
      <w:r w:rsidRPr="00A52F1E">
        <w:t xml:space="preserve"> </w:t>
      </w:r>
      <w:r w:rsidR="00BE2B14">
        <w:t>published on the</w:t>
      </w:r>
      <w:r w:rsidRPr="00A52F1E">
        <w:t xml:space="preserve"> NPS MedicineWise</w:t>
      </w:r>
      <w:r w:rsidR="00BE2B14">
        <w:t xml:space="preserve"> website</w:t>
      </w:r>
      <w:r w:rsidRPr="00A52F1E">
        <w:t xml:space="preserve">. </w:t>
      </w:r>
    </w:p>
    <w:p w14:paraId="5A69D043" w14:textId="1EA211DC" w:rsidR="00A52F1E" w:rsidRPr="00A52F1E" w:rsidRDefault="00A52F1E" w:rsidP="00A52F1E">
      <w:pPr>
        <w:spacing w:after="0"/>
      </w:pPr>
      <w:r w:rsidRPr="00A52F1E">
        <w:t>Changes to the CIS will be in place for either the December 2021 or June 2022 nKPI collections, depending on the capacity of vendors.</w:t>
      </w:r>
    </w:p>
    <w:p w14:paraId="7526333A" w14:textId="58ED23F9" w:rsidR="005508A4" w:rsidRPr="00304D22" w:rsidRDefault="005508A4" w:rsidP="005508A4">
      <w:pPr>
        <w:pStyle w:val="Heading3"/>
      </w:pPr>
      <w:r>
        <w:t>Next meeting</w:t>
      </w:r>
    </w:p>
    <w:p w14:paraId="35DD7885" w14:textId="14A3977C" w:rsidR="00C7566A" w:rsidRPr="001B776E" w:rsidRDefault="00C7566A" w:rsidP="00C7566A">
      <w:pPr>
        <w:pStyle w:val="NoSpacing"/>
        <w:rPr>
          <w:rFonts w:asciiTheme="minorHAnsi" w:hAnsiTheme="minorHAnsi" w:cstheme="minorHAnsi"/>
        </w:rPr>
      </w:pPr>
      <w:r w:rsidRPr="001B776E">
        <w:rPr>
          <w:rFonts w:asciiTheme="minorHAnsi" w:hAnsiTheme="minorHAnsi" w:cstheme="minorHAnsi"/>
        </w:rPr>
        <w:t>The next HS DAG meeting is scheduled for</w:t>
      </w:r>
      <w:r w:rsidR="00A52F1E">
        <w:rPr>
          <w:rFonts w:asciiTheme="minorHAnsi" w:hAnsiTheme="minorHAnsi" w:cstheme="minorHAnsi"/>
        </w:rPr>
        <w:t xml:space="preserve"> </w:t>
      </w:r>
      <w:r w:rsidR="00BE4A6D">
        <w:rPr>
          <w:rFonts w:asciiTheme="minorHAnsi" w:hAnsiTheme="minorHAnsi" w:cstheme="minorHAnsi"/>
        </w:rPr>
        <w:t xml:space="preserve">16 November </w:t>
      </w:r>
      <w:r>
        <w:rPr>
          <w:rFonts w:asciiTheme="minorHAnsi" w:hAnsiTheme="minorHAnsi" w:cstheme="minorHAnsi"/>
        </w:rPr>
        <w:t>2021</w:t>
      </w:r>
      <w:r w:rsidRPr="001B776E">
        <w:rPr>
          <w:rFonts w:asciiTheme="minorHAnsi" w:hAnsiTheme="minorHAnsi" w:cstheme="minorHAnsi"/>
        </w:rPr>
        <w:t>.</w:t>
      </w:r>
    </w:p>
    <w:sectPr w:rsidR="00C7566A" w:rsidRPr="001B776E" w:rsidSect="00FE164A">
      <w:footerReference w:type="default" r:id="rId15"/>
      <w:headerReference w:type="first" r:id="rId16"/>
      <w:pgSz w:w="11906" w:h="16838"/>
      <w:pgMar w:top="1440" w:right="1440" w:bottom="1440" w:left="1440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59F37" w14:textId="77777777" w:rsidR="00551272" w:rsidRDefault="00551272" w:rsidP="00712F13">
      <w:pPr>
        <w:spacing w:after="0"/>
      </w:pPr>
      <w:r>
        <w:separator/>
      </w:r>
    </w:p>
  </w:endnote>
  <w:endnote w:type="continuationSeparator" w:id="0">
    <w:p w14:paraId="0364A559" w14:textId="77777777" w:rsidR="00551272" w:rsidRDefault="00551272" w:rsidP="00712F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</w:rPr>
      <w:id w:val="-18821584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44D1736" w14:textId="29A4B6D7" w:rsidR="005E4817" w:rsidRPr="005E4817" w:rsidRDefault="00E86C76" w:rsidP="005E4817">
        <w:pPr>
          <w:jc w:val="center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>HS DAG Communique #</w:t>
        </w:r>
        <w:r w:rsidR="00595C26">
          <w:rPr>
            <w:b/>
            <w:sz w:val="28"/>
            <w:szCs w:val="28"/>
          </w:rPr>
          <w:t>5</w:t>
        </w:r>
        <w:r w:rsidR="005E4817" w:rsidRPr="005E4817">
          <w:rPr>
            <w:b/>
            <w:sz w:val="28"/>
            <w:szCs w:val="28"/>
          </w:rPr>
          <w:t xml:space="preserve"> </w:t>
        </w:r>
        <w:r w:rsidR="002207AD">
          <w:rPr>
            <w:b/>
            <w:sz w:val="28"/>
            <w:szCs w:val="28"/>
          </w:rPr>
          <w:t>–</w:t>
        </w:r>
        <w:r w:rsidR="005E4817" w:rsidRPr="005E4817">
          <w:rPr>
            <w:b/>
            <w:sz w:val="28"/>
            <w:szCs w:val="28"/>
          </w:rPr>
          <w:t xml:space="preserve"> </w:t>
        </w:r>
        <w:r w:rsidR="00595C26">
          <w:rPr>
            <w:b/>
            <w:sz w:val="28"/>
            <w:szCs w:val="28"/>
          </w:rPr>
          <w:t>August</w:t>
        </w:r>
        <w:r w:rsidR="002207AD">
          <w:rPr>
            <w:b/>
            <w:sz w:val="28"/>
            <w:szCs w:val="28"/>
          </w:rPr>
          <w:t xml:space="preserve"> 2021</w:t>
        </w:r>
      </w:p>
      <w:p w14:paraId="5C803AD9" w14:textId="77777777" w:rsidR="00301964" w:rsidRPr="00AB3BAB" w:rsidRDefault="00301964" w:rsidP="005E4817">
        <w:pPr>
          <w:pStyle w:val="Footer"/>
          <w:ind w:left="142" w:hanging="142"/>
          <w:jc w:val="center"/>
          <w:rPr>
            <w:sz w:val="20"/>
            <w:szCs w:val="20"/>
          </w:rPr>
        </w:pPr>
        <w:r w:rsidRPr="00020CDA">
          <w:fldChar w:fldCharType="begin"/>
        </w:r>
        <w:r w:rsidRPr="00020CDA">
          <w:instrText xml:space="preserve"> PAGE   \* MERGEFORMAT </w:instrText>
        </w:r>
        <w:r w:rsidRPr="00020CDA">
          <w:fldChar w:fldCharType="separate"/>
        </w:r>
        <w:r w:rsidR="001E534D">
          <w:rPr>
            <w:noProof/>
          </w:rPr>
          <w:t>2</w:t>
        </w:r>
        <w:r w:rsidRPr="00020CD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1CD5B" w14:textId="77777777" w:rsidR="00551272" w:rsidRDefault="00551272" w:rsidP="00712F13">
      <w:pPr>
        <w:spacing w:after="0"/>
      </w:pPr>
      <w:r>
        <w:separator/>
      </w:r>
    </w:p>
  </w:footnote>
  <w:footnote w:type="continuationSeparator" w:id="0">
    <w:p w14:paraId="08B5B1EB" w14:textId="77777777" w:rsidR="00551272" w:rsidRDefault="00551272" w:rsidP="00712F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AC16E" w14:textId="77777777" w:rsidR="00020CDA" w:rsidRDefault="00D51320" w:rsidP="00D51320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EEF3E4E" wp14:editId="764D3076">
          <wp:extent cx="1266825" cy="840105"/>
          <wp:effectExtent l="0" t="0" r="9525" b="0"/>
          <wp:docPr id="10" name="Picture 10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Health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776" cy="84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E6A"/>
    <w:multiLevelType w:val="hybridMultilevel"/>
    <w:tmpl w:val="DCF8B04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DF30B2"/>
    <w:multiLevelType w:val="hybridMultilevel"/>
    <w:tmpl w:val="BB426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78AB"/>
    <w:multiLevelType w:val="hybridMultilevel"/>
    <w:tmpl w:val="F9A60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5386"/>
    <w:multiLevelType w:val="hybridMultilevel"/>
    <w:tmpl w:val="26B8B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7B58"/>
    <w:multiLevelType w:val="hybridMultilevel"/>
    <w:tmpl w:val="73FE6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F0A"/>
    <w:multiLevelType w:val="hybridMultilevel"/>
    <w:tmpl w:val="CA640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220D"/>
    <w:multiLevelType w:val="hybridMultilevel"/>
    <w:tmpl w:val="9F68037E"/>
    <w:lvl w:ilvl="0" w:tplc="4CD601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0D15"/>
    <w:multiLevelType w:val="hybridMultilevel"/>
    <w:tmpl w:val="1FAEA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5453"/>
    <w:multiLevelType w:val="singleLevel"/>
    <w:tmpl w:val="A706268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32C7272F"/>
    <w:multiLevelType w:val="hybridMultilevel"/>
    <w:tmpl w:val="EAD44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8430D"/>
    <w:multiLevelType w:val="hybridMultilevel"/>
    <w:tmpl w:val="282C8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50409"/>
    <w:multiLevelType w:val="hybridMultilevel"/>
    <w:tmpl w:val="208E496C"/>
    <w:lvl w:ilvl="0" w:tplc="D7DA556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351C"/>
    <w:multiLevelType w:val="hybridMultilevel"/>
    <w:tmpl w:val="7172B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A010E"/>
    <w:multiLevelType w:val="hybridMultilevel"/>
    <w:tmpl w:val="47D63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63F31"/>
    <w:multiLevelType w:val="hybridMultilevel"/>
    <w:tmpl w:val="563C8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75B3B"/>
    <w:multiLevelType w:val="hybridMultilevel"/>
    <w:tmpl w:val="6DD2A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32577"/>
    <w:multiLevelType w:val="hybridMultilevel"/>
    <w:tmpl w:val="7150AB7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CA92724"/>
    <w:multiLevelType w:val="hybridMultilevel"/>
    <w:tmpl w:val="B02E5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F6673"/>
    <w:multiLevelType w:val="hybridMultilevel"/>
    <w:tmpl w:val="DD802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B4651"/>
    <w:multiLevelType w:val="hybridMultilevel"/>
    <w:tmpl w:val="9D80C406"/>
    <w:lvl w:ilvl="0" w:tplc="4CD601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B5FA7"/>
    <w:multiLevelType w:val="hybridMultilevel"/>
    <w:tmpl w:val="B2AC1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E329B"/>
    <w:multiLevelType w:val="hybridMultilevel"/>
    <w:tmpl w:val="400C7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162D8"/>
    <w:multiLevelType w:val="hybridMultilevel"/>
    <w:tmpl w:val="D6946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63C65"/>
    <w:multiLevelType w:val="hybridMultilevel"/>
    <w:tmpl w:val="3F680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6062"/>
    <w:multiLevelType w:val="hybridMultilevel"/>
    <w:tmpl w:val="A25E73A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4702D2"/>
    <w:multiLevelType w:val="hybridMultilevel"/>
    <w:tmpl w:val="D41CC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017DC"/>
    <w:multiLevelType w:val="hybridMultilevel"/>
    <w:tmpl w:val="2FBA5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36947"/>
    <w:multiLevelType w:val="hybridMultilevel"/>
    <w:tmpl w:val="373A0B70"/>
    <w:lvl w:ilvl="0" w:tplc="32149CFE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465C3A"/>
    <w:multiLevelType w:val="hybridMultilevel"/>
    <w:tmpl w:val="D27A2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8687D"/>
    <w:multiLevelType w:val="hybridMultilevel"/>
    <w:tmpl w:val="1840CB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50D77"/>
    <w:multiLevelType w:val="hybridMultilevel"/>
    <w:tmpl w:val="FC32B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B486C"/>
    <w:multiLevelType w:val="hybridMultilevel"/>
    <w:tmpl w:val="FBD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A632B"/>
    <w:multiLevelType w:val="hybridMultilevel"/>
    <w:tmpl w:val="04465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951EB"/>
    <w:multiLevelType w:val="hybridMultilevel"/>
    <w:tmpl w:val="EF1C93B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7"/>
  </w:num>
  <w:num w:numId="4">
    <w:abstractNumId w:val="33"/>
  </w:num>
  <w:num w:numId="5">
    <w:abstractNumId w:val="24"/>
  </w:num>
  <w:num w:numId="6">
    <w:abstractNumId w:val="25"/>
  </w:num>
  <w:num w:numId="7">
    <w:abstractNumId w:val="19"/>
  </w:num>
  <w:num w:numId="8">
    <w:abstractNumId w:val="33"/>
  </w:num>
  <w:num w:numId="9">
    <w:abstractNumId w:val="30"/>
  </w:num>
  <w:num w:numId="10">
    <w:abstractNumId w:val="7"/>
  </w:num>
  <w:num w:numId="11">
    <w:abstractNumId w:val="31"/>
  </w:num>
  <w:num w:numId="12">
    <w:abstractNumId w:val="29"/>
  </w:num>
  <w:num w:numId="13">
    <w:abstractNumId w:val="10"/>
  </w:num>
  <w:num w:numId="14">
    <w:abstractNumId w:val="4"/>
  </w:num>
  <w:num w:numId="15">
    <w:abstractNumId w:val="13"/>
  </w:num>
  <w:num w:numId="16">
    <w:abstractNumId w:val="23"/>
  </w:num>
  <w:num w:numId="17">
    <w:abstractNumId w:val="3"/>
  </w:num>
  <w:num w:numId="18">
    <w:abstractNumId w:val="11"/>
  </w:num>
  <w:num w:numId="19">
    <w:abstractNumId w:val="8"/>
  </w:num>
  <w:num w:numId="20">
    <w:abstractNumId w:val="5"/>
  </w:num>
  <w:num w:numId="21">
    <w:abstractNumId w:val="9"/>
  </w:num>
  <w:num w:numId="22">
    <w:abstractNumId w:val="22"/>
  </w:num>
  <w:num w:numId="23">
    <w:abstractNumId w:val="14"/>
  </w:num>
  <w:num w:numId="24">
    <w:abstractNumId w:val="2"/>
  </w:num>
  <w:num w:numId="25">
    <w:abstractNumId w:val="26"/>
  </w:num>
  <w:num w:numId="26">
    <w:abstractNumId w:val="28"/>
  </w:num>
  <w:num w:numId="27">
    <w:abstractNumId w:val="1"/>
  </w:num>
  <w:num w:numId="28">
    <w:abstractNumId w:val="32"/>
  </w:num>
  <w:num w:numId="29">
    <w:abstractNumId w:val="16"/>
  </w:num>
  <w:num w:numId="30">
    <w:abstractNumId w:val="0"/>
  </w:num>
  <w:num w:numId="31">
    <w:abstractNumId w:val="20"/>
  </w:num>
  <w:num w:numId="32">
    <w:abstractNumId w:val="18"/>
  </w:num>
  <w:num w:numId="33">
    <w:abstractNumId w:val="12"/>
  </w:num>
  <w:num w:numId="34">
    <w:abstractNumId w:val="15"/>
  </w:num>
  <w:num w:numId="35">
    <w:abstractNumId w:val="1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32"/>
    <w:rsid w:val="000040B8"/>
    <w:rsid w:val="00010361"/>
    <w:rsid w:val="00017C94"/>
    <w:rsid w:val="00020CDA"/>
    <w:rsid w:val="00025240"/>
    <w:rsid w:val="00035ABF"/>
    <w:rsid w:val="00036ED5"/>
    <w:rsid w:val="00037AC9"/>
    <w:rsid w:val="0005222A"/>
    <w:rsid w:val="00054886"/>
    <w:rsid w:val="00055ADE"/>
    <w:rsid w:val="0005605D"/>
    <w:rsid w:val="00056AD4"/>
    <w:rsid w:val="00060F14"/>
    <w:rsid w:val="00061F32"/>
    <w:rsid w:val="000803C5"/>
    <w:rsid w:val="00085A75"/>
    <w:rsid w:val="000979C0"/>
    <w:rsid w:val="000A1AB8"/>
    <w:rsid w:val="000A58B2"/>
    <w:rsid w:val="000B309E"/>
    <w:rsid w:val="000B4BD6"/>
    <w:rsid w:val="000B77B3"/>
    <w:rsid w:val="000D31B0"/>
    <w:rsid w:val="000F4C26"/>
    <w:rsid w:val="000F59A9"/>
    <w:rsid w:val="00100263"/>
    <w:rsid w:val="00100E8E"/>
    <w:rsid w:val="001075A2"/>
    <w:rsid w:val="00115B7C"/>
    <w:rsid w:val="0011645A"/>
    <w:rsid w:val="00121B90"/>
    <w:rsid w:val="00122B41"/>
    <w:rsid w:val="001244F8"/>
    <w:rsid w:val="00126C30"/>
    <w:rsid w:val="0013003C"/>
    <w:rsid w:val="00135A10"/>
    <w:rsid w:val="00136C11"/>
    <w:rsid w:val="00145812"/>
    <w:rsid w:val="00145B22"/>
    <w:rsid w:val="00150CF1"/>
    <w:rsid w:val="001529D2"/>
    <w:rsid w:val="001568E7"/>
    <w:rsid w:val="00160444"/>
    <w:rsid w:val="00161F57"/>
    <w:rsid w:val="00170336"/>
    <w:rsid w:val="00182A7C"/>
    <w:rsid w:val="00184547"/>
    <w:rsid w:val="00192487"/>
    <w:rsid w:val="001A1974"/>
    <w:rsid w:val="001B41C8"/>
    <w:rsid w:val="001B776E"/>
    <w:rsid w:val="001C2A0E"/>
    <w:rsid w:val="001E1D71"/>
    <w:rsid w:val="001E534D"/>
    <w:rsid w:val="001E7F81"/>
    <w:rsid w:val="001F0D86"/>
    <w:rsid w:val="002049A6"/>
    <w:rsid w:val="00207C0D"/>
    <w:rsid w:val="0021094A"/>
    <w:rsid w:val="0022052B"/>
    <w:rsid w:val="002207AD"/>
    <w:rsid w:val="00224D67"/>
    <w:rsid w:val="00224F50"/>
    <w:rsid w:val="00234D54"/>
    <w:rsid w:val="002352E3"/>
    <w:rsid w:val="00236361"/>
    <w:rsid w:val="00236500"/>
    <w:rsid w:val="00237174"/>
    <w:rsid w:val="0024741B"/>
    <w:rsid w:val="00257952"/>
    <w:rsid w:val="0026456F"/>
    <w:rsid w:val="00272AD3"/>
    <w:rsid w:val="00276679"/>
    <w:rsid w:val="00280050"/>
    <w:rsid w:val="00281667"/>
    <w:rsid w:val="002902CE"/>
    <w:rsid w:val="00291A70"/>
    <w:rsid w:val="00291E61"/>
    <w:rsid w:val="0029284F"/>
    <w:rsid w:val="002A0B1F"/>
    <w:rsid w:val="002A1EC3"/>
    <w:rsid w:val="002A452E"/>
    <w:rsid w:val="002A548C"/>
    <w:rsid w:val="002A5C14"/>
    <w:rsid w:val="002A6671"/>
    <w:rsid w:val="002A7F00"/>
    <w:rsid w:val="002B0749"/>
    <w:rsid w:val="002B1C54"/>
    <w:rsid w:val="002B35E4"/>
    <w:rsid w:val="002B5FB5"/>
    <w:rsid w:val="002B7A07"/>
    <w:rsid w:val="002C00A9"/>
    <w:rsid w:val="002C193F"/>
    <w:rsid w:val="002C2990"/>
    <w:rsid w:val="002C3118"/>
    <w:rsid w:val="002C3EAB"/>
    <w:rsid w:val="002C7C11"/>
    <w:rsid w:val="002D6200"/>
    <w:rsid w:val="002E01F2"/>
    <w:rsid w:val="002E1061"/>
    <w:rsid w:val="002E3BBA"/>
    <w:rsid w:val="002E4BDB"/>
    <w:rsid w:val="002E718D"/>
    <w:rsid w:val="002F7E6B"/>
    <w:rsid w:val="00301964"/>
    <w:rsid w:val="00304D22"/>
    <w:rsid w:val="003074B0"/>
    <w:rsid w:val="003103A9"/>
    <w:rsid w:val="0031138E"/>
    <w:rsid w:val="00311A50"/>
    <w:rsid w:val="0032546F"/>
    <w:rsid w:val="003306EC"/>
    <w:rsid w:val="003354A3"/>
    <w:rsid w:val="003371CB"/>
    <w:rsid w:val="0034376C"/>
    <w:rsid w:val="0034606C"/>
    <w:rsid w:val="00346583"/>
    <w:rsid w:val="003476FD"/>
    <w:rsid w:val="00347C55"/>
    <w:rsid w:val="00356C1C"/>
    <w:rsid w:val="00360B51"/>
    <w:rsid w:val="0036198F"/>
    <w:rsid w:val="0037003A"/>
    <w:rsid w:val="00381089"/>
    <w:rsid w:val="003822A7"/>
    <w:rsid w:val="00382EC9"/>
    <w:rsid w:val="003839C0"/>
    <w:rsid w:val="00384E7C"/>
    <w:rsid w:val="00387C4E"/>
    <w:rsid w:val="00395824"/>
    <w:rsid w:val="003A020F"/>
    <w:rsid w:val="003A0398"/>
    <w:rsid w:val="003A1612"/>
    <w:rsid w:val="003A1E5D"/>
    <w:rsid w:val="003A4F61"/>
    <w:rsid w:val="003B2DFE"/>
    <w:rsid w:val="003B3CCD"/>
    <w:rsid w:val="003C196E"/>
    <w:rsid w:val="003C6D16"/>
    <w:rsid w:val="003D0A12"/>
    <w:rsid w:val="003E2EA5"/>
    <w:rsid w:val="003E358A"/>
    <w:rsid w:val="003E7D60"/>
    <w:rsid w:val="003F27D1"/>
    <w:rsid w:val="00406D7F"/>
    <w:rsid w:val="0040797B"/>
    <w:rsid w:val="00412259"/>
    <w:rsid w:val="00416303"/>
    <w:rsid w:val="00430FEC"/>
    <w:rsid w:val="00437BFE"/>
    <w:rsid w:val="00443B81"/>
    <w:rsid w:val="00444D6B"/>
    <w:rsid w:val="004513A7"/>
    <w:rsid w:val="00453EA4"/>
    <w:rsid w:val="004563EE"/>
    <w:rsid w:val="00457FC7"/>
    <w:rsid w:val="004712BE"/>
    <w:rsid w:val="004744DF"/>
    <w:rsid w:val="00477CEF"/>
    <w:rsid w:val="00480E87"/>
    <w:rsid w:val="00482178"/>
    <w:rsid w:val="004870D9"/>
    <w:rsid w:val="00492505"/>
    <w:rsid w:val="004969EE"/>
    <w:rsid w:val="004A2614"/>
    <w:rsid w:val="004A269D"/>
    <w:rsid w:val="004A2725"/>
    <w:rsid w:val="004A4EFA"/>
    <w:rsid w:val="004B22A8"/>
    <w:rsid w:val="004B4A8C"/>
    <w:rsid w:val="004B72E4"/>
    <w:rsid w:val="004B77BE"/>
    <w:rsid w:val="004C1923"/>
    <w:rsid w:val="004C5558"/>
    <w:rsid w:val="004C7BC0"/>
    <w:rsid w:val="004D02B1"/>
    <w:rsid w:val="004D19B4"/>
    <w:rsid w:val="004D6F43"/>
    <w:rsid w:val="004E0563"/>
    <w:rsid w:val="004E42C6"/>
    <w:rsid w:val="004E50CA"/>
    <w:rsid w:val="004E6130"/>
    <w:rsid w:val="004F221D"/>
    <w:rsid w:val="004F3C30"/>
    <w:rsid w:val="005005AF"/>
    <w:rsid w:val="00502458"/>
    <w:rsid w:val="00502693"/>
    <w:rsid w:val="00503EFA"/>
    <w:rsid w:val="0051010C"/>
    <w:rsid w:val="005210B6"/>
    <w:rsid w:val="00527EE4"/>
    <w:rsid w:val="00533EA1"/>
    <w:rsid w:val="005356A8"/>
    <w:rsid w:val="005425A9"/>
    <w:rsid w:val="0054708E"/>
    <w:rsid w:val="005508A4"/>
    <w:rsid w:val="00550932"/>
    <w:rsid w:val="00551272"/>
    <w:rsid w:val="00556032"/>
    <w:rsid w:val="005609CF"/>
    <w:rsid w:val="005657BD"/>
    <w:rsid w:val="00570074"/>
    <w:rsid w:val="00582AD2"/>
    <w:rsid w:val="005929C7"/>
    <w:rsid w:val="00592C12"/>
    <w:rsid w:val="00595C26"/>
    <w:rsid w:val="005A286A"/>
    <w:rsid w:val="005A421D"/>
    <w:rsid w:val="005A5608"/>
    <w:rsid w:val="005C041D"/>
    <w:rsid w:val="005C13AE"/>
    <w:rsid w:val="005C4132"/>
    <w:rsid w:val="005C5D8A"/>
    <w:rsid w:val="005E193F"/>
    <w:rsid w:val="005E4817"/>
    <w:rsid w:val="005E6094"/>
    <w:rsid w:val="005F17EB"/>
    <w:rsid w:val="005F7165"/>
    <w:rsid w:val="005F7502"/>
    <w:rsid w:val="00601FFB"/>
    <w:rsid w:val="0060624E"/>
    <w:rsid w:val="00612338"/>
    <w:rsid w:val="00632CF6"/>
    <w:rsid w:val="006422E7"/>
    <w:rsid w:val="0064657B"/>
    <w:rsid w:val="0065277E"/>
    <w:rsid w:val="0066569B"/>
    <w:rsid w:val="0067302A"/>
    <w:rsid w:val="0068687B"/>
    <w:rsid w:val="00691030"/>
    <w:rsid w:val="00691CDA"/>
    <w:rsid w:val="006A0E3F"/>
    <w:rsid w:val="006A2BB3"/>
    <w:rsid w:val="006B08FC"/>
    <w:rsid w:val="006C471F"/>
    <w:rsid w:val="006C53DE"/>
    <w:rsid w:val="006C5E94"/>
    <w:rsid w:val="006C741C"/>
    <w:rsid w:val="006D4743"/>
    <w:rsid w:val="006D5C64"/>
    <w:rsid w:val="006E1385"/>
    <w:rsid w:val="006E1E3F"/>
    <w:rsid w:val="006E2F50"/>
    <w:rsid w:val="006E6FE6"/>
    <w:rsid w:val="007072B0"/>
    <w:rsid w:val="00712F13"/>
    <w:rsid w:val="00717E47"/>
    <w:rsid w:val="00717FC2"/>
    <w:rsid w:val="0072284F"/>
    <w:rsid w:val="007228C4"/>
    <w:rsid w:val="00726EB5"/>
    <w:rsid w:val="00740DD1"/>
    <w:rsid w:val="0074372F"/>
    <w:rsid w:val="00745D7A"/>
    <w:rsid w:val="00751541"/>
    <w:rsid w:val="00751597"/>
    <w:rsid w:val="00751B60"/>
    <w:rsid w:val="0075269A"/>
    <w:rsid w:val="0075343A"/>
    <w:rsid w:val="0075530E"/>
    <w:rsid w:val="00755541"/>
    <w:rsid w:val="00756550"/>
    <w:rsid w:val="00763374"/>
    <w:rsid w:val="00783223"/>
    <w:rsid w:val="0078717E"/>
    <w:rsid w:val="00787729"/>
    <w:rsid w:val="007A30E0"/>
    <w:rsid w:val="007A7A93"/>
    <w:rsid w:val="007B2863"/>
    <w:rsid w:val="007B5362"/>
    <w:rsid w:val="007C1FB0"/>
    <w:rsid w:val="007C5D01"/>
    <w:rsid w:val="007C77A9"/>
    <w:rsid w:val="007D0826"/>
    <w:rsid w:val="007D372A"/>
    <w:rsid w:val="007D3F1A"/>
    <w:rsid w:val="007D5520"/>
    <w:rsid w:val="007E086D"/>
    <w:rsid w:val="007F7BDF"/>
    <w:rsid w:val="00801EC0"/>
    <w:rsid w:val="008066A5"/>
    <w:rsid w:val="00817A85"/>
    <w:rsid w:val="00821479"/>
    <w:rsid w:val="0082337A"/>
    <w:rsid w:val="00823A4F"/>
    <w:rsid w:val="00826346"/>
    <w:rsid w:val="00832234"/>
    <w:rsid w:val="00846EC2"/>
    <w:rsid w:val="0084799A"/>
    <w:rsid w:val="0085120D"/>
    <w:rsid w:val="00854638"/>
    <w:rsid w:val="00856EE0"/>
    <w:rsid w:val="008609B5"/>
    <w:rsid w:val="008631DE"/>
    <w:rsid w:val="00863C83"/>
    <w:rsid w:val="00873CBE"/>
    <w:rsid w:val="00875D58"/>
    <w:rsid w:val="008779CA"/>
    <w:rsid w:val="00883458"/>
    <w:rsid w:val="0088774B"/>
    <w:rsid w:val="00887892"/>
    <w:rsid w:val="00887C68"/>
    <w:rsid w:val="00890C7F"/>
    <w:rsid w:val="00892C45"/>
    <w:rsid w:val="00892F3E"/>
    <w:rsid w:val="008933C8"/>
    <w:rsid w:val="008A1E58"/>
    <w:rsid w:val="008A4E1B"/>
    <w:rsid w:val="008A7A40"/>
    <w:rsid w:val="008B2DE6"/>
    <w:rsid w:val="008B3532"/>
    <w:rsid w:val="008B5970"/>
    <w:rsid w:val="008B7783"/>
    <w:rsid w:val="008C17D4"/>
    <w:rsid w:val="008C257C"/>
    <w:rsid w:val="008C2F41"/>
    <w:rsid w:val="008C5530"/>
    <w:rsid w:val="008F1D34"/>
    <w:rsid w:val="009020F4"/>
    <w:rsid w:val="009036CA"/>
    <w:rsid w:val="009067F6"/>
    <w:rsid w:val="00912AF4"/>
    <w:rsid w:val="009175E5"/>
    <w:rsid w:val="0092243A"/>
    <w:rsid w:val="00931789"/>
    <w:rsid w:val="0094061E"/>
    <w:rsid w:val="00945643"/>
    <w:rsid w:val="00946431"/>
    <w:rsid w:val="009552E8"/>
    <w:rsid w:val="00955568"/>
    <w:rsid w:val="009641C6"/>
    <w:rsid w:val="009664AA"/>
    <w:rsid w:val="00970E42"/>
    <w:rsid w:val="0097368E"/>
    <w:rsid w:val="00974721"/>
    <w:rsid w:val="0097485A"/>
    <w:rsid w:val="00997F36"/>
    <w:rsid w:val="009A6B5E"/>
    <w:rsid w:val="009B4A1D"/>
    <w:rsid w:val="009B5A4D"/>
    <w:rsid w:val="009C688B"/>
    <w:rsid w:val="009D262B"/>
    <w:rsid w:val="009D477F"/>
    <w:rsid w:val="009D681A"/>
    <w:rsid w:val="009F266B"/>
    <w:rsid w:val="009F4AAF"/>
    <w:rsid w:val="009F5844"/>
    <w:rsid w:val="00A03E83"/>
    <w:rsid w:val="00A11903"/>
    <w:rsid w:val="00A11BC4"/>
    <w:rsid w:val="00A1343D"/>
    <w:rsid w:val="00A1785D"/>
    <w:rsid w:val="00A23C5A"/>
    <w:rsid w:val="00A3034C"/>
    <w:rsid w:val="00A303F8"/>
    <w:rsid w:val="00A32CB6"/>
    <w:rsid w:val="00A32D1C"/>
    <w:rsid w:val="00A341ED"/>
    <w:rsid w:val="00A36F47"/>
    <w:rsid w:val="00A42A43"/>
    <w:rsid w:val="00A44909"/>
    <w:rsid w:val="00A45350"/>
    <w:rsid w:val="00A516BB"/>
    <w:rsid w:val="00A52F1E"/>
    <w:rsid w:val="00A7661D"/>
    <w:rsid w:val="00A81FBC"/>
    <w:rsid w:val="00A90F5B"/>
    <w:rsid w:val="00A94B85"/>
    <w:rsid w:val="00A96571"/>
    <w:rsid w:val="00AA059F"/>
    <w:rsid w:val="00AA1A0B"/>
    <w:rsid w:val="00AA6D6D"/>
    <w:rsid w:val="00AB0508"/>
    <w:rsid w:val="00AB3BAB"/>
    <w:rsid w:val="00AB7E89"/>
    <w:rsid w:val="00AD0880"/>
    <w:rsid w:val="00AD09A9"/>
    <w:rsid w:val="00AD12B8"/>
    <w:rsid w:val="00AD391D"/>
    <w:rsid w:val="00AE11ED"/>
    <w:rsid w:val="00AF0AD6"/>
    <w:rsid w:val="00B006CF"/>
    <w:rsid w:val="00B006D4"/>
    <w:rsid w:val="00B02934"/>
    <w:rsid w:val="00B0523A"/>
    <w:rsid w:val="00B16448"/>
    <w:rsid w:val="00B20569"/>
    <w:rsid w:val="00B25485"/>
    <w:rsid w:val="00B27B09"/>
    <w:rsid w:val="00B307ED"/>
    <w:rsid w:val="00B32A1A"/>
    <w:rsid w:val="00B34BE1"/>
    <w:rsid w:val="00B45190"/>
    <w:rsid w:val="00B60BBA"/>
    <w:rsid w:val="00B63DD4"/>
    <w:rsid w:val="00B64A5C"/>
    <w:rsid w:val="00B65126"/>
    <w:rsid w:val="00B652C0"/>
    <w:rsid w:val="00B746DC"/>
    <w:rsid w:val="00B77423"/>
    <w:rsid w:val="00B84075"/>
    <w:rsid w:val="00B8469D"/>
    <w:rsid w:val="00B902E4"/>
    <w:rsid w:val="00B919C2"/>
    <w:rsid w:val="00B96104"/>
    <w:rsid w:val="00BA2878"/>
    <w:rsid w:val="00BA59EC"/>
    <w:rsid w:val="00BA72D2"/>
    <w:rsid w:val="00BB7A6B"/>
    <w:rsid w:val="00BB7B9A"/>
    <w:rsid w:val="00BC1FE9"/>
    <w:rsid w:val="00BC3A88"/>
    <w:rsid w:val="00BC45BC"/>
    <w:rsid w:val="00BC46C8"/>
    <w:rsid w:val="00BC4A73"/>
    <w:rsid w:val="00BC681F"/>
    <w:rsid w:val="00BD4A13"/>
    <w:rsid w:val="00BD6633"/>
    <w:rsid w:val="00BE1406"/>
    <w:rsid w:val="00BE2B14"/>
    <w:rsid w:val="00BE4A6D"/>
    <w:rsid w:val="00BE5B07"/>
    <w:rsid w:val="00BE7305"/>
    <w:rsid w:val="00BF05D7"/>
    <w:rsid w:val="00BF1BE1"/>
    <w:rsid w:val="00C00EE4"/>
    <w:rsid w:val="00C028B0"/>
    <w:rsid w:val="00C0406B"/>
    <w:rsid w:val="00C07F7A"/>
    <w:rsid w:val="00C1581F"/>
    <w:rsid w:val="00C16CAA"/>
    <w:rsid w:val="00C215CF"/>
    <w:rsid w:val="00C232B9"/>
    <w:rsid w:val="00C25768"/>
    <w:rsid w:val="00C279B8"/>
    <w:rsid w:val="00C31574"/>
    <w:rsid w:val="00C3271B"/>
    <w:rsid w:val="00C3425D"/>
    <w:rsid w:val="00C359CC"/>
    <w:rsid w:val="00C40D89"/>
    <w:rsid w:val="00C4109A"/>
    <w:rsid w:val="00C41430"/>
    <w:rsid w:val="00C476F7"/>
    <w:rsid w:val="00C52C42"/>
    <w:rsid w:val="00C550C1"/>
    <w:rsid w:val="00C63FA3"/>
    <w:rsid w:val="00C64958"/>
    <w:rsid w:val="00C649E2"/>
    <w:rsid w:val="00C652DC"/>
    <w:rsid w:val="00C7566A"/>
    <w:rsid w:val="00C779FE"/>
    <w:rsid w:val="00C81545"/>
    <w:rsid w:val="00C83C84"/>
    <w:rsid w:val="00C851DF"/>
    <w:rsid w:val="00C90247"/>
    <w:rsid w:val="00C94115"/>
    <w:rsid w:val="00C95718"/>
    <w:rsid w:val="00CA2A56"/>
    <w:rsid w:val="00CA2AE5"/>
    <w:rsid w:val="00CA4206"/>
    <w:rsid w:val="00CC058F"/>
    <w:rsid w:val="00CC16B1"/>
    <w:rsid w:val="00CD0F03"/>
    <w:rsid w:val="00CD63D5"/>
    <w:rsid w:val="00CE0BA2"/>
    <w:rsid w:val="00CE0C24"/>
    <w:rsid w:val="00CE18B7"/>
    <w:rsid w:val="00CE2259"/>
    <w:rsid w:val="00CE5620"/>
    <w:rsid w:val="00CF03E8"/>
    <w:rsid w:val="00CF05E6"/>
    <w:rsid w:val="00CF6260"/>
    <w:rsid w:val="00CF6A31"/>
    <w:rsid w:val="00CF7394"/>
    <w:rsid w:val="00D009C9"/>
    <w:rsid w:val="00D03218"/>
    <w:rsid w:val="00D04B37"/>
    <w:rsid w:val="00D05A71"/>
    <w:rsid w:val="00D1506A"/>
    <w:rsid w:val="00D15891"/>
    <w:rsid w:val="00D219FB"/>
    <w:rsid w:val="00D3697F"/>
    <w:rsid w:val="00D376F2"/>
    <w:rsid w:val="00D45114"/>
    <w:rsid w:val="00D51320"/>
    <w:rsid w:val="00D531B4"/>
    <w:rsid w:val="00D5587D"/>
    <w:rsid w:val="00D61EFE"/>
    <w:rsid w:val="00D628A9"/>
    <w:rsid w:val="00D651E5"/>
    <w:rsid w:val="00D677A9"/>
    <w:rsid w:val="00D73453"/>
    <w:rsid w:val="00D75560"/>
    <w:rsid w:val="00D765D9"/>
    <w:rsid w:val="00D76C38"/>
    <w:rsid w:val="00D77C2C"/>
    <w:rsid w:val="00D83BCE"/>
    <w:rsid w:val="00D86D2F"/>
    <w:rsid w:val="00DA65A6"/>
    <w:rsid w:val="00DA7217"/>
    <w:rsid w:val="00DC164C"/>
    <w:rsid w:val="00DD59C9"/>
    <w:rsid w:val="00DD5A49"/>
    <w:rsid w:val="00DE17CE"/>
    <w:rsid w:val="00DE1992"/>
    <w:rsid w:val="00DE1F09"/>
    <w:rsid w:val="00DE7625"/>
    <w:rsid w:val="00DF68FA"/>
    <w:rsid w:val="00E00649"/>
    <w:rsid w:val="00E01068"/>
    <w:rsid w:val="00E0296D"/>
    <w:rsid w:val="00E11F65"/>
    <w:rsid w:val="00E157C7"/>
    <w:rsid w:val="00E166B0"/>
    <w:rsid w:val="00E303B5"/>
    <w:rsid w:val="00E33DEF"/>
    <w:rsid w:val="00E47E75"/>
    <w:rsid w:val="00E539B0"/>
    <w:rsid w:val="00E54F3E"/>
    <w:rsid w:val="00E558CC"/>
    <w:rsid w:val="00E56A94"/>
    <w:rsid w:val="00E61154"/>
    <w:rsid w:val="00E64E1D"/>
    <w:rsid w:val="00E658F1"/>
    <w:rsid w:val="00E72217"/>
    <w:rsid w:val="00E7372E"/>
    <w:rsid w:val="00E77117"/>
    <w:rsid w:val="00E86C76"/>
    <w:rsid w:val="00E86E0F"/>
    <w:rsid w:val="00E92C8E"/>
    <w:rsid w:val="00E93351"/>
    <w:rsid w:val="00E95BC7"/>
    <w:rsid w:val="00E96CF9"/>
    <w:rsid w:val="00EA4C49"/>
    <w:rsid w:val="00EA5762"/>
    <w:rsid w:val="00EA7556"/>
    <w:rsid w:val="00EA76A9"/>
    <w:rsid w:val="00EA79D3"/>
    <w:rsid w:val="00EB7579"/>
    <w:rsid w:val="00EC470E"/>
    <w:rsid w:val="00EC6800"/>
    <w:rsid w:val="00EC7DFA"/>
    <w:rsid w:val="00EE2D56"/>
    <w:rsid w:val="00EE54EB"/>
    <w:rsid w:val="00EF0899"/>
    <w:rsid w:val="00EF400D"/>
    <w:rsid w:val="00EF6BBE"/>
    <w:rsid w:val="00F02A13"/>
    <w:rsid w:val="00F04442"/>
    <w:rsid w:val="00F05B05"/>
    <w:rsid w:val="00F14D6C"/>
    <w:rsid w:val="00F167CF"/>
    <w:rsid w:val="00F31679"/>
    <w:rsid w:val="00F33915"/>
    <w:rsid w:val="00F4003F"/>
    <w:rsid w:val="00F426BC"/>
    <w:rsid w:val="00F50F5D"/>
    <w:rsid w:val="00F54DBD"/>
    <w:rsid w:val="00F57243"/>
    <w:rsid w:val="00F618A9"/>
    <w:rsid w:val="00F6525D"/>
    <w:rsid w:val="00F672EA"/>
    <w:rsid w:val="00F71DEB"/>
    <w:rsid w:val="00F75CF5"/>
    <w:rsid w:val="00F777EC"/>
    <w:rsid w:val="00F87189"/>
    <w:rsid w:val="00F90F4D"/>
    <w:rsid w:val="00F97AC5"/>
    <w:rsid w:val="00FA07E3"/>
    <w:rsid w:val="00FA0857"/>
    <w:rsid w:val="00FA163D"/>
    <w:rsid w:val="00FA43F7"/>
    <w:rsid w:val="00FA61BF"/>
    <w:rsid w:val="00FB3862"/>
    <w:rsid w:val="00FC647D"/>
    <w:rsid w:val="00FD450D"/>
    <w:rsid w:val="00FD7EBD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CE95B"/>
  <w15:chartTrackingRefBased/>
  <w15:docId w15:val="{8D0D5C23-394C-42CD-A944-2568FC6B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CDA"/>
    <w:pPr>
      <w:spacing w:before="120" w:after="12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CDA"/>
    <w:pPr>
      <w:outlineLvl w:val="1"/>
    </w:pPr>
    <w:rPr>
      <w:rFonts w:cstheme="minorHAnsi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87C68"/>
    <w:pPr>
      <w:keepNext/>
      <w:keepLines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2F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12F13"/>
  </w:style>
  <w:style w:type="paragraph" w:styleId="Footer">
    <w:name w:val="footer"/>
    <w:basedOn w:val="Normal"/>
    <w:link w:val="FooterChar"/>
    <w:uiPriority w:val="99"/>
    <w:unhideWhenUsed/>
    <w:rsid w:val="00020CDA"/>
    <w:pPr>
      <w:tabs>
        <w:tab w:val="center" w:pos="4513"/>
        <w:tab w:val="right" w:pos="9026"/>
      </w:tabs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020CDA"/>
    <w:rPr>
      <w:rFonts w:asciiTheme="minorHAnsi" w:hAnsiTheme="minorHAnsi"/>
      <w:b/>
    </w:rPr>
  </w:style>
  <w:style w:type="table" w:styleId="TableGrid">
    <w:name w:val="Table Grid"/>
    <w:basedOn w:val="TableNormal"/>
    <w:uiPriority w:val="1"/>
    <w:rsid w:val="00712F1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n,List Paragraph1,First level bullet,Sidebar List,n-dash bullet 2"/>
    <w:basedOn w:val="Normal"/>
    <w:link w:val="ListParagraphChar"/>
    <w:uiPriority w:val="34"/>
    <w:qFormat/>
    <w:rsid w:val="00D15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7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453E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9EE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B0523A"/>
    <w:pPr>
      <w:spacing w:after="0"/>
      <w:ind w:left="720"/>
    </w:pPr>
    <w:rPr>
      <w:rFonts w:eastAsia="Times New Roman"/>
      <w:szCs w:val="2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B0523A"/>
    <w:rPr>
      <w:rFonts w:eastAsia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2E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41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1ED"/>
    <w:rPr>
      <w:vertAlign w:val="superscript"/>
    </w:rPr>
  </w:style>
  <w:style w:type="paragraph" w:styleId="NoSpacing">
    <w:name w:val="No Spacing"/>
    <w:uiPriority w:val="1"/>
    <w:qFormat/>
    <w:rsid w:val="00D677A9"/>
    <w:pPr>
      <w:spacing w:after="0" w:line="240" w:lineRule="auto"/>
    </w:pPr>
  </w:style>
  <w:style w:type="paragraph" w:styleId="Revision">
    <w:name w:val="Revision"/>
    <w:hidden/>
    <w:uiPriority w:val="99"/>
    <w:semiHidden/>
    <w:rsid w:val="00C25768"/>
    <w:pPr>
      <w:spacing w:after="0" w:line="240" w:lineRule="auto"/>
    </w:pPr>
  </w:style>
  <w:style w:type="paragraph" w:customStyle="1" w:styleId="AIHWbodytext">
    <w:name w:val="AIHW body text"/>
    <w:basedOn w:val="Normal"/>
    <w:link w:val="AIHWbodytextChar"/>
    <w:qFormat/>
    <w:rsid w:val="003A4F61"/>
    <w:pPr>
      <w:spacing w:before="60" w:after="40" w:line="260" w:lineRule="atLeast"/>
    </w:pPr>
    <w:rPr>
      <w:rFonts w:ascii="Book Antiqua" w:eastAsia="Times New Roman" w:hAnsi="Book Antiqua"/>
      <w:color w:val="000000"/>
      <w:sz w:val="22"/>
      <w:szCs w:val="20"/>
      <w:lang w:val="en-US"/>
    </w:rPr>
  </w:style>
  <w:style w:type="character" w:customStyle="1" w:styleId="AIHWbodytextChar">
    <w:name w:val="AIHW body text Char"/>
    <w:link w:val="AIHWbodytext"/>
    <w:locked/>
    <w:rsid w:val="003A4F61"/>
    <w:rPr>
      <w:rFonts w:ascii="Book Antiqua" w:eastAsia="Times New Roman" w:hAnsi="Book Antiqua"/>
      <w:color w:val="000000"/>
      <w:sz w:val="22"/>
      <w:szCs w:val="20"/>
      <w:lang w:val="en-US"/>
    </w:rPr>
  </w:style>
  <w:style w:type="character" w:customStyle="1" w:styleId="ListParagraphChar">
    <w:name w:val="List Paragraph Char"/>
    <w:aliases w:val="Recommendation Char,List Paragraph1 Char,First level bullet Char,Sidebar List Char,n-dash bullet 2 Char"/>
    <w:link w:val="ListParagraph"/>
    <w:uiPriority w:val="34"/>
    <w:rsid w:val="003A1612"/>
  </w:style>
  <w:style w:type="paragraph" w:customStyle="1" w:styleId="BodyText1">
    <w:name w:val="Body Text1"/>
    <w:link w:val="BodyText1Char"/>
    <w:qFormat/>
    <w:rsid w:val="00E0296D"/>
    <w:pPr>
      <w:spacing w:before="60" w:after="120" w:line="280" w:lineRule="exact"/>
    </w:pPr>
    <w:rPr>
      <w:rFonts w:ascii="Univers 45 Light" w:eastAsia="Calibri" w:hAnsi="Univers 45 Light"/>
      <w:sz w:val="20"/>
      <w:szCs w:val="22"/>
    </w:rPr>
  </w:style>
  <w:style w:type="character" w:customStyle="1" w:styleId="BodyText1Char">
    <w:name w:val="Body Text1 Char"/>
    <w:basedOn w:val="DefaultParagraphFont"/>
    <w:link w:val="BodyText1"/>
    <w:rsid w:val="00E0296D"/>
    <w:rPr>
      <w:rFonts w:ascii="Univers 45 Light" w:eastAsia="Calibri" w:hAnsi="Univers 45 Light"/>
      <w:sz w:val="20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5970"/>
    <w:pPr>
      <w:jc w:val="center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B5970"/>
    <w:rPr>
      <w:b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970"/>
    <w:pPr>
      <w:spacing w:after="0"/>
      <w:jc w:val="center"/>
    </w:pPr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B5970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0CDA"/>
    <w:rPr>
      <w:rFonts w:asciiTheme="minorHAnsi" w:hAnsiTheme="minorHAnsi"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87C68"/>
    <w:rPr>
      <w:rFonts w:asciiTheme="minorHAnsi" w:eastAsiaTheme="majorEastAsia" w:hAnsiTheme="minorHAnsi" w:cstheme="majorBidi"/>
      <w:b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1E534D"/>
    <w:rPr>
      <w:i/>
      <w:iCs/>
    </w:rPr>
  </w:style>
  <w:style w:type="paragraph" w:customStyle="1" w:styleId="Paragraphtext">
    <w:name w:val="Paragraph text"/>
    <w:basedOn w:val="Normal"/>
    <w:qFormat/>
    <w:rsid w:val="000D31B0"/>
    <w:pPr>
      <w:spacing w:after="60"/>
    </w:pPr>
    <w:rPr>
      <w:rFonts w:ascii="Arial" w:eastAsia="Times New Roman" w:hAnsi="Arial"/>
      <w:color w:val="000000" w:themeColor="text1"/>
      <w:sz w:val="21"/>
    </w:rPr>
  </w:style>
  <w:style w:type="character" w:customStyle="1" w:styleId="BoldAllCaps">
    <w:name w:val="Bold All Caps"/>
    <w:basedOn w:val="DefaultParagraphFont"/>
    <w:uiPriority w:val="1"/>
    <w:qFormat/>
    <w:rsid w:val="000D31B0"/>
    <w:rPr>
      <w:b/>
      <w:caps/>
      <w:smallCaps w:val="0"/>
      <w:color w:val="358189"/>
      <w:bdr w:val="none" w:sz="0" w:space="0" w:color="auto"/>
    </w:rPr>
  </w:style>
  <w:style w:type="paragraph" w:customStyle="1" w:styleId="Boxheading">
    <w:name w:val="Box heading"/>
    <w:basedOn w:val="Normal"/>
    <w:rsid w:val="000D31B0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before="240" w:after="240" w:line="260" w:lineRule="auto"/>
      <w:ind w:left="227" w:right="227"/>
    </w:pPr>
    <w:rPr>
      <w:rFonts w:ascii="Arial" w:eastAsia="Times New Roman" w:hAnsi="Arial"/>
      <w:b/>
      <w:bCs/>
      <w:caps/>
      <w:color w:val="358189"/>
      <w:sz w:val="21"/>
      <w:szCs w:val="20"/>
      <w:lang w:val="en"/>
    </w:rPr>
  </w:style>
  <w:style w:type="paragraph" w:customStyle="1" w:styleId="Headertext">
    <w:name w:val="Header text"/>
    <w:basedOn w:val="Normal"/>
    <w:rsid w:val="00595C26"/>
    <w:pPr>
      <w:spacing w:before="0" w:after="0"/>
      <w:jc w:val="right"/>
    </w:pPr>
    <w:rPr>
      <w:rFonts w:ascii="Arial" w:eastAsia="Times New Roman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5C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A52F1E"/>
    <w:pPr>
      <w:spacing w:before="0"/>
    </w:pPr>
    <w:rPr>
      <w:rFonts w:ascii="Times New Roman" w:eastAsia="Times New Roman" w:hAnsi="Times New Roman"/>
      <w:lang w:eastAsia="en-AU"/>
    </w:rPr>
  </w:style>
  <w:style w:type="character" w:customStyle="1" w:styleId="BodyTextChar">
    <w:name w:val="Body Text Char"/>
    <w:basedOn w:val="DefaultParagraphFont"/>
    <w:link w:val="BodyText"/>
    <w:rsid w:val="00A52F1E"/>
    <w:rPr>
      <w:rFonts w:eastAsia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03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76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3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committees-and-groups/aboriginal-and-torres-strait-islander-health-services-data-advisory-group?utm_source=health.gov.au&amp;utm_medium=callout-auto-custom&amp;utm_campaign=digital_transformation" TargetMode="External"/><Relationship Id="rId13" Type="http://schemas.openxmlformats.org/officeDocument/2006/relationships/hyperlink" Target="https://www.aihw.gov.au/reports/indigenous-australians/review-indigenous-data-sets-osr-kpi/contents/summa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ihw.gov.au/reports/indigenous-australians/review-indigenous-data-sets-osr-kpi/contents/summ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s.data.advisory.group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health-services-data-advisory-group-submission-template" TargetMode="External"/><Relationship Id="rId14" Type="http://schemas.openxmlformats.org/officeDocument/2006/relationships/hyperlink" Target="https://www.nps.org.au/nkp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F6805-A726-4DBA-81C2-8203A438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2021 – HS DAG communique</vt:lpstr>
    </vt:vector>
  </TitlesOfParts>
  <Company>Department of Health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2021 – HS DAG communique</dc:title>
  <dc:subject>Aboriginal and Torres Strait Islander Health</dc:subject>
  <dc:creator>Australian Government Department of Health</dc:creator>
  <cp:keywords>Aboriginal and Torres Strait Islander Health; Communique;</cp:keywords>
  <dc:description/>
  <cp:lastModifiedBy>CROWE, Shereen</cp:lastModifiedBy>
  <cp:revision>21</cp:revision>
  <cp:lastPrinted>2020-10-23T04:29:00Z</cp:lastPrinted>
  <dcterms:created xsi:type="dcterms:W3CDTF">2021-08-22T23:23:00Z</dcterms:created>
  <dcterms:modified xsi:type="dcterms:W3CDTF">2021-08-30T12:02:00Z</dcterms:modified>
</cp:coreProperties>
</file>