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00"/>
      </w:tblGrid>
      <w:tr w:rsidR="004A2242" w14:paraId="3385D7ED" w14:textId="77777777" w:rsidTr="004A2242">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A2242" w14:paraId="712BA5D5" w14:textId="77777777">
              <w:trPr>
                <w:jc w:val="center"/>
              </w:trPr>
              <w:tc>
                <w:tcPr>
                  <w:tcW w:w="0" w:type="auto"/>
                  <w:shd w:val="clear" w:color="auto" w:fill="01653F"/>
                  <w:tcMar>
                    <w:top w:w="135" w:type="dxa"/>
                    <w:left w:w="0" w:type="dxa"/>
                    <w:bottom w:w="135" w:type="dxa"/>
                    <w:right w:w="0" w:type="dxa"/>
                  </w:tcMar>
                  <w:hideMark/>
                </w:tcPr>
                <w:tbl>
                  <w:tblPr>
                    <w:tblW w:w="5000" w:type="pct"/>
                    <w:shd w:val="clear" w:color="auto" w:fill="01653F"/>
                    <w:tblCellMar>
                      <w:left w:w="0" w:type="dxa"/>
                      <w:right w:w="0" w:type="dxa"/>
                    </w:tblCellMar>
                    <w:tblLook w:val="04A0" w:firstRow="1" w:lastRow="0" w:firstColumn="1" w:lastColumn="0" w:noHBand="0" w:noVBand="1"/>
                  </w:tblPr>
                  <w:tblGrid>
                    <w:gridCol w:w="9000"/>
                  </w:tblGrid>
                  <w:tr w:rsidR="004A2242" w14:paraId="67FEDE33" w14:textId="77777777">
                    <w:tc>
                      <w:tcPr>
                        <w:tcW w:w="0" w:type="auto"/>
                        <w:shd w:val="clear" w:color="auto" w:fill="01653F"/>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4A2242" w14:paraId="56C98B55" w14:textId="77777777">
                          <w:tc>
                            <w:tcPr>
                              <w:tcW w:w="0" w:type="auto"/>
                              <w:vAlign w:val="center"/>
                              <w:hideMark/>
                            </w:tcPr>
                            <w:p w14:paraId="25375521" w14:textId="77777777" w:rsidR="004A2242" w:rsidRDefault="004A2242"/>
                          </w:tc>
                        </w:tr>
                      </w:tbl>
                      <w:p w14:paraId="0CF32C80" w14:textId="77777777" w:rsidR="004A2242" w:rsidRDefault="004A2242">
                        <w:pPr>
                          <w:rPr>
                            <w:rFonts w:eastAsia="Times New Roman"/>
                            <w:sz w:val="20"/>
                            <w:szCs w:val="20"/>
                          </w:rPr>
                        </w:pPr>
                      </w:p>
                    </w:tc>
                  </w:tr>
                </w:tbl>
                <w:p w14:paraId="379F311B" w14:textId="77777777" w:rsidR="004A2242" w:rsidRDefault="004A2242">
                  <w:pPr>
                    <w:rPr>
                      <w:rFonts w:eastAsia="Times New Roman"/>
                      <w:sz w:val="20"/>
                      <w:szCs w:val="20"/>
                    </w:rPr>
                  </w:pPr>
                </w:p>
              </w:tc>
            </w:tr>
            <w:tr w:rsidR="004A2242" w14:paraId="24BA49B5" w14:textId="77777777">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4A2242" w14:paraId="5278800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A2242" w14:paraId="52D9A3FB" w14:textId="77777777">
                          <w:tc>
                            <w:tcPr>
                              <w:tcW w:w="0" w:type="auto"/>
                              <w:tcMar>
                                <w:top w:w="0" w:type="dxa"/>
                                <w:left w:w="135" w:type="dxa"/>
                                <w:bottom w:w="0" w:type="dxa"/>
                                <w:right w:w="135" w:type="dxa"/>
                              </w:tcMar>
                              <w:hideMark/>
                            </w:tcPr>
                            <w:p w14:paraId="3285D218" w14:textId="77777777" w:rsidR="004A2242" w:rsidRDefault="004A2242">
                              <w:pPr>
                                <w:rPr>
                                  <w:rFonts w:eastAsia="Times New Roman"/>
                                  <w:sz w:val="20"/>
                                  <w:szCs w:val="20"/>
                                </w:rPr>
                              </w:pPr>
                              <w:r>
                                <w:rPr>
                                  <w:rFonts w:eastAsia="Times New Roman"/>
                                  <w:noProof/>
                                  <w:sz w:val="20"/>
                                  <w:szCs w:val="20"/>
                                </w:rPr>
                                <w:drawing>
                                  <wp:anchor distT="0" distB="0" distL="0" distR="0" simplePos="0" relativeHeight="251658240" behindDoc="0" locked="0" layoutInCell="1" allowOverlap="0" wp14:anchorId="5655E160" wp14:editId="37B409C0">
                                    <wp:simplePos x="0" y="0"/>
                                    <wp:positionH relativeFrom="column">
                                      <wp:posOffset>107950</wp:posOffset>
                                    </wp:positionH>
                                    <wp:positionV relativeFrom="line">
                                      <wp:posOffset>0</wp:posOffset>
                                    </wp:positionV>
                                    <wp:extent cx="1584000" cy="40320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4000" cy="403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274B60B" w14:textId="77777777" w:rsidR="004A2242" w:rsidRDefault="004A2242">
                        <w:pPr>
                          <w:rPr>
                            <w:rFonts w:eastAsia="Times New Roman"/>
                            <w:sz w:val="20"/>
                            <w:szCs w:val="20"/>
                          </w:rPr>
                        </w:pPr>
                      </w:p>
                    </w:tc>
                  </w:tr>
                  <w:tr w:rsidR="004A2242" w14:paraId="613E7B5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A2242" w14:paraId="22762BB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A2242" w14:paraId="2240EE6B" w14:textId="77777777">
                                <w:tc>
                                  <w:tcPr>
                                    <w:tcW w:w="0" w:type="auto"/>
                                    <w:tcMar>
                                      <w:top w:w="0" w:type="dxa"/>
                                      <w:left w:w="270" w:type="dxa"/>
                                      <w:bottom w:w="135" w:type="dxa"/>
                                      <w:right w:w="270" w:type="dxa"/>
                                    </w:tcMar>
                                    <w:hideMark/>
                                  </w:tcPr>
                                  <w:p w14:paraId="73D3DFE3" w14:textId="77777777" w:rsidR="004A2242" w:rsidRDefault="004A2242">
                                    <w:pPr>
                                      <w:spacing w:line="300" w:lineRule="auto"/>
                                      <w:jc w:val="right"/>
                                      <w:rPr>
                                        <w:rFonts w:ascii="Arial" w:eastAsia="Times New Roman" w:hAnsi="Arial" w:cs="Arial"/>
                                        <w:color w:val="01653F"/>
                                      </w:rPr>
                                    </w:pPr>
                                    <w:r>
                                      <w:rPr>
                                        <w:rStyle w:val="Strong"/>
                                        <w:rFonts w:ascii="Arial" w:eastAsia="Times New Roman" w:hAnsi="Arial" w:cs="Arial"/>
                                        <w:color w:val="01653F"/>
                                        <w:sz w:val="27"/>
                                        <w:szCs w:val="27"/>
                                      </w:rPr>
                                      <w:t>MBS Review</w:t>
                                    </w:r>
                                  </w:p>
                                </w:tc>
                              </w:tr>
                            </w:tbl>
                            <w:p w14:paraId="30074887" w14:textId="77777777" w:rsidR="004A2242" w:rsidRDefault="004A2242">
                              <w:pPr>
                                <w:rPr>
                                  <w:rFonts w:eastAsia="Times New Roman"/>
                                  <w:sz w:val="20"/>
                                  <w:szCs w:val="20"/>
                                </w:rPr>
                              </w:pPr>
                            </w:p>
                          </w:tc>
                        </w:tr>
                      </w:tbl>
                      <w:p w14:paraId="2A783964" w14:textId="77777777" w:rsidR="004A2242" w:rsidRDefault="004A2242">
                        <w:pPr>
                          <w:rPr>
                            <w:rFonts w:eastAsia="Times New Roman"/>
                            <w:sz w:val="20"/>
                            <w:szCs w:val="20"/>
                          </w:rPr>
                        </w:pPr>
                      </w:p>
                    </w:tc>
                  </w:tr>
                </w:tbl>
                <w:p w14:paraId="350F3D95" w14:textId="77777777" w:rsidR="004A2242" w:rsidRDefault="004A2242">
                  <w:pPr>
                    <w:rPr>
                      <w:rFonts w:eastAsia="Times New Roman"/>
                      <w:sz w:val="20"/>
                      <w:szCs w:val="20"/>
                    </w:rPr>
                  </w:pPr>
                </w:p>
              </w:tc>
            </w:tr>
            <w:tr w:rsidR="004A2242" w14:paraId="2CC98708" w14:textId="77777777">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4A2242" w14:paraId="5E2E2B2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A2242" w14:paraId="1B3E2ED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A2242" w14:paraId="3AB0B6F2" w14:textId="77777777">
                                <w:tc>
                                  <w:tcPr>
                                    <w:tcW w:w="0" w:type="auto"/>
                                    <w:tcMar>
                                      <w:top w:w="0" w:type="dxa"/>
                                      <w:left w:w="270" w:type="dxa"/>
                                      <w:bottom w:w="135" w:type="dxa"/>
                                      <w:right w:w="270" w:type="dxa"/>
                                    </w:tcMar>
                                    <w:hideMark/>
                                  </w:tcPr>
                                  <w:p w14:paraId="19AA70A9" w14:textId="77777777" w:rsidR="004A2242" w:rsidRDefault="004A2242">
                                    <w:pPr>
                                      <w:spacing w:line="300" w:lineRule="auto"/>
                                      <w:jc w:val="right"/>
                                      <w:rPr>
                                        <w:rFonts w:ascii="Arial" w:eastAsia="Times New Roman" w:hAnsi="Arial" w:cs="Arial"/>
                                        <w:color w:val="202020"/>
                                      </w:rPr>
                                    </w:pPr>
                                    <w:r>
                                      <w:rPr>
                                        <w:rStyle w:val="Strong"/>
                                        <w:rFonts w:ascii="Arial" w:eastAsia="Times New Roman" w:hAnsi="Arial" w:cs="Arial"/>
                                        <w:color w:val="202020"/>
                                        <w:sz w:val="27"/>
                                        <w:szCs w:val="27"/>
                                      </w:rPr>
                                      <w:t>Update, December 2019</w:t>
                                    </w:r>
                                  </w:p>
                                </w:tc>
                              </w:tr>
                            </w:tbl>
                            <w:p w14:paraId="28673A8E" w14:textId="77777777" w:rsidR="004A2242" w:rsidRDefault="004A2242">
                              <w:pPr>
                                <w:rPr>
                                  <w:rFonts w:eastAsia="Times New Roman"/>
                                  <w:sz w:val="20"/>
                                  <w:szCs w:val="20"/>
                                </w:rPr>
                              </w:pPr>
                            </w:p>
                          </w:tc>
                        </w:tr>
                      </w:tbl>
                      <w:p w14:paraId="3B985629" w14:textId="77777777" w:rsidR="004A2242" w:rsidRDefault="004A2242">
                        <w:pPr>
                          <w:rPr>
                            <w:rFonts w:eastAsia="Times New Roman"/>
                            <w:sz w:val="20"/>
                            <w:szCs w:val="20"/>
                          </w:rPr>
                        </w:pPr>
                      </w:p>
                    </w:tc>
                  </w:tr>
                  <w:tr w:rsidR="004A2242" w14:paraId="514F524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A2242" w14:paraId="1E5DD47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A2242" w14:paraId="2C99D42E" w14:textId="77777777">
                                <w:tc>
                                  <w:tcPr>
                                    <w:tcW w:w="0" w:type="auto"/>
                                    <w:tcMar>
                                      <w:top w:w="0" w:type="dxa"/>
                                      <w:left w:w="270" w:type="dxa"/>
                                      <w:bottom w:w="135" w:type="dxa"/>
                                      <w:right w:w="270" w:type="dxa"/>
                                    </w:tcMar>
                                    <w:hideMark/>
                                  </w:tcPr>
                                  <w:p w14:paraId="2C39485D" w14:textId="77777777" w:rsidR="004A2242" w:rsidRDefault="004A2242" w:rsidP="004C5C76">
                                    <w:pPr>
                                      <w:spacing w:line="300" w:lineRule="auto"/>
                                      <w:jc w:val="center"/>
                                      <w:rPr>
                                        <w:rFonts w:ascii="Arial" w:eastAsia="Times New Roman" w:hAnsi="Arial" w:cs="Arial"/>
                                        <w:color w:val="01653F"/>
                                        <w:sz w:val="21"/>
                                        <w:szCs w:val="21"/>
                                      </w:rPr>
                                    </w:pPr>
                                    <w:r>
                                      <w:rPr>
                                        <w:rStyle w:val="Strong"/>
                                        <w:rFonts w:ascii="Arial" w:eastAsia="Times New Roman" w:hAnsi="Arial" w:cs="Arial"/>
                                        <w:i/>
                                        <w:iCs/>
                                        <w:color w:val="006633"/>
                                      </w:rPr>
                                      <w:t>Happy Holidays from the Medicare Reviews Unit</w:t>
                                    </w:r>
                                  </w:p>
                                </w:tc>
                              </w:tr>
                            </w:tbl>
                            <w:p w14:paraId="246DABA0" w14:textId="77777777" w:rsidR="004A2242" w:rsidRDefault="004A2242">
                              <w:pPr>
                                <w:rPr>
                                  <w:rFonts w:eastAsia="Times New Roman"/>
                                  <w:sz w:val="20"/>
                                  <w:szCs w:val="20"/>
                                </w:rPr>
                              </w:pPr>
                            </w:p>
                          </w:tc>
                        </w:tr>
                      </w:tbl>
                      <w:p w14:paraId="10ACD40B" w14:textId="77777777" w:rsidR="004A2242" w:rsidRDefault="004A2242">
                        <w:pPr>
                          <w:rPr>
                            <w:rFonts w:eastAsia="Times New Roman"/>
                            <w:sz w:val="20"/>
                            <w:szCs w:val="20"/>
                          </w:rPr>
                        </w:pPr>
                      </w:p>
                    </w:tc>
                  </w:tr>
                  <w:tr w:rsidR="004A2242" w14:paraId="1B03BF2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A2242" w14:paraId="5F461DB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A2242" w14:paraId="2828F863" w14:textId="77777777">
                                <w:tc>
                                  <w:tcPr>
                                    <w:tcW w:w="0" w:type="auto"/>
                                    <w:tcMar>
                                      <w:top w:w="0" w:type="dxa"/>
                                      <w:left w:w="270" w:type="dxa"/>
                                      <w:bottom w:w="135" w:type="dxa"/>
                                      <w:right w:w="270" w:type="dxa"/>
                                    </w:tcMar>
                                    <w:hideMark/>
                                  </w:tcPr>
                                  <w:p w14:paraId="6B431E80" w14:textId="08F5FFE0" w:rsidR="003C5BEB" w:rsidRDefault="004A2242">
                                    <w:pPr>
                                      <w:spacing w:before="150" w:after="150" w:line="300" w:lineRule="auto"/>
                                      <w:rPr>
                                        <w:rFonts w:ascii="Arial" w:hAnsi="Arial" w:cs="Arial"/>
                                        <w:color w:val="202020"/>
                                        <w:sz w:val="21"/>
                                        <w:szCs w:val="21"/>
                                      </w:rPr>
                                    </w:pPr>
                                    <w:r>
                                      <w:rPr>
                                        <w:rFonts w:ascii="Arial" w:hAnsi="Arial" w:cs="Arial"/>
                                        <w:color w:val="202020"/>
                                        <w:sz w:val="21"/>
                                        <w:szCs w:val="21"/>
                                      </w:rPr>
                                      <w:t xml:space="preserve">This week’s </w:t>
                                    </w:r>
                                    <w:hyperlink r:id="rId6" w:tgtFrame="_blank" w:history="1">
                                      <w:r>
                                        <w:rPr>
                                          <w:rStyle w:val="Hyperlink"/>
                                          <w:rFonts w:ascii="Arial" w:hAnsi="Arial" w:cs="Arial"/>
                                          <w:color w:val="0E84C8"/>
                                          <w:sz w:val="21"/>
                                          <w:szCs w:val="21"/>
                                        </w:rPr>
                                        <w:t>Mid-Year Economic and Fiscal Outlook (MYEFO) 2019-20</w:t>
                                      </w:r>
                                    </w:hyperlink>
                                    <w:r>
                                      <w:rPr>
                                        <w:rFonts w:ascii="Arial" w:hAnsi="Arial" w:cs="Arial"/>
                                        <w:color w:val="202020"/>
                                        <w:sz w:val="21"/>
                                        <w:szCs w:val="21"/>
                                      </w:rPr>
                                      <w:t xml:space="preserve"> continued a busy year for the MBS Review Taskforce.</w:t>
                                    </w:r>
                                  </w:p>
                                  <w:p w14:paraId="0E4D7F07" w14:textId="77777777" w:rsidR="003C5BEB" w:rsidRDefault="004A2242">
                                    <w:pPr>
                                      <w:spacing w:before="150" w:after="150" w:line="300" w:lineRule="auto"/>
                                      <w:rPr>
                                        <w:rFonts w:ascii="Arial" w:hAnsi="Arial" w:cs="Arial"/>
                                        <w:color w:val="202020"/>
                                        <w:sz w:val="21"/>
                                        <w:szCs w:val="21"/>
                                      </w:rPr>
                                    </w:pPr>
                                    <w:r>
                                      <w:rPr>
                                        <w:rFonts w:ascii="Arial" w:hAnsi="Arial" w:cs="Arial"/>
                                        <w:color w:val="202020"/>
                                        <w:sz w:val="21"/>
                                        <w:szCs w:val="21"/>
                                      </w:rPr>
                                      <w:t xml:space="preserve">As part of MYEFO, the Government announced changes to blood products, general </w:t>
                                    </w:r>
                                    <w:proofErr w:type="gramStart"/>
                                    <w:r>
                                      <w:rPr>
                                        <w:rFonts w:ascii="Arial" w:hAnsi="Arial" w:cs="Arial"/>
                                        <w:color w:val="202020"/>
                                        <w:sz w:val="21"/>
                                        <w:szCs w:val="21"/>
                                      </w:rPr>
                                      <w:t>surgery</w:t>
                                    </w:r>
                                    <w:proofErr w:type="gramEnd"/>
                                    <w:r>
                                      <w:rPr>
                                        <w:rFonts w:ascii="Arial" w:hAnsi="Arial" w:cs="Arial"/>
                                        <w:color w:val="202020"/>
                                        <w:sz w:val="21"/>
                                        <w:szCs w:val="21"/>
                                      </w:rPr>
                                      <w:t xml:space="preserve"> and chemotherapy MBS items. These changes follow the Government’s acceptance of the MBS Review Taskforce’s recommendations in these areas. More information on the upcoming changes can be found on the </w:t>
                                    </w:r>
                                    <w:hyperlink r:id="rId7" w:tgtFrame="_blank" w:history="1">
                                      <w:r>
                                        <w:rPr>
                                          <w:rStyle w:val="Hyperlink"/>
                                          <w:rFonts w:ascii="Arial" w:hAnsi="Arial" w:cs="Arial"/>
                                          <w:color w:val="0E84C8"/>
                                          <w:sz w:val="21"/>
                                          <w:szCs w:val="21"/>
                                        </w:rPr>
                                        <w:t>Department's website</w:t>
                                      </w:r>
                                    </w:hyperlink>
                                    <w:r>
                                      <w:rPr>
                                        <w:rFonts w:ascii="Arial" w:hAnsi="Arial" w:cs="Arial"/>
                                        <w:color w:val="202020"/>
                                        <w:sz w:val="21"/>
                                        <w:szCs w:val="21"/>
                                      </w:rPr>
                                      <w:t>.</w:t>
                                    </w:r>
                                  </w:p>
                                  <w:p w14:paraId="2831C96F" w14:textId="77777777" w:rsidR="003C5BEB" w:rsidRDefault="004A2242">
                                    <w:pPr>
                                      <w:spacing w:before="150" w:after="150" w:line="300" w:lineRule="auto"/>
                                      <w:rPr>
                                        <w:rFonts w:ascii="Arial" w:hAnsi="Arial" w:cs="Arial"/>
                                        <w:color w:val="202020"/>
                                        <w:sz w:val="21"/>
                                        <w:szCs w:val="21"/>
                                      </w:rPr>
                                    </w:pPr>
                                    <w:r>
                                      <w:rPr>
                                        <w:rFonts w:ascii="Arial" w:hAnsi="Arial" w:cs="Arial"/>
                                        <w:color w:val="202020"/>
                                        <w:sz w:val="21"/>
                                        <w:szCs w:val="21"/>
                                      </w:rPr>
                                      <w:t xml:space="preserve">Consultation on six draft reports closes today, Friday, 20th of December. Submissions for </w:t>
                                    </w:r>
                                    <w:proofErr w:type="spellStart"/>
                                    <w:r>
                                      <w:rPr>
                                        <w:rFonts w:ascii="Arial" w:hAnsi="Arial" w:cs="Arial"/>
                                        <w:color w:val="202020"/>
                                        <w:sz w:val="21"/>
                                        <w:szCs w:val="21"/>
                                      </w:rPr>
                                      <w:t>Paediatric</w:t>
                                    </w:r>
                                    <w:proofErr w:type="spellEnd"/>
                                    <w:r>
                                      <w:rPr>
                                        <w:rFonts w:ascii="Arial" w:hAnsi="Arial" w:cs="Arial"/>
                                        <w:color w:val="202020"/>
                                        <w:sz w:val="21"/>
                                        <w:szCs w:val="21"/>
                                      </w:rPr>
                                      <w:t xml:space="preserve"> Surgery, Cleft Dental, Otolaryngology, Consumer Panel, Ophthalmology and Psychiatry can be emailed to </w:t>
                                    </w:r>
                                    <w:hyperlink r:id="rId8" w:history="1">
                                      <w:r>
                                        <w:rPr>
                                          <w:rStyle w:val="Hyperlink"/>
                                          <w:rFonts w:ascii="Arial" w:hAnsi="Arial" w:cs="Arial"/>
                                          <w:color w:val="0E84C8"/>
                                          <w:sz w:val="21"/>
                                          <w:szCs w:val="21"/>
                                        </w:rPr>
                                        <w:t>MBSReviews@health.gov.au</w:t>
                                      </w:r>
                                    </w:hyperlink>
                                    <w:r>
                                      <w:rPr>
                                        <w:rFonts w:ascii="Arial" w:hAnsi="Arial" w:cs="Arial"/>
                                        <w:color w:val="202020"/>
                                        <w:sz w:val="21"/>
                                        <w:szCs w:val="21"/>
                                      </w:rPr>
                                      <w:t>.</w:t>
                                    </w:r>
                                  </w:p>
                                  <w:p w14:paraId="221DF917" w14:textId="77777777" w:rsidR="003C5BEB" w:rsidRDefault="004A2242">
                                    <w:pPr>
                                      <w:spacing w:before="150" w:after="150" w:line="300" w:lineRule="auto"/>
                                      <w:rPr>
                                        <w:rFonts w:ascii="Arial" w:hAnsi="Arial" w:cs="Arial"/>
                                        <w:color w:val="202020"/>
                                        <w:sz w:val="21"/>
                                        <w:szCs w:val="21"/>
                                      </w:rPr>
                                    </w:pPr>
                                    <w:r>
                                      <w:rPr>
                                        <w:rFonts w:ascii="Arial" w:hAnsi="Arial" w:cs="Arial"/>
                                        <w:color w:val="202020"/>
                                        <w:sz w:val="21"/>
                                        <w:szCs w:val="21"/>
                                      </w:rPr>
                                      <w:t>Consultation on the draft Wound Management report closes on 12 February 2020, and submissions can also be emailed to </w:t>
                                    </w:r>
                                    <w:hyperlink r:id="rId9" w:history="1">
                                      <w:r>
                                        <w:rPr>
                                          <w:rStyle w:val="Hyperlink"/>
                                          <w:rFonts w:ascii="Arial" w:hAnsi="Arial" w:cs="Arial"/>
                                          <w:color w:val="0E84C8"/>
                                          <w:sz w:val="21"/>
                                          <w:szCs w:val="21"/>
                                        </w:rPr>
                                        <w:t>MBSReviews@health.gov.au</w:t>
                                      </w:r>
                                    </w:hyperlink>
                                    <w:r>
                                      <w:rPr>
                                        <w:rFonts w:ascii="Arial" w:hAnsi="Arial" w:cs="Arial"/>
                                        <w:color w:val="202020"/>
                                        <w:sz w:val="21"/>
                                        <w:szCs w:val="21"/>
                                      </w:rPr>
                                      <w:t>.</w:t>
                                    </w:r>
                                  </w:p>
                                  <w:p w14:paraId="34AE8962" w14:textId="77777777" w:rsidR="003C5BEB" w:rsidRDefault="004A2242">
                                    <w:pPr>
                                      <w:spacing w:before="150" w:after="150" w:line="300" w:lineRule="auto"/>
                                      <w:rPr>
                                        <w:rFonts w:ascii="Arial" w:hAnsi="Arial" w:cs="Arial"/>
                                        <w:color w:val="202020"/>
                                        <w:sz w:val="21"/>
                                        <w:szCs w:val="21"/>
                                      </w:rPr>
                                    </w:pPr>
                                    <w:r>
                                      <w:rPr>
                                        <w:rFonts w:ascii="Arial" w:hAnsi="Arial" w:cs="Arial"/>
                                        <w:color w:val="202020"/>
                                        <w:sz w:val="21"/>
                                        <w:szCs w:val="21"/>
                                      </w:rPr>
                                      <w:t xml:space="preserve">Implementation work has </w:t>
                                    </w:r>
                                    <w:proofErr w:type="gramStart"/>
                                    <w:r>
                                      <w:rPr>
                                        <w:rFonts w:ascii="Arial" w:hAnsi="Arial" w:cs="Arial"/>
                                        <w:color w:val="202020"/>
                                        <w:sz w:val="21"/>
                                        <w:szCs w:val="21"/>
                                      </w:rPr>
                                      <w:t>progressed, and</w:t>
                                    </w:r>
                                    <w:proofErr w:type="gramEnd"/>
                                    <w:r>
                                      <w:rPr>
                                        <w:rFonts w:ascii="Arial" w:hAnsi="Arial" w:cs="Arial"/>
                                        <w:color w:val="202020"/>
                                        <w:sz w:val="21"/>
                                        <w:szCs w:val="21"/>
                                      </w:rPr>
                                      <w:t xml:space="preserve"> will continue into 2020. As some areas have already experienced, implementation is a complex and resource intensive process, involving numerous stakeholders including patient representatives, providers, private health insurers, and private hospitals.</w:t>
                                    </w:r>
                                  </w:p>
                                  <w:p w14:paraId="3A30DA2F" w14:textId="3B3D2B2F" w:rsidR="003C5BEB" w:rsidRDefault="004A2242">
                                    <w:pPr>
                                      <w:spacing w:before="150" w:after="150" w:line="300" w:lineRule="auto"/>
                                      <w:rPr>
                                        <w:rFonts w:ascii="Arial" w:hAnsi="Arial" w:cs="Arial"/>
                                        <w:color w:val="202020"/>
                                        <w:sz w:val="21"/>
                                        <w:szCs w:val="21"/>
                                      </w:rPr>
                                    </w:pPr>
                                    <w:r>
                                      <w:rPr>
                                        <w:rFonts w:ascii="Arial" w:hAnsi="Arial" w:cs="Arial"/>
                                        <w:color w:val="202020"/>
                                        <w:sz w:val="21"/>
                                        <w:szCs w:val="21"/>
                                      </w:rPr>
                                      <w:t xml:space="preserve">To assist in this work, we expect at least one Implementation Liaison Group (ILG) will be created for each Clinical Committee’s Government endorsed recommendations. ILGs will usually be established after Government acceptance of recommendations. There are already </w:t>
                                    </w:r>
                                    <w:proofErr w:type="gramStart"/>
                                    <w:r>
                                      <w:rPr>
                                        <w:rFonts w:ascii="Arial" w:hAnsi="Arial" w:cs="Arial"/>
                                        <w:color w:val="202020"/>
                                        <w:sz w:val="21"/>
                                        <w:szCs w:val="21"/>
                                      </w:rPr>
                                      <w:t>a number of</w:t>
                                    </w:r>
                                    <w:proofErr w:type="gramEnd"/>
                                    <w:r>
                                      <w:rPr>
                                        <w:rFonts w:ascii="Arial" w:hAnsi="Arial" w:cs="Arial"/>
                                        <w:color w:val="202020"/>
                                        <w:sz w:val="21"/>
                                        <w:szCs w:val="21"/>
                                      </w:rPr>
                                      <w:t xml:space="preserve"> ILGs in place, including for </w:t>
                                    </w:r>
                                    <w:proofErr w:type="spellStart"/>
                                    <w:r>
                                      <w:rPr>
                                        <w:rFonts w:ascii="Arial" w:hAnsi="Arial" w:cs="Arial"/>
                                        <w:color w:val="202020"/>
                                        <w:sz w:val="21"/>
                                        <w:szCs w:val="21"/>
                                      </w:rPr>
                                      <w:t>Anaesthesia</w:t>
                                    </w:r>
                                    <w:proofErr w:type="spellEnd"/>
                                    <w:r>
                                      <w:rPr>
                                        <w:rFonts w:ascii="Arial" w:hAnsi="Arial" w:cs="Arial"/>
                                        <w:color w:val="202020"/>
                                        <w:sz w:val="21"/>
                                        <w:szCs w:val="21"/>
                                      </w:rPr>
                                      <w:t xml:space="preserve"> and Cardiac Services.</w:t>
                                    </w:r>
                                  </w:p>
                                  <w:p w14:paraId="3910E8C1" w14:textId="0E825CDA" w:rsidR="004A2242" w:rsidRDefault="004A2242">
                                    <w:pPr>
                                      <w:spacing w:before="150" w:after="150" w:line="300" w:lineRule="auto"/>
                                      <w:rPr>
                                        <w:rFonts w:ascii="Arial" w:hAnsi="Arial" w:cs="Arial"/>
                                        <w:color w:val="202020"/>
                                        <w:sz w:val="21"/>
                                        <w:szCs w:val="21"/>
                                      </w:rPr>
                                    </w:pPr>
                                    <w:r>
                                      <w:rPr>
                                        <w:rFonts w:ascii="Arial" w:hAnsi="Arial" w:cs="Arial"/>
                                        <w:color w:val="202020"/>
                                        <w:sz w:val="21"/>
                                        <w:szCs w:val="21"/>
                                      </w:rPr>
                                      <w:t>ILG’s:</w:t>
                                    </w:r>
                                  </w:p>
                                  <w:p w14:paraId="58BDF380" w14:textId="77777777" w:rsidR="004A2242" w:rsidRDefault="004A2242">
                                    <w:pPr>
                                      <w:numPr>
                                        <w:ilvl w:val="0"/>
                                        <w:numId w:val="1"/>
                                      </w:numPr>
                                      <w:spacing w:before="100" w:beforeAutospacing="1" w:after="100" w:afterAutospacing="1" w:line="300" w:lineRule="auto"/>
                                      <w:rPr>
                                        <w:rFonts w:ascii="Arial" w:eastAsia="Times New Roman" w:hAnsi="Arial" w:cs="Arial"/>
                                        <w:color w:val="202020"/>
                                        <w:sz w:val="21"/>
                                        <w:szCs w:val="21"/>
                                      </w:rPr>
                                    </w:pPr>
                                    <w:r>
                                      <w:rPr>
                                        <w:rFonts w:ascii="Arial" w:eastAsia="Times New Roman" w:hAnsi="Arial" w:cs="Arial"/>
                                        <w:color w:val="202020"/>
                                        <w:sz w:val="21"/>
                                        <w:szCs w:val="21"/>
                                      </w:rPr>
                                      <w:t>support the effective implementation of changes to Medicare Benefits Schedule (MBS) items</w:t>
                                    </w:r>
                                  </w:p>
                                  <w:p w14:paraId="0A3368F8" w14:textId="77777777" w:rsidR="004A2242" w:rsidRDefault="004A2242">
                                    <w:pPr>
                                      <w:numPr>
                                        <w:ilvl w:val="0"/>
                                        <w:numId w:val="1"/>
                                      </w:numPr>
                                      <w:spacing w:before="100" w:beforeAutospacing="1" w:after="100" w:afterAutospacing="1" w:line="300" w:lineRule="auto"/>
                                      <w:rPr>
                                        <w:rFonts w:ascii="Arial" w:eastAsia="Times New Roman" w:hAnsi="Arial" w:cs="Arial"/>
                                        <w:color w:val="202020"/>
                                        <w:sz w:val="21"/>
                                        <w:szCs w:val="21"/>
                                      </w:rPr>
                                    </w:pPr>
                                    <w:r>
                                      <w:rPr>
                                        <w:rFonts w:ascii="Arial" w:eastAsia="Times New Roman" w:hAnsi="Arial" w:cs="Arial"/>
                                        <w:color w:val="202020"/>
                                        <w:sz w:val="21"/>
                                        <w:szCs w:val="21"/>
                                      </w:rPr>
                                      <w:t>provide specific input to the drafting of item descriptors to support these recommendations</w:t>
                                    </w:r>
                                  </w:p>
                                  <w:p w14:paraId="714EA20C" w14:textId="77777777" w:rsidR="004A2242" w:rsidRDefault="004A2242">
                                    <w:pPr>
                                      <w:numPr>
                                        <w:ilvl w:val="0"/>
                                        <w:numId w:val="1"/>
                                      </w:numPr>
                                      <w:spacing w:before="100" w:beforeAutospacing="1" w:after="100" w:afterAutospacing="1" w:line="300" w:lineRule="auto"/>
                                      <w:rPr>
                                        <w:rFonts w:ascii="Arial" w:eastAsia="Times New Roman" w:hAnsi="Arial" w:cs="Arial"/>
                                        <w:color w:val="202020"/>
                                        <w:sz w:val="21"/>
                                        <w:szCs w:val="21"/>
                                      </w:rPr>
                                    </w:pPr>
                                    <w:r>
                                      <w:rPr>
                                        <w:rFonts w:ascii="Arial" w:eastAsia="Times New Roman" w:hAnsi="Arial" w:cs="Arial"/>
                                        <w:color w:val="202020"/>
                                        <w:sz w:val="21"/>
                                        <w:szCs w:val="21"/>
                                      </w:rPr>
                                      <w:t>assist in the development of communication and education material</w:t>
                                    </w:r>
                                  </w:p>
                                  <w:p w14:paraId="70AB89C9" w14:textId="77777777" w:rsidR="004A2242" w:rsidRDefault="004A2242">
                                    <w:pPr>
                                      <w:numPr>
                                        <w:ilvl w:val="0"/>
                                        <w:numId w:val="1"/>
                                      </w:numPr>
                                      <w:spacing w:before="100" w:beforeAutospacing="1" w:after="100" w:afterAutospacing="1" w:line="300" w:lineRule="auto"/>
                                      <w:rPr>
                                        <w:rFonts w:ascii="Arial" w:eastAsia="Times New Roman" w:hAnsi="Arial" w:cs="Arial"/>
                                        <w:color w:val="202020"/>
                                        <w:sz w:val="21"/>
                                        <w:szCs w:val="21"/>
                                      </w:rPr>
                                    </w:pPr>
                                    <w:r>
                                      <w:rPr>
                                        <w:rFonts w:ascii="Arial" w:eastAsia="Times New Roman" w:hAnsi="Arial" w:cs="Arial"/>
                                        <w:color w:val="202020"/>
                                        <w:sz w:val="21"/>
                                        <w:szCs w:val="21"/>
                                      </w:rPr>
                                      <w:t>provide advice on potential unintended consequences</w:t>
                                    </w:r>
                                  </w:p>
                                  <w:p w14:paraId="7FD1E5B8" w14:textId="77777777" w:rsidR="004C5C76" w:rsidRPr="004C5C76" w:rsidRDefault="004A2242" w:rsidP="004C5C76">
                                    <w:pPr>
                                      <w:numPr>
                                        <w:ilvl w:val="0"/>
                                        <w:numId w:val="1"/>
                                      </w:numPr>
                                      <w:spacing w:before="100" w:beforeAutospacing="1" w:after="100" w:afterAutospacing="1" w:line="300" w:lineRule="auto"/>
                                      <w:rPr>
                                        <w:rFonts w:ascii="Arial" w:hAnsi="Arial" w:cs="Arial"/>
                                        <w:color w:val="202020"/>
                                        <w:sz w:val="21"/>
                                        <w:szCs w:val="21"/>
                                      </w:rPr>
                                    </w:pPr>
                                    <w:r>
                                      <w:rPr>
                                        <w:rFonts w:ascii="Arial" w:eastAsia="Times New Roman" w:hAnsi="Arial" w:cs="Arial"/>
                                        <w:color w:val="202020"/>
                                        <w:sz w:val="21"/>
                                        <w:szCs w:val="21"/>
                                      </w:rPr>
                                      <w:lastRenderedPageBreak/>
                                      <w:t>do not have the authority to reconsider decisions and recommendations made by the Government or the Taskforce.</w:t>
                                    </w:r>
                                  </w:p>
                                  <w:p w14:paraId="1FFE90C0" w14:textId="77777777" w:rsidR="003C5BEB" w:rsidRDefault="004A2242" w:rsidP="004C5C76">
                                    <w:pPr>
                                      <w:numPr>
                                        <w:ilvl w:val="0"/>
                                        <w:numId w:val="1"/>
                                      </w:numPr>
                                      <w:spacing w:before="100" w:beforeAutospacing="1" w:after="100" w:afterAutospacing="1" w:line="300" w:lineRule="auto"/>
                                      <w:rPr>
                                        <w:rFonts w:ascii="Arial" w:hAnsi="Arial" w:cs="Arial"/>
                                        <w:color w:val="202020"/>
                                        <w:sz w:val="21"/>
                                        <w:szCs w:val="21"/>
                                      </w:rPr>
                                    </w:pPr>
                                    <w:r>
                                      <w:rPr>
                                        <w:rFonts w:ascii="Arial" w:hAnsi="Arial" w:cs="Arial"/>
                                        <w:color w:val="202020"/>
                                        <w:sz w:val="21"/>
                                        <w:szCs w:val="21"/>
                                      </w:rPr>
                                      <w:t>The workload of ILGs will vary according to the scope and complexity of the changes in particular clinical areas. They will generally be conducted via teleconference, though some face-to-face meetings may be required. </w:t>
                                    </w:r>
                                  </w:p>
                                  <w:p w14:paraId="3266ADDE" w14:textId="57457DF9" w:rsidR="004A2242" w:rsidRDefault="004A2242" w:rsidP="003C5BEB">
                                    <w:pPr>
                                      <w:spacing w:before="100" w:beforeAutospacing="1" w:after="100" w:afterAutospacing="1" w:line="300" w:lineRule="auto"/>
                                      <w:rPr>
                                        <w:rFonts w:ascii="Arial" w:hAnsi="Arial" w:cs="Arial"/>
                                        <w:color w:val="202020"/>
                                        <w:sz w:val="21"/>
                                        <w:szCs w:val="21"/>
                                      </w:rPr>
                                    </w:pPr>
                                    <w:r>
                                      <w:rPr>
                                        <w:rFonts w:ascii="Arial" w:hAnsi="Arial" w:cs="Arial"/>
                                        <w:color w:val="202020"/>
                                        <w:sz w:val="21"/>
                                        <w:szCs w:val="21"/>
                                      </w:rPr>
                                      <w:t xml:space="preserve">The Department of Health shutdown period commences 3 pm 24 </w:t>
                                    </w:r>
                                    <w:proofErr w:type="gramStart"/>
                                    <w:r>
                                      <w:rPr>
                                        <w:rFonts w:ascii="Arial" w:hAnsi="Arial" w:cs="Arial"/>
                                        <w:color w:val="202020"/>
                                        <w:sz w:val="21"/>
                                        <w:szCs w:val="21"/>
                                      </w:rPr>
                                      <w:t>December,</w:t>
                                    </w:r>
                                    <w:proofErr w:type="gramEnd"/>
                                    <w:r>
                                      <w:rPr>
                                        <w:rFonts w:ascii="Arial" w:hAnsi="Arial" w:cs="Arial"/>
                                        <w:color w:val="202020"/>
                                        <w:sz w:val="21"/>
                                        <w:szCs w:val="21"/>
                                      </w:rPr>
                                      <w:t xml:space="preserve"> 2019, with staff returning Thursday 2 January, 2020.</w:t>
                                    </w:r>
                                  </w:p>
                                </w:tc>
                              </w:tr>
                            </w:tbl>
                            <w:p w14:paraId="46CDC688" w14:textId="77777777" w:rsidR="004A2242" w:rsidRDefault="004A2242">
                              <w:pPr>
                                <w:rPr>
                                  <w:rFonts w:eastAsia="Times New Roman"/>
                                  <w:sz w:val="20"/>
                                  <w:szCs w:val="20"/>
                                </w:rPr>
                              </w:pPr>
                            </w:p>
                          </w:tc>
                        </w:tr>
                      </w:tbl>
                      <w:p w14:paraId="1FEE7B7A" w14:textId="77777777" w:rsidR="004A2242" w:rsidRDefault="004A2242">
                        <w:pPr>
                          <w:rPr>
                            <w:rFonts w:eastAsia="Times New Roman"/>
                            <w:sz w:val="20"/>
                            <w:szCs w:val="20"/>
                          </w:rPr>
                        </w:pPr>
                      </w:p>
                    </w:tc>
                  </w:tr>
                  <w:tr w:rsidR="004A2242" w14:paraId="6292225F"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4A2242" w14:paraId="4FB4CB44" w14:textId="77777777">
                          <w:trPr>
                            <w:jc w:val="center"/>
                            <w:hidden/>
                          </w:trPr>
                          <w:tc>
                            <w:tcPr>
                              <w:tcW w:w="0" w:type="auto"/>
                              <w:hideMark/>
                            </w:tcPr>
                            <w:p w14:paraId="55D2C54E" w14:textId="77777777" w:rsidR="004A2242" w:rsidRDefault="004A2242">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4A2242" w14:paraId="2561E743" w14:textId="77777777">
                                <w:tc>
                                  <w:tcPr>
                                    <w:tcW w:w="0" w:type="auto"/>
                                    <w:tcMar>
                                      <w:top w:w="135" w:type="dxa"/>
                                      <w:left w:w="270" w:type="dxa"/>
                                      <w:bottom w:w="135" w:type="dxa"/>
                                      <w:right w:w="270" w:type="dxa"/>
                                    </w:tcMar>
                                    <w:vAlign w:val="center"/>
                                    <w:hideMark/>
                                  </w:tcPr>
                                  <w:tbl>
                                    <w:tblPr>
                                      <w:tblW w:w="5000" w:type="pct"/>
                                      <w:shd w:val="clear" w:color="auto" w:fill="F1F1F1"/>
                                      <w:tblLook w:val="04A0" w:firstRow="1" w:lastRow="0" w:firstColumn="1" w:lastColumn="0" w:noHBand="0" w:noVBand="1"/>
                                    </w:tblPr>
                                    <w:tblGrid>
                                      <w:gridCol w:w="8454"/>
                                    </w:tblGrid>
                                    <w:tr w:rsidR="004A2242" w14:paraId="42314EE9" w14:textId="77777777">
                                      <w:tc>
                                        <w:tcPr>
                                          <w:tcW w:w="0" w:type="auto"/>
                                          <w:shd w:val="clear" w:color="auto" w:fill="F1F1F1"/>
                                          <w:tcMar>
                                            <w:top w:w="270" w:type="dxa"/>
                                            <w:left w:w="270" w:type="dxa"/>
                                            <w:bottom w:w="270" w:type="dxa"/>
                                            <w:right w:w="270" w:type="dxa"/>
                                          </w:tcMar>
                                          <w:hideMark/>
                                        </w:tcPr>
                                        <w:p w14:paraId="11E828D1" w14:textId="77777777" w:rsidR="004C5C76" w:rsidRDefault="004A2242" w:rsidP="004C5C76">
                                          <w:pPr>
                                            <w:spacing w:after="120" w:line="300" w:lineRule="auto"/>
                                            <w:rPr>
                                              <w:rStyle w:val="Strong"/>
                                              <w:rFonts w:ascii="Helvetica" w:eastAsia="Times New Roman" w:hAnsi="Helvetica" w:cs="Helvetica"/>
                                              <w:color w:val="006633"/>
                                            </w:rPr>
                                          </w:pPr>
                                          <w:r>
                                            <w:rPr>
                                              <w:rStyle w:val="Strong"/>
                                              <w:rFonts w:ascii="Helvetica" w:eastAsia="Times New Roman" w:hAnsi="Helvetica" w:cs="Helvetica"/>
                                              <w:color w:val="006633"/>
                                            </w:rPr>
                                            <w:t>Message from the Chair</w:t>
                                          </w:r>
                                        </w:p>
                                        <w:p w14:paraId="1272877C" w14:textId="77777777" w:rsidR="004C5C76" w:rsidRDefault="004A2242" w:rsidP="004C5C76">
                                          <w:pPr>
                                            <w:spacing w:after="120" w:line="30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I would like to thank all who have contributed to the work of the Taskforce since commencement of the Review, and particularly over the last year.</w:t>
                                          </w:r>
                                        </w:p>
                                        <w:p w14:paraId="4EC4644E" w14:textId="77777777" w:rsidR="004A2242" w:rsidRDefault="004A2242">
                                          <w:pPr>
                                            <w:spacing w:line="30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Over the course of the year, the work of the MBS Review has achieved some significant milestones and contributed to quality patient care and access:</w:t>
                                          </w:r>
                                        </w:p>
                                        <w:p w14:paraId="5F48F062" w14:textId="77777777" w:rsidR="004A2242" w:rsidRDefault="004A2242">
                                          <w:pPr>
                                            <w:numPr>
                                              <w:ilvl w:val="0"/>
                                              <w:numId w:val="2"/>
                                            </w:numPr>
                                            <w:spacing w:before="100" w:beforeAutospacing="1" w:after="100" w:afterAutospacing="1" w:line="30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In May 2019, the Taskforce concluded our “first-pass” review of the more than 5,700 items across the MBS. This has been a mammoth undertaking, and more than 700 clinicians, consumers and health system experts have contributed to this achievement. This has been important work to </w:t>
                                          </w:r>
                                          <w:proofErr w:type="spellStart"/>
                                          <w:r>
                                            <w:rPr>
                                              <w:rFonts w:ascii="Helvetica" w:eastAsia="Times New Roman" w:hAnsi="Helvetica" w:cs="Helvetica"/>
                                              <w:color w:val="222222"/>
                                              <w:sz w:val="21"/>
                                              <w:szCs w:val="21"/>
                                            </w:rPr>
                                            <w:t>modernise</w:t>
                                          </w:r>
                                          <w:proofErr w:type="spellEnd"/>
                                          <w:r>
                                            <w:rPr>
                                              <w:rFonts w:ascii="Helvetica" w:eastAsia="Times New Roman" w:hAnsi="Helvetica" w:cs="Helvetica"/>
                                              <w:color w:val="222222"/>
                                              <w:sz w:val="21"/>
                                              <w:szCs w:val="21"/>
                                            </w:rPr>
                                            <w:t xml:space="preserve"> the </w:t>
                                          </w:r>
                                          <w:proofErr w:type="gramStart"/>
                                          <w:r>
                                            <w:rPr>
                                              <w:rFonts w:ascii="Helvetica" w:eastAsia="Times New Roman" w:hAnsi="Helvetica" w:cs="Helvetica"/>
                                              <w:color w:val="222222"/>
                                              <w:sz w:val="21"/>
                                              <w:szCs w:val="21"/>
                                            </w:rPr>
                                            <w:t>MBS, and</w:t>
                                          </w:r>
                                          <w:proofErr w:type="gramEnd"/>
                                          <w:r>
                                            <w:rPr>
                                              <w:rFonts w:ascii="Helvetica" w:eastAsia="Times New Roman" w:hAnsi="Helvetica" w:cs="Helvetica"/>
                                              <w:color w:val="222222"/>
                                              <w:sz w:val="21"/>
                                              <w:szCs w:val="21"/>
                                            </w:rPr>
                                            <w:t xml:space="preserve"> has already begun to deliver improvements in patient care.</w:t>
                                          </w:r>
                                        </w:p>
                                        <w:p w14:paraId="0C3AB699" w14:textId="77777777" w:rsidR="004A2242" w:rsidRDefault="004A2242">
                                          <w:pPr>
                                            <w:numPr>
                                              <w:ilvl w:val="0"/>
                                              <w:numId w:val="3"/>
                                            </w:numPr>
                                            <w:spacing w:before="100" w:beforeAutospacing="1" w:after="100" w:afterAutospacing="1" w:line="300" w:lineRule="auto"/>
                                            <w:rPr>
                                              <w:rFonts w:ascii="Helvetica" w:eastAsia="Times New Roman" w:hAnsi="Helvetica" w:cs="Helvetica"/>
                                              <w:color w:val="222222"/>
                                              <w:sz w:val="21"/>
                                              <w:szCs w:val="21"/>
                                            </w:rPr>
                                          </w:pPr>
                                          <w:proofErr w:type="gramStart"/>
                                          <w:r>
                                            <w:rPr>
                                              <w:rFonts w:ascii="Helvetica" w:eastAsia="Times New Roman" w:hAnsi="Helvetica" w:cs="Helvetica"/>
                                              <w:color w:val="222222"/>
                                              <w:sz w:val="21"/>
                                              <w:szCs w:val="21"/>
                                            </w:rPr>
                                            <w:t>A number of</w:t>
                                          </w:r>
                                          <w:proofErr w:type="gramEnd"/>
                                          <w:r>
                                            <w:rPr>
                                              <w:rFonts w:ascii="Helvetica" w:eastAsia="Times New Roman" w:hAnsi="Helvetica" w:cs="Helvetica"/>
                                              <w:color w:val="222222"/>
                                              <w:sz w:val="21"/>
                                              <w:szCs w:val="21"/>
                                            </w:rPr>
                                            <w:t xml:space="preserve"> key draft reports were released for consultation across a range of areas. This has included specialist and consultant physician services, </w:t>
                                          </w:r>
                                          <w:proofErr w:type="gramStart"/>
                                          <w:r>
                                            <w:rPr>
                                              <w:rFonts w:ascii="Helvetica" w:eastAsia="Times New Roman" w:hAnsi="Helvetica" w:cs="Helvetica"/>
                                              <w:color w:val="222222"/>
                                              <w:sz w:val="21"/>
                                              <w:szCs w:val="21"/>
                                            </w:rPr>
                                            <w:t>optometry</w:t>
                                          </w:r>
                                          <w:proofErr w:type="gramEnd"/>
                                          <w:r>
                                            <w:rPr>
                                              <w:rFonts w:ascii="Helvetica" w:eastAsia="Times New Roman" w:hAnsi="Helvetica" w:cs="Helvetica"/>
                                              <w:color w:val="222222"/>
                                              <w:sz w:val="21"/>
                                              <w:szCs w:val="21"/>
                                            </w:rPr>
                                            <w:t xml:space="preserve"> and pain management as well as a range of reports across primary care. In late 2019, the Taskforce released </w:t>
                                          </w:r>
                                          <w:proofErr w:type="gramStart"/>
                                          <w:r>
                                            <w:rPr>
                                              <w:rFonts w:ascii="Helvetica" w:eastAsia="Times New Roman" w:hAnsi="Helvetica" w:cs="Helvetica"/>
                                              <w:color w:val="222222"/>
                                              <w:sz w:val="21"/>
                                              <w:szCs w:val="21"/>
                                            </w:rPr>
                                            <w:t>a number of</w:t>
                                          </w:r>
                                          <w:proofErr w:type="gramEnd"/>
                                          <w:r>
                                            <w:rPr>
                                              <w:rFonts w:ascii="Helvetica" w:eastAsia="Times New Roman" w:hAnsi="Helvetica" w:cs="Helvetica"/>
                                              <w:color w:val="222222"/>
                                              <w:sz w:val="21"/>
                                              <w:szCs w:val="21"/>
                                            </w:rPr>
                                            <w:t xml:space="preserve"> further reports for consultation, including psychiatry, the consumer panel report, cleft dental and wound management. Seven reports are currently open for consultation.  </w:t>
                                          </w:r>
                                        </w:p>
                                        <w:p w14:paraId="437BBAA3" w14:textId="77777777" w:rsidR="004A2242" w:rsidRDefault="004A2242">
                                          <w:pPr>
                                            <w:numPr>
                                              <w:ilvl w:val="0"/>
                                              <w:numId w:val="4"/>
                                            </w:numPr>
                                            <w:spacing w:before="100" w:beforeAutospacing="1" w:after="100" w:afterAutospacing="1" w:line="30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In November, </w:t>
                                          </w:r>
                                          <w:proofErr w:type="gramStart"/>
                                          <w:r>
                                            <w:rPr>
                                              <w:rFonts w:ascii="Helvetica" w:eastAsia="Times New Roman" w:hAnsi="Helvetica" w:cs="Helvetica"/>
                                              <w:color w:val="222222"/>
                                              <w:sz w:val="21"/>
                                              <w:szCs w:val="21"/>
                                            </w:rPr>
                                            <w:t>a number of</w:t>
                                          </w:r>
                                          <w:proofErr w:type="gramEnd"/>
                                          <w:r>
                                            <w:rPr>
                                              <w:rFonts w:ascii="Helvetica" w:eastAsia="Times New Roman" w:hAnsi="Helvetica" w:cs="Helvetica"/>
                                              <w:color w:val="222222"/>
                                              <w:sz w:val="21"/>
                                              <w:szCs w:val="21"/>
                                            </w:rPr>
                                            <w:t xml:space="preserve"> significant changes to the MBS were implemented following the work of the Taskforce. Notably this includes the introduction of 64 new items to support Australians with complex eating disorders, as well as improvements in areas including colonoscopy and </w:t>
                                          </w:r>
                                          <w:proofErr w:type="spellStart"/>
                                          <w:r>
                                            <w:rPr>
                                              <w:rFonts w:ascii="Helvetica" w:eastAsia="Times New Roman" w:hAnsi="Helvetica" w:cs="Helvetica"/>
                                              <w:color w:val="222222"/>
                                              <w:sz w:val="21"/>
                                              <w:szCs w:val="21"/>
                                            </w:rPr>
                                            <w:t>anaesthetics</w:t>
                                          </w:r>
                                          <w:proofErr w:type="spellEnd"/>
                                          <w:r>
                                            <w:rPr>
                                              <w:rFonts w:ascii="Helvetica" w:eastAsia="Times New Roman" w:hAnsi="Helvetica" w:cs="Helvetica"/>
                                              <w:color w:val="222222"/>
                                              <w:sz w:val="21"/>
                                              <w:szCs w:val="21"/>
                                            </w:rPr>
                                            <w:t>.</w:t>
                                          </w:r>
                                        </w:p>
                                        <w:p w14:paraId="7CB3DBBF" w14:textId="77777777" w:rsidR="004A2242" w:rsidRDefault="004A2242">
                                          <w:pPr>
                                            <w:spacing w:line="30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In 2020, there remains some significant work to </w:t>
                                          </w:r>
                                          <w:proofErr w:type="spellStart"/>
                                          <w:r>
                                            <w:rPr>
                                              <w:rFonts w:ascii="Helvetica" w:eastAsia="Times New Roman" w:hAnsi="Helvetica" w:cs="Helvetica"/>
                                              <w:color w:val="222222"/>
                                              <w:sz w:val="21"/>
                                              <w:szCs w:val="21"/>
                                            </w:rPr>
                                            <w:t>finalise</w:t>
                                          </w:r>
                                          <w:proofErr w:type="spellEnd"/>
                                          <w:r>
                                            <w:rPr>
                                              <w:rFonts w:ascii="Helvetica" w:eastAsia="Times New Roman" w:hAnsi="Helvetica" w:cs="Helvetica"/>
                                              <w:color w:val="222222"/>
                                              <w:sz w:val="21"/>
                                              <w:szCs w:val="21"/>
                                            </w:rPr>
                                            <w:t>, including:</w:t>
                                          </w:r>
                                        </w:p>
                                        <w:p w14:paraId="1B023B1B" w14:textId="77777777" w:rsidR="004A2242" w:rsidRDefault="004A2242">
                                          <w:pPr>
                                            <w:numPr>
                                              <w:ilvl w:val="0"/>
                                              <w:numId w:val="5"/>
                                            </w:numPr>
                                            <w:spacing w:before="100" w:beforeAutospacing="1" w:after="100" w:afterAutospacing="1" w:line="30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The six draft reports relating to primary care. These reports have led to a number of robust discussions amongst the Taskforce, including our most recent meeting on December 11 and 12. While I understand many are eagerly awaiting the outcomes, it is important that we provide the strongest, evidence-based advice to Government – and for this reason, we will </w:t>
                                          </w:r>
                                          <w:proofErr w:type="spellStart"/>
                                          <w:r>
                                            <w:rPr>
                                              <w:rFonts w:ascii="Helvetica" w:eastAsia="Times New Roman" w:hAnsi="Helvetica" w:cs="Helvetica"/>
                                              <w:color w:val="222222"/>
                                              <w:sz w:val="21"/>
                                              <w:szCs w:val="21"/>
                                            </w:rPr>
                                            <w:t>finalise</w:t>
                                          </w:r>
                                          <w:proofErr w:type="spellEnd"/>
                                          <w:r>
                                            <w:rPr>
                                              <w:rFonts w:ascii="Helvetica" w:eastAsia="Times New Roman" w:hAnsi="Helvetica" w:cs="Helvetica"/>
                                              <w:color w:val="222222"/>
                                              <w:sz w:val="21"/>
                                              <w:szCs w:val="21"/>
                                            </w:rPr>
                                            <w:t xml:space="preserve"> our advice across all 89 recommendations in the new year.</w:t>
                                          </w:r>
                                        </w:p>
                                        <w:p w14:paraId="3FA23315" w14:textId="77777777" w:rsidR="004A2242" w:rsidRDefault="004A2242">
                                          <w:pPr>
                                            <w:numPr>
                                              <w:ilvl w:val="0"/>
                                              <w:numId w:val="6"/>
                                            </w:numPr>
                                            <w:spacing w:before="100" w:beforeAutospacing="1" w:after="100" w:afterAutospacing="1" w:line="30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lastRenderedPageBreak/>
                                            <w:t xml:space="preserve">In addition to the above reports, I would expect we will also </w:t>
                                          </w:r>
                                          <w:proofErr w:type="spellStart"/>
                                          <w:r>
                                            <w:rPr>
                                              <w:rFonts w:ascii="Helvetica" w:eastAsia="Times New Roman" w:hAnsi="Helvetica" w:cs="Helvetica"/>
                                              <w:color w:val="222222"/>
                                              <w:sz w:val="21"/>
                                              <w:szCs w:val="21"/>
                                            </w:rPr>
                                            <w:t>finalise</w:t>
                                          </w:r>
                                          <w:proofErr w:type="spellEnd"/>
                                          <w:r>
                                            <w:rPr>
                                              <w:rFonts w:ascii="Helvetica" w:eastAsia="Times New Roman" w:hAnsi="Helvetica" w:cs="Helvetica"/>
                                              <w:color w:val="222222"/>
                                              <w:sz w:val="21"/>
                                              <w:szCs w:val="21"/>
                                            </w:rPr>
                                            <w:t xml:space="preserve"> our recommendations on Wound Management once the consultation period has closed and we have considered the feedback from this process. Wound care is a significant issue in this country, and the Taskforce has an opportunity to propose solutions and ways to better support integrated care that improves outcomes for patients and the system.</w:t>
                                          </w:r>
                                        </w:p>
                                        <w:p w14:paraId="4C8E6FEA" w14:textId="77777777" w:rsidR="004A2242" w:rsidRDefault="004A2242">
                                          <w:pPr>
                                            <w:numPr>
                                              <w:ilvl w:val="0"/>
                                              <w:numId w:val="7"/>
                                            </w:numPr>
                                            <w:spacing w:before="100" w:beforeAutospacing="1" w:after="100" w:afterAutospacing="1" w:line="30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The Taskforce remains on track to </w:t>
                                          </w:r>
                                          <w:proofErr w:type="spellStart"/>
                                          <w:r>
                                            <w:rPr>
                                              <w:rFonts w:ascii="Helvetica" w:eastAsia="Times New Roman" w:hAnsi="Helvetica" w:cs="Helvetica"/>
                                              <w:color w:val="222222"/>
                                              <w:sz w:val="21"/>
                                              <w:szCs w:val="21"/>
                                            </w:rPr>
                                            <w:t>finalise</w:t>
                                          </w:r>
                                          <w:proofErr w:type="spellEnd"/>
                                          <w:r>
                                            <w:rPr>
                                              <w:rFonts w:ascii="Helvetica" w:eastAsia="Times New Roman" w:hAnsi="Helvetica" w:cs="Helvetica"/>
                                              <w:color w:val="222222"/>
                                              <w:sz w:val="21"/>
                                              <w:szCs w:val="21"/>
                                            </w:rPr>
                                            <w:t xml:space="preserve"> </w:t>
                                          </w:r>
                                          <w:proofErr w:type="gramStart"/>
                                          <w:r>
                                            <w:rPr>
                                              <w:rFonts w:ascii="Helvetica" w:eastAsia="Times New Roman" w:hAnsi="Helvetica" w:cs="Helvetica"/>
                                              <w:color w:val="222222"/>
                                              <w:sz w:val="21"/>
                                              <w:szCs w:val="21"/>
                                            </w:rPr>
                                            <w:t>all of</w:t>
                                          </w:r>
                                          <w:proofErr w:type="gramEnd"/>
                                          <w:r>
                                            <w:rPr>
                                              <w:rFonts w:ascii="Helvetica" w:eastAsia="Times New Roman" w:hAnsi="Helvetica" w:cs="Helvetica"/>
                                              <w:color w:val="222222"/>
                                              <w:sz w:val="21"/>
                                              <w:szCs w:val="21"/>
                                            </w:rPr>
                                            <w:t xml:space="preserve"> its reports to Government by the middle of 2020.</w:t>
                                          </w:r>
                                        </w:p>
                                        <w:p w14:paraId="0F684232" w14:textId="77777777" w:rsidR="004C5C76" w:rsidRDefault="004A2242" w:rsidP="004C5C76">
                                          <w:pPr>
                                            <w:spacing w:after="120" w:line="30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Earlier this month, I travelled to Tasmania for a series of small group discussions with general practitioners, consultant physicians, </w:t>
                                          </w:r>
                                          <w:proofErr w:type="gramStart"/>
                                          <w:r>
                                            <w:rPr>
                                              <w:rFonts w:ascii="Helvetica" w:eastAsia="Times New Roman" w:hAnsi="Helvetica" w:cs="Helvetica"/>
                                              <w:color w:val="222222"/>
                                              <w:sz w:val="21"/>
                                              <w:szCs w:val="21"/>
                                            </w:rPr>
                                            <w:t>specialists</w:t>
                                          </w:r>
                                          <w:proofErr w:type="gramEnd"/>
                                          <w:r>
                                            <w:rPr>
                                              <w:rFonts w:ascii="Helvetica" w:eastAsia="Times New Roman" w:hAnsi="Helvetica" w:cs="Helvetica"/>
                                              <w:color w:val="222222"/>
                                              <w:sz w:val="21"/>
                                              <w:szCs w:val="21"/>
                                            </w:rPr>
                                            <w:t xml:space="preserve"> and allied health professionals. I provided an update on the MBS Review and recent changes to the MBS. Attendees raised a range of local issues, which I conveyed to the MBS Review Taskforce at last week’s meeting.</w:t>
                                          </w:r>
                                        </w:p>
                                        <w:p w14:paraId="2634F68B" w14:textId="77777777" w:rsidR="00AC3F62" w:rsidRDefault="004A2242" w:rsidP="00AC3F62">
                                          <w:pPr>
                                            <w:spacing w:after="120" w:line="30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This meeting follows similar successful meetings in Western Australia earlier in the year, </w:t>
                                          </w:r>
                                          <w:proofErr w:type="spellStart"/>
                                          <w:r>
                                            <w:rPr>
                                              <w:rFonts w:ascii="Helvetica" w:eastAsia="Times New Roman" w:hAnsi="Helvetica" w:cs="Helvetica"/>
                                              <w:color w:val="222222"/>
                                              <w:sz w:val="21"/>
                                              <w:szCs w:val="21"/>
                                            </w:rPr>
                                            <w:t>organised</w:t>
                                          </w:r>
                                          <w:proofErr w:type="spellEnd"/>
                                          <w:r>
                                            <w:rPr>
                                              <w:rFonts w:ascii="Helvetica" w:eastAsia="Times New Roman" w:hAnsi="Helvetica" w:cs="Helvetica"/>
                                              <w:color w:val="222222"/>
                                              <w:sz w:val="21"/>
                                              <w:szCs w:val="21"/>
                                            </w:rPr>
                                            <w:t xml:space="preserve"> by the AMA WA. I believe these opportunities to present and communicate the work of the Taskforce is valuable, and I am keen to continue to support our communication work into 2020.</w:t>
                                          </w:r>
                                        </w:p>
                                        <w:p w14:paraId="2DC03801" w14:textId="581484BC" w:rsidR="004A2242" w:rsidRDefault="004A2242">
                                          <w:pPr>
                                            <w:spacing w:line="30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I hope you all enjoy the break and wish you well for 2020.</w:t>
                                          </w:r>
                                        </w:p>
                                      </w:tc>
                                    </w:tr>
                                  </w:tbl>
                                  <w:p w14:paraId="78AD2499" w14:textId="77777777" w:rsidR="004A2242" w:rsidRDefault="004A2242">
                                    <w:pPr>
                                      <w:rPr>
                                        <w:rFonts w:eastAsia="Times New Roman"/>
                                        <w:sz w:val="20"/>
                                        <w:szCs w:val="20"/>
                                      </w:rPr>
                                    </w:pPr>
                                  </w:p>
                                </w:tc>
                              </w:tr>
                            </w:tbl>
                            <w:p w14:paraId="37F1BB8C" w14:textId="77777777" w:rsidR="004A2242" w:rsidRDefault="004A2242">
                              <w:pPr>
                                <w:rPr>
                                  <w:rFonts w:eastAsia="Times New Roman"/>
                                  <w:sz w:val="20"/>
                                  <w:szCs w:val="20"/>
                                </w:rPr>
                              </w:pPr>
                            </w:p>
                          </w:tc>
                        </w:tr>
                      </w:tbl>
                      <w:p w14:paraId="65E6CEA3" w14:textId="77777777" w:rsidR="004A2242" w:rsidRDefault="004A2242">
                        <w:pPr>
                          <w:jc w:val="center"/>
                          <w:rPr>
                            <w:rFonts w:eastAsia="Times New Roman"/>
                            <w:sz w:val="20"/>
                            <w:szCs w:val="20"/>
                          </w:rPr>
                        </w:pPr>
                      </w:p>
                    </w:tc>
                  </w:tr>
                  <w:tr w:rsidR="004A2242" w14:paraId="66C04952" w14:textId="77777777">
                    <w:tc>
                      <w:tcPr>
                        <w:tcW w:w="0" w:type="auto"/>
                        <w:tcMar>
                          <w:top w:w="135" w:type="dxa"/>
                          <w:left w:w="135" w:type="dxa"/>
                          <w:bottom w:w="135" w:type="dxa"/>
                          <w:right w:w="135" w:type="dxa"/>
                        </w:tcMar>
                        <w:hideMark/>
                      </w:tcPr>
                      <w:tbl>
                        <w:tblPr>
                          <w:tblpPr w:leftFromText="45" w:rightFromText="45" w:vertAnchor="text"/>
                          <w:tblW w:w="4095" w:type="dxa"/>
                          <w:tblCellMar>
                            <w:left w:w="0" w:type="dxa"/>
                            <w:right w:w="0" w:type="dxa"/>
                          </w:tblCellMar>
                          <w:tblLook w:val="04A0" w:firstRow="1" w:lastRow="0" w:firstColumn="1" w:lastColumn="0" w:noHBand="0" w:noVBand="1"/>
                        </w:tblPr>
                        <w:tblGrid>
                          <w:gridCol w:w="4100"/>
                        </w:tblGrid>
                        <w:tr w:rsidR="004A2242" w14:paraId="22FA111B" w14:textId="77777777">
                          <w:tc>
                            <w:tcPr>
                              <w:tcW w:w="0" w:type="auto"/>
                              <w:tcMar>
                                <w:top w:w="0" w:type="dxa"/>
                                <w:left w:w="135" w:type="dxa"/>
                                <w:bottom w:w="0" w:type="dxa"/>
                                <w:right w:w="0" w:type="dxa"/>
                              </w:tcMar>
                              <w:hideMark/>
                            </w:tcPr>
                            <w:p w14:paraId="1B3D8A94" w14:textId="77777777" w:rsidR="004A2242" w:rsidRDefault="004A2242">
                              <w:pPr>
                                <w:rPr>
                                  <w:rFonts w:eastAsia="Times New Roman"/>
                                </w:rPr>
                              </w:pPr>
                              <w:r>
                                <w:rPr>
                                  <w:rFonts w:eastAsia="Times New Roman"/>
                                  <w:noProof/>
                                </w:rPr>
                                <w:lastRenderedPageBreak/>
                                <w:drawing>
                                  <wp:inline distT="0" distB="0" distL="0" distR="0" wp14:anchorId="10E6D77B" wp14:editId="02E53D2A">
                                    <wp:extent cx="2517775" cy="2517775"/>
                                    <wp:effectExtent l="0" t="0" r="0" b="0"/>
                                    <wp:docPr id="2" name="Picture 2" descr="A photo of departmental officer Kellie Brett, taskforce chair Professor Bruce Robinson and CEO of AMA Tasmania Lara Giddings at AMA Hou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hoto of departmental officer Kellie Brett, taskforce chair Professor Bruce Robinson and CEO of AMA Tasmania Lara Giddings at AMA House.&#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7775" cy="2517775"/>
                                            </a:xfrm>
                                            <a:prstGeom prst="rect">
                                              <a:avLst/>
                                            </a:prstGeom>
                                            <a:noFill/>
                                            <a:ln>
                                              <a:noFill/>
                                            </a:ln>
                                          </pic:spPr>
                                        </pic:pic>
                                      </a:graphicData>
                                    </a:graphic>
                                  </wp:inline>
                                </w:drawing>
                              </w:r>
                            </w:p>
                          </w:tc>
                        </w:tr>
                      </w:tbl>
                      <w:tbl>
                        <w:tblPr>
                          <w:tblpPr w:leftFromText="45" w:rightFromText="45" w:vertAnchor="text" w:tblpXSpec="right" w:tblpYSpec="center"/>
                          <w:tblW w:w="4095" w:type="dxa"/>
                          <w:tblCellMar>
                            <w:left w:w="0" w:type="dxa"/>
                            <w:right w:w="0" w:type="dxa"/>
                          </w:tblCellMar>
                          <w:tblLook w:val="04A0" w:firstRow="1" w:lastRow="0" w:firstColumn="1" w:lastColumn="0" w:noHBand="0" w:noVBand="1"/>
                        </w:tblPr>
                        <w:tblGrid>
                          <w:gridCol w:w="4100"/>
                        </w:tblGrid>
                        <w:tr w:rsidR="00A61FEC" w14:paraId="32AA6454" w14:textId="77777777">
                          <w:tc>
                            <w:tcPr>
                              <w:tcW w:w="0" w:type="auto"/>
                              <w:tcMar>
                                <w:top w:w="0" w:type="dxa"/>
                                <w:left w:w="0" w:type="dxa"/>
                                <w:bottom w:w="0" w:type="dxa"/>
                                <w:right w:w="135" w:type="dxa"/>
                              </w:tcMar>
                              <w:hideMark/>
                            </w:tcPr>
                            <w:p w14:paraId="6E6EFB44" w14:textId="77777777" w:rsidR="004A2242" w:rsidRDefault="004A2242">
                              <w:pPr>
                                <w:rPr>
                                  <w:rFonts w:eastAsia="Times New Roman"/>
                                </w:rPr>
                              </w:pPr>
                              <w:r>
                                <w:rPr>
                                  <w:rFonts w:eastAsia="Times New Roman"/>
                                  <w:noProof/>
                                </w:rPr>
                                <w:drawing>
                                  <wp:inline distT="0" distB="0" distL="0" distR="0" wp14:anchorId="2F681F91" wp14:editId="488FD711">
                                    <wp:extent cx="2517775" cy="2517775"/>
                                    <wp:effectExtent l="0" t="0" r="0" b="0"/>
                                    <wp:docPr id="1" name="Picture 1" descr="A photo of Professor Robinson presenting at the GP breakfast in Hobart. The photo was taken in Decemb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hoto of Professor Robinson presenting at the GP breakfast in Hobart. The photo was taken in December 20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2517775"/>
                                            </a:xfrm>
                                            <a:prstGeom prst="rect">
                                              <a:avLst/>
                                            </a:prstGeom>
                                            <a:noFill/>
                                            <a:ln>
                                              <a:noFill/>
                                            </a:ln>
                                          </pic:spPr>
                                        </pic:pic>
                                      </a:graphicData>
                                    </a:graphic>
                                  </wp:inline>
                                </w:drawing>
                              </w:r>
                            </w:p>
                          </w:tc>
                        </w:tr>
                      </w:tbl>
                      <w:p w14:paraId="4DD7B179" w14:textId="77777777" w:rsidR="004A2242" w:rsidRDefault="004A2242">
                        <w:pPr>
                          <w:rPr>
                            <w:rFonts w:eastAsia="Times New Roman"/>
                            <w:sz w:val="20"/>
                            <w:szCs w:val="20"/>
                          </w:rPr>
                        </w:pPr>
                      </w:p>
                    </w:tc>
                  </w:tr>
                  <w:tr w:rsidR="004A2242" w14:paraId="262239A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0"/>
                          <w:gridCol w:w="4500"/>
                        </w:tblGrid>
                        <w:tr w:rsidR="004A2242" w14:paraId="77DAF54E" w14:textId="77777777">
                          <w:tc>
                            <w:tcPr>
                              <w:tcW w:w="45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4A2242" w14:paraId="38083901" w14:textId="77777777">
                                <w:tc>
                                  <w:tcPr>
                                    <w:tcW w:w="0" w:type="auto"/>
                                    <w:tcMar>
                                      <w:top w:w="0" w:type="dxa"/>
                                      <w:left w:w="270" w:type="dxa"/>
                                      <w:bottom w:w="135" w:type="dxa"/>
                                      <w:right w:w="270" w:type="dxa"/>
                                    </w:tcMar>
                                    <w:hideMark/>
                                  </w:tcPr>
                                  <w:p w14:paraId="48AD3648" w14:textId="75C0600C" w:rsidR="004A2242" w:rsidRDefault="004A2242">
                                    <w:pPr>
                                      <w:spacing w:before="150" w:after="150" w:line="360" w:lineRule="auto"/>
                                      <w:jc w:val="center"/>
                                      <w:rPr>
                                        <w:rFonts w:ascii="Arial" w:hAnsi="Arial" w:cs="Arial"/>
                                        <w:color w:val="202020"/>
                                        <w:sz w:val="18"/>
                                        <w:szCs w:val="18"/>
                                      </w:rPr>
                                    </w:pPr>
                                    <w:r>
                                      <w:rPr>
                                        <w:rFonts w:ascii="Arial" w:hAnsi="Arial" w:cs="Arial"/>
                                        <w:color w:val="202020"/>
                                        <w:sz w:val="18"/>
                                        <w:szCs w:val="18"/>
                                      </w:rPr>
                                      <w:t> Kellie Brett (Departmental Officer),</w:t>
                                    </w:r>
                                    <w:r w:rsidR="003C5BEB">
                                      <w:rPr>
                                        <w:rFonts w:ascii="Arial" w:hAnsi="Arial" w:cs="Arial"/>
                                        <w:color w:val="202020"/>
                                        <w:sz w:val="18"/>
                                        <w:szCs w:val="18"/>
                                      </w:rPr>
                                      <w:t xml:space="preserve"> </w:t>
                                    </w:r>
                                    <w:r>
                                      <w:rPr>
                                        <w:rFonts w:ascii="Arial" w:hAnsi="Arial" w:cs="Arial"/>
                                        <w:color w:val="202020"/>
                                        <w:sz w:val="18"/>
                                        <w:szCs w:val="18"/>
                                      </w:rPr>
                                      <w:t>Professor Bruce Robinson (Taskforce Chair),</w:t>
                                    </w:r>
                                    <w:r w:rsidR="003C5BEB">
                                      <w:rPr>
                                        <w:rFonts w:ascii="Arial" w:hAnsi="Arial" w:cs="Arial"/>
                                        <w:color w:val="202020"/>
                                        <w:sz w:val="18"/>
                                        <w:szCs w:val="18"/>
                                      </w:rPr>
                                      <w:t xml:space="preserve"> </w:t>
                                    </w:r>
                                    <w:r>
                                      <w:rPr>
                                        <w:rFonts w:ascii="Arial" w:hAnsi="Arial" w:cs="Arial"/>
                                        <w:color w:val="202020"/>
                                        <w:sz w:val="18"/>
                                        <w:szCs w:val="18"/>
                                      </w:rPr>
                                      <w:t>Lara Giddings (CEO AMA Tasmania)</w:t>
                                    </w:r>
                                    <w:r w:rsidR="003C5BEB">
                                      <w:rPr>
                                        <w:rFonts w:ascii="Arial" w:hAnsi="Arial" w:cs="Arial"/>
                                        <w:color w:val="202020"/>
                                        <w:sz w:val="18"/>
                                        <w:szCs w:val="18"/>
                                      </w:rPr>
                                      <w:t xml:space="preserve"> - t</w:t>
                                    </w:r>
                                    <w:r>
                                      <w:rPr>
                                        <w:rFonts w:ascii="Arial" w:hAnsi="Arial" w:cs="Arial"/>
                                        <w:color w:val="202020"/>
                                        <w:sz w:val="18"/>
                                        <w:szCs w:val="18"/>
                                      </w:rPr>
                                      <w:t>aken at</w:t>
                                    </w:r>
                                    <w:r>
                                      <w:rPr>
                                        <w:rFonts w:ascii="Arial" w:hAnsi="Arial" w:cs="Arial"/>
                                        <w:color w:val="FF0000"/>
                                        <w:sz w:val="18"/>
                                        <w:szCs w:val="18"/>
                                      </w:rPr>
                                      <w:t> </w:t>
                                    </w:r>
                                    <w:r>
                                      <w:rPr>
                                        <w:rFonts w:ascii="Arial" w:hAnsi="Arial" w:cs="Arial"/>
                                        <w:color w:val="202020"/>
                                        <w:sz w:val="18"/>
                                        <w:szCs w:val="18"/>
                                      </w:rPr>
                                      <w:t>AMA House</w:t>
                                    </w:r>
                                  </w:p>
                                </w:tc>
                              </w:tr>
                            </w:tbl>
                            <w:p w14:paraId="2E7FB4D4" w14:textId="77777777" w:rsidR="004A2242" w:rsidRDefault="004A2242">
                              <w:pPr>
                                <w:rPr>
                                  <w:rFonts w:eastAsia="Times New Roman"/>
                                  <w:sz w:val="20"/>
                                  <w:szCs w:val="20"/>
                                </w:rPr>
                              </w:pPr>
                            </w:p>
                          </w:tc>
                          <w:tc>
                            <w:tcPr>
                              <w:tcW w:w="45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4A2242" w14:paraId="2F4D2540" w14:textId="77777777">
                                <w:tc>
                                  <w:tcPr>
                                    <w:tcW w:w="0" w:type="auto"/>
                                    <w:tcMar>
                                      <w:top w:w="0" w:type="dxa"/>
                                      <w:left w:w="270" w:type="dxa"/>
                                      <w:bottom w:w="135" w:type="dxa"/>
                                      <w:right w:w="270" w:type="dxa"/>
                                    </w:tcMar>
                                    <w:hideMark/>
                                  </w:tcPr>
                                  <w:p w14:paraId="7448FE35" w14:textId="60BAD530" w:rsidR="004A2242" w:rsidRDefault="004A2242">
                                    <w:pPr>
                                      <w:spacing w:line="360" w:lineRule="auto"/>
                                      <w:jc w:val="center"/>
                                      <w:rPr>
                                        <w:rFonts w:ascii="Arial" w:eastAsia="Times New Roman" w:hAnsi="Arial" w:cs="Arial"/>
                                        <w:color w:val="202020"/>
                                        <w:sz w:val="18"/>
                                        <w:szCs w:val="18"/>
                                      </w:rPr>
                                    </w:pPr>
                                    <w:r>
                                      <w:rPr>
                                        <w:rFonts w:ascii="Arial" w:eastAsia="Times New Roman" w:hAnsi="Arial" w:cs="Arial"/>
                                        <w:color w:val="202020"/>
                                        <w:sz w:val="18"/>
                                        <w:szCs w:val="18"/>
                                      </w:rPr>
                                      <w:t>Professor Robinson presenting at the GP Breakfast in Hobart, December 2019</w:t>
                                    </w:r>
                                  </w:p>
                                </w:tc>
                              </w:tr>
                            </w:tbl>
                            <w:p w14:paraId="3D9AD49A" w14:textId="77777777" w:rsidR="004A2242" w:rsidRDefault="004A2242">
                              <w:pPr>
                                <w:rPr>
                                  <w:rFonts w:eastAsia="Times New Roman"/>
                                  <w:sz w:val="20"/>
                                  <w:szCs w:val="20"/>
                                </w:rPr>
                              </w:pPr>
                            </w:p>
                          </w:tc>
                        </w:tr>
                      </w:tbl>
                      <w:p w14:paraId="2601979D" w14:textId="77777777" w:rsidR="004A2242" w:rsidRDefault="004A2242">
                        <w:pPr>
                          <w:rPr>
                            <w:rFonts w:eastAsia="Times New Roman"/>
                            <w:sz w:val="20"/>
                            <w:szCs w:val="20"/>
                          </w:rPr>
                        </w:pPr>
                      </w:p>
                    </w:tc>
                  </w:tr>
                </w:tbl>
                <w:p w14:paraId="0A0995EE" w14:textId="77777777" w:rsidR="004A2242" w:rsidRDefault="004A2242">
                  <w:pPr>
                    <w:rPr>
                      <w:rFonts w:eastAsia="Times New Roman"/>
                      <w:sz w:val="20"/>
                      <w:szCs w:val="20"/>
                    </w:rPr>
                  </w:pPr>
                </w:p>
              </w:tc>
            </w:tr>
            <w:tr w:rsidR="004A2242" w14:paraId="5706E5E2" w14:textId="77777777">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4A2242" w14:paraId="62147E5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A2242" w14:paraId="64C25C7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A2242" w14:paraId="2D851381" w14:textId="77777777" w:rsidTr="003A4DCF">
                                <w:trPr>
                                  <w:trHeight w:val="284"/>
                                </w:trPr>
                                <w:tc>
                                  <w:tcPr>
                                    <w:tcW w:w="0" w:type="auto"/>
                                    <w:tcMar>
                                      <w:top w:w="0" w:type="dxa"/>
                                      <w:left w:w="270" w:type="dxa"/>
                                      <w:bottom w:w="135" w:type="dxa"/>
                                      <w:right w:w="270" w:type="dxa"/>
                                    </w:tcMar>
                                    <w:hideMark/>
                                  </w:tcPr>
                                  <w:p w14:paraId="1F69CDC9" w14:textId="77777777" w:rsidR="003A4DCF" w:rsidRDefault="004A2242" w:rsidP="003A4DCF">
                                    <w:pPr>
                                      <w:spacing w:after="240"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lastRenderedPageBreak/>
                                      <w:t>The Medicare Reviews Unit has provided this newsletter to keep stakeholders informed of the progress of the MBS Review. It is distributed every two months. </w:t>
                                    </w:r>
                                  </w:p>
                                  <w:p w14:paraId="38B715AC" w14:textId="77777777" w:rsidR="003A4DCF" w:rsidRDefault="004A2242" w:rsidP="003A4DCF">
                                    <w:pPr>
                                      <w:spacing w:after="240"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 xml:space="preserve">Please share with any colleagues who may be interested in the progress of the MBS Review. To subscribe please email </w:t>
                                    </w:r>
                                    <w:hyperlink r:id="rId12" w:history="1">
                                      <w:r>
                                        <w:rPr>
                                          <w:rStyle w:val="Hyperlink"/>
                                          <w:rFonts w:ascii="Helvetica" w:eastAsia="Times New Roman" w:hAnsi="Helvetica" w:cs="Helvetica"/>
                                          <w:sz w:val="18"/>
                                          <w:szCs w:val="18"/>
                                        </w:rPr>
                                        <w:t>MBSReviews@health.gov.au</w:t>
                                      </w:r>
                                    </w:hyperlink>
                                    <w:r>
                                      <w:rPr>
                                        <w:rFonts w:ascii="Helvetica" w:eastAsia="Times New Roman" w:hAnsi="Helvetica" w:cs="Helvetica"/>
                                        <w:color w:val="656565"/>
                                        <w:sz w:val="18"/>
                                        <w:szCs w:val="18"/>
                                      </w:rPr>
                                      <w:t>.</w:t>
                                    </w:r>
                                  </w:p>
                                  <w:p w14:paraId="4A4E00E4" w14:textId="62C7387B" w:rsidR="004A2242" w:rsidRDefault="004A2242" w:rsidP="003A4DCF">
                                    <w:pPr>
                                      <w:spacing w:after="120"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 xml:space="preserve">You can </w:t>
                                    </w:r>
                                    <w:hyperlink r:id="rId13" w:history="1">
                                      <w:r>
                                        <w:rPr>
                                          <w:rStyle w:val="Hyperlink"/>
                                          <w:rFonts w:ascii="Helvetica" w:eastAsia="Times New Roman" w:hAnsi="Helvetica" w:cs="Helvetica"/>
                                          <w:color w:val="656565"/>
                                          <w:sz w:val="18"/>
                                          <w:szCs w:val="18"/>
                                        </w:rPr>
                                        <w:t>unsubscribe from this list</w:t>
                                      </w:r>
                                    </w:hyperlink>
                                    <w:r>
                                      <w:rPr>
                                        <w:rFonts w:ascii="Helvetica" w:eastAsia="Times New Roman" w:hAnsi="Helvetica" w:cs="Helvetica"/>
                                        <w:color w:val="656565"/>
                                        <w:sz w:val="18"/>
                                        <w:szCs w:val="18"/>
                                      </w:rPr>
                                      <w:t xml:space="preserve">.  </w:t>
                                    </w:r>
                                  </w:p>
                                </w:tc>
                              </w:tr>
                            </w:tbl>
                            <w:p w14:paraId="654A0C2F" w14:textId="77777777" w:rsidR="004A2242" w:rsidRDefault="004A2242" w:rsidP="003A4DCF">
                              <w:pPr>
                                <w:spacing w:after="240"/>
                                <w:rPr>
                                  <w:rFonts w:eastAsia="Times New Roman"/>
                                  <w:sz w:val="20"/>
                                  <w:szCs w:val="20"/>
                                </w:rPr>
                              </w:pPr>
                            </w:p>
                          </w:tc>
                        </w:tr>
                      </w:tbl>
                      <w:p w14:paraId="0F62F317" w14:textId="77777777" w:rsidR="004A2242" w:rsidRDefault="004A2242">
                        <w:pPr>
                          <w:rPr>
                            <w:rFonts w:eastAsia="Times New Roman"/>
                            <w:sz w:val="20"/>
                            <w:szCs w:val="20"/>
                          </w:rPr>
                        </w:pPr>
                      </w:p>
                    </w:tc>
                  </w:tr>
                  <w:tr w:rsidR="004A2242" w14:paraId="65704A4D" w14:textId="77777777">
                    <w:tblPrEx>
                      <w:shd w:val="clear" w:color="auto" w:fill="01653F"/>
                    </w:tblPrEx>
                    <w:trPr>
                      <w:hidden/>
                    </w:trPr>
                    <w:tc>
                      <w:tcPr>
                        <w:tcW w:w="0" w:type="auto"/>
                        <w:shd w:val="clear" w:color="auto" w:fill="01653F"/>
                        <w:tcMar>
                          <w:top w:w="450" w:type="dxa"/>
                          <w:left w:w="270" w:type="dxa"/>
                          <w:bottom w:w="36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4A2242" w14:paraId="68EA1335" w14:textId="77777777">
                          <w:trPr>
                            <w:hidden/>
                          </w:trPr>
                          <w:tc>
                            <w:tcPr>
                              <w:tcW w:w="0" w:type="auto"/>
                              <w:vAlign w:val="center"/>
                              <w:hideMark/>
                            </w:tcPr>
                            <w:p w14:paraId="147F0B88" w14:textId="77777777" w:rsidR="004A2242" w:rsidRDefault="004A2242">
                              <w:pPr>
                                <w:rPr>
                                  <w:rFonts w:eastAsia="Times New Roman"/>
                                  <w:vanish/>
                                </w:rPr>
                              </w:pPr>
                            </w:p>
                          </w:tc>
                        </w:tr>
                      </w:tbl>
                      <w:p w14:paraId="76EFB7EF" w14:textId="77777777" w:rsidR="004A2242" w:rsidRDefault="004A2242">
                        <w:pPr>
                          <w:rPr>
                            <w:rFonts w:eastAsia="Times New Roman"/>
                            <w:sz w:val="20"/>
                            <w:szCs w:val="20"/>
                          </w:rPr>
                        </w:pPr>
                      </w:p>
                    </w:tc>
                  </w:tr>
                </w:tbl>
                <w:p w14:paraId="1FDF5D31" w14:textId="77777777" w:rsidR="004A2242" w:rsidRDefault="004A2242">
                  <w:pPr>
                    <w:rPr>
                      <w:rFonts w:eastAsia="Times New Roman"/>
                      <w:sz w:val="20"/>
                      <w:szCs w:val="20"/>
                    </w:rPr>
                  </w:pPr>
                </w:p>
              </w:tc>
            </w:tr>
          </w:tbl>
          <w:p w14:paraId="3EADFB13" w14:textId="77777777" w:rsidR="004A2242" w:rsidRDefault="004A2242">
            <w:pPr>
              <w:jc w:val="center"/>
              <w:rPr>
                <w:rFonts w:eastAsia="Times New Roman"/>
                <w:sz w:val="20"/>
                <w:szCs w:val="20"/>
              </w:rPr>
            </w:pPr>
          </w:p>
        </w:tc>
      </w:tr>
    </w:tbl>
    <w:p w14:paraId="30B978A3" w14:textId="77777777" w:rsidR="00280050" w:rsidRDefault="00280050" w:rsidP="003A4DCF"/>
    <w:sectPr w:rsidR="0028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ED1023"/>
    <w:multiLevelType w:val="multilevel"/>
    <w:tmpl w:val="7FE60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12347"/>
    <w:multiLevelType w:val="multilevel"/>
    <w:tmpl w:val="0434B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AC4539"/>
    <w:multiLevelType w:val="multilevel"/>
    <w:tmpl w:val="BCE05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85905"/>
    <w:multiLevelType w:val="multilevel"/>
    <w:tmpl w:val="D9401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2F2F79"/>
    <w:multiLevelType w:val="multilevel"/>
    <w:tmpl w:val="D29C4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458AC"/>
    <w:multiLevelType w:val="multilevel"/>
    <w:tmpl w:val="20C80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712A8D"/>
    <w:multiLevelType w:val="multilevel"/>
    <w:tmpl w:val="328A2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7CD"/>
    <w:rsid w:val="00084D9B"/>
    <w:rsid w:val="00280050"/>
    <w:rsid w:val="00336FC2"/>
    <w:rsid w:val="003A4DCF"/>
    <w:rsid w:val="003C5BEB"/>
    <w:rsid w:val="0042540A"/>
    <w:rsid w:val="004A2242"/>
    <w:rsid w:val="004C5C76"/>
    <w:rsid w:val="00A61FEC"/>
    <w:rsid w:val="00AC3F62"/>
    <w:rsid w:val="00E417CD"/>
    <w:rsid w:val="00F14D6C"/>
    <w:rsid w:val="00F84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3478"/>
  <w15:chartTrackingRefBased/>
  <w15:docId w15:val="{03998749-087E-4B36-BB70-DCE3C9F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42"/>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2242"/>
    <w:rPr>
      <w:color w:val="0000FF"/>
      <w:u w:val="single"/>
    </w:rPr>
  </w:style>
  <w:style w:type="character" w:styleId="Strong">
    <w:name w:val="Strong"/>
    <w:basedOn w:val="DefaultParagraphFont"/>
    <w:uiPriority w:val="22"/>
    <w:qFormat/>
    <w:rsid w:val="004A2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32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SReviews@health.gov.au" TargetMode="External"/><Relationship Id="rId13" Type="http://schemas.openxmlformats.org/officeDocument/2006/relationships/hyperlink" Target="https://health.us3.list-manage.com/unsubscribe?u=1f52d99769eadbb98a6751dbd&amp;id=d207dd2540&amp;e=&amp;c=e35bafeaeb" TargetMode="External"/><Relationship Id="rId3" Type="http://schemas.openxmlformats.org/officeDocument/2006/relationships/settings" Target="settings.xml"/><Relationship Id="rId7" Type="http://schemas.openxmlformats.org/officeDocument/2006/relationships/hyperlink" Target="https://www1.health.gov.au/internet/main/publishing.nsf/Content/MBSR-government-response-1" TargetMode="External"/><Relationship Id="rId12" Type="http://schemas.openxmlformats.org/officeDocument/2006/relationships/hyperlink" Target="mailto:MBSReviews@health.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dget.gov.au/2019-20/content/myefo/download/08_Appendix_A.pdf"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BSReviews@health.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912</Words>
  <Characters>5586</Characters>
  <Application>Microsoft Office Word</Application>
  <DocSecurity>0</DocSecurity>
  <Lines>99</Lines>
  <Paragraphs>55</Paragraphs>
  <ScaleCrop>false</ScaleCrop>
  <HeadingPairs>
    <vt:vector size="2" baseType="variant">
      <vt:variant>
        <vt:lpstr>Title</vt:lpstr>
      </vt:variant>
      <vt:variant>
        <vt:i4>1</vt:i4>
      </vt:variant>
    </vt:vector>
  </HeadingPairs>
  <TitlesOfParts>
    <vt:vector size="1" baseType="lpstr">
      <vt:lpstr>MBS Review update December 2019</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Review update December 2019</dc:title>
  <dc:subject>Medicare Benefits Schedule</dc:subject>
  <dc:creator>Australian Government Department of Health</dc:creator>
  <cp:keywords>Medicare Benefits Schedule</cp:keywords>
  <dc:description/>
  <cp:lastModifiedBy>SMEDLEY, Tyne</cp:lastModifiedBy>
  <cp:revision>5</cp:revision>
  <dcterms:created xsi:type="dcterms:W3CDTF">2021-08-10T04:12:00Z</dcterms:created>
  <dcterms:modified xsi:type="dcterms:W3CDTF">2021-08-10T05:12:00Z</dcterms:modified>
</cp:coreProperties>
</file>