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3471" w14:textId="40A1216B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AA6786">
        <w:t>U</w:t>
      </w:r>
      <w:r w:rsidRPr="002F5E02">
        <w:t xml:space="preserve">pdate </w:t>
      </w:r>
      <w:r w:rsidR="004009C1">
        <w:br/>
      </w:r>
      <w:r w:rsidR="00AA6786">
        <w:rPr>
          <w:color w:val="FF0000"/>
        </w:rPr>
        <w:t>4 August</w:t>
      </w:r>
      <w:r w:rsidR="00A05252" w:rsidRPr="00B64EDD">
        <w:rPr>
          <w:color w:val="FF0000"/>
        </w:rPr>
        <w:t xml:space="preserve"> </w:t>
      </w:r>
      <w:r w:rsidRPr="00B64EDD">
        <w:rPr>
          <w:color w:val="FF0000"/>
        </w:rPr>
        <w:t>202</w:t>
      </w:r>
      <w:r w:rsidR="00A1790B" w:rsidRPr="00B64EDD">
        <w:rPr>
          <w:color w:val="FF0000"/>
        </w:rPr>
        <w:t>1</w:t>
      </w:r>
      <w:r w:rsidR="006B229F" w:rsidRPr="00B64EDD">
        <w:rPr>
          <w:color w:val="FF0000"/>
        </w:rPr>
        <w:t xml:space="preserve"> </w:t>
      </w:r>
    </w:p>
    <w:p w14:paraId="14EAA972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09733E74" w14:textId="77777777" w:rsidR="003077BF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252F98EC" w14:textId="77777777" w:rsidR="009E22D0" w:rsidRPr="00C808E5" w:rsidRDefault="009E22D0" w:rsidP="006A5D07">
      <w:pPr>
        <w:pStyle w:val="Heading1"/>
        <w:spacing w:before="240" w:after="0" w:line="264" w:lineRule="auto"/>
        <w:contextualSpacing w:val="0"/>
        <w:rPr>
          <w:color w:val="auto"/>
        </w:rPr>
      </w:pPr>
      <w:r w:rsidRPr="00C808E5">
        <w:rPr>
          <w:color w:val="auto"/>
        </w:rPr>
        <w:t>Current Assessment Summary</w:t>
      </w:r>
    </w:p>
    <w:p w14:paraId="25D6D246" w14:textId="77777777" w:rsidR="00AA6786" w:rsidRPr="00AA6786" w:rsidRDefault="00AA6786" w:rsidP="00AA6786">
      <w:pPr>
        <w:numPr>
          <w:ilvl w:val="0"/>
          <w:numId w:val="27"/>
        </w:numPr>
        <w:spacing w:before="60" w:after="60" w:line="247" w:lineRule="auto"/>
        <w:ind w:left="284" w:hanging="357"/>
        <w:rPr>
          <w:rFonts w:eastAsia="Calibri" w:cs="Arial"/>
          <w:sz w:val="23"/>
          <w:szCs w:val="23"/>
        </w:rPr>
      </w:pPr>
      <w:r w:rsidRPr="00AA6786">
        <w:rPr>
          <w:rFonts w:eastAsia="Calibri" w:cs="Arial"/>
          <w:sz w:val="23"/>
          <w:szCs w:val="23"/>
        </w:rPr>
        <w:t>There have been no locally acquired cases of COVID-19 in the last 7 days.</w:t>
      </w:r>
    </w:p>
    <w:p w14:paraId="3D4D8DCA" w14:textId="77777777" w:rsidR="00AA6786" w:rsidRPr="00AA6786" w:rsidRDefault="00AA6786" w:rsidP="00AA6786">
      <w:pPr>
        <w:numPr>
          <w:ilvl w:val="0"/>
          <w:numId w:val="27"/>
        </w:numPr>
        <w:tabs>
          <w:tab w:val="left" w:pos="2169"/>
        </w:tabs>
        <w:spacing w:before="60" w:after="60" w:line="247" w:lineRule="auto"/>
        <w:ind w:left="284" w:hanging="357"/>
        <w:rPr>
          <w:rFonts w:eastAsia="Calibri" w:cs="Arial"/>
          <w:sz w:val="23"/>
          <w:szCs w:val="23"/>
        </w:rPr>
      </w:pPr>
      <w:r w:rsidRPr="00AA6786">
        <w:rPr>
          <w:rFonts w:eastAsia="Calibri" w:cs="Arial"/>
          <w:color w:val="FF0000"/>
          <w:sz w:val="23"/>
          <w:szCs w:val="23"/>
        </w:rPr>
        <w:t xml:space="preserve">A number of crew on maritime vessels arriving in New Zealand in July 2021 tested positive for COVID-19, with the Delta variant confirmed among these cases. </w:t>
      </w:r>
      <w:r w:rsidRPr="00AA6786">
        <w:rPr>
          <w:rFonts w:eastAsia="Calibri" w:cs="Arial"/>
          <w:sz w:val="23"/>
          <w:szCs w:val="23"/>
        </w:rPr>
        <w:t>These events are being managed in accordance with public health protocols and are considered low risk.</w:t>
      </w:r>
    </w:p>
    <w:p w14:paraId="6345475C" w14:textId="653C4EBF" w:rsidR="00AA6786" w:rsidRPr="00AA6786" w:rsidRDefault="00AA6786" w:rsidP="00AA6786">
      <w:pPr>
        <w:numPr>
          <w:ilvl w:val="1"/>
          <w:numId w:val="27"/>
        </w:numPr>
        <w:spacing w:before="60" w:after="60" w:line="247" w:lineRule="auto"/>
        <w:ind w:left="851"/>
        <w:textAlignment w:val="center"/>
        <w:rPr>
          <w:rFonts w:eastAsia="Calibri" w:cs="Arial"/>
          <w:color w:val="FF0000"/>
          <w:sz w:val="23"/>
          <w:szCs w:val="23"/>
        </w:rPr>
      </w:pPr>
      <w:r w:rsidRPr="00AA6786">
        <w:rPr>
          <w:rFonts w:eastAsia="Calibri" w:cs="Arial"/>
          <w:color w:val="FF0000"/>
          <w:sz w:val="23"/>
          <w:szCs w:val="23"/>
        </w:rPr>
        <w:t xml:space="preserve">The ‘Mattina’ container ship remains in quarantine at a secure berth in Bluff. As at </w:t>
      </w:r>
      <w:r w:rsidR="00694D73">
        <w:rPr>
          <w:rFonts w:eastAsia="Calibri" w:cs="Arial"/>
          <w:color w:val="FF0000"/>
          <w:sz w:val="23"/>
          <w:szCs w:val="23"/>
        </w:rPr>
        <w:t xml:space="preserve">      </w:t>
      </w:r>
      <w:r w:rsidRPr="00AA6786">
        <w:rPr>
          <w:rFonts w:eastAsia="Calibri" w:cs="Arial"/>
          <w:color w:val="FF0000"/>
          <w:sz w:val="23"/>
          <w:szCs w:val="23"/>
        </w:rPr>
        <w:t xml:space="preserve">4 August 2021, 13 of the original 21 mariners remain onboard the vessel. One mariner is in Southland Hospital, two are in separate arranged accommodations, </w:t>
      </w:r>
      <w:r w:rsidR="00E21E05">
        <w:rPr>
          <w:rFonts w:eastAsia="Calibri" w:cs="Arial"/>
          <w:color w:val="FF0000"/>
          <w:sz w:val="23"/>
          <w:szCs w:val="23"/>
        </w:rPr>
        <w:t>and five crew are</w:t>
      </w:r>
      <w:r w:rsidRPr="00AA6786">
        <w:rPr>
          <w:rFonts w:eastAsia="Calibri" w:cs="Arial"/>
          <w:color w:val="FF0000"/>
          <w:sz w:val="23"/>
          <w:szCs w:val="23"/>
        </w:rPr>
        <w:t xml:space="preserve"> in managed isolation in Christchurch. </w:t>
      </w:r>
    </w:p>
    <w:p w14:paraId="73CF9179" w14:textId="77777777" w:rsidR="00AA6786" w:rsidRPr="00AA6786" w:rsidRDefault="00AA6786" w:rsidP="00AA6786">
      <w:pPr>
        <w:numPr>
          <w:ilvl w:val="1"/>
          <w:numId w:val="27"/>
        </w:numPr>
        <w:spacing w:before="60" w:after="60" w:line="247" w:lineRule="auto"/>
        <w:ind w:left="851"/>
        <w:rPr>
          <w:rFonts w:eastAsia="Calibri" w:cs="Arial"/>
          <w:color w:val="FF0000"/>
          <w:sz w:val="23"/>
          <w:szCs w:val="23"/>
        </w:rPr>
      </w:pPr>
      <w:r w:rsidRPr="00AA6786">
        <w:rPr>
          <w:rFonts w:eastAsia="Calibri" w:cs="Arial"/>
          <w:color w:val="FF0000"/>
          <w:sz w:val="23"/>
          <w:szCs w:val="23"/>
        </w:rPr>
        <w:t xml:space="preserve">The ‘Viking Bay’ fishing vessel departed New Zealand on 2 August 2021 with all crew on board following recovery. No further reporting on this vessel will be provided.  </w:t>
      </w:r>
    </w:p>
    <w:p w14:paraId="7D0CD53A" w14:textId="77777777" w:rsidR="00AA6786" w:rsidRPr="00AA6786" w:rsidRDefault="00AA6786" w:rsidP="00AA6786">
      <w:pPr>
        <w:numPr>
          <w:ilvl w:val="1"/>
          <w:numId w:val="27"/>
        </w:numPr>
        <w:spacing w:before="60" w:after="60" w:line="247" w:lineRule="auto"/>
        <w:ind w:left="851"/>
        <w:textAlignment w:val="center"/>
        <w:rPr>
          <w:rFonts w:eastAsia="Calibri" w:cs="Arial"/>
          <w:color w:val="FF0000"/>
          <w:sz w:val="23"/>
          <w:szCs w:val="23"/>
        </w:rPr>
      </w:pPr>
      <w:r w:rsidRPr="00AA6786">
        <w:rPr>
          <w:rFonts w:eastAsia="Calibri" w:cs="Arial"/>
          <w:color w:val="FF0000"/>
          <w:sz w:val="23"/>
          <w:szCs w:val="23"/>
        </w:rPr>
        <w:t xml:space="preserve">The ‘Playa Zahara’ fishing vessel departed New Zealand on 29 July 2021 following the recovery of all crew members. No further reporting on this vessel will be provided.  </w:t>
      </w:r>
    </w:p>
    <w:p w14:paraId="705CFF17" w14:textId="77777777" w:rsidR="00AA6786" w:rsidRPr="00AA6786" w:rsidRDefault="00AA6786" w:rsidP="00AA6786">
      <w:pPr>
        <w:numPr>
          <w:ilvl w:val="0"/>
          <w:numId w:val="27"/>
        </w:numPr>
        <w:tabs>
          <w:tab w:val="left" w:pos="2169"/>
        </w:tabs>
        <w:spacing w:before="60" w:after="60" w:line="247" w:lineRule="auto"/>
        <w:ind w:left="284"/>
        <w:rPr>
          <w:rFonts w:eastAsia="Calibri" w:cs="Arial"/>
          <w:sz w:val="23"/>
          <w:szCs w:val="23"/>
        </w:rPr>
      </w:pPr>
      <w:r w:rsidRPr="00AA6786">
        <w:rPr>
          <w:rFonts w:eastAsia="Calibri" w:cs="Arial"/>
          <w:sz w:val="23"/>
          <w:szCs w:val="23"/>
        </w:rPr>
        <w:t xml:space="preserve">New Zealand assesses that due to infection control protocols, there was minimal risk to the public and these events are all considered a low risk. </w:t>
      </w:r>
    </w:p>
    <w:p w14:paraId="3AB2FA49" w14:textId="77777777" w:rsidR="00AA6786" w:rsidRPr="00AA6786" w:rsidRDefault="00AA6786" w:rsidP="00AA6786">
      <w:pPr>
        <w:numPr>
          <w:ilvl w:val="1"/>
          <w:numId w:val="27"/>
        </w:numPr>
        <w:spacing w:before="60" w:after="60" w:line="247" w:lineRule="auto"/>
        <w:ind w:left="993"/>
        <w:rPr>
          <w:rFonts w:eastAsia="Calibri" w:cs="Arial"/>
          <w:sz w:val="23"/>
          <w:szCs w:val="23"/>
        </w:rPr>
      </w:pPr>
      <w:r w:rsidRPr="00AA6786">
        <w:rPr>
          <w:rFonts w:eastAsia="Calibri" w:cs="Arial"/>
          <w:sz w:val="23"/>
          <w:szCs w:val="23"/>
        </w:rPr>
        <w:t>There are no associated locations of interest.</w:t>
      </w:r>
    </w:p>
    <w:p w14:paraId="649673FC" w14:textId="1C59FE8A" w:rsidR="00AA6786" w:rsidRDefault="00AA6786" w:rsidP="00AA6786">
      <w:pPr>
        <w:numPr>
          <w:ilvl w:val="0"/>
          <w:numId w:val="27"/>
        </w:numPr>
        <w:tabs>
          <w:tab w:val="left" w:pos="2169"/>
        </w:tabs>
        <w:spacing w:before="60" w:after="60" w:line="247" w:lineRule="auto"/>
        <w:ind w:left="284" w:hanging="357"/>
        <w:rPr>
          <w:rFonts w:eastAsia="Calibri" w:cs="Arial"/>
          <w:sz w:val="23"/>
          <w:szCs w:val="23"/>
        </w:rPr>
      </w:pPr>
      <w:r w:rsidRPr="00AA6786">
        <w:rPr>
          <w:rFonts w:eastAsia="Calibri" w:cs="Arial"/>
          <w:sz w:val="23"/>
          <w:szCs w:val="23"/>
        </w:rPr>
        <w:t xml:space="preserve">All of New Zealand is at Alert Level 1. </w:t>
      </w:r>
    </w:p>
    <w:p w14:paraId="4386B76B" w14:textId="77777777" w:rsidR="00AA6786" w:rsidRPr="00AA6786" w:rsidRDefault="00AA6786" w:rsidP="00AA6786">
      <w:pPr>
        <w:pStyle w:val="BodyText"/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7E001C" w14:paraId="1BBADB80" w14:textId="77777777" w:rsidTr="00AA6786">
        <w:trPr>
          <w:trHeight w:hRule="exact" w:val="358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DEB40F" w14:textId="26E65B4C" w:rsidR="00046248" w:rsidRPr="007E001C" w:rsidRDefault="00AA6786" w:rsidP="00046248">
            <w:pPr>
              <w:rPr>
                <w:rFonts w:eastAsia="Times New Roman" w:cs="Arial"/>
                <w:b/>
                <w:sz w:val="22"/>
                <w:szCs w:val="22"/>
                <w:lang w:eastAsia="en-AU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en-AU"/>
              </w:rPr>
              <w:t>Summary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EAE9C9C" w14:textId="77777777" w:rsidR="00046248" w:rsidRPr="007E001C" w:rsidRDefault="00046248" w:rsidP="00AA6786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en-AU"/>
              </w:rPr>
            </w:pPr>
            <w:r w:rsidRPr="007E001C">
              <w:rPr>
                <w:rFonts w:eastAsia="Times New Roman" w:cs="Arial"/>
                <w:b/>
                <w:sz w:val="22"/>
                <w:szCs w:val="22"/>
                <w:lang w:eastAsia="en-AU"/>
              </w:rPr>
              <w:t>Total</w:t>
            </w:r>
          </w:p>
        </w:tc>
      </w:tr>
      <w:tr w:rsidR="00AA6786" w:rsidRPr="007E001C" w14:paraId="2211065B" w14:textId="77777777" w:rsidTr="00AA6786">
        <w:trPr>
          <w:trHeight w:hRule="exact" w:val="32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37445" w14:textId="77777777" w:rsidR="00AA6786" w:rsidRPr="00AA6786" w:rsidRDefault="00AA6786" w:rsidP="00AA6786">
            <w:pPr>
              <w:spacing w:before="20" w:after="20" w:line="247" w:lineRule="auto"/>
              <w:rPr>
                <w:rFonts w:eastAsia="Times New Roman" w:cs="Arial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sz w:val="23"/>
                <w:szCs w:val="23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75864" w14:textId="74F45F90" w:rsidR="00AA6786" w:rsidRPr="00AA6786" w:rsidRDefault="00AA678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  <w:t>2,508</w:t>
            </w:r>
          </w:p>
          <w:p w14:paraId="501072CD" w14:textId="42A1E932" w:rsidR="00AA6786" w:rsidRPr="00AA6786" w:rsidRDefault="00AA678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</w:p>
        </w:tc>
      </w:tr>
      <w:tr w:rsidR="00AA6786" w:rsidRPr="007E001C" w14:paraId="3582A456" w14:textId="77777777" w:rsidTr="00AA6786">
        <w:trPr>
          <w:trHeight w:hRule="exact" w:val="382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8969" w14:textId="77777777" w:rsidR="00AA6786" w:rsidRPr="00AA6786" w:rsidRDefault="00AA6786" w:rsidP="00AA6786">
            <w:pPr>
              <w:spacing w:before="20" w:after="20" w:line="247" w:lineRule="auto"/>
              <w:rPr>
                <w:rFonts w:eastAsia="Times New Roman" w:cs="Arial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sz w:val="23"/>
                <w:szCs w:val="23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D2509" w14:textId="0136FF8D" w:rsidR="00AA6786" w:rsidRPr="00AA6786" w:rsidRDefault="00AA678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  <w:t xml:space="preserve">    17</w:t>
            </w:r>
          </w:p>
        </w:tc>
      </w:tr>
      <w:tr w:rsidR="00AA6786" w:rsidRPr="007E001C" w14:paraId="4D5A3D43" w14:textId="77777777" w:rsidTr="00AA6786">
        <w:trPr>
          <w:trHeight w:hRule="exact" w:val="374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74E75" w14:textId="77777777" w:rsidR="00AA6786" w:rsidRPr="00AA6786" w:rsidRDefault="00AA6786" w:rsidP="00AA6786">
            <w:pPr>
              <w:spacing w:before="20" w:after="20" w:line="247" w:lineRule="auto"/>
              <w:rPr>
                <w:rFonts w:eastAsia="Times New Roman" w:cs="Arial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sz w:val="23"/>
                <w:szCs w:val="23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7B9C8D4" w14:textId="35F66438" w:rsidR="00AA6786" w:rsidRPr="00AA6786" w:rsidRDefault="00AA678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  <w:t xml:space="preserve">      0</w:t>
            </w:r>
          </w:p>
        </w:tc>
      </w:tr>
      <w:tr w:rsidR="00AA6786" w:rsidRPr="007E001C" w14:paraId="64A49BEC" w14:textId="77777777" w:rsidTr="00AA6786">
        <w:trPr>
          <w:trHeight w:hRule="exact" w:val="38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D21C9" w14:textId="77777777" w:rsidR="00AA6786" w:rsidRPr="00AA6786" w:rsidRDefault="00AA6786" w:rsidP="00AA6786">
            <w:pPr>
              <w:spacing w:before="20" w:after="20" w:line="247" w:lineRule="auto"/>
              <w:rPr>
                <w:rFonts w:eastAsia="Times New Roman" w:cs="Arial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sz w:val="23"/>
                <w:szCs w:val="23"/>
                <w:lang w:eastAsia="en-AU"/>
              </w:rPr>
              <w:t>Cases removed or reclassified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5EBD2" w14:textId="486F8153" w:rsidR="00AA6786" w:rsidRPr="00AA6786" w:rsidRDefault="00AA6786" w:rsidP="00AA6786">
            <w:pPr>
              <w:spacing w:before="20" w:after="20" w:line="247" w:lineRule="auto"/>
              <w:ind w:left="660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  <w:t xml:space="preserve">     - 2</w:t>
            </w:r>
          </w:p>
        </w:tc>
      </w:tr>
      <w:tr w:rsidR="00AA6786" w:rsidRPr="007E001C" w14:paraId="5C9CCFDC" w14:textId="77777777" w:rsidTr="00AA6786">
        <w:trPr>
          <w:trHeight w:hRule="exact" w:val="375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E9543" w14:textId="77777777" w:rsidR="00AA6786" w:rsidRPr="00AA6786" w:rsidRDefault="00AA6786" w:rsidP="00AA6786">
            <w:pPr>
              <w:spacing w:before="20" w:after="20" w:line="247" w:lineRule="auto"/>
              <w:rPr>
                <w:rFonts w:eastAsia="Times New Roman" w:cs="Arial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sz w:val="23"/>
                <w:szCs w:val="23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0EDBA" w14:textId="78C12F4E" w:rsidR="00AA6786" w:rsidRPr="00AA6786" w:rsidRDefault="00AA678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</w:pPr>
            <w:r w:rsidRPr="00AA6786">
              <w:rPr>
                <w:rFonts w:eastAsia="Times New Roman" w:cs="Arial"/>
                <w:color w:val="FF0000"/>
                <w:sz w:val="23"/>
                <w:szCs w:val="23"/>
                <w:lang w:eastAsia="en-AU"/>
              </w:rPr>
              <w:t xml:space="preserve"> 2,523</w:t>
            </w:r>
          </w:p>
        </w:tc>
      </w:tr>
    </w:tbl>
    <w:p w14:paraId="06DF1C38" w14:textId="2237620F" w:rsidR="00046248" w:rsidRPr="00441C9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</w:rPr>
      </w:pPr>
      <w:r w:rsidRPr="00046248">
        <w:rPr>
          <w:rFonts w:cs="Arial"/>
          <w:b/>
        </w:rPr>
        <w:lastRenderedPageBreak/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82685D" w14:paraId="4D47BAE0" w14:textId="77777777" w:rsidTr="00441C90">
        <w:trPr>
          <w:trHeight w:val="16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A3609" w14:textId="77777777" w:rsidR="00046248" w:rsidRPr="007E001C" w:rsidRDefault="00046248" w:rsidP="00441C90">
            <w:pPr>
              <w:spacing w:before="20" w:after="20"/>
              <w:rPr>
                <w:rFonts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07B8C3" w14:textId="77777777" w:rsidR="00046248" w:rsidRPr="007E001C" w:rsidRDefault="00046248" w:rsidP="00441C90">
            <w:pPr>
              <w:spacing w:before="20" w:after="20"/>
              <w:jc w:val="center"/>
              <w:rPr>
                <w:rFonts w:cs="Arial"/>
                <w:b/>
                <w:sz w:val="22"/>
                <w:szCs w:val="22"/>
                <w:lang w:val="en"/>
              </w:rPr>
            </w:pPr>
          </w:p>
        </w:tc>
      </w:tr>
      <w:tr w:rsidR="00046248" w:rsidRPr="0082685D" w14:paraId="6526DFA2" w14:textId="77777777" w:rsidTr="00441C90">
        <w:trPr>
          <w:trHeight w:val="16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3D8F964" w14:textId="77777777" w:rsidR="00046248" w:rsidRPr="00AA6786" w:rsidRDefault="00046248" w:rsidP="00441C90">
            <w:pPr>
              <w:spacing w:before="20" w:after="20"/>
              <w:rPr>
                <w:rFonts w:cs="Arial"/>
                <w:sz w:val="23"/>
                <w:szCs w:val="23"/>
                <w:lang w:val="en"/>
              </w:rPr>
            </w:pPr>
            <w:r w:rsidRPr="00AA6786">
              <w:rPr>
                <w:rFonts w:cs="Arial"/>
                <w:sz w:val="23"/>
                <w:szCs w:val="23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45E45F3F" w14:textId="77777777" w:rsidR="00046248" w:rsidRPr="00AA6786" w:rsidRDefault="00441C90" w:rsidP="00AA6786">
            <w:pPr>
              <w:spacing w:before="20" w:after="20"/>
              <w:jc w:val="right"/>
              <w:rPr>
                <w:rFonts w:cs="Arial"/>
                <w:color w:val="FF0000"/>
                <w:sz w:val="23"/>
                <w:szCs w:val="23"/>
                <w:lang w:val="en"/>
              </w:rPr>
            </w:pPr>
            <w:r w:rsidRPr="00AA6786">
              <w:rPr>
                <w:rFonts w:cs="Arial"/>
                <w:color w:val="auto"/>
                <w:sz w:val="23"/>
                <w:szCs w:val="23"/>
                <w:lang w:val="en"/>
              </w:rPr>
              <w:t>26</w:t>
            </w:r>
          </w:p>
        </w:tc>
      </w:tr>
      <w:tr w:rsidR="00046248" w:rsidRPr="0082685D" w14:paraId="7D3570B1" w14:textId="77777777" w:rsidTr="00441C90">
        <w:trPr>
          <w:trHeight w:val="160"/>
        </w:trPr>
        <w:tc>
          <w:tcPr>
            <w:tcW w:w="7372" w:type="dxa"/>
            <w:vAlign w:val="center"/>
          </w:tcPr>
          <w:p w14:paraId="1F5E2B56" w14:textId="77777777" w:rsidR="00046248" w:rsidRPr="00AA6786" w:rsidRDefault="00046248" w:rsidP="00441C90">
            <w:pPr>
              <w:spacing w:before="20" w:after="20"/>
              <w:rPr>
                <w:rFonts w:cs="Arial"/>
                <w:sz w:val="23"/>
                <w:szCs w:val="23"/>
                <w:lang w:val="en"/>
              </w:rPr>
            </w:pPr>
            <w:r w:rsidRPr="00AA6786">
              <w:rPr>
                <w:rFonts w:cs="Arial"/>
                <w:sz w:val="23"/>
                <w:szCs w:val="23"/>
                <w:lang w:val="en"/>
              </w:rPr>
              <w:t>Currently</w:t>
            </w:r>
            <w:r w:rsidRPr="00AA6786">
              <w:rPr>
                <w:rFonts w:cs="Arial"/>
                <w:sz w:val="23"/>
                <w:szCs w:val="23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7AB141C7" w14:textId="39FF86BE" w:rsidR="00046248" w:rsidRPr="00AA6786" w:rsidRDefault="002C2A43" w:rsidP="00AA6786">
            <w:pPr>
              <w:spacing w:before="20" w:after="20"/>
              <w:jc w:val="right"/>
              <w:rPr>
                <w:rFonts w:cs="Arial"/>
                <w:color w:val="FF0000"/>
                <w:sz w:val="23"/>
                <w:szCs w:val="23"/>
                <w:lang w:val="en"/>
              </w:rPr>
            </w:pPr>
            <w:r w:rsidRPr="00AA6786">
              <w:rPr>
                <w:rFonts w:cs="Arial"/>
                <w:color w:val="FF0000"/>
                <w:sz w:val="23"/>
                <w:szCs w:val="23"/>
                <w:lang w:val="en"/>
              </w:rPr>
              <w:t xml:space="preserve">  </w:t>
            </w:r>
            <w:r w:rsidR="00AA6786" w:rsidRPr="00AA6786">
              <w:rPr>
                <w:rFonts w:cs="Arial"/>
                <w:color w:val="FF0000"/>
                <w:sz w:val="23"/>
                <w:szCs w:val="23"/>
                <w:lang w:val="en"/>
              </w:rPr>
              <w:t>2</w:t>
            </w:r>
          </w:p>
        </w:tc>
      </w:tr>
    </w:tbl>
    <w:p w14:paraId="274458C9" w14:textId="77777777" w:rsidR="00C05D0C" w:rsidRPr="00C05D0C" w:rsidRDefault="00B211B6" w:rsidP="00441C90">
      <w:pPr>
        <w:pStyle w:val="List"/>
        <w:spacing w:before="240" w:after="120" w:line="240" w:lineRule="auto"/>
        <w:ind w:left="284" w:firstLine="0"/>
        <w:contextualSpacing w:val="0"/>
      </w:pPr>
      <w:r w:rsidRPr="005A2316">
        <w:rPr>
          <w:b/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2F5E02" w14:paraId="71F03864" w14:textId="77777777" w:rsidTr="00441C90">
        <w:trPr>
          <w:trHeight w:val="385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0EEE17" w14:textId="77777777" w:rsidR="00B211B6" w:rsidRPr="002F5E02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D09E61" w14:textId="77777777" w:rsidR="00B211B6" w:rsidRPr="002F5E02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58C7A8" w14:textId="77777777" w:rsidR="00B211B6" w:rsidRPr="002F5E02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0F78EE" w:rsidRPr="002F5E02" w14:paraId="78C6A913" w14:textId="77777777" w:rsidTr="00441C90">
        <w:trPr>
          <w:trHeight w:val="370"/>
        </w:trPr>
        <w:tc>
          <w:tcPr>
            <w:tcW w:w="5671" w:type="dxa"/>
            <w:tcBorders>
              <w:top w:val="single" w:sz="4" w:space="0" w:color="auto"/>
            </w:tcBorders>
          </w:tcPr>
          <w:p w14:paraId="27B055A8" w14:textId="77777777" w:rsidR="000F78EE" w:rsidRPr="00AA6786" w:rsidRDefault="000F78EE" w:rsidP="00F33CD8">
            <w:pPr>
              <w:spacing w:after="0" w:line="22" w:lineRule="atLeast"/>
              <w:rPr>
                <w:rFonts w:cs="Arial"/>
                <w:color w:val="auto"/>
                <w:sz w:val="23"/>
                <w:szCs w:val="23"/>
                <w:lang w:val="en"/>
              </w:rPr>
            </w:pPr>
            <w:r w:rsidRPr="00AA6786">
              <w:rPr>
                <w:color w:val="auto"/>
                <w:sz w:val="23"/>
                <w:szCs w:val="23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32D2D54A" w14:textId="77777777" w:rsidR="000F78EE" w:rsidRPr="00AA6786" w:rsidRDefault="000F78EE" w:rsidP="00441C90">
            <w:pPr>
              <w:spacing w:after="0" w:line="22" w:lineRule="atLeast"/>
              <w:jc w:val="center"/>
              <w:rPr>
                <w:rFonts w:cs="Arial"/>
                <w:color w:val="FF0000"/>
                <w:sz w:val="23"/>
                <w:szCs w:val="23"/>
                <w:lang w:val="en"/>
              </w:rPr>
            </w:pPr>
            <w:r w:rsidRPr="00AA6786">
              <w:rPr>
                <w:rFonts w:cs="Arial"/>
                <w:color w:val="auto"/>
                <w:sz w:val="23"/>
                <w:szCs w:val="23"/>
                <w:lang w:val="en"/>
              </w:rPr>
              <w:t>20/04/2021</w:t>
            </w:r>
          </w:p>
        </w:tc>
        <w:tc>
          <w:tcPr>
            <w:tcW w:w="1701" w:type="dxa"/>
            <w:vAlign w:val="center"/>
          </w:tcPr>
          <w:p w14:paraId="5D4D47C1" w14:textId="09398515" w:rsidR="000F78EE" w:rsidRPr="00AA6786" w:rsidRDefault="00AA6786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3"/>
                <w:szCs w:val="23"/>
                <w:lang w:val="en"/>
              </w:rPr>
            </w:pPr>
            <w:r>
              <w:rPr>
                <w:rFonts w:cs="Arial"/>
                <w:color w:val="FF0000"/>
                <w:sz w:val="23"/>
                <w:szCs w:val="23"/>
                <w:lang w:val="en"/>
              </w:rPr>
              <w:t>106</w:t>
            </w:r>
          </w:p>
        </w:tc>
      </w:tr>
      <w:tr w:rsidR="000F78EE" w:rsidRPr="002F5E02" w14:paraId="6D949696" w14:textId="77777777" w:rsidTr="00441C90">
        <w:trPr>
          <w:trHeight w:val="342"/>
        </w:trPr>
        <w:tc>
          <w:tcPr>
            <w:tcW w:w="5671" w:type="dxa"/>
          </w:tcPr>
          <w:p w14:paraId="785148AB" w14:textId="77777777" w:rsidR="000F78EE" w:rsidRPr="00AA6786" w:rsidRDefault="000F78EE" w:rsidP="00441C90">
            <w:pPr>
              <w:spacing w:after="0" w:line="22" w:lineRule="atLeast"/>
              <w:rPr>
                <w:rFonts w:cs="Arial"/>
                <w:color w:val="auto"/>
                <w:sz w:val="23"/>
                <w:szCs w:val="23"/>
                <w:lang w:val="en"/>
              </w:rPr>
            </w:pPr>
            <w:r w:rsidRPr="00AA6786">
              <w:rPr>
                <w:color w:val="auto"/>
                <w:sz w:val="23"/>
                <w:szCs w:val="23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615DB13E" w14:textId="77777777" w:rsidR="000F78EE" w:rsidRPr="00AA6786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  <w:sz w:val="23"/>
                <w:szCs w:val="23"/>
              </w:rPr>
            </w:pPr>
            <w:r w:rsidRPr="00AA6786">
              <w:rPr>
                <w:rFonts w:ascii="Arial" w:hAnsi="Arial" w:cs="Arial"/>
                <w:sz w:val="23"/>
                <w:szCs w:val="23"/>
                <w:lang w:val="en"/>
              </w:rPr>
              <w:t>13/02/2021</w:t>
            </w:r>
          </w:p>
        </w:tc>
        <w:tc>
          <w:tcPr>
            <w:tcW w:w="1701" w:type="dxa"/>
            <w:vAlign w:val="center"/>
          </w:tcPr>
          <w:p w14:paraId="626591BB" w14:textId="3CEC5DC2" w:rsidR="000F78EE" w:rsidRPr="00AA6786" w:rsidRDefault="00AA6786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3"/>
                <w:szCs w:val="23"/>
              </w:rPr>
            </w:pPr>
            <w:r>
              <w:rPr>
                <w:rFonts w:cs="Arial"/>
                <w:color w:val="FF0000"/>
                <w:sz w:val="23"/>
                <w:szCs w:val="23"/>
                <w:lang w:val="en"/>
              </w:rPr>
              <w:t>172</w:t>
            </w:r>
          </w:p>
        </w:tc>
      </w:tr>
    </w:tbl>
    <w:p w14:paraId="7861E8A8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4D102721" w14:textId="77777777" w:rsidR="00926CA2" w:rsidRPr="00AA0B43" w:rsidRDefault="00926CA2" w:rsidP="00926CA2">
      <w:pPr>
        <w:spacing w:before="240" w:after="120" w:line="242" w:lineRule="auto"/>
        <w:rPr>
          <w:rFonts w:cs="Arial"/>
          <w:b/>
          <w:color w:val="auto"/>
          <w:sz w:val="28"/>
          <w:szCs w:val="28"/>
        </w:rPr>
      </w:pPr>
      <w:r w:rsidRPr="00AA0B43">
        <w:rPr>
          <w:rFonts w:cs="Arial"/>
          <w:b/>
          <w:color w:val="auto"/>
          <w:sz w:val="28"/>
          <w:szCs w:val="28"/>
        </w:rPr>
        <w:t>Travel impacts</w:t>
      </w:r>
    </w:p>
    <w:p w14:paraId="5392BD71" w14:textId="77777777" w:rsidR="00AA6786" w:rsidRPr="00AA6786" w:rsidRDefault="00AA6786" w:rsidP="00AA6786">
      <w:pPr>
        <w:numPr>
          <w:ilvl w:val="0"/>
          <w:numId w:val="48"/>
        </w:numPr>
        <w:spacing w:after="120" w:line="276" w:lineRule="auto"/>
        <w:ind w:left="360"/>
        <w:textAlignment w:val="center"/>
        <w:rPr>
          <w:rFonts w:eastAsia="Calibri" w:cs="Arial"/>
          <w:color w:val="FF0000"/>
          <w:sz w:val="23"/>
          <w:szCs w:val="23"/>
        </w:rPr>
      </w:pPr>
      <w:r w:rsidRPr="00AA6786">
        <w:rPr>
          <w:rFonts w:eastAsia="Calibri" w:cs="Arial"/>
          <w:color w:val="auto"/>
          <w:sz w:val="23"/>
          <w:szCs w:val="23"/>
        </w:rPr>
        <w:t xml:space="preserve">Quarantine-free travel from all Australian states and territories to New Zealand was suspended from 2359 hrs NZST Friday 23 July 2021 due to the worsening COVID-19 situation in Australia. The suspension will be for a minimum period of eight </w:t>
      </w:r>
      <w:r w:rsidRPr="00AA6786">
        <w:rPr>
          <w:rFonts w:eastAsia="Calibri" w:cs="Arial"/>
          <w:sz w:val="23"/>
          <w:szCs w:val="23"/>
        </w:rPr>
        <w:t xml:space="preserve">weeks </w:t>
      </w:r>
      <w:r w:rsidRPr="00AA6786">
        <w:rPr>
          <w:rFonts w:eastAsia="Calibri" w:cs="Arial"/>
          <w:color w:val="FF0000"/>
          <w:sz w:val="23"/>
          <w:szCs w:val="23"/>
        </w:rPr>
        <w:t xml:space="preserve">and will be reviewed in September 2021. </w:t>
      </w:r>
    </w:p>
    <w:p w14:paraId="3CD4D319" w14:textId="0484C5B2" w:rsidR="00694D73" w:rsidRPr="005302A4" w:rsidRDefault="00694D73" w:rsidP="00694D73">
      <w:pPr>
        <w:numPr>
          <w:ilvl w:val="0"/>
          <w:numId w:val="48"/>
        </w:numPr>
        <w:spacing w:after="120" w:line="276" w:lineRule="auto"/>
        <w:ind w:left="360"/>
        <w:textAlignment w:val="center"/>
        <w:rPr>
          <w:rFonts w:eastAsia="Calibri" w:cs="Arial"/>
          <w:color w:val="FF0000"/>
          <w:sz w:val="23"/>
          <w:szCs w:val="23"/>
        </w:rPr>
      </w:pPr>
      <w:r w:rsidRPr="005302A4">
        <w:rPr>
          <w:rFonts w:eastAsia="Calibri" w:cs="Arial"/>
          <w:color w:val="FF0000"/>
          <w:sz w:val="23"/>
          <w:szCs w:val="23"/>
        </w:rPr>
        <w:t>Eligible travellers needing to return to New Zealand from all Australian states (except New South Wales) were provided a 7-day return window which ended at 11.59pm on Friday 30</w:t>
      </w:r>
      <w:r w:rsidR="005302A4">
        <w:rPr>
          <w:rFonts w:eastAsia="Calibri" w:cs="Arial"/>
          <w:color w:val="FF0000"/>
          <w:sz w:val="23"/>
          <w:szCs w:val="23"/>
        </w:rPr>
        <w:t> </w:t>
      </w:r>
      <w:r w:rsidRPr="005302A4">
        <w:rPr>
          <w:rFonts w:eastAsia="Calibri" w:cs="Arial"/>
          <w:color w:val="FF0000"/>
          <w:sz w:val="23"/>
          <w:szCs w:val="23"/>
        </w:rPr>
        <w:t xml:space="preserve">July. </w:t>
      </w:r>
    </w:p>
    <w:p w14:paraId="4BB327F2" w14:textId="17A8FEEB" w:rsidR="00694D73" w:rsidRPr="005302A4" w:rsidRDefault="00694D73" w:rsidP="00694D73">
      <w:pPr>
        <w:numPr>
          <w:ilvl w:val="0"/>
          <w:numId w:val="48"/>
        </w:numPr>
        <w:spacing w:after="120" w:line="276" w:lineRule="auto"/>
        <w:ind w:left="360"/>
        <w:textAlignment w:val="center"/>
        <w:rPr>
          <w:rFonts w:eastAsia="Calibri" w:cs="Arial"/>
          <w:color w:val="FF0000"/>
          <w:sz w:val="23"/>
          <w:szCs w:val="23"/>
        </w:rPr>
      </w:pPr>
      <w:r w:rsidRPr="005302A4">
        <w:rPr>
          <w:rFonts w:eastAsia="Calibri" w:cs="Arial"/>
          <w:color w:val="FF0000"/>
          <w:sz w:val="23"/>
          <w:szCs w:val="23"/>
        </w:rPr>
        <w:t xml:space="preserve">Aside from managed return flights operating between 9 to 22 August from New South Wales, flights are not operating to New Zealand from elsewhere in Australia </w:t>
      </w:r>
      <w:r w:rsidR="00BB5179" w:rsidRPr="005302A4">
        <w:rPr>
          <w:rFonts w:eastAsia="Calibri" w:cs="Arial"/>
          <w:color w:val="FF0000"/>
          <w:sz w:val="23"/>
          <w:szCs w:val="23"/>
        </w:rPr>
        <w:t>at this time</w:t>
      </w:r>
      <w:r w:rsidRPr="005302A4">
        <w:rPr>
          <w:rFonts w:eastAsia="Calibri" w:cs="Arial"/>
          <w:color w:val="FF0000"/>
          <w:sz w:val="23"/>
          <w:szCs w:val="23"/>
        </w:rPr>
        <w:t xml:space="preserve">. </w:t>
      </w:r>
    </w:p>
    <w:p w14:paraId="140E7840" w14:textId="77777777" w:rsidR="00062C7F" w:rsidRPr="00062C7F" w:rsidRDefault="00062C7F" w:rsidP="00062C7F">
      <w:pPr>
        <w:pStyle w:val="List"/>
      </w:pPr>
    </w:p>
    <w:p w14:paraId="04836D07" w14:textId="0D84075B" w:rsidR="00E9181D" w:rsidRDefault="00E9181D" w:rsidP="00E9181D">
      <w:pPr>
        <w:pStyle w:val="BodyText"/>
      </w:pPr>
    </w:p>
    <w:p w14:paraId="1D1AE476" w14:textId="4B7D88E7" w:rsidR="00E9181D" w:rsidRDefault="00E9181D" w:rsidP="00E9181D">
      <w:pPr>
        <w:pStyle w:val="BodyText"/>
      </w:pPr>
    </w:p>
    <w:p w14:paraId="29F9F171" w14:textId="14653ACF" w:rsidR="00E9181D" w:rsidRDefault="0023551E" w:rsidP="00E9181D">
      <w:pPr>
        <w:pStyle w:val="BodyText"/>
      </w:pPr>
      <w:r>
        <w:pict w14:anchorId="6B8DA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90pt">
            <v:imagedata r:id="rId11" o:title="Pauls elec signature"/>
          </v:shape>
        </w:pict>
      </w:r>
    </w:p>
    <w:p w14:paraId="0AD147BE" w14:textId="77777777" w:rsidR="00E9181D" w:rsidRDefault="00E9181D" w:rsidP="00441C90">
      <w:pPr>
        <w:spacing w:after="0" w:line="22" w:lineRule="atLeast"/>
        <w:ind w:left="284"/>
        <w:rPr>
          <w:color w:val="auto"/>
        </w:rPr>
      </w:pPr>
    </w:p>
    <w:p w14:paraId="4E7AFEA8" w14:textId="77777777" w:rsidR="00E9181D" w:rsidRDefault="00E9181D" w:rsidP="00441C90">
      <w:pPr>
        <w:spacing w:after="0" w:line="22" w:lineRule="atLeast"/>
        <w:ind w:left="284"/>
        <w:rPr>
          <w:color w:val="auto"/>
        </w:rPr>
      </w:pPr>
    </w:p>
    <w:p w14:paraId="6D157E2F" w14:textId="11EE01BF" w:rsidR="00AA6786" w:rsidRPr="007A4936" w:rsidRDefault="00AA6786" w:rsidP="00AA6786">
      <w:pPr>
        <w:spacing w:after="0" w:line="22" w:lineRule="atLeast"/>
        <w:ind w:left="284"/>
        <w:rPr>
          <w:color w:val="FF0000"/>
        </w:rPr>
      </w:pPr>
      <w:r w:rsidRPr="007A4936">
        <w:rPr>
          <w:color w:val="FF0000"/>
        </w:rPr>
        <w:t xml:space="preserve">Professor </w:t>
      </w:r>
      <w:r>
        <w:rPr>
          <w:color w:val="FF0000"/>
        </w:rPr>
        <w:t xml:space="preserve">Paul Kelly </w:t>
      </w:r>
      <w:r w:rsidRPr="007A4936">
        <w:rPr>
          <w:color w:val="FF0000"/>
        </w:rPr>
        <w:t xml:space="preserve"> </w:t>
      </w:r>
    </w:p>
    <w:p w14:paraId="7F9D6AD9" w14:textId="325D43D2" w:rsidR="00B211B6" w:rsidRPr="007A4936" w:rsidRDefault="000A5B04" w:rsidP="00441C90">
      <w:pPr>
        <w:spacing w:after="0" w:line="22" w:lineRule="atLeast"/>
        <w:ind w:left="284"/>
        <w:rPr>
          <w:color w:val="FF0000"/>
        </w:rPr>
      </w:pPr>
      <w:r w:rsidRPr="007A4936">
        <w:rPr>
          <w:color w:val="FF0000"/>
        </w:rPr>
        <w:t>C</w:t>
      </w:r>
      <w:r w:rsidR="00B211B6" w:rsidRPr="007A4936">
        <w:rPr>
          <w:color w:val="FF0000"/>
        </w:rPr>
        <w:t>hief Medical Officer</w:t>
      </w:r>
    </w:p>
    <w:p w14:paraId="39DCC7CA" w14:textId="4CFD3B2A" w:rsidR="00365261" w:rsidRPr="007A4936" w:rsidRDefault="0084065A" w:rsidP="00441C90">
      <w:pPr>
        <w:spacing w:after="0" w:line="22" w:lineRule="atLeast"/>
        <w:ind w:left="284"/>
        <w:rPr>
          <w:color w:val="FF0000"/>
        </w:rPr>
      </w:pPr>
      <w:r w:rsidRPr="007A4936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970BD" wp14:editId="4796F321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74039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F4789CB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5574039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F4789CB" w14:textId="77777777" w:rsidR="00B13F9B" w:rsidRDefault="00B13F9B"/>
                  </w:txbxContent>
                </v:textbox>
              </v:shape>
            </w:pict>
          </mc:Fallback>
        </mc:AlternateContent>
      </w:r>
      <w:r w:rsidR="00AA6786">
        <w:rPr>
          <w:noProof/>
          <w:color w:val="FF0000"/>
          <w:lang w:eastAsia="en-AU"/>
        </w:rPr>
        <w:t>4 August</w:t>
      </w:r>
      <w:r w:rsidR="00A1790B" w:rsidRPr="007A4936">
        <w:rPr>
          <w:color w:val="FF0000"/>
        </w:rPr>
        <w:t xml:space="preserve"> 2021</w:t>
      </w:r>
    </w:p>
    <w:sectPr w:rsidR="00365261" w:rsidRPr="007A4936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73173" w14:textId="77777777" w:rsidR="003154D7" w:rsidRDefault="003154D7" w:rsidP="003F5DCC">
      <w:pPr>
        <w:spacing w:after="0" w:line="240" w:lineRule="auto"/>
      </w:pPr>
      <w:r>
        <w:separator/>
      </w:r>
    </w:p>
  </w:endnote>
  <w:endnote w:type="continuationSeparator" w:id="0">
    <w:p w14:paraId="57EBC59D" w14:textId="77777777" w:rsidR="003154D7" w:rsidRDefault="003154D7" w:rsidP="003F5DCC">
      <w:pPr>
        <w:spacing w:after="0" w:line="240" w:lineRule="auto"/>
      </w:pPr>
      <w:r>
        <w:continuationSeparator/>
      </w:r>
    </w:p>
  </w:endnote>
  <w:endnote w:type="continuationNotice" w:id="1">
    <w:p w14:paraId="738CB504" w14:textId="77777777" w:rsidR="003154D7" w:rsidRDefault="00315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2728" w14:textId="6EC36D0A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090DB8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AEE35" w14:textId="77777777" w:rsidR="003154D7" w:rsidRDefault="003154D7" w:rsidP="003F5DCC">
      <w:pPr>
        <w:spacing w:after="0" w:line="240" w:lineRule="auto"/>
      </w:pPr>
      <w:r>
        <w:separator/>
      </w:r>
    </w:p>
  </w:footnote>
  <w:footnote w:type="continuationSeparator" w:id="0">
    <w:p w14:paraId="1068B8B5" w14:textId="77777777" w:rsidR="003154D7" w:rsidRDefault="003154D7" w:rsidP="003F5DCC">
      <w:pPr>
        <w:spacing w:after="0" w:line="240" w:lineRule="auto"/>
      </w:pPr>
      <w:r>
        <w:continuationSeparator/>
      </w:r>
    </w:p>
  </w:footnote>
  <w:footnote w:type="continuationNotice" w:id="1">
    <w:p w14:paraId="5D235A44" w14:textId="77777777" w:rsidR="003154D7" w:rsidRDefault="003154D7">
      <w:pPr>
        <w:spacing w:after="0" w:line="240" w:lineRule="auto"/>
      </w:pPr>
    </w:p>
  </w:footnote>
  <w:footnote w:id="2">
    <w:p w14:paraId="199931C6" w14:textId="7777777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6E1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1037A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7F14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DAE19A9" wp14:editId="1B1B5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E3C8" w14:textId="77777777" w:rsidR="00B13F9B" w:rsidRDefault="0023551E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33B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35C9629" wp14:editId="61F968C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368360" wp14:editId="1E5AB9DE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6F1"/>
    <w:multiLevelType w:val="hybridMultilevel"/>
    <w:tmpl w:val="02C81934"/>
    <w:lvl w:ilvl="0" w:tplc="4844A84C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09C0DF7"/>
    <w:multiLevelType w:val="hybridMultilevel"/>
    <w:tmpl w:val="13FC1FAE"/>
    <w:lvl w:ilvl="0" w:tplc="D51C2238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C4F"/>
    <w:multiLevelType w:val="hybridMultilevel"/>
    <w:tmpl w:val="87762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3242F8"/>
    <w:multiLevelType w:val="hybridMultilevel"/>
    <w:tmpl w:val="DF7C2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0B3276"/>
    <w:multiLevelType w:val="hybridMultilevel"/>
    <w:tmpl w:val="15360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C07F1"/>
    <w:multiLevelType w:val="hybridMultilevel"/>
    <w:tmpl w:val="941A1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F2E30"/>
    <w:multiLevelType w:val="hybridMultilevel"/>
    <w:tmpl w:val="0EA06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2EA058C"/>
    <w:multiLevelType w:val="hybridMultilevel"/>
    <w:tmpl w:val="E160B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B4A5C"/>
    <w:multiLevelType w:val="hybridMultilevel"/>
    <w:tmpl w:val="D1E26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E65DA"/>
    <w:multiLevelType w:val="hybridMultilevel"/>
    <w:tmpl w:val="F3BAE84A"/>
    <w:lvl w:ilvl="0" w:tplc="617C3A5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CC48D1"/>
    <w:multiLevelType w:val="hybridMultilevel"/>
    <w:tmpl w:val="8C0E7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4"/>
  </w:num>
  <w:num w:numId="4">
    <w:abstractNumId w:val="9"/>
  </w:num>
  <w:num w:numId="5">
    <w:abstractNumId w:val="25"/>
  </w:num>
  <w:num w:numId="6">
    <w:abstractNumId w:val="3"/>
  </w:num>
  <w:num w:numId="7">
    <w:abstractNumId w:val="14"/>
  </w:num>
  <w:num w:numId="8">
    <w:abstractNumId w:val="32"/>
  </w:num>
  <w:num w:numId="9">
    <w:abstractNumId w:val="22"/>
  </w:num>
  <w:num w:numId="10">
    <w:abstractNumId w:val="6"/>
  </w:num>
  <w:num w:numId="11">
    <w:abstractNumId w:val="11"/>
  </w:num>
  <w:num w:numId="12">
    <w:abstractNumId w:val="24"/>
  </w:num>
  <w:num w:numId="13">
    <w:abstractNumId w:val="30"/>
  </w:num>
  <w:num w:numId="14">
    <w:abstractNumId w:val="2"/>
  </w:num>
  <w:num w:numId="15">
    <w:abstractNumId w:val="17"/>
  </w:num>
  <w:num w:numId="16">
    <w:abstractNumId w:val="39"/>
  </w:num>
  <w:num w:numId="17">
    <w:abstractNumId w:val="28"/>
  </w:num>
  <w:num w:numId="18">
    <w:abstractNumId w:val="35"/>
  </w:num>
  <w:num w:numId="19">
    <w:abstractNumId w:val="5"/>
  </w:num>
  <w:num w:numId="20">
    <w:abstractNumId w:val="31"/>
  </w:num>
  <w:num w:numId="21">
    <w:abstractNumId w:val="15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21"/>
  </w:num>
  <w:num w:numId="27">
    <w:abstractNumId w:val="29"/>
  </w:num>
  <w:num w:numId="28">
    <w:abstractNumId w:val="23"/>
  </w:num>
  <w:num w:numId="29">
    <w:abstractNumId w:val="14"/>
  </w:num>
  <w:num w:numId="30">
    <w:abstractNumId w:val="14"/>
  </w:num>
  <w:num w:numId="31">
    <w:abstractNumId w:val="14"/>
  </w:num>
  <w:num w:numId="32">
    <w:abstractNumId w:val="18"/>
  </w:num>
  <w:num w:numId="33">
    <w:abstractNumId w:val="13"/>
  </w:num>
  <w:num w:numId="34">
    <w:abstractNumId w:val="7"/>
  </w:num>
  <w:num w:numId="35">
    <w:abstractNumId w:val="14"/>
  </w:num>
  <w:num w:numId="36">
    <w:abstractNumId w:val="19"/>
  </w:num>
  <w:num w:numId="37">
    <w:abstractNumId w:val="14"/>
  </w:num>
  <w:num w:numId="38">
    <w:abstractNumId w:val="4"/>
  </w:num>
  <w:num w:numId="39">
    <w:abstractNumId w:val="33"/>
  </w:num>
  <w:num w:numId="40">
    <w:abstractNumId w:val="27"/>
  </w:num>
  <w:num w:numId="41">
    <w:abstractNumId w:val="14"/>
  </w:num>
  <w:num w:numId="42">
    <w:abstractNumId w:val="38"/>
  </w:num>
  <w:num w:numId="43">
    <w:abstractNumId w:val="36"/>
  </w:num>
  <w:num w:numId="44">
    <w:abstractNumId w:val="37"/>
  </w:num>
  <w:num w:numId="45">
    <w:abstractNumId w:val="14"/>
  </w:num>
  <w:num w:numId="46">
    <w:abstractNumId w:val="14"/>
  </w:num>
  <w:num w:numId="47">
    <w:abstractNumId w:val="14"/>
  </w:num>
  <w:num w:numId="48">
    <w:abstractNumId w:val="16"/>
  </w:num>
  <w:num w:numId="49">
    <w:abstractNumId w:val="0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F82"/>
    <w:rsid w:val="00014341"/>
    <w:rsid w:val="000217E2"/>
    <w:rsid w:val="0002211D"/>
    <w:rsid w:val="00022C1C"/>
    <w:rsid w:val="000231F0"/>
    <w:rsid w:val="000246E2"/>
    <w:rsid w:val="00025ED0"/>
    <w:rsid w:val="0002708E"/>
    <w:rsid w:val="00031F72"/>
    <w:rsid w:val="00033906"/>
    <w:rsid w:val="00040026"/>
    <w:rsid w:val="000436FB"/>
    <w:rsid w:val="00046248"/>
    <w:rsid w:val="00057650"/>
    <w:rsid w:val="00062C7F"/>
    <w:rsid w:val="00062E83"/>
    <w:rsid w:val="00070122"/>
    <w:rsid w:val="00075BFE"/>
    <w:rsid w:val="00076514"/>
    <w:rsid w:val="00076817"/>
    <w:rsid w:val="0007741B"/>
    <w:rsid w:val="00081BA5"/>
    <w:rsid w:val="0008464B"/>
    <w:rsid w:val="00085A07"/>
    <w:rsid w:val="000860B8"/>
    <w:rsid w:val="00086473"/>
    <w:rsid w:val="00087EF0"/>
    <w:rsid w:val="00090DB8"/>
    <w:rsid w:val="000941E5"/>
    <w:rsid w:val="00097D19"/>
    <w:rsid w:val="000A1CE3"/>
    <w:rsid w:val="000A5B04"/>
    <w:rsid w:val="000B6D1B"/>
    <w:rsid w:val="000C1DBC"/>
    <w:rsid w:val="000D2D06"/>
    <w:rsid w:val="000D5A79"/>
    <w:rsid w:val="000E3A03"/>
    <w:rsid w:val="000E60C1"/>
    <w:rsid w:val="000F073C"/>
    <w:rsid w:val="000F568B"/>
    <w:rsid w:val="000F5BB7"/>
    <w:rsid w:val="000F7501"/>
    <w:rsid w:val="000F78EE"/>
    <w:rsid w:val="0010335F"/>
    <w:rsid w:val="00110F23"/>
    <w:rsid w:val="00113CF9"/>
    <w:rsid w:val="00115D98"/>
    <w:rsid w:val="00116001"/>
    <w:rsid w:val="001177D4"/>
    <w:rsid w:val="00123406"/>
    <w:rsid w:val="00147564"/>
    <w:rsid w:val="00152A33"/>
    <w:rsid w:val="001569AD"/>
    <w:rsid w:val="00157327"/>
    <w:rsid w:val="0016036F"/>
    <w:rsid w:val="00162C88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C7AAE"/>
    <w:rsid w:val="001D0058"/>
    <w:rsid w:val="001D0AF7"/>
    <w:rsid w:val="001D2FEF"/>
    <w:rsid w:val="001D4193"/>
    <w:rsid w:val="001E047B"/>
    <w:rsid w:val="001E0E4A"/>
    <w:rsid w:val="001F3133"/>
    <w:rsid w:val="001F546F"/>
    <w:rsid w:val="001F6295"/>
    <w:rsid w:val="002063C3"/>
    <w:rsid w:val="00214AD8"/>
    <w:rsid w:val="00220522"/>
    <w:rsid w:val="002205B1"/>
    <w:rsid w:val="002209EC"/>
    <w:rsid w:val="002210D5"/>
    <w:rsid w:val="00221155"/>
    <w:rsid w:val="00227CE4"/>
    <w:rsid w:val="002329E8"/>
    <w:rsid w:val="0023551E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2A43"/>
    <w:rsid w:val="002C3323"/>
    <w:rsid w:val="002C7AB1"/>
    <w:rsid w:val="002D0DAD"/>
    <w:rsid w:val="002D655D"/>
    <w:rsid w:val="002E29D9"/>
    <w:rsid w:val="002E7AF7"/>
    <w:rsid w:val="002F2B8A"/>
    <w:rsid w:val="002F5E02"/>
    <w:rsid w:val="002F7DF8"/>
    <w:rsid w:val="00300221"/>
    <w:rsid w:val="00304E16"/>
    <w:rsid w:val="003077BF"/>
    <w:rsid w:val="00312B4E"/>
    <w:rsid w:val="003154D7"/>
    <w:rsid w:val="00317709"/>
    <w:rsid w:val="00321098"/>
    <w:rsid w:val="00325A97"/>
    <w:rsid w:val="003320C4"/>
    <w:rsid w:val="00337760"/>
    <w:rsid w:val="003433A0"/>
    <w:rsid w:val="00343B8C"/>
    <w:rsid w:val="003555FE"/>
    <w:rsid w:val="003636FF"/>
    <w:rsid w:val="003642AD"/>
    <w:rsid w:val="00365065"/>
    <w:rsid w:val="00365261"/>
    <w:rsid w:val="00372037"/>
    <w:rsid w:val="00383823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05E96"/>
    <w:rsid w:val="00416B6A"/>
    <w:rsid w:val="0042089A"/>
    <w:rsid w:val="004229E8"/>
    <w:rsid w:val="0042698A"/>
    <w:rsid w:val="0043061F"/>
    <w:rsid w:val="00433958"/>
    <w:rsid w:val="00441C90"/>
    <w:rsid w:val="00441D70"/>
    <w:rsid w:val="0045132C"/>
    <w:rsid w:val="00452299"/>
    <w:rsid w:val="004535FA"/>
    <w:rsid w:val="00465B56"/>
    <w:rsid w:val="00470665"/>
    <w:rsid w:val="00472D94"/>
    <w:rsid w:val="00472E2A"/>
    <w:rsid w:val="004867D1"/>
    <w:rsid w:val="00486A4D"/>
    <w:rsid w:val="00494230"/>
    <w:rsid w:val="004A0573"/>
    <w:rsid w:val="004A075B"/>
    <w:rsid w:val="004A0E1F"/>
    <w:rsid w:val="004C3474"/>
    <w:rsid w:val="004C3A6B"/>
    <w:rsid w:val="004C3B71"/>
    <w:rsid w:val="004C49F6"/>
    <w:rsid w:val="004C5A9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2A4"/>
    <w:rsid w:val="00530D98"/>
    <w:rsid w:val="00531A70"/>
    <w:rsid w:val="00542E6B"/>
    <w:rsid w:val="00546CBE"/>
    <w:rsid w:val="0055025C"/>
    <w:rsid w:val="00551EEE"/>
    <w:rsid w:val="0055260C"/>
    <w:rsid w:val="005536FF"/>
    <w:rsid w:val="005572F4"/>
    <w:rsid w:val="00563EB8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A2316"/>
    <w:rsid w:val="005B1E35"/>
    <w:rsid w:val="005B62AD"/>
    <w:rsid w:val="005D31CC"/>
    <w:rsid w:val="005E0C6D"/>
    <w:rsid w:val="005E1E18"/>
    <w:rsid w:val="005E5FFE"/>
    <w:rsid w:val="005F0F31"/>
    <w:rsid w:val="005F1BF3"/>
    <w:rsid w:val="005F201D"/>
    <w:rsid w:val="005F602A"/>
    <w:rsid w:val="00601060"/>
    <w:rsid w:val="00604999"/>
    <w:rsid w:val="006060C4"/>
    <w:rsid w:val="00616F76"/>
    <w:rsid w:val="0062366B"/>
    <w:rsid w:val="006236DF"/>
    <w:rsid w:val="006241BE"/>
    <w:rsid w:val="00626224"/>
    <w:rsid w:val="006332AA"/>
    <w:rsid w:val="00651B3C"/>
    <w:rsid w:val="00662616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4D73"/>
    <w:rsid w:val="0069566E"/>
    <w:rsid w:val="006968FA"/>
    <w:rsid w:val="006A0B05"/>
    <w:rsid w:val="006A21FE"/>
    <w:rsid w:val="006A2F59"/>
    <w:rsid w:val="006A5D07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32DA"/>
    <w:rsid w:val="00724C76"/>
    <w:rsid w:val="00726BE0"/>
    <w:rsid w:val="00727A45"/>
    <w:rsid w:val="00732EAF"/>
    <w:rsid w:val="00744435"/>
    <w:rsid w:val="00745300"/>
    <w:rsid w:val="007454BB"/>
    <w:rsid w:val="0074789B"/>
    <w:rsid w:val="00755C1E"/>
    <w:rsid w:val="007575E7"/>
    <w:rsid w:val="007702C5"/>
    <w:rsid w:val="00771686"/>
    <w:rsid w:val="00772AAC"/>
    <w:rsid w:val="007750C4"/>
    <w:rsid w:val="00777FF1"/>
    <w:rsid w:val="00793D70"/>
    <w:rsid w:val="007A46D6"/>
    <w:rsid w:val="007A4936"/>
    <w:rsid w:val="007A5D86"/>
    <w:rsid w:val="007A601E"/>
    <w:rsid w:val="007A6C8A"/>
    <w:rsid w:val="007B0669"/>
    <w:rsid w:val="007C0E67"/>
    <w:rsid w:val="007E001C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451D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18A"/>
    <w:rsid w:val="008C0875"/>
    <w:rsid w:val="008C2A74"/>
    <w:rsid w:val="008C68FD"/>
    <w:rsid w:val="008C6A01"/>
    <w:rsid w:val="008E2A90"/>
    <w:rsid w:val="00900561"/>
    <w:rsid w:val="00901E58"/>
    <w:rsid w:val="009051AB"/>
    <w:rsid w:val="009143D3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B1C8A"/>
    <w:rsid w:val="009B24D4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9F5FDD"/>
    <w:rsid w:val="00A03F95"/>
    <w:rsid w:val="00A05252"/>
    <w:rsid w:val="00A05D52"/>
    <w:rsid w:val="00A166D3"/>
    <w:rsid w:val="00A1790B"/>
    <w:rsid w:val="00A21291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A6786"/>
    <w:rsid w:val="00AC2072"/>
    <w:rsid w:val="00AC359C"/>
    <w:rsid w:val="00AC4170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1E91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525E"/>
    <w:rsid w:val="00BB0833"/>
    <w:rsid w:val="00BB2DCA"/>
    <w:rsid w:val="00BB5179"/>
    <w:rsid w:val="00BB56A4"/>
    <w:rsid w:val="00BC1ACA"/>
    <w:rsid w:val="00BC64DA"/>
    <w:rsid w:val="00BC66AD"/>
    <w:rsid w:val="00BE3690"/>
    <w:rsid w:val="00BF6D6F"/>
    <w:rsid w:val="00C0041A"/>
    <w:rsid w:val="00C056F7"/>
    <w:rsid w:val="00C05D0C"/>
    <w:rsid w:val="00C120AE"/>
    <w:rsid w:val="00C137A2"/>
    <w:rsid w:val="00C31BB8"/>
    <w:rsid w:val="00C34DE1"/>
    <w:rsid w:val="00C36994"/>
    <w:rsid w:val="00C36A9E"/>
    <w:rsid w:val="00C410FF"/>
    <w:rsid w:val="00C44F9D"/>
    <w:rsid w:val="00C45B64"/>
    <w:rsid w:val="00C766A0"/>
    <w:rsid w:val="00C808E5"/>
    <w:rsid w:val="00C81B48"/>
    <w:rsid w:val="00C91BD6"/>
    <w:rsid w:val="00CA0AA7"/>
    <w:rsid w:val="00CA14DF"/>
    <w:rsid w:val="00CA4CC3"/>
    <w:rsid w:val="00CA5637"/>
    <w:rsid w:val="00CA654D"/>
    <w:rsid w:val="00CB1090"/>
    <w:rsid w:val="00CB1808"/>
    <w:rsid w:val="00CC0B7C"/>
    <w:rsid w:val="00CC47E8"/>
    <w:rsid w:val="00CC4C1B"/>
    <w:rsid w:val="00CC764C"/>
    <w:rsid w:val="00CD7821"/>
    <w:rsid w:val="00CF14FC"/>
    <w:rsid w:val="00CF5CC0"/>
    <w:rsid w:val="00D01F3D"/>
    <w:rsid w:val="00D0327A"/>
    <w:rsid w:val="00D23407"/>
    <w:rsid w:val="00D2738C"/>
    <w:rsid w:val="00D27A35"/>
    <w:rsid w:val="00D32B1F"/>
    <w:rsid w:val="00D32D6F"/>
    <w:rsid w:val="00D35673"/>
    <w:rsid w:val="00D36311"/>
    <w:rsid w:val="00D415AA"/>
    <w:rsid w:val="00D4409E"/>
    <w:rsid w:val="00D449A3"/>
    <w:rsid w:val="00D4754A"/>
    <w:rsid w:val="00D47E29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524E"/>
    <w:rsid w:val="00DC55C7"/>
    <w:rsid w:val="00DC7086"/>
    <w:rsid w:val="00DD5DD6"/>
    <w:rsid w:val="00DE1D7A"/>
    <w:rsid w:val="00DF7207"/>
    <w:rsid w:val="00E025DA"/>
    <w:rsid w:val="00E03083"/>
    <w:rsid w:val="00E11B80"/>
    <w:rsid w:val="00E17FE0"/>
    <w:rsid w:val="00E21E05"/>
    <w:rsid w:val="00E40EED"/>
    <w:rsid w:val="00E421D6"/>
    <w:rsid w:val="00E4221B"/>
    <w:rsid w:val="00E42337"/>
    <w:rsid w:val="00E47B8E"/>
    <w:rsid w:val="00E55E4E"/>
    <w:rsid w:val="00E66E74"/>
    <w:rsid w:val="00E74C4E"/>
    <w:rsid w:val="00E758F0"/>
    <w:rsid w:val="00E76CA9"/>
    <w:rsid w:val="00E80445"/>
    <w:rsid w:val="00E820A3"/>
    <w:rsid w:val="00E83222"/>
    <w:rsid w:val="00E90311"/>
    <w:rsid w:val="00E9181D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09A7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508F"/>
    <w:rsid w:val="00F20FB9"/>
    <w:rsid w:val="00F30384"/>
    <w:rsid w:val="00F33B73"/>
    <w:rsid w:val="00F33CD8"/>
    <w:rsid w:val="00F3658D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D6421"/>
    <w:rsid w:val="00FD68AA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2EC07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47179-C34D-4E51-9128-481239A4CB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4 August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MCCAY, Meryl</cp:lastModifiedBy>
  <cp:revision>3</cp:revision>
  <cp:lastPrinted>2021-02-24T03:46:00Z</cp:lastPrinted>
  <dcterms:created xsi:type="dcterms:W3CDTF">2021-08-05T05:22:00Z</dcterms:created>
  <dcterms:modified xsi:type="dcterms:W3CDTF">2021-08-05T05:45:00Z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