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3471" w14:textId="512E26BE" w:rsidR="00B211B6" w:rsidRPr="002F5E02" w:rsidRDefault="00B211B6" w:rsidP="00567A9D">
      <w:pPr>
        <w:pStyle w:val="Subtitle"/>
      </w:pPr>
      <w:r w:rsidRPr="002F5E02">
        <w:t xml:space="preserve">New Zealand – Situation </w:t>
      </w:r>
      <w:r w:rsidR="00AA6786">
        <w:t>U</w:t>
      </w:r>
      <w:r w:rsidRPr="002F5E02">
        <w:t xml:space="preserve">pdate </w:t>
      </w:r>
      <w:r w:rsidR="004009C1">
        <w:br/>
      </w:r>
      <w:r w:rsidR="000F0CC4">
        <w:rPr>
          <w:color w:val="FF0000"/>
        </w:rPr>
        <w:t>25</w:t>
      </w:r>
      <w:r w:rsidR="00AA6786">
        <w:rPr>
          <w:color w:val="FF0000"/>
        </w:rPr>
        <w:t xml:space="preserve"> August</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14:paraId="14EAA972" w14:textId="77777777" w:rsidR="003F5DCC" w:rsidRPr="00B968C7" w:rsidRDefault="003F5DCC" w:rsidP="00590DF1">
      <w:pPr>
        <w:spacing w:before="1200" w:after="480"/>
        <w:rPr>
          <w:rFonts w:cs="Arial"/>
          <w:color w:val="FF0000"/>
        </w:rPr>
      </w:pPr>
    </w:p>
    <w:p w14:paraId="09733E74" w14:textId="77777777"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808E5" w:rsidRDefault="009E22D0" w:rsidP="006A5D07">
      <w:pPr>
        <w:pStyle w:val="Heading1"/>
        <w:spacing w:before="240" w:after="0" w:line="264" w:lineRule="auto"/>
        <w:contextualSpacing w:val="0"/>
        <w:rPr>
          <w:color w:val="auto"/>
        </w:rPr>
      </w:pPr>
      <w:r w:rsidRPr="00C808E5">
        <w:rPr>
          <w:color w:val="auto"/>
        </w:rPr>
        <w:t>Current Assessment Summary</w:t>
      </w:r>
    </w:p>
    <w:p w14:paraId="66339665" w14:textId="77777777" w:rsidR="009831DE" w:rsidRPr="009831DE" w:rsidRDefault="009831DE" w:rsidP="009831DE">
      <w:pPr>
        <w:pStyle w:val="BodyText"/>
        <w:numPr>
          <w:ilvl w:val="0"/>
          <w:numId w:val="7"/>
        </w:numPr>
        <w:spacing w:after="0"/>
        <w:rPr>
          <w:rFonts w:eastAsia="Calibri" w:cs="Arial"/>
          <w:color w:val="auto"/>
          <w:sz w:val="22"/>
          <w:szCs w:val="22"/>
        </w:rPr>
      </w:pPr>
      <w:r w:rsidRPr="009831DE">
        <w:rPr>
          <w:rFonts w:eastAsia="Calibri" w:cs="Arial"/>
          <w:color w:val="auto"/>
          <w:sz w:val="22"/>
          <w:szCs w:val="22"/>
        </w:rPr>
        <w:lastRenderedPageBreak/>
        <w:t xml:space="preserve">New Zealand’s officially recorded total of locally acquired cases is 210, at the time of this report. </w:t>
      </w:r>
    </w:p>
    <w:p w14:paraId="641D7FB3" w14:textId="0859BB19" w:rsidR="009831DE" w:rsidRPr="009831DE" w:rsidRDefault="009831DE" w:rsidP="009831DE">
      <w:pPr>
        <w:pStyle w:val="BodyText"/>
        <w:numPr>
          <w:ilvl w:val="0"/>
          <w:numId w:val="7"/>
        </w:numPr>
        <w:spacing w:after="0"/>
        <w:rPr>
          <w:rFonts w:eastAsia="Calibri" w:cs="Arial"/>
          <w:color w:val="FF0000"/>
          <w:sz w:val="22"/>
          <w:szCs w:val="22"/>
        </w:rPr>
      </w:pPr>
      <w:r w:rsidRPr="009831DE">
        <w:rPr>
          <w:rFonts w:eastAsia="Calibri" w:cs="Arial"/>
          <w:color w:val="FF0000"/>
          <w:sz w:val="22"/>
          <w:szCs w:val="22"/>
        </w:rPr>
        <w:t xml:space="preserve">New Zealand moved to Alert Level 4 at 2359 hrs NZT, Tuesday 17 August 2021. </w:t>
      </w:r>
      <w:r w:rsidR="00295D55">
        <w:rPr>
          <w:rFonts w:eastAsia="Calibri" w:cs="Arial"/>
          <w:color w:val="FF0000"/>
          <w:sz w:val="22"/>
          <w:szCs w:val="22"/>
        </w:rPr>
        <w:t>New Zealand announced that the</w:t>
      </w:r>
      <w:r w:rsidRPr="009831DE">
        <w:rPr>
          <w:rFonts w:eastAsia="Calibri" w:cs="Arial"/>
          <w:color w:val="FF0000"/>
          <w:sz w:val="22"/>
          <w:szCs w:val="22"/>
        </w:rPr>
        <w:t xml:space="preserve"> Auckland region will stay in Level 4 until 11:59pm on Tuesday 3</w:t>
      </w:r>
      <w:r w:rsidR="00D0755F">
        <w:rPr>
          <w:rFonts w:eastAsia="Calibri" w:cs="Arial"/>
          <w:color w:val="FF0000"/>
          <w:sz w:val="22"/>
          <w:szCs w:val="22"/>
        </w:rPr>
        <w:t>1 </w:t>
      </w:r>
      <w:r w:rsidRPr="009831DE">
        <w:rPr>
          <w:rFonts w:eastAsia="Calibri" w:cs="Arial"/>
          <w:color w:val="FF0000"/>
          <w:sz w:val="22"/>
          <w:szCs w:val="22"/>
        </w:rPr>
        <w:t>August</w:t>
      </w:r>
      <w:r w:rsidR="00D0755F">
        <w:rPr>
          <w:rFonts w:eastAsia="Calibri" w:cs="Arial"/>
          <w:color w:val="FF0000"/>
          <w:sz w:val="22"/>
          <w:szCs w:val="22"/>
        </w:rPr>
        <w:t> </w:t>
      </w:r>
      <w:r w:rsidRPr="009831DE">
        <w:rPr>
          <w:rFonts w:eastAsia="Calibri" w:cs="Arial"/>
          <w:color w:val="FF0000"/>
          <w:sz w:val="22"/>
          <w:szCs w:val="22"/>
        </w:rPr>
        <w:t>2021</w:t>
      </w:r>
      <w:r w:rsidR="00295D55">
        <w:rPr>
          <w:rFonts w:eastAsia="Calibri" w:cs="Arial"/>
          <w:color w:val="FF0000"/>
          <w:sz w:val="22"/>
          <w:szCs w:val="22"/>
        </w:rPr>
        <w:t xml:space="preserve"> and the </w:t>
      </w:r>
      <w:r w:rsidRPr="009831DE">
        <w:rPr>
          <w:rFonts w:eastAsia="Calibri" w:cs="Arial"/>
          <w:color w:val="FF0000"/>
          <w:sz w:val="22"/>
          <w:szCs w:val="22"/>
        </w:rPr>
        <w:t xml:space="preserve">rest of New Zealand </w:t>
      </w:r>
      <w:r w:rsidR="00295D55">
        <w:rPr>
          <w:rFonts w:eastAsia="Calibri" w:cs="Arial"/>
          <w:color w:val="FF0000"/>
          <w:sz w:val="22"/>
          <w:szCs w:val="22"/>
        </w:rPr>
        <w:t>will remain a</w:t>
      </w:r>
      <w:r w:rsidRPr="009831DE">
        <w:rPr>
          <w:rFonts w:eastAsia="Calibri" w:cs="Arial"/>
          <w:color w:val="FF0000"/>
          <w:sz w:val="22"/>
          <w:szCs w:val="22"/>
        </w:rPr>
        <w:t>t Alert Level 4 until 11:59pm on Friday 27 August 2021.</w:t>
      </w:r>
    </w:p>
    <w:p w14:paraId="562BA043" w14:textId="7077F35D" w:rsidR="009831DE" w:rsidRPr="00AD601B" w:rsidRDefault="009831DE" w:rsidP="00AD601B">
      <w:pPr>
        <w:pStyle w:val="BodyText"/>
        <w:numPr>
          <w:ilvl w:val="0"/>
          <w:numId w:val="7"/>
        </w:numPr>
        <w:spacing w:after="0"/>
        <w:ind w:left="357" w:hanging="357"/>
        <w:rPr>
          <w:rFonts w:eastAsia="Calibri" w:cs="Arial"/>
          <w:color w:val="auto"/>
          <w:sz w:val="22"/>
          <w:szCs w:val="22"/>
        </w:rPr>
      </w:pPr>
      <w:r w:rsidRPr="009831DE">
        <w:rPr>
          <w:rFonts w:eastAsia="Calibri" w:cs="Arial"/>
          <w:color w:val="auto"/>
          <w:sz w:val="22"/>
          <w:szCs w:val="22"/>
        </w:rPr>
        <w:t>On 17 August 2021, New Zealand reported a case of COVID-19 in the community. Case A is an unvaccinated 58-year-old male from north Auckland who was tested on 16 August 2021 after presenting to his GP on 14 August 2021 with flu-like symptoms. Case A is considered to have been infectious from Thursday 12 August 2021. Whole genome sequencing confirmed Case A has the Delta variant</w:t>
      </w:r>
      <w:r w:rsidRPr="00AD601B">
        <w:rPr>
          <w:rFonts w:eastAsia="Calibri" w:cs="Arial"/>
          <w:color w:val="auto"/>
          <w:sz w:val="22"/>
          <w:szCs w:val="22"/>
        </w:rPr>
        <w:t xml:space="preserve">. </w:t>
      </w:r>
    </w:p>
    <w:p w14:paraId="39055C48" w14:textId="77777777" w:rsidR="00AD601B" w:rsidRDefault="002334A3" w:rsidP="002334A3">
      <w:pPr>
        <w:pStyle w:val="BodyText"/>
        <w:numPr>
          <w:ilvl w:val="0"/>
          <w:numId w:val="7"/>
        </w:numPr>
        <w:spacing w:after="0"/>
        <w:ind w:left="357" w:hanging="357"/>
        <w:rPr>
          <w:rFonts w:eastAsia="Calibri" w:cs="Arial"/>
          <w:color w:val="FF0000"/>
          <w:sz w:val="22"/>
          <w:szCs w:val="22"/>
        </w:rPr>
      </w:pPr>
      <w:r w:rsidRPr="00CE0B03">
        <w:rPr>
          <w:rFonts w:eastAsia="Calibri" w:cs="Arial"/>
          <w:color w:val="FF0000"/>
          <w:sz w:val="22"/>
          <w:szCs w:val="22"/>
        </w:rPr>
        <w:t xml:space="preserve">Of the 210 </w:t>
      </w:r>
      <w:r w:rsidR="00AD601B">
        <w:rPr>
          <w:rFonts w:eastAsia="Calibri" w:cs="Arial"/>
          <w:color w:val="FF0000"/>
          <w:sz w:val="22"/>
          <w:szCs w:val="22"/>
        </w:rPr>
        <w:t xml:space="preserve">locally acquired </w:t>
      </w:r>
      <w:r w:rsidRPr="00CE0B03">
        <w:rPr>
          <w:rFonts w:eastAsia="Calibri" w:cs="Arial"/>
          <w:color w:val="FF0000"/>
          <w:sz w:val="22"/>
          <w:szCs w:val="22"/>
        </w:rPr>
        <w:t xml:space="preserve">cases reported in the current outbreak, </w:t>
      </w:r>
      <w:r>
        <w:rPr>
          <w:rFonts w:eastAsia="Calibri" w:cs="Arial"/>
          <w:color w:val="FF0000"/>
          <w:sz w:val="22"/>
          <w:szCs w:val="22"/>
        </w:rPr>
        <w:t>at least 59</w:t>
      </w:r>
      <w:r w:rsidRPr="00CE0B03">
        <w:rPr>
          <w:rFonts w:eastAsia="Calibri" w:cs="Arial"/>
          <w:color w:val="FF0000"/>
          <w:sz w:val="22"/>
          <w:szCs w:val="22"/>
        </w:rPr>
        <w:t xml:space="preserve"> cases are </w:t>
      </w:r>
      <w:r>
        <w:rPr>
          <w:rFonts w:eastAsia="Calibri" w:cs="Arial"/>
          <w:color w:val="FF0000"/>
          <w:sz w:val="22"/>
          <w:szCs w:val="22"/>
        </w:rPr>
        <w:t>not yet linked</w:t>
      </w:r>
      <w:r w:rsidRPr="00CE0B03">
        <w:rPr>
          <w:rFonts w:eastAsia="Calibri" w:cs="Arial"/>
          <w:color w:val="FF0000"/>
          <w:sz w:val="22"/>
          <w:szCs w:val="22"/>
        </w:rPr>
        <w:t xml:space="preserve">. </w:t>
      </w:r>
    </w:p>
    <w:p w14:paraId="613B5BD5" w14:textId="53898643" w:rsidR="002334A3" w:rsidRPr="00CE0B03" w:rsidRDefault="00AD601B" w:rsidP="002334A3">
      <w:pPr>
        <w:pStyle w:val="BodyText"/>
        <w:numPr>
          <w:ilvl w:val="0"/>
          <w:numId w:val="7"/>
        </w:numPr>
        <w:spacing w:after="0"/>
        <w:ind w:left="357" w:hanging="357"/>
        <w:rPr>
          <w:rFonts w:eastAsia="Calibri" w:cs="Arial"/>
          <w:color w:val="FF0000"/>
          <w:sz w:val="22"/>
          <w:szCs w:val="22"/>
        </w:rPr>
      </w:pPr>
      <w:r w:rsidRPr="009831DE">
        <w:rPr>
          <w:rFonts w:eastAsia="Calibri" w:cs="Arial"/>
          <w:color w:val="FF0000"/>
          <w:sz w:val="22"/>
          <w:szCs w:val="22"/>
        </w:rPr>
        <w:t>19</w:t>
      </w:r>
      <w:r w:rsidR="00A35E13">
        <w:rPr>
          <w:rFonts w:eastAsia="Calibri" w:cs="Arial"/>
          <w:color w:val="FF0000"/>
          <w:sz w:val="22"/>
          <w:szCs w:val="22"/>
        </w:rPr>
        <w:t>8</w:t>
      </w:r>
      <w:r w:rsidRPr="009831DE">
        <w:rPr>
          <w:rFonts w:eastAsia="Calibri" w:cs="Arial"/>
          <w:color w:val="FF0000"/>
          <w:sz w:val="22"/>
          <w:szCs w:val="22"/>
        </w:rPr>
        <w:t xml:space="preserve"> </w:t>
      </w:r>
      <w:r>
        <w:rPr>
          <w:rFonts w:eastAsia="Calibri" w:cs="Arial"/>
          <w:color w:val="FF0000"/>
          <w:sz w:val="22"/>
          <w:szCs w:val="22"/>
        </w:rPr>
        <w:t xml:space="preserve">of these cases are </w:t>
      </w:r>
      <w:r w:rsidRPr="009831DE">
        <w:rPr>
          <w:rFonts w:eastAsia="Calibri" w:cs="Arial"/>
          <w:color w:val="FF0000"/>
          <w:sz w:val="22"/>
          <w:szCs w:val="22"/>
        </w:rPr>
        <w:t xml:space="preserve">in Auckland and 12 </w:t>
      </w:r>
      <w:r>
        <w:rPr>
          <w:rFonts w:eastAsia="Calibri" w:cs="Arial"/>
          <w:color w:val="FF0000"/>
          <w:sz w:val="22"/>
          <w:szCs w:val="22"/>
        </w:rPr>
        <w:t xml:space="preserve">of these cases are </w:t>
      </w:r>
      <w:r w:rsidRPr="009831DE">
        <w:rPr>
          <w:rFonts w:eastAsia="Calibri" w:cs="Arial"/>
          <w:color w:val="FF0000"/>
          <w:sz w:val="22"/>
          <w:szCs w:val="22"/>
        </w:rPr>
        <w:t>in Wellington</w:t>
      </w:r>
      <w:r>
        <w:rPr>
          <w:rFonts w:eastAsia="Calibri" w:cs="Arial"/>
          <w:color w:val="FF0000"/>
          <w:sz w:val="22"/>
          <w:szCs w:val="22"/>
        </w:rPr>
        <w:t>.</w:t>
      </w:r>
    </w:p>
    <w:p w14:paraId="15412E86" w14:textId="77777777" w:rsidR="009831DE" w:rsidRPr="009831DE" w:rsidRDefault="009831DE" w:rsidP="002334A3">
      <w:pPr>
        <w:pStyle w:val="BodyText"/>
        <w:numPr>
          <w:ilvl w:val="0"/>
          <w:numId w:val="7"/>
        </w:numPr>
        <w:spacing w:after="0"/>
        <w:ind w:left="357" w:hanging="357"/>
        <w:rPr>
          <w:rFonts w:eastAsia="Calibri" w:cs="Arial"/>
          <w:color w:val="FF0000"/>
          <w:sz w:val="22"/>
          <w:szCs w:val="22"/>
        </w:rPr>
      </w:pPr>
      <w:r w:rsidRPr="009831DE">
        <w:rPr>
          <w:rFonts w:eastAsia="Calibri" w:cs="Arial"/>
          <w:color w:val="FF0000"/>
          <w:sz w:val="22"/>
          <w:szCs w:val="22"/>
        </w:rPr>
        <w:t>There are currently 12 hospitalisations.</w:t>
      </w:r>
    </w:p>
    <w:p w14:paraId="00A28E7E" w14:textId="6BB4BA93" w:rsidR="009831DE" w:rsidRPr="009831DE" w:rsidRDefault="009831DE" w:rsidP="009831DE">
      <w:pPr>
        <w:pStyle w:val="BodyText"/>
        <w:numPr>
          <w:ilvl w:val="0"/>
          <w:numId w:val="7"/>
        </w:numPr>
        <w:spacing w:after="0"/>
        <w:rPr>
          <w:rFonts w:eastAsia="Calibri" w:cs="Arial"/>
          <w:color w:val="FF0000"/>
          <w:sz w:val="22"/>
          <w:szCs w:val="22"/>
        </w:rPr>
      </w:pPr>
      <w:r w:rsidRPr="009831DE">
        <w:rPr>
          <w:rFonts w:eastAsia="Calibri" w:cs="Arial"/>
          <w:color w:val="FF0000"/>
          <w:sz w:val="22"/>
          <w:szCs w:val="22"/>
        </w:rPr>
        <w:lastRenderedPageBreak/>
        <w:t>At 1400 hrs NZT 25 August 2021</w:t>
      </w:r>
      <w:r w:rsidR="00AD601B">
        <w:rPr>
          <w:rFonts w:eastAsia="Calibri" w:cs="Arial"/>
          <w:color w:val="FF0000"/>
          <w:sz w:val="22"/>
          <w:szCs w:val="22"/>
        </w:rPr>
        <w:t>,</w:t>
      </w:r>
      <w:r w:rsidRPr="009831DE">
        <w:rPr>
          <w:rFonts w:eastAsia="Calibri" w:cs="Arial"/>
          <w:color w:val="FF0000"/>
          <w:sz w:val="22"/>
          <w:szCs w:val="22"/>
        </w:rPr>
        <w:t xml:space="preserve"> there are 485 locations of interest tabled that have been reported in Coromandel, Auckland, </w:t>
      </w:r>
      <w:r w:rsidR="005970CB" w:rsidRPr="009831DE">
        <w:rPr>
          <w:rFonts w:eastAsia="Calibri" w:cs="Arial"/>
          <w:color w:val="FF0000"/>
          <w:sz w:val="22"/>
          <w:szCs w:val="22"/>
        </w:rPr>
        <w:t>Wellington,</w:t>
      </w:r>
      <w:r w:rsidR="005970CB">
        <w:rPr>
          <w:rFonts w:eastAsia="Calibri" w:cs="Arial"/>
          <w:color w:val="FF0000"/>
          <w:sz w:val="22"/>
          <w:szCs w:val="22"/>
        </w:rPr>
        <w:t xml:space="preserve"> and </w:t>
      </w:r>
      <w:r w:rsidR="005970CB" w:rsidRPr="005970CB">
        <w:rPr>
          <w:rFonts w:eastAsia="Calibri" w:cs="Arial"/>
          <w:color w:val="FF0000"/>
          <w:sz w:val="22"/>
          <w:szCs w:val="22"/>
        </w:rPr>
        <w:t>central north island</w:t>
      </w:r>
      <w:r w:rsidRPr="009831DE">
        <w:rPr>
          <w:rFonts w:eastAsia="Calibri" w:cs="Arial"/>
          <w:color w:val="FF0000"/>
          <w:sz w:val="22"/>
          <w:szCs w:val="22"/>
        </w:rPr>
        <w:t xml:space="preserve">. </w:t>
      </w:r>
    </w:p>
    <w:p w14:paraId="1C5B4E73" w14:textId="2AEBF8FB" w:rsidR="009831DE" w:rsidRPr="009831DE" w:rsidRDefault="009831DE" w:rsidP="009831DE">
      <w:pPr>
        <w:pStyle w:val="BodyText"/>
        <w:numPr>
          <w:ilvl w:val="0"/>
          <w:numId w:val="7"/>
        </w:numPr>
        <w:spacing w:after="0"/>
        <w:rPr>
          <w:rFonts w:eastAsia="Calibri" w:cs="Arial"/>
          <w:color w:val="FF0000"/>
          <w:sz w:val="22"/>
          <w:szCs w:val="22"/>
        </w:rPr>
      </w:pPr>
      <w:r w:rsidRPr="009831DE">
        <w:rPr>
          <w:rFonts w:eastAsia="Calibri" w:cs="Arial"/>
          <w:color w:val="FF0000"/>
          <w:sz w:val="22"/>
          <w:szCs w:val="22"/>
        </w:rPr>
        <w:t>As at 0900 hrs NZT 25 August 2021, 20,383 contacts have been identified. 62</w:t>
      </w:r>
      <w:r w:rsidR="002334A3">
        <w:rPr>
          <w:rFonts w:eastAsia="Calibri" w:cs="Arial"/>
          <w:color w:val="FF0000"/>
          <w:sz w:val="22"/>
          <w:szCs w:val="22"/>
        </w:rPr>
        <w:t xml:space="preserve"> per cent </w:t>
      </w:r>
      <w:r w:rsidRPr="009831DE">
        <w:rPr>
          <w:rFonts w:eastAsia="Calibri" w:cs="Arial"/>
          <w:color w:val="FF0000"/>
          <w:sz w:val="22"/>
          <w:szCs w:val="22"/>
        </w:rPr>
        <w:t xml:space="preserve">of these contacts </w:t>
      </w:r>
      <w:r w:rsidR="002334A3">
        <w:rPr>
          <w:rFonts w:eastAsia="Calibri" w:cs="Arial"/>
          <w:color w:val="FF0000"/>
          <w:sz w:val="22"/>
          <w:szCs w:val="22"/>
        </w:rPr>
        <w:t xml:space="preserve">have been tested. </w:t>
      </w:r>
      <w:r w:rsidRPr="009831DE">
        <w:rPr>
          <w:rFonts w:eastAsia="Calibri" w:cs="Arial"/>
          <w:color w:val="FF0000"/>
          <w:sz w:val="22"/>
          <w:szCs w:val="22"/>
        </w:rPr>
        <w:t xml:space="preserve"> </w:t>
      </w:r>
    </w:p>
    <w:p w14:paraId="5DAFD918" w14:textId="2A729451" w:rsidR="000159F0" w:rsidRPr="009831DE" w:rsidRDefault="002334A3" w:rsidP="009B78D4">
      <w:pPr>
        <w:pStyle w:val="BodyText"/>
        <w:numPr>
          <w:ilvl w:val="0"/>
          <w:numId w:val="7"/>
        </w:numPr>
        <w:spacing w:after="0"/>
        <w:rPr>
          <w:rFonts w:eastAsia="Calibri" w:cs="Arial"/>
          <w:color w:val="FF0000"/>
          <w:sz w:val="22"/>
          <w:szCs w:val="22"/>
        </w:rPr>
      </w:pPr>
      <w:r>
        <w:rPr>
          <w:rFonts w:eastAsia="Calibri" w:cs="Arial"/>
          <w:color w:val="FF0000"/>
          <w:sz w:val="22"/>
          <w:szCs w:val="22"/>
        </w:rPr>
        <w:t xml:space="preserve">There have been no positive wastewater test results since 23 August 2021. </w:t>
      </w:r>
      <w:r w:rsidR="009831DE" w:rsidRPr="009831DE">
        <w:rPr>
          <w:rFonts w:eastAsia="Calibri" w:cs="Arial"/>
          <w:color w:val="FF0000"/>
          <w:sz w:val="22"/>
          <w:szCs w:val="22"/>
        </w:rPr>
        <w:t xml:space="preserve">Positive wastewater testing results were returned from eight sites across Auckland from samples collected on 22 and 23 August 2021. Positive wastewater results were also returned from samples collected at Moa Point in Wellington on 21, 22 and 23 August 2021 and from a sample collected from Warkworth, north of Auckland on 22 August 2021. There were known cases located in each catchment returning a positive wastewater test.  </w:t>
      </w:r>
    </w:p>
    <w:p w14:paraId="7DF4F0FA" w14:textId="38CDB350" w:rsidR="00F8166F" w:rsidRDefault="00F8166F" w:rsidP="000159F0">
      <w:pPr>
        <w:pStyle w:val="BodyText"/>
        <w:spacing w:after="0"/>
        <w:ind w:left="360"/>
        <w:rPr>
          <w:rFonts w:eastAsia="Calibri" w:cs="Arial"/>
          <w:color w:val="FF0000"/>
          <w:sz w:val="22"/>
          <w:szCs w:val="22"/>
        </w:rPr>
      </w:pPr>
    </w:p>
    <w:p w14:paraId="4664CDB8" w14:textId="2434D487" w:rsidR="00F8166F" w:rsidRDefault="00F8166F" w:rsidP="000159F0">
      <w:pPr>
        <w:pStyle w:val="BodyText"/>
        <w:spacing w:after="0"/>
        <w:ind w:left="360"/>
        <w:rPr>
          <w:rFonts w:eastAsia="Calibri" w:cs="Arial"/>
          <w:color w:val="FF0000"/>
          <w:sz w:val="22"/>
          <w:szCs w:val="22"/>
        </w:rPr>
      </w:pPr>
    </w:p>
    <w:p w14:paraId="19C9F9DD" w14:textId="74835D50" w:rsidR="00F8166F" w:rsidRDefault="00F8166F" w:rsidP="000159F0">
      <w:pPr>
        <w:pStyle w:val="BodyText"/>
        <w:spacing w:after="0"/>
        <w:ind w:left="360"/>
        <w:rPr>
          <w:rFonts w:eastAsia="Calibri" w:cs="Arial"/>
          <w:color w:val="FF0000"/>
          <w:sz w:val="22"/>
          <w:szCs w:val="22"/>
        </w:rPr>
      </w:pPr>
    </w:p>
    <w:p w14:paraId="6E9FB195" w14:textId="77777777" w:rsidR="00F8166F" w:rsidRPr="000159F0" w:rsidRDefault="00F8166F" w:rsidP="000159F0">
      <w:pPr>
        <w:pStyle w:val="BodyText"/>
        <w:spacing w:after="0"/>
        <w:ind w:left="360"/>
        <w:rPr>
          <w:rFonts w:eastAsia="Calibri" w:cs="Arial"/>
          <w:color w:val="FF0000"/>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0159F0" w14:paraId="1BBADB80" w14:textId="77777777" w:rsidTr="0070502C">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p w14:paraId="64DEB40F" w14:textId="26E65B4C" w:rsidR="00046248" w:rsidRPr="000159F0" w:rsidRDefault="00AA6786" w:rsidP="00046248">
            <w:pPr>
              <w:rPr>
                <w:rFonts w:eastAsia="Times New Roman" w:cs="Arial"/>
                <w:b/>
                <w:sz w:val="22"/>
                <w:szCs w:val="22"/>
                <w:lang w:eastAsia="en-AU"/>
              </w:rPr>
            </w:pPr>
            <w:r w:rsidRPr="000159F0">
              <w:rPr>
                <w:rFonts w:eastAsia="Times New Roman" w:cs="Arial"/>
                <w:b/>
                <w:sz w:val="22"/>
                <w:szCs w:val="22"/>
                <w:lang w:eastAsia="en-AU"/>
              </w:rPr>
              <w:lastRenderedPageBreak/>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0159F0" w:rsidRDefault="00046248" w:rsidP="00AA6786">
            <w:pPr>
              <w:jc w:val="right"/>
              <w:rPr>
                <w:rFonts w:eastAsia="Times New Roman" w:cs="Arial"/>
                <w:b/>
                <w:sz w:val="20"/>
                <w:szCs w:val="20"/>
                <w:lang w:eastAsia="en-AU"/>
              </w:rPr>
            </w:pPr>
            <w:r w:rsidRPr="000159F0">
              <w:rPr>
                <w:rFonts w:eastAsia="Times New Roman" w:cs="Arial"/>
                <w:b/>
                <w:sz w:val="20"/>
                <w:szCs w:val="20"/>
                <w:lang w:eastAsia="en-AU"/>
              </w:rPr>
              <w:t>Total</w:t>
            </w:r>
          </w:p>
        </w:tc>
      </w:tr>
      <w:tr w:rsidR="00AA6786" w:rsidRPr="000159F0" w14:paraId="2211065B" w14:textId="77777777" w:rsidTr="0070502C">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600C1D66" w:rsidR="00AA6786" w:rsidRPr="000159F0" w:rsidRDefault="004B6381" w:rsidP="00AA6786">
            <w:pPr>
              <w:spacing w:before="20" w:after="20" w:line="247" w:lineRule="auto"/>
              <w:jc w:val="right"/>
              <w:rPr>
                <w:rFonts w:eastAsia="Times New Roman" w:cs="Arial"/>
                <w:color w:val="FF0000"/>
                <w:sz w:val="20"/>
                <w:szCs w:val="20"/>
                <w:lang w:eastAsia="en-AU"/>
              </w:rPr>
            </w:pPr>
            <w:r w:rsidRPr="000159F0">
              <w:rPr>
                <w:rFonts w:eastAsia="Times New Roman" w:cs="Arial"/>
                <w:color w:val="FF0000"/>
                <w:sz w:val="20"/>
                <w:szCs w:val="20"/>
                <w:lang w:eastAsia="en-AU"/>
              </w:rPr>
              <w:t>2,5</w:t>
            </w:r>
            <w:r w:rsidR="00D0019D">
              <w:rPr>
                <w:rFonts w:eastAsia="Times New Roman" w:cs="Arial"/>
                <w:color w:val="FF0000"/>
                <w:sz w:val="20"/>
                <w:szCs w:val="20"/>
                <w:lang w:eastAsia="en-AU"/>
              </w:rPr>
              <w:t>80</w:t>
            </w:r>
          </w:p>
        </w:tc>
      </w:tr>
      <w:tr w:rsidR="00AA6786" w:rsidRPr="000159F0" w14:paraId="3582A456" w14:textId="77777777" w:rsidTr="0070502C">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7AC1C183" w:rsidR="00AA6786" w:rsidRPr="000159F0" w:rsidRDefault="00EA4074" w:rsidP="00AA6786">
            <w:pPr>
              <w:spacing w:before="20" w:after="20" w:line="247" w:lineRule="auto"/>
              <w:jc w:val="right"/>
              <w:rPr>
                <w:rFonts w:eastAsia="Times New Roman" w:cs="Arial"/>
                <w:color w:val="FF0000"/>
                <w:sz w:val="20"/>
                <w:szCs w:val="20"/>
                <w:lang w:eastAsia="en-AU"/>
              </w:rPr>
            </w:pPr>
            <w:r>
              <w:rPr>
                <w:rFonts w:eastAsia="Times New Roman" w:cs="Arial"/>
                <w:color w:val="FF0000"/>
                <w:sz w:val="20"/>
                <w:szCs w:val="20"/>
                <w:lang w:eastAsia="en-AU"/>
              </w:rPr>
              <w:t>21</w:t>
            </w:r>
          </w:p>
        </w:tc>
      </w:tr>
      <w:tr w:rsidR="00AA6786" w:rsidRPr="000159F0" w14:paraId="4D5A3D43" w14:textId="77777777" w:rsidTr="0070502C">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5D4313E8" w:rsidR="00AA6786" w:rsidRPr="000159F0" w:rsidRDefault="00EA4074" w:rsidP="00AA6786">
            <w:pPr>
              <w:spacing w:before="20" w:after="20" w:line="247" w:lineRule="auto"/>
              <w:jc w:val="right"/>
              <w:rPr>
                <w:rFonts w:eastAsia="Times New Roman" w:cs="Arial"/>
                <w:color w:val="FF0000"/>
                <w:sz w:val="20"/>
                <w:szCs w:val="20"/>
                <w:lang w:eastAsia="en-AU"/>
              </w:rPr>
            </w:pPr>
            <w:r>
              <w:rPr>
                <w:rFonts w:eastAsia="Times New Roman" w:cs="Arial"/>
                <w:color w:val="FF0000"/>
                <w:sz w:val="20"/>
                <w:szCs w:val="20"/>
                <w:lang w:eastAsia="en-AU"/>
              </w:rPr>
              <w:t>204</w:t>
            </w:r>
          </w:p>
        </w:tc>
      </w:tr>
      <w:tr w:rsidR="00AA6786" w:rsidRPr="000159F0" w14:paraId="64A49BE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ED21C9"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Cases removed or reclassified</w:t>
            </w:r>
          </w:p>
        </w:tc>
        <w:tc>
          <w:tcPr>
            <w:tcW w:w="1701" w:type="dxa"/>
            <w:shd w:val="clear" w:color="auto" w:fill="auto"/>
            <w:tcMar>
              <w:top w:w="45" w:type="dxa"/>
              <w:left w:w="75" w:type="dxa"/>
              <w:bottom w:w="45" w:type="dxa"/>
              <w:right w:w="75" w:type="dxa"/>
            </w:tcMar>
            <w:vAlign w:val="center"/>
          </w:tcPr>
          <w:p w14:paraId="3935EBD2" w14:textId="0F5DCAC9" w:rsidR="00AA6786" w:rsidRPr="000159F0" w:rsidRDefault="00EA4074" w:rsidP="00665CE4">
            <w:pPr>
              <w:spacing w:before="20" w:after="20" w:line="247" w:lineRule="auto"/>
              <w:ind w:left="660"/>
              <w:jc w:val="right"/>
              <w:rPr>
                <w:rFonts w:eastAsia="Times New Roman"/>
                <w:color w:val="FF0000"/>
                <w:sz w:val="20"/>
                <w:szCs w:val="20"/>
                <w:lang w:eastAsia="en-AU"/>
              </w:rPr>
            </w:pPr>
            <w:r>
              <w:rPr>
                <w:rFonts w:eastAsia="Times New Roman"/>
                <w:color w:val="FF0000"/>
                <w:sz w:val="20"/>
                <w:szCs w:val="20"/>
                <w:lang w:eastAsia="en-AU"/>
              </w:rPr>
              <w:t>-2</w:t>
            </w:r>
          </w:p>
        </w:tc>
      </w:tr>
      <w:tr w:rsidR="00AA6786" w:rsidRPr="000159F0" w14:paraId="5C9CCFD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28516A90" w:rsidR="00AA6786" w:rsidRPr="000159F0" w:rsidRDefault="00EA4074" w:rsidP="00AA6786">
            <w:pPr>
              <w:spacing w:before="20" w:after="20" w:line="247" w:lineRule="auto"/>
              <w:jc w:val="right"/>
              <w:rPr>
                <w:rFonts w:eastAsia="Times New Roman" w:cs="Arial"/>
                <w:color w:val="FF0000"/>
                <w:sz w:val="20"/>
                <w:szCs w:val="20"/>
                <w:lang w:eastAsia="en-AU"/>
              </w:rPr>
            </w:pPr>
            <w:r>
              <w:rPr>
                <w:rFonts w:eastAsia="Times New Roman" w:cs="Arial"/>
                <w:color w:val="FF0000"/>
                <w:sz w:val="20"/>
                <w:szCs w:val="20"/>
                <w:lang w:eastAsia="en-AU"/>
              </w:rPr>
              <w:t>2,803</w:t>
            </w:r>
          </w:p>
        </w:tc>
      </w:tr>
    </w:tbl>
    <w:p w14:paraId="06DF1C38" w14:textId="2237620F" w:rsidR="00046248" w:rsidRPr="000159F0" w:rsidRDefault="00046248" w:rsidP="00441C90">
      <w:pPr>
        <w:pStyle w:val="List"/>
        <w:spacing w:before="240" w:after="120" w:line="240" w:lineRule="auto"/>
        <w:ind w:left="284" w:firstLine="0"/>
        <w:contextualSpacing w:val="0"/>
        <w:rPr>
          <w:rFonts w:cs="Arial"/>
          <w:b/>
          <w:sz w:val="22"/>
          <w:szCs w:val="22"/>
        </w:rPr>
      </w:pPr>
      <w:r w:rsidRPr="000159F0">
        <w:rPr>
          <w:rFonts w:cs="Arial"/>
          <w:b/>
          <w:sz w:val="22"/>
          <w:szCs w:val="22"/>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0159F0"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77777777" w:rsidR="00046248" w:rsidRPr="000159F0" w:rsidRDefault="00046248" w:rsidP="00441C90">
            <w:pPr>
              <w:spacing w:before="20" w:after="20"/>
              <w:rPr>
                <w:rFonts w:cs="Arial"/>
                <w:b/>
                <w:sz w:val="20"/>
                <w:szCs w:val="20"/>
                <w:lang w:val="en"/>
              </w:rPr>
            </w:pPr>
          </w:p>
        </w:tc>
        <w:tc>
          <w:tcPr>
            <w:tcW w:w="1701" w:type="dxa"/>
            <w:shd w:val="clear" w:color="auto" w:fill="DBE5F1" w:themeFill="accent1" w:themeFillTint="33"/>
            <w:vAlign w:val="center"/>
          </w:tcPr>
          <w:p w14:paraId="1207B8C3" w14:textId="77777777" w:rsidR="00046248" w:rsidRPr="000159F0" w:rsidRDefault="00046248" w:rsidP="00441C90">
            <w:pPr>
              <w:spacing w:before="20" w:after="20"/>
              <w:jc w:val="center"/>
              <w:rPr>
                <w:rFonts w:cs="Arial"/>
                <w:b/>
                <w:sz w:val="20"/>
                <w:szCs w:val="20"/>
                <w:lang w:val="en"/>
              </w:rPr>
            </w:pPr>
          </w:p>
        </w:tc>
      </w:tr>
      <w:tr w:rsidR="00046248" w:rsidRPr="000159F0" w14:paraId="6526DFA2" w14:textId="77777777" w:rsidTr="0070502C">
        <w:trPr>
          <w:trHeight w:val="340"/>
        </w:trPr>
        <w:tc>
          <w:tcPr>
            <w:tcW w:w="7372" w:type="dxa"/>
            <w:tcBorders>
              <w:top w:val="single" w:sz="4" w:space="0" w:color="auto"/>
            </w:tcBorders>
            <w:vAlign w:val="center"/>
          </w:tcPr>
          <w:p w14:paraId="53D8F964" w14:textId="77777777" w:rsidR="00046248" w:rsidRPr="000159F0" w:rsidRDefault="00046248" w:rsidP="00441C90">
            <w:pPr>
              <w:spacing w:before="20" w:after="20"/>
              <w:rPr>
                <w:rFonts w:cs="Arial"/>
                <w:sz w:val="20"/>
                <w:szCs w:val="20"/>
                <w:lang w:val="en"/>
              </w:rPr>
            </w:pPr>
            <w:r w:rsidRPr="000159F0">
              <w:rPr>
                <w:rFonts w:cs="Arial"/>
                <w:sz w:val="20"/>
                <w:szCs w:val="20"/>
                <w:lang w:val="en"/>
              </w:rPr>
              <w:t>Cumulative deaths</w:t>
            </w:r>
          </w:p>
        </w:tc>
        <w:tc>
          <w:tcPr>
            <w:tcW w:w="1701" w:type="dxa"/>
            <w:vAlign w:val="center"/>
          </w:tcPr>
          <w:p w14:paraId="45E45F3F" w14:textId="77777777" w:rsidR="00046248" w:rsidRPr="000159F0" w:rsidRDefault="00441C90" w:rsidP="00AA6786">
            <w:pPr>
              <w:spacing w:before="20" w:after="20"/>
              <w:jc w:val="right"/>
              <w:rPr>
                <w:rFonts w:cs="Arial"/>
                <w:color w:val="FF0000"/>
                <w:sz w:val="20"/>
                <w:szCs w:val="20"/>
                <w:lang w:val="en"/>
              </w:rPr>
            </w:pPr>
            <w:r w:rsidRPr="000159F0">
              <w:rPr>
                <w:rFonts w:cs="Arial"/>
                <w:color w:val="auto"/>
                <w:sz w:val="20"/>
                <w:szCs w:val="20"/>
                <w:lang w:val="en"/>
              </w:rPr>
              <w:t>26</w:t>
            </w:r>
          </w:p>
        </w:tc>
      </w:tr>
      <w:tr w:rsidR="00046248" w:rsidRPr="000159F0" w14:paraId="7D3570B1" w14:textId="77777777" w:rsidTr="0070502C">
        <w:trPr>
          <w:trHeight w:val="340"/>
        </w:trPr>
        <w:tc>
          <w:tcPr>
            <w:tcW w:w="7372" w:type="dxa"/>
            <w:vAlign w:val="center"/>
          </w:tcPr>
          <w:p w14:paraId="1F5E2B56" w14:textId="77777777" w:rsidR="00046248" w:rsidRPr="000159F0" w:rsidRDefault="00046248" w:rsidP="00441C90">
            <w:pPr>
              <w:spacing w:before="20" w:after="20"/>
              <w:rPr>
                <w:rFonts w:cs="Arial"/>
                <w:sz w:val="20"/>
                <w:szCs w:val="20"/>
                <w:lang w:val="en"/>
              </w:rPr>
            </w:pPr>
            <w:r w:rsidRPr="000159F0">
              <w:rPr>
                <w:rFonts w:cs="Arial"/>
                <w:sz w:val="20"/>
                <w:szCs w:val="20"/>
                <w:lang w:val="en"/>
              </w:rPr>
              <w:t>Currently</w:t>
            </w:r>
            <w:r w:rsidRPr="000159F0">
              <w:rPr>
                <w:rFonts w:cs="Arial"/>
                <w:sz w:val="20"/>
                <w:szCs w:val="20"/>
              </w:rPr>
              <w:t xml:space="preserve"> hospitalised</w:t>
            </w:r>
          </w:p>
        </w:tc>
        <w:tc>
          <w:tcPr>
            <w:tcW w:w="1701" w:type="dxa"/>
            <w:vAlign w:val="center"/>
          </w:tcPr>
          <w:p w14:paraId="7AB141C7" w14:textId="28F7D4B4" w:rsidR="00046248" w:rsidRPr="000159F0" w:rsidRDefault="00361AB3" w:rsidP="00AA6786">
            <w:pPr>
              <w:spacing w:before="20" w:after="20"/>
              <w:jc w:val="right"/>
              <w:rPr>
                <w:rFonts w:cs="Arial"/>
                <w:color w:val="FF0000"/>
                <w:sz w:val="20"/>
                <w:szCs w:val="20"/>
                <w:lang w:val="en"/>
              </w:rPr>
            </w:pPr>
            <w:r>
              <w:rPr>
                <w:rFonts w:cs="Arial"/>
                <w:color w:val="FF0000"/>
                <w:sz w:val="20"/>
                <w:szCs w:val="20"/>
                <w:lang w:val="en"/>
              </w:rPr>
              <w:t>12</w:t>
            </w:r>
          </w:p>
        </w:tc>
      </w:tr>
    </w:tbl>
    <w:p w14:paraId="274458C9" w14:textId="77777777" w:rsidR="00C05D0C" w:rsidRPr="000159F0" w:rsidRDefault="00B211B6" w:rsidP="00441C90">
      <w:pPr>
        <w:pStyle w:val="List"/>
        <w:spacing w:before="240" w:after="120" w:line="240" w:lineRule="auto"/>
        <w:ind w:left="284" w:firstLine="0"/>
        <w:contextualSpacing w:val="0"/>
        <w:rPr>
          <w:rFonts w:cs="Arial"/>
          <w:b/>
          <w:sz w:val="22"/>
          <w:szCs w:val="22"/>
        </w:rPr>
      </w:pPr>
      <w:r w:rsidRPr="000159F0">
        <w:rPr>
          <w:rFonts w:cs="Arial"/>
          <w:b/>
          <w:sz w:val="22"/>
          <w:szCs w:val="22"/>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0159F0" w14:paraId="71F03864" w14:textId="77777777" w:rsidTr="000159F0">
        <w:trPr>
          <w:trHeight w:val="284"/>
          <w:tblHeader/>
        </w:trPr>
        <w:tc>
          <w:tcPr>
            <w:tcW w:w="5671" w:type="dxa"/>
            <w:tcBorders>
              <w:bottom w:val="single" w:sz="4" w:space="0" w:color="auto"/>
            </w:tcBorders>
            <w:shd w:val="clear" w:color="auto" w:fill="DBE5F1" w:themeFill="accent1" w:themeFillTint="33"/>
          </w:tcPr>
          <w:p w14:paraId="040EEE17" w14:textId="77777777" w:rsidR="00B211B6" w:rsidRPr="000159F0" w:rsidRDefault="00B211B6" w:rsidP="00441C90">
            <w:pPr>
              <w:spacing w:after="0" w:line="22" w:lineRule="atLeast"/>
              <w:rPr>
                <w:rFonts w:cs="Arial"/>
                <w:b/>
                <w:color w:val="auto"/>
                <w:sz w:val="20"/>
                <w:szCs w:val="20"/>
                <w:lang w:val="en"/>
              </w:rPr>
            </w:pPr>
          </w:p>
        </w:tc>
        <w:tc>
          <w:tcPr>
            <w:tcW w:w="1701" w:type="dxa"/>
            <w:shd w:val="clear" w:color="auto" w:fill="DBE5F1" w:themeFill="accent1" w:themeFillTint="33"/>
            <w:vAlign w:val="center"/>
          </w:tcPr>
          <w:p w14:paraId="4BD09E61" w14:textId="77777777" w:rsidR="00B211B6" w:rsidRPr="000159F0" w:rsidRDefault="00343B8C" w:rsidP="00441C90">
            <w:pPr>
              <w:spacing w:after="0" w:line="22" w:lineRule="atLeast"/>
              <w:jc w:val="center"/>
              <w:rPr>
                <w:rFonts w:cs="Arial"/>
                <w:b/>
                <w:color w:val="auto"/>
                <w:sz w:val="20"/>
                <w:szCs w:val="20"/>
                <w:lang w:val="en"/>
              </w:rPr>
            </w:pPr>
            <w:r w:rsidRPr="000159F0">
              <w:rPr>
                <w:rFonts w:cs="Arial"/>
                <w:b/>
                <w:color w:val="auto"/>
                <w:sz w:val="20"/>
                <w:szCs w:val="20"/>
                <w:lang w:val="en"/>
              </w:rPr>
              <w:t>Notification Date</w:t>
            </w:r>
          </w:p>
        </w:tc>
        <w:tc>
          <w:tcPr>
            <w:tcW w:w="1701" w:type="dxa"/>
            <w:shd w:val="clear" w:color="auto" w:fill="DBE5F1" w:themeFill="accent1" w:themeFillTint="33"/>
            <w:vAlign w:val="center"/>
          </w:tcPr>
          <w:p w14:paraId="1D58C7A8" w14:textId="77777777" w:rsidR="00B211B6" w:rsidRPr="000159F0" w:rsidRDefault="00B211B6" w:rsidP="00441C90">
            <w:pPr>
              <w:spacing w:after="0" w:line="22" w:lineRule="atLeast"/>
              <w:jc w:val="center"/>
              <w:rPr>
                <w:rFonts w:cs="Arial"/>
                <w:b/>
                <w:color w:val="auto"/>
                <w:sz w:val="20"/>
                <w:szCs w:val="20"/>
                <w:lang w:val="en"/>
              </w:rPr>
            </w:pPr>
            <w:r w:rsidRPr="000159F0">
              <w:rPr>
                <w:rFonts w:cs="Arial"/>
                <w:b/>
                <w:color w:val="auto"/>
                <w:sz w:val="20"/>
                <w:szCs w:val="20"/>
                <w:lang w:val="en"/>
              </w:rPr>
              <w:t xml:space="preserve">Number of </w:t>
            </w:r>
            <w:r w:rsidR="00494230" w:rsidRPr="000159F0">
              <w:rPr>
                <w:rFonts w:cs="Arial"/>
                <w:b/>
                <w:color w:val="auto"/>
                <w:sz w:val="20"/>
                <w:szCs w:val="20"/>
                <w:lang w:val="en"/>
              </w:rPr>
              <w:t>d</w:t>
            </w:r>
            <w:r w:rsidRPr="000159F0">
              <w:rPr>
                <w:rFonts w:cs="Arial"/>
                <w:b/>
                <w:color w:val="auto"/>
                <w:sz w:val="20"/>
                <w:szCs w:val="20"/>
                <w:lang w:val="en"/>
              </w:rPr>
              <w:t xml:space="preserve">ays </w:t>
            </w:r>
          </w:p>
        </w:tc>
      </w:tr>
      <w:tr w:rsidR="000F78EE" w:rsidRPr="000159F0" w14:paraId="78C6A913" w14:textId="77777777" w:rsidTr="000159F0">
        <w:trPr>
          <w:trHeight w:val="284"/>
        </w:trPr>
        <w:tc>
          <w:tcPr>
            <w:tcW w:w="5671" w:type="dxa"/>
            <w:tcBorders>
              <w:top w:val="single" w:sz="4" w:space="0" w:color="auto"/>
            </w:tcBorders>
          </w:tcPr>
          <w:p w14:paraId="27B055A8" w14:textId="77777777" w:rsidR="000F78EE" w:rsidRPr="000159F0" w:rsidRDefault="000F78EE" w:rsidP="00F33CD8">
            <w:pPr>
              <w:spacing w:after="0" w:line="22" w:lineRule="atLeast"/>
              <w:rPr>
                <w:rFonts w:cs="Arial"/>
                <w:color w:val="auto"/>
                <w:sz w:val="20"/>
                <w:szCs w:val="20"/>
                <w:lang w:val="en"/>
              </w:rPr>
            </w:pPr>
            <w:r w:rsidRPr="000159F0">
              <w:rPr>
                <w:color w:val="auto"/>
                <w:sz w:val="20"/>
                <w:szCs w:val="20"/>
              </w:rPr>
              <w:t xml:space="preserve">Last locally acquired case </w:t>
            </w:r>
          </w:p>
        </w:tc>
        <w:tc>
          <w:tcPr>
            <w:tcW w:w="1701" w:type="dxa"/>
            <w:vAlign w:val="center"/>
          </w:tcPr>
          <w:p w14:paraId="32D2D54A" w14:textId="03BE052A" w:rsidR="000F78EE" w:rsidRPr="000159F0" w:rsidRDefault="000F0CC4" w:rsidP="00441C90">
            <w:pPr>
              <w:spacing w:after="0" w:line="22" w:lineRule="atLeast"/>
              <w:jc w:val="center"/>
              <w:rPr>
                <w:rFonts w:cs="Arial"/>
                <w:color w:val="FF0000"/>
                <w:sz w:val="20"/>
                <w:szCs w:val="20"/>
                <w:lang w:val="en"/>
              </w:rPr>
            </w:pPr>
            <w:r w:rsidRPr="000F0CC4">
              <w:rPr>
                <w:rFonts w:cs="Arial"/>
                <w:color w:val="FF0000"/>
                <w:sz w:val="20"/>
                <w:szCs w:val="20"/>
                <w:lang w:val="en"/>
              </w:rPr>
              <w:t>25</w:t>
            </w:r>
            <w:r w:rsidR="000F78EE" w:rsidRPr="000F0CC4">
              <w:rPr>
                <w:rFonts w:cs="Arial"/>
                <w:color w:val="FF0000"/>
                <w:sz w:val="20"/>
                <w:szCs w:val="20"/>
                <w:lang w:val="en"/>
              </w:rPr>
              <w:t>/0</w:t>
            </w:r>
            <w:r w:rsidR="00625E2E" w:rsidRPr="000F0CC4">
              <w:rPr>
                <w:rFonts w:cs="Arial"/>
                <w:color w:val="FF0000"/>
                <w:sz w:val="20"/>
                <w:szCs w:val="20"/>
                <w:lang w:val="en"/>
              </w:rPr>
              <w:t>8</w:t>
            </w:r>
            <w:r w:rsidR="000F78EE" w:rsidRPr="000F0CC4">
              <w:rPr>
                <w:rFonts w:cs="Arial"/>
                <w:color w:val="FF0000"/>
                <w:sz w:val="20"/>
                <w:szCs w:val="20"/>
                <w:lang w:val="en"/>
              </w:rPr>
              <w:t>/2021</w:t>
            </w:r>
          </w:p>
        </w:tc>
        <w:tc>
          <w:tcPr>
            <w:tcW w:w="1701" w:type="dxa"/>
            <w:vAlign w:val="center"/>
          </w:tcPr>
          <w:p w14:paraId="5D4D47C1" w14:textId="0DFD4FAC" w:rsidR="000F78EE" w:rsidRPr="000159F0" w:rsidRDefault="00625E2E" w:rsidP="00AA6786">
            <w:pPr>
              <w:spacing w:after="0" w:line="22" w:lineRule="atLeast"/>
              <w:jc w:val="right"/>
              <w:rPr>
                <w:rFonts w:cs="Arial"/>
                <w:color w:val="FF0000"/>
                <w:sz w:val="20"/>
                <w:szCs w:val="20"/>
                <w:lang w:val="en"/>
              </w:rPr>
            </w:pPr>
            <w:r w:rsidRPr="000159F0">
              <w:rPr>
                <w:rFonts w:cs="Arial"/>
                <w:color w:val="FF0000"/>
                <w:sz w:val="20"/>
                <w:szCs w:val="20"/>
                <w:lang w:val="en"/>
              </w:rPr>
              <w:t>0</w:t>
            </w:r>
          </w:p>
        </w:tc>
      </w:tr>
      <w:tr w:rsidR="000F78EE" w:rsidRPr="000159F0" w14:paraId="6D949696" w14:textId="77777777" w:rsidTr="000159F0">
        <w:trPr>
          <w:trHeight w:val="284"/>
        </w:trPr>
        <w:tc>
          <w:tcPr>
            <w:tcW w:w="5671" w:type="dxa"/>
          </w:tcPr>
          <w:p w14:paraId="785148AB" w14:textId="77777777" w:rsidR="000F78EE" w:rsidRPr="000159F0" w:rsidRDefault="000F78EE" w:rsidP="00441C90">
            <w:pPr>
              <w:spacing w:after="0" w:line="22" w:lineRule="atLeast"/>
              <w:rPr>
                <w:rFonts w:cs="Arial"/>
                <w:color w:val="auto"/>
                <w:sz w:val="20"/>
                <w:szCs w:val="20"/>
                <w:lang w:val="en"/>
              </w:rPr>
            </w:pPr>
            <w:r w:rsidRPr="000159F0">
              <w:rPr>
                <w:color w:val="auto"/>
                <w:sz w:val="20"/>
                <w:szCs w:val="20"/>
              </w:rPr>
              <w:t xml:space="preserve">Last locally acquired case of unknown source </w:t>
            </w:r>
          </w:p>
        </w:tc>
        <w:tc>
          <w:tcPr>
            <w:tcW w:w="1701" w:type="dxa"/>
            <w:vAlign w:val="center"/>
          </w:tcPr>
          <w:p w14:paraId="615DB13E" w14:textId="000B188C" w:rsidR="000F78EE" w:rsidRPr="000159F0" w:rsidRDefault="000F78EE" w:rsidP="00441C90">
            <w:pPr>
              <w:pStyle w:val="NormalWeb"/>
              <w:spacing w:before="0" w:beforeAutospacing="0" w:after="0" w:afterAutospacing="0" w:line="22" w:lineRule="atLeast"/>
              <w:jc w:val="center"/>
              <w:rPr>
                <w:rFonts w:ascii="Arial" w:hAnsi="Arial" w:cs="Arial"/>
                <w:color w:val="FF0000"/>
                <w:sz w:val="20"/>
                <w:szCs w:val="20"/>
              </w:rPr>
            </w:pPr>
            <w:r w:rsidRPr="000159F0">
              <w:rPr>
                <w:rFonts w:ascii="Arial" w:hAnsi="Arial" w:cs="Arial"/>
                <w:sz w:val="20"/>
                <w:szCs w:val="20"/>
                <w:lang w:val="en"/>
              </w:rPr>
              <w:t>1</w:t>
            </w:r>
            <w:r w:rsidR="00625E2E" w:rsidRPr="000159F0">
              <w:rPr>
                <w:rFonts w:ascii="Arial" w:hAnsi="Arial" w:cs="Arial"/>
                <w:sz w:val="20"/>
                <w:szCs w:val="20"/>
                <w:lang w:val="en"/>
              </w:rPr>
              <w:t>7</w:t>
            </w:r>
            <w:r w:rsidRPr="000159F0">
              <w:rPr>
                <w:rFonts w:ascii="Arial" w:hAnsi="Arial" w:cs="Arial"/>
                <w:sz w:val="20"/>
                <w:szCs w:val="20"/>
                <w:lang w:val="en"/>
              </w:rPr>
              <w:t>/0</w:t>
            </w:r>
            <w:r w:rsidR="00625E2E" w:rsidRPr="000159F0">
              <w:rPr>
                <w:rFonts w:ascii="Arial" w:hAnsi="Arial" w:cs="Arial"/>
                <w:sz w:val="20"/>
                <w:szCs w:val="20"/>
                <w:lang w:val="en"/>
              </w:rPr>
              <w:t>8</w:t>
            </w:r>
            <w:r w:rsidRPr="000159F0">
              <w:rPr>
                <w:rFonts w:ascii="Arial" w:hAnsi="Arial" w:cs="Arial"/>
                <w:sz w:val="20"/>
                <w:szCs w:val="20"/>
                <w:lang w:val="en"/>
              </w:rPr>
              <w:t>/2021</w:t>
            </w:r>
          </w:p>
        </w:tc>
        <w:tc>
          <w:tcPr>
            <w:tcW w:w="1701" w:type="dxa"/>
            <w:vAlign w:val="center"/>
          </w:tcPr>
          <w:p w14:paraId="626591BB" w14:textId="29768F6B" w:rsidR="000F78EE" w:rsidRPr="000159F0" w:rsidRDefault="000F0CC4" w:rsidP="00AA6786">
            <w:pPr>
              <w:spacing w:after="0" w:line="22" w:lineRule="atLeast"/>
              <w:jc w:val="right"/>
              <w:rPr>
                <w:rFonts w:cs="Arial"/>
                <w:color w:val="FF0000"/>
                <w:sz w:val="20"/>
                <w:szCs w:val="20"/>
              </w:rPr>
            </w:pPr>
            <w:r>
              <w:rPr>
                <w:rFonts w:cs="Arial"/>
                <w:color w:val="FF0000"/>
                <w:sz w:val="20"/>
                <w:szCs w:val="20"/>
              </w:rPr>
              <w:t>8</w:t>
            </w:r>
          </w:p>
        </w:tc>
      </w:tr>
    </w:tbl>
    <w:p w14:paraId="4D102721" w14:textId="77777777" w:rsidR="00926CA2" w:rsidRPr="000159F0" w:rsidRDefault="00926CA2" w:rsidP="000159F0">
      <w:pPr>
        <w:pStyle w:val="List"/>
        <w:spacing w:before="240" w:after="120" w:line="240" w:lineRule="auto"/>
        <w:ind w:left="0" w:firstLine="0"/>
        <w:contextualSpacing w:val="0"/>
        <w:rPr>
          <w:rFonts w:cs="Arial"/>
          <w:b/>
          <w:sz w:val="22"/>
          <w:szCs w:val="22"/>
        </w:rPr>
      </w:pPr>
      <w:r w:rsidRPr="000159F0">
        <w:rPr>
          <w:rFonts w:cs="Arial"/>
          <w:b/>
          <w:sz w:val="22"/>
          <w:szCs w:val="22"/>
        </w:rPr>
        <w:t>Travel impacts</w:t>
      </w:r>
    </w:p>
    <w:p w14:paraId="719B3F1A" w14:textId="304A2C30" w:rsidR="00361AB3" w:rsidRPr="00361AB3" w:rsidRDefault="00361AB3" w:rsidP="000159F0">
      <w:pPr>
        <w:numPr>
          <w:ilvl w:val="0"/>
          <w:numId w:val="4"/>
        </w:numPr>
        <w:spacing w:after="0" w:line="276" w:lineRule="auto"/>
        <w:ind w:left="357" w:hanging="357"/>
        <w:textAlignment w:val="center"/>
        <w:rPr>
          <w:rFonts w:eastAsia="Calibri" w:cs="Arial"/>
          <w:color w:val="FF0000"/>
          <w:sz w:val="22"/>
          <w:szCs w:val="22"/>
        </w:rPr>
      </w:pPr>
      <w:bookmarkStart w:id="0" w:name="_Hlk80787584"/>
      <w:r w:rsidRPr="00361AB3">
        <w:rPr>
          <w:rFonts w:eastAsia="Calibri" w:cs="Arial"/>
          <w:color w:val="FF0000"/>
          <w:sz w:val="22"/>
          <w:szCs w:val="22"/>
        </w:rPr>
        <w:t>On 23 August 2021, the Australian Chief Medical Officer announced that the Australian Government would continue the pause of green zone flights from New Zealand to Australia until 11:59pm (AEST) on 27 August 2021. Until this time, all flights originating in New Zealand will be classified as Red Zone flights.</w:t>
      </w:r>
      <w:r w:rsidR="00C36C8D">
        <w:rPr>
          <w:rFonts w:eastAsia="Calibri" w:cs="Arial"/>
          <w:color w:val="FF0000"/>
          <w:sz w:val="22"/>
          <w:szCs w:val="22"/>
        </w:rPr>
        <w:t xml:space="preserve">  The pause will be reviewed on 27 August 2021.</w:t>
      </w:r>
    </w:p>
    <w:bookmarkEnd w:id="0"/>
    <w:p w14:paraId="5392BD71" w14:textId="5343F859" w:rsidR="00AA6786" w:rsidRDefault="00AA6786" w:rsidP="000159F0">
      <w:pPr>
        <w:numPr>
          <w:ilvl w:val="0"/>
          <w:numId w:val="4"/>
        </w:numPr>
        <w:spacing w:after="0" w:line="276" w:lineRule="auto"/>
        <w:ind w:left="357" w:hanging="357"/>
        <w:textAlignment w:val="center"/>
        <w:rPr>
          <w:rFonts w:eastAsia="Calibri" w:cs="Arial"/>
          <w:color w:val="auto"/>
          <w:sz w:val="22"/>
          <w:szCs w:val="22"/>
        </w:rPr>
      </w:pPr>
      <w:r w:rsidRPr="000159F0">
        <w:rPr>
          <w:rFonts w:eastAsia="Calibri" w:cs="Arial"/>
          <w:color w:val="auto"/>
          <w:sz w:val="22"/>
          <w:szCs w:val="22"/>
        </w:rPr>
        <w:lastRenderedPageBreak/>
        <w:t xml:space="preserve">Quarantine-free travel from all Australian states and territories to New Zealand was suspended from 23 July 2021 due to the worsening COVID-19 situation in Australia. The suspension will be for a minimum period of eight weeks and will be reviewed in September 2021. </w:t>
      </w:r>
    </w:p>
    <w:p w14:paraId="1988FC34" w14:textId="1FD800E2" w:rsidR="00361AB3" w:rsidRDefault="00361AB3" w:rsidP="002D7279">
      <w:pPr>
        <w:pStyle w:val="BodyText"/>
        <w:rPr>
          <w:color w:val="auto"/>
        </w:rPr>
      </w:pPr>
      <w:bookmarkStart w:id="1" w:name="_GoBack"/>
      <w:bookmarkEnd w:id="1"/>
    </w:p>
    <w:p w14:paraId="32612137" w14:textId="3EF3A13F" w:rsidR="00361AB3" w:rsidRPr="000F0CC4" w:rsidRDefault="0064172E" w:rsidP="002D7279">
      <w:pPr>
        <w:pStyle w:val="BodyText"/>
        <w:rPr>
          <w:color w:val="auto"/>
        </w:rPr>
      </w:pPr>
      <w:r>
        <w:rPr>
          <w:noProof/>
          <w:color w:val="auto"/>
          <w:lang w:eastAsia="en-AU"/>
        </w:rPr>
        <w:drawing>
          <wp:inline distT="0" distB="0" distL="0" distR="0" wp14:anchorId="237DCFBF" wp14:editId="68312F71">
            <wp:extent cx="1569493" cy="8725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 correct.jpg"/>
                    <pic:cNvPicPr/>
                  </pic:nvPicPr>
                  <pic:blipFill>
                    <a:blip r:embed="rId11">
                      <a:extLst>
                        <a:ext uri="{28A0092B-C50C-407E-A947-70E740481C1C}">
                          <a14:useLocalDpi xmlns:a14="http://schemas.microsoft.com/office/drawing/2010/main" val="0"/>
                        </a:ext>
                      </a:extLst>
                    </a:blip>
                    <a:stretch>
                      <a:fillRect/>
                    </a:stretch>
                  </pic:blipFill>
                  <pic:spPr>
                    <a:xfrm>
                      <a:off x="0" y="0"/>
                      <a:ext cx="1599507" cy="889236"/>
                    </a:xfrm>
                    <a:prstGeom prst="rect">
                      <a:avLst/>
                    </a:prstGeom>
                  </pic:spPr>
                </pic:pic>
              </a:graphicData>
            </a:graphic>
          </wp:inline>
        </w:drawing>
      </w:r>
    </w:p>
    <w:p w14:paraId="6D157E2F" w14:textId="11EE01BF" w:rsidR="00AA6786" w:rsidRPr="000F0CC4" w:rsidRDefault="00AA6786" w:rsidP="00AA6786">
      <w:pPr>
        <w:spacing w:after="0" w:line="22" w:lineRule="atLeast"/>
        <w:ind w:left="284"/>
        <w:rPr>
          <w:color w:val="auto"/>
          <w:sz w:val="22"/>
          <w:szCs w:val="22"/>
        </w:rPr>
      </w:pPr>
      <w:r w:rsidRPr="000F0CC4">
        <w:rPr>
          <w:color w:val="auto"/>
          <w:sz w:val="22"/>
          <w:szCs w:val="22"/>
        </w:rPr>
        <w:t xml:space="preserve">Professor Paul Kelly  </w:t>
      </w:r>
    </w:p>
    <w:p w14:paraId="7F9D6AD9" w14:textId="325D43D2" w:rsidR="00B211B6" w:rsidRPr="000F0CC4" w:rsidRDefault="000A5B04" w:rsidP="00441C90">
      <w:pPr>
        <w:spacing w:after="0" w:line="22" w:lineRule="atLeast"/>
        <w:ind w:left="284"/>
        <w:rPr>
          <w:color w:val="auto"/>
          <w:sz w:val="22"/>
          <w:szCs w:val="22"/>
        </w:rPr>
      </w:pPr>
      <w:r w:rsidRPr="000F0CC4">
        <w:rPr>
          <w:color w:val="auto"/>
          <w:sz w:val="22"/>
          <w:szCs w:val="22"/>
        </w:rPr>
        <w:t>C</w:t>
      </w:r>
      <w:r w:rsidR="00B211B6" w:rsidRPr="000F0CC4">
        <w:rPr>
          <w:color w:val="auto"/>
          <w:sz w:val="22"/>
          <w:szCs w:val="22"/>
        </w:rPr>
        <w:t>hief Medical Officer</w:t>
      </w:r>
    </w:p>
    <w:p w14:paraId="39DCC7CA" w14:textId="6C7490C6" w:rsidR="00365261" w:rsidRPr="00F32C83" w:rsidRDefault="0084065A" w:rsidP="00441C90">
      <w:pPr>
        <w:spacing w:after="0" w:line="22" w:lineRule="atLeast"/>
        <w:ind w:left="284"/>
        <w:rPr>
          <w:color w:val="FF0000"/>
          <w:sz w:val="22"/>
          <w:szCs w:val="22"/>
        </w:rPr>
      </w:pPr>
      <w:r w:rsidRPr="00F32C83">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v:textbox>
              </v:shape>
            </w:pict>
          </mc:Fallback>
        </mc:AlternateContent>
      </w:r>
      <w:r w:rsidR="000F0CC4">
        <w:rPr>
          <w:noProof/>
          <w:color w:val="FF0000"/>
          <w:sz w:val="22"/>
          <w:szCs w:val="22"/>
          <w:lang w:eastAsia="en-AU"/>
        </w:rPr>
        <w:t>25</w:t>
      </w:r>
      <w:r w:rsidR="00AA6786" w:rsidRPr="00F32C83">
        <w:rPr>
          <w:noProof/>
          <w:color w:val="FF0000"/>
          <w:sz w:val="22"/>
          <w:szCs w:val="22"/>
          <w:lang w:eastAsia="en-AU"/>
        </w:rPr>
        <w:t xml:space="preserve"> August</w:t>
      </w:r>
      <w:r w:rsidR="00A1790B" w:rsidRPr="00F32C83">
        <w:rPr>
          <w:color w:val="FF0000"/>
          <w:sz w:val="22"/>
          <w:szCs w:val="22"/>
        </w:rPr>
        <w:t xml:space="preserve"> 2021</w:t>
      </w:r>
    </w:p>
    <w:sectPr w:rsidR="00365261" w:rsidRPr="00F32C83" w:rsidSect="00242757">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3FD7" w14:textId="77777777" w:rsidR="00E86BAE" w:rsidRDefault="00E86BAE" w:rsidP="003F5DCC">
      <w:pPr>
        <w:spacing w:after="0" w:line="240" w:lineRule="auto"/>
      </w:pPr>
      <w:r>
        <w:separator/>
      </w:r>
    </w:p>
  </w:endnote>
  <w:endnote w:type="continuationSeparator" w:id="0">
    <w:p w14:paraId="60405216" w14:textId="77777777" w:rsidR="00E86BAE" w:rsidRDefault="00E86BAE" w:rsidP="003F5DCC">
      <w:pPr>
        <w:spacing w:after="0" w:line="240" w:lineRule="auto"/>
      </w:pPr>
      <w:r>
        <w:continuationSeparator/>
      </w:r>
    </w:p>
  </w:endnote>
  <w:endnote w:type="continuationNotice" w:id="1">
    <w:p w14:paraId="144A5C44" w14:textId="77777777" w:rsidR="00E86BAE" w:rsidRDefault="00E8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2728" w14:textId="7F652909" w:rsidR="00AD6044" w:rsidRPr="006A4BBC" w:rsidRDefault="00AD6044"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64172E">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908C" w14:textId="77777777" w:rsidR="00E86BAE" w:rsidRDefault="00E86BAE" w:rsidP="003F5DCC">
      <w:pPr>
        <w:spacing w:after="0" w:line="240" w:lineRule="auto"/>
      </w:pPr>
      <w:r>
        <w:separator/>
      </w:r>
    </w:p>
  </w:footnote>
  <w:footnote w:type="continuationSeparator" w:id="0">
    <w:p w14:paraId="64103A40" w14:textId="77777777" w:rsidR="00E86BAE" w:rsidRDefault="00E86BAE" w:rsidP="003F5DCC">
      <w:pPr>
        <w:spacing w:after="0" w:line="240" w:lineRule="auto"/>
      </w:pPr>
      <w:r>
        <w:continuationSeparator/>
      </w:r>
    </w:p>
  </w:footnote>
  <w:footnote w:type="continuationNotice" w:id="1">
    <w:p w14:paraId="1A2508AA" w14:textId="77777777" w:rsidR="00E86BAE" w:rsidRDefault="00E86BAE">
      <w:pPr>
        <w:spacing w:after="0" w:line="240" w:lineRule="auto"/>
      </w:pPr>
    </w:p>
  </w:footnote>
  <w:footnote w:id="2">
    <w:p w14:paraId="199931C6" w14:textId="77777777" w:rsidR="00AD6044" w:rsidRPr="009E7164" w:rsidRDefault="00AD6044">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E6E1" w14:textId="77777777" w:rsidR="00AD6044" w:rsidRDefault="00AD6044"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AD6044" w:rsidRDefault="00AD6044"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7F14" w14:textId="77777777" w:rsidR="00AD6044" w:rsidRDefault="00AD6044"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5" name="Picture 5"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E3C8" w14:textId="77777777" w:rsidR="00AD6044" w:rsidRDefault="0064172E"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AD6044">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6" name="Picture 6"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44">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7" name="Picture 7"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6"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F6B037C"/>
    <w:multiLevelType w:val="hybridMultilevel"/>
    <w:tmpl w:val="987EA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7"/>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01F82"/>
    <w:rsid w:val="000065AF"/>
    <w:rsid w:val="00014341"/>
    <w:rsid w:val="000159F0"/>
    <w:rsid w:val="000217E2"/>
    <w:rsid w:val="0002211D"/>
    <w:rsid w:val="00022C1C"/>
    <w:rsid w:val="000231F0"/>
    <w:rsid w:val="000246E2"/>
    <w:rsid w:val="00025ED0"/>
    <w:rsid w:val="0002708E"/>
    <w:rsid w:val="00031F72"/>
    <w:rsid w:val="00032131"/>
    <w:rsid w:val="00033906"/>
    <w:rsid w:val="00040026"/>
    <w:rsid w:val="000436FB"/>
    <w:rsid w:val="00046248"/>
    <w:rsid w:val="00057650"/>
    <w:rsid w:val="00060E79"/>
    <w:rsid w:val="00062C7F"/>
    <w:rsid w:val="00062E83"/>
    <w:rsid w:val="00070122"/>
    <w:rsid w:val="00073E50"/>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60C1"/>
    <w:rsid w:val="000F073C"/>
    <w:rsid w:val="000F0CC4"/>
    <w:rsid w:val="000F568B"/>
    <w:rsid w:val="000F5BB7"/>
    <w:rsid w:val="000F7501"/>
    <w:rsid w:val="000F7860"/>
    <w:rsid w:val="000F78EE"/>
    <w:rsid w:val="0010335F"/>
    <w:rsid w:val="00110F23"/>
    <w:rsid w:val="00113CF9"/>
    <w:rsid w:val="00115D98"/>
    <w:rsid w:val="00116001"/>
    <w:rsid w:val="001177D4"/>
    <w:rsid w:val="00123406"/>
    <w:rsid w:val="00147564"/>
    <w:rsid w:val="00152A33"/>
    <w:rsid w:val="001569AD"/>
    <w:rsid w:val="00157327"/>
    <w:rsid w:val="0016036F"/>
    <w:rsid w:val="00162C88"/>
    <w:rsid w:val="00165889"/>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F02"/>
    <w:rsid w:val="002705D3"/>
    <w:rsid w:val="00270AD7"/>
    <w:rsid w:val="00274D69"/>
    <w:rsid w:val="00275246"/>
    <w:rsid w:val="00276092"/>
    <w:rsid w:val="00284A3B"/>
    <w:rsid w:val="0029058F"/>
    <w:rsid w:val="00295D55"/>
    <w:rsid w:val="00297EE7"/>
    <w:rsid w:val="002A519D"/>
    <w:rsid w:val="002B794D"/>
    <w:rsid w:val="002C2A43"/>
    <w:rsid w:val="002C3323"/>
    <w:rsid w:val="002C7AB1"/>
    <w:rsid w:val="002D0DAD"/>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555FE"/>
    <w:rsid w:val="00361AB3"/>
    <w:rsid w:val="003636FF"/>
    <w:rsid w:val="003642AD"/>
    <w:rsid w:val="00365065"/>
    <w:rsid w:val="0036526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565E9"/>
    <w:rsid w:val="00465B56"/>
    <w:rsid w:val="00470665"/>
    <w:rsid w:val="00472D94"/>
    <w:rsid w:val="00472E2A"/>
    <w:rsid w:val="004867D1"/>
    <w:rsid w:val="00486A4D"/>
    <w:rsid w:val="00494230"/>
    <w:rsid w:val="004A0573"/>
    <w:rsid w:val="004A075B"/>
    <w:rsid w:val="004A0E1F"/>
    <w:rsid w:val="004B3130"/>
    <w:rsid w:val="004B6381"/>
    <w:rsid w:val="004C3474"/>
    <w:rsid w:val="004C3A6B"/>
    <w:rsid w:val="004C3B71"/>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970CB"/>
    <w:rsid w:val="005A107B"/>
    <w:rsid w:val="005A1504"/>
    <w:rsid w:val="005A2316"/>
    <w:rsid w:val="005B1E35"/>
    <w:rsid w:val="005B62AD"/>
    <w:rsid w:val="005C74B6"/>
    <w:rsid w:val="005D31CC"/>
    <w:rsid w:val="005E0C6D"/>
    <w:rsid w:val="005E1E18"/>
    <w:rsid w:val="005E5FFE"/>
    <w:rsid w:val="005F0F31"/>
    <w:rsid w:val="005F1BF3"/>
    <w:rsid w:val="005F201D"/>
    <w:rsid w:val="005F602A"/>
    <w:rsid w:val="00601060"/>
    <w:rsid w:val="00601991"/>
    <w:rsid w:val="00604999"/>
    <w:rsid w:val="00605415"/>
    <w:rsid w:val="006060C4"/>
    <w:rsid w:val="00616F76"/>
    <w:rsid w:val="0062366B"/>
    <w:rsid w:val="006236DF"/>
    <w:rsid w:val="006241BE"/>
    <w:rsid w:val="00624F34"/>
    <w:rsid w:val="00625E2E"/>
    <w:rsid w:val="00626224"/>
    <w:rsid w:val="006332AA"/>
    <w:rsid w:val="0064172E"/>
    <w:rsid w:val="00651B3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0502C"/>
    <w:rsid w:val="007175DD"/>
    <w:rsid w:val="007232DA"/>
    <w:rsid w:val="00724C76"/>
    <w:rsid w:val="00726BE0"/>
    <w:rsid w:val="00727A45"/>
    <w:rsid w:val="00732EAF"/>
    <w:rsid w:val="00744435"/>
    <w:rsid w:val="00745300"/>
    <w:rsid w:val="007454BB"/>
    <w:rsid w:val="0074789B"/>
    <w:rsid w:val="00755C1E"/>
    <w:rsid w:val="007575E7"/>
    <w:rsid w:val="007702C5"/>
    <w:rsid w:val="00771686"/>
    <w:rsid w:val="00772AAC"/>
    <w:rsid w:val="007750C4"/>
    <w:rsid w:val="00777FF1"/>
    <w:rsid w:val="00793D70"/>
    <w:rsid w:val="007A46D6"/>
    <w:rsid w:val="007A4936"/>
    <w:rsid w:val="007A5D86"/>
    <w:rsid w:val="007A601E"/>
    <w:rsid w:val="007A6C8A"/>
    <w:rsid w:val="007B0669"/>
    <w:rsid w:val="007C0E67"/>
    <w:rsid w:val="007E001C"/>
    <w:rsid w:val="007E68CB"/>
    <w:rsid w:val="007F12A5"/>
    <w:rsid w:val="00802337"/>
    <w:rsid w:val="0080501F"/>
    <w:rsid w:val="00806B66"/>
    <w:rsid w:val="008112D6"/>
    <w:rsid w:val="00813165"/>
    <w:rsid w:val="00813BF4"/>
    <w:rsid w:val="00814E05"/>
    <w:rsid w:val="008222E4"/>
    <w:rsid w:val="00822CFB"/>
    <w:rsid w:val="008248E5"/>
    <w:rsid w:val="0082509F"/>
    <w:rsid w:val="00827705"/>
    <w:rsid w:val="0083035B"/>
    <w:rsid w:val="00836E47"/>
    <w:rsid w:val="0084065A"/>
    <w:rsid w:val="00845057"/>
    <w:rsid w:val="008451D7"/>
    <w:rsid w:val="008542AB"/>
    <w:rsid w:val="00854391"/>
    <w:rsid w:val="00871AFD"/>
    <w:rsid w:val="00872F1C"/>
    <w:rsid w:val="00876E06"/>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3A"/>
    <w:rsid w:val="008C68FD"/>
    <w:rsid w:val="008C6A01"/>
    <w:rsid w:val="008E2A90"/>
    <w:rsid w:val="00900561"/>
    <w:rsid w:val="00901E58"/>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831DE"/>
    <w:rsid w:val="00994E50"/>
    <w:rsid w:val="009A175F"/>
    <w:rsid w:val="009A248D"/>
    <w:rsid w:val="009B1C8A"/>
    <w:rsid w:val="009B24D4"/>
    <w:rsid w:val="009B5182"/>
    <w:rsid w:val="009C19C5"/>
    <w:rsid w:val="009C263D"/>
    <w:rsid w:val="009C4B3A"/>
    <w:rsid w:val="009C7680"/>
    <w:rsid w:val="009C769A"/>
    <w:rsid w:val="009D3C34"/>
    <w:rsid w:val="009D6DEB"/>
    <w:rsid w:val="009E22D0"/>
    <w:rsid w:val="009E35CB"/>
    <w:rsid w:val="009E5E2A"/>
    <w:rsid w:val="009E7164"/>
    <w:rsid w:val="009F1B69"/>
    <w:rsid w:val="009F5FDD"/>
    <w:rsid w:val="00A01745"/>
    <w:rsid w:val="00A03F95"/>
    <w:rsid w:val="00A05252"/>
    <w:rsid w:val="00A05D52"/>
    <w:rsid w:val="00A166D3"/>
    <w:rsid w:val="00A1790B"/>
    <w:rsid w:val="00A21291"/>
    <w:rsid w:val="00A24237"/>
    <w:rsid w:val="00A32BE1"/>
    <w:rsid w:val="00A35E13"/>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A6786"/>
    <w:rsid w:val="00AC2072"/>
    <w:rsid w:val="00AC359C"/>
    <w:rsid w:val="00AC4170"/>
    <w:rsid w:val="00AC44D4"/>
    <w:rsid w:val="00AD0165"/>
    <w:rsid w:val="00AD5CEA"/>
    <w:rsid w:val="00AD601B"/>
    <w:rsid w:val="00AD6044"/>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525E"/>
    <w:rsid w:val="00BB0833"/>
    <w:rsid w:val="00BB2DCA"/>
    <w:rsid w:val="00BB5179"/>
    <w:rsid w:val="00BB56A4"/>
    <w:rsid w:val="00BC1ACA"/>
    <w:rsid w:val="00BC64DA"/>
    <w:rsid w:val="00BC66AD"/>
    <w:rsid w:val="00BE3690"/>
    <w:rsid w:val="00BF6D6F"/>
    <w:rsid w:val="00C0041A"/>
    <w:rsid w:val="00C056F7"/>
    <w:rsid w:val="00C05D0C"/>
    <w:rsid w:val="00C0605E"/>
    <w:rsid w:val="00C120AE"/>
    <w:rsid w:val="00C137A2"/>
    <w:rsid w:val="00C31BB8"/>
    <w:rsid w:val="00C34DE1"/>
    <w:rsid w:val="00C36994"/>
    <w:rsid w:val="00C36A9E"/>
    <w:rsid w:val="00C36C8D"/>
    <w:rsid w:val="00C410FF"/>
    <w:rsid w:val="00C44F9D"/>
    <w:rsid w:val="00C45B64"/>
    <w:rsid w:val="00C625D3"/>
    <w:rsid w:val="00C6632F"/>
    <w:rsid w:val="00C766A0"/>
    <w:rsid w:val="00C808E5"/>
    <w:rsid w:val="00C81B48"/>
    <w:rsid w:val="00C91BD6"/>
    <w:rsid w:val="00CA0AA7"/>
    <w:rsid w:val="00CA14DF"/>
    <w:rsid w:val="00CA4CC3"/>
    <w:rsid w:val="00CA5637"/>
    <w:rsid w:val="00CA654D"/>
    <w:rsid w:val="00CB1090"/>
    <w:rsid w:val="00CB1808"/>
    <w:rsid w:val="00CB2891"/>
    <w:rsid w:val="00CC0B7C"/>
    <w:rsid w:val="00CC47E8"/>
    <w:rsid w:val="00CC4C1B"/>
    <w:rsid w:val="00CC764C"/>
    <w:rsid w:val="00CD7821"/>
    <w:rsid w:val="00CF14FC"/>
    <w:rsid w:val="00CF5CC0"/>
    <w:rsid w:val="00D0019D"/>
    <w:rsid w:val="00D01F3D"/>
    <w:rsid w:val="00D0327A"/>
    <w:rsid w:val="00D0755F"/>
    <w:rsid w:val="00D12306"/>
    <w:rsid w:val="00D23407"/>
    <w:rsid w:val="00D2738C"/>
    <w:rsid w:val="00D27A35"/>
    <w:rsid w:val="00D32B1F"/>
    <w:rsid w:val="00D32D6F"/>
    <w:rsid w:val="00D35673"/>
    <w:rsid w:val="00D36311"/>
    <w:rsid w:val="00D415AA"/>
    <w:rsid w:val="00D4409E"/>
    <w:rsid w:val="00D449A3"/>
    <w:rsid w:val="00D4754A"/>
    <w:rsid w:val="00D47E29"/>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524E"/>
    <w:rsid w:val="00DC55C7"/>
    <w:rsid w:val="00DC7086"/>
    <w:rsid w:val="00DD5DD6"/>
    <w:rsid w:val="00DE1D7A"/>
    <w:rsid w:val="00DF7207"/>
    <w:rsid w:val="00E025DA"/>
    <w:rsid w:val="00E03083"/>
    <w:rsid w:val="00E11B80"/>
    <w:rsid w:val="00E17FE0"/>
    <w:rsid w:val="00E21E05"/>
    <w:rsid w:val="00E40EED"/>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7595"/>
    <w:rsid w:val="00EB15C1"/>
    <w:rsid w:val="00EB3454"/>
    <w:rsid w:val="00EB4ECF"/>
    <w:rsid w:val="00EB6133"/>
    <w:rsid w:val="00EC1E77"/>
    <w:rsid w:val="00EC43AB"/>
    <w:rsid w:val="00EC453B"/>
    <w:rsid w:val="00ED2D53"/>
    <w:rsid w:val="00ED67DE"/>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2C83"/>
    <w:rsid w:val="00F33B73"/>
    <w:rsid w:val="00F33CD8"/>
    <w:rsid w:val="00F3658D"/>
    <w:rsid w:val="00F4102D"/>
    <w:rsid w:val="00F503F4"/>
    <w:rsid w:val="00F55E42"/>
    <w:rsid w:val="00F60D81"/>
    <w:rsid w:val="00F75E48"/>
    <w:rsid w:val="00F8166F"/>
    <w:rsid w:val="00F82E13"/>
    <w:rsid w:val="00F8328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2CDD0-89BB-43F4-973D-60F7E5C2F50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4.xml><?xml version="1.0" encoding="utf-8"?>
<ds:datastoreItem xmlns:ds="http://schemas.openxmlformats.org/officeDocument/2006/customXml" ds:itemID="{749B908E-F457-4747-9878-3AFE0F90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CAIRNS, Allison</cp:lastModifiedBy>
  <cp:revision>2</cp:revision>
  <cp:lastPrinted>2021-02-24T03:46:00Z</cp:lastPrinted>
  <dcterms:created xsi:type="dcterms:W3CDTF">2021-08-25T07:12:00Z</dcterms:created>
  <dcterms:modified xsi:type="dcterms:W3CDTF">2021-08-25T07:12:00Z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