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3471" w14:textId="3A82FC96" w:rsidR="00B211B6" w:rsidRPr="002950C3" w:rsidRDefault="00B211B6" w:rsidP="00567A9D">
      <w:pPr>
        <w:pStyle w:val="Subtitle"/>
      </w:pPr>
      <w:r w:rsidRPr="002F5E02">
        <w:t xml:space="preserve">New Zealand – Situation </w:t>
      </w:r>
      <w:r w:rsidR="00AA6786">
        <w:t>U</w:t>
      </w:r>
      <w:r w:rsidRPr="002F5E02">
        <w:t xml:space="preserve">pdate </w:t>
      </w:r>
      <w:r w:rsidR="004B6381">
        <w:rPr>
          <w:color w:val="FF0000"/>
        </w:rPr>
        <w:t>11</w:t>
      </w:r>
      <w:r w:rsidR="00AA6786">
        <w:rPr>
          <w:color w:val="FF0000"/>
        </w:rPr>
        <w:t xml:space="preserve"> August</w:t>
      </w:r>
      <w:r w:rsidR="00A05252" w:rsidRPr="00B64EDD">
        <w:rPr>
          <w:color w:val="FF0000"/>
        </w:rPr>
        <w:t xml:space="preserve"> </w:t>
      </w:r>
      <w:r w:rsidRPr="00B64EDD">
        <w:rPr>
          <w:color w:val="FF0000"/>
        </w:rPr>
        <w:t>202</w:t>
      </w:r>
      <w:r w:rsidR="00A1790B" w:rsidRPr="00B64EDD">
        <w:rPr>
          <w:color w:val="FF0000"/>
        </w:rPr>
        <w:t>1</w:t>
      </w:r>
    </w:p>
    <w:p w14:paraId="09733E74" w14:textId="77777777" w:rsidR="003077BF" w:rsidRDefault="00590CB1" w:rsidP="002950C3">
      <w:pPr>
        <w:tabs>
          <w:tab w:val="left" w:pos="2169"/>
        </w:tabs>
        <w:spacing w:before="1920" w:after="180" w:line="240"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808E5" w:rsidRDefault="009E22D0" w:rsidP="002950C3">
      <w:pPr>
        <w:pStyle w:val="Heading1"/>
      </w:pPr>
      <w:r w:rsidRPr="00C808E5">
        <w:t xml:space="preserve">Current </w:t>
      </w:r>
      <w:r w:rsidRPr="002950C3">
        <w:t>Assessment</w:t>
      </w:r>
      <w:r w:rsidRPr="00C808E5">
        <w:t xml:space="preserve"> Summary</w:t>
      </w:r>
    </w:p>
    <w:p w14:paraId="25D6D246" w14:textId="77777777" w:rsidR="00AA6786" w:rsidRPr="00AA6786" w:rsidRDefault="00AA6786" w:rsidP="002950C3">
      <w:pPr>
        <w:pStyle w:val="ListBullet"/>
      </w:pPr>
      <w:r w:rsidRPr="00AA6786">
        <w:t>There have been no locally acquired cases of COVID-19 in the last 7 days.</w:t>
      </w:r>
    </w:p>
    <w:p w14:paraId="3D4D8DCA" w14:textId="135E030C" w:rsidR="00AA6786" w:rsidRPr="00026AD9" w:rsidRDefault="00665CE4" w:rsidP="002950C3">
      <w:pPr>
        <w:pStyle w:val="ListBullet2"/>
        <w:rPr>
          <w:color w:val="auto"/>
        </w:rPr>
      </w:pPr>
      <w:r>
        <w:t>Several</w:t>
      </w:r>
      <w:r w:rsidR="00AA6786" w:rsidRPr="00AA6786">
        <w:t xml:space="preserve"> crew on maritime vessels arriving in New Zealand in July </w:t>
      </w:r>
      <w:r w:rsidR="00A01745">
        <w:t xml:space="preserve">and August </w:t>
      </w:r>
      <w:r w:rsidR="00AA6786" w:rsidRPr="00AA6786">
        <w:t xml:space="preserve">2021 tested positive for COVID-19, with the Delta variant confirmed among these cases. </w:t>
      </w:r>
      <w:r w:rsidR="00AA6786" w:rsidRPr="00026AD9">
        <w:rPr>
          <w:color w:val="auto"/>
        </w:rPr>
        <w:t>These events are being managed in accordance with public health protocols and are considered low risk.</w:t>
      </w:r>
    </w:p>
    <w:p w14:paraId="32C61D66" w14:textId="77777777" w:rsidR="00665CE4" w:rsidRPr="009264EA" w:rsidRDefault="00665CE4" w:rsidP="002950C3">
      <w:pPr>
        <w:pStyle w:val="ListBullet2"/>
      </w:pPr>
      <w:r w:rsidRPr="009264EA">
        <w:t xml:space="preserve">On 9 August 2021, New Zealand confirmed that following routine testing of </w:t>
      </w:r>
      <w:r>
        <w:t>the</w:t>
      </w:r>
      <w:r w:rsidRPr="009264EA">
        <w:t xml:space="preserve"> container ship ‘Rio De La Plata’, </w:t>
      </w:r>
      <w:r>
        <w:t>eleven</w:t>
      </w:r>
      <w:r w:rsidRPr="009264EA">
        <w:t xml:space="preserve"> of the 21 crew on board were positive for COVID-19. The ship was berthed at Port of Tauranga for the period 4 to 7 August</w:t>
      </w:r>
      <w:r>
        <w:t xml:space="preserve"> 2021</w:t>
      </w:r>
      <w:r w:rsidRPr="009264EA">
        <w:t xml:space="preserve">, over which time </w:t>
      </w:r>
      <w:proofErr w:type="gramStart"/>
      <w:r>
        <w:t>a number of</w:t>
      </w:r>
      <w:proofErr w:type="gramEnd"/>
      <w:r>
        <w:t xml:space="preserve"> </w:t>
      </w:r>
      <w:r w:rsidRPr="009264EA">
        <w:t>port workers had contact with the ship.</w:t>
      </w:r>
    </w:p>
    <w:p w14:paraId="43E94CA9" w14:textId="77777777" w:rsidR="00665CE4" w:rsidRPr="002950C3" w:rsidRDefault="00665CE4" w:rsidP="002950C3">
      <w:pPr>
        <w:pStyle w:val="ListBullet3"/>
      </w:pPr>
      <w:r w:rsidRPr="002950C3">
        <w:t>All 110 port workers deemed contacts have returned negative test results. This includes two pilots and 72 port workers who boarded the vessel while it was docked. The two pilots will remain in isolation for 14 days post possible exposure and 70 of the port workers will require an additional Day 3 test.</w:t>
      </w:r>
    </w:p>
    <w:p w14:paraId="682ECFAD" w14:textId="77777777" w:rsidR="00665CE4" w:rsidRPr="002950C3" w:rsidRDefault="00665CE4" w:rsidP="002950C3">
      <w:pPr>
        <w:pStyle w:val="ListBullet3"/>
      </w:pPr>
      <w:r w:rsidRPr="002950C3">
        <w:t xml:space="preserve">The ship is linked to a COVID-19 case in an Australian pilot who was onboard the vessel in July 2021 in Queensland and who later developed symptoms and tested positive nine days after being aboard the vessel. </w:t>
      </w:r>
    </w:p>
    <w:p w14:paraId="66E20958" w14:textId="67C155BF" w:rsidR="00665CE4" w:rsidRPr="002950C3" w:rsidRDefault="00665CE4" w:rsidP="002950C3">
      <w:pPr>
        <w:pStyle w:val="ListBullet3"/>
      </w:pPr>
      <w:r w:rsidRPr="002950C3">
        <w:t>Crew members aboard the vessel remain asymptomatic and the vessel left New Zealand as at 11 August 2021.</w:t>
      </w:r>
    </w:p>
    <w:p w14:paraId="3D67ABBB" w14:textId="77777777" w:rsidR="00665CE4" w:rsidRPr="00665CE4" w:rsidRDefault="00665CE4" w:rsidP="002950C3">
      <w:pPr>
        <w:pStyle w:val="ListBullet2"/>
      </w:pPr>
      <w:r w:rsidRPr="00665CE4">
        <w:t>The ‘</w:t>
      </w:r>
      <w:proofErr w:type="spellStart"/>
      <w:r w:rsidRPr="00665CE4">
        <w:t>Mattina</w:t>
      </w:r>
      <w:proofErr w:type="spellEnd"/>
      <w:r w:rsidRPr="00665CE4">
        <w:t xml:space="preserve">’ container ship remains in quarantine at a secure berth in Bluff. As at           11 August 2021, thirteen of the original 21 mariners remain onboard the vessel. The remaining mariners continue to be in managed isolation and/or accommodation arrangements in Christchurch.  </w:t>
      </w:r>
    </w:p>
    <w:p w14:paraId="705CFF17" w14:textId="23957E84" w:rsidR="00AA6786" w:rsidRPr="00AA6786" w:rsidRDefault="00AA6786" w:rsidP="002950C3">
      <w:pPr>
        <w:pStyle w:val="ListBullet"/>
      </w:pPr>
      <w:r w:rsidRPr="00AA6786">
        <w:t xml:space="preserve">New Zealand assesses that due to infection control protocols, there was minimal risk to the public and these events are considered a low risk. </w:t>
      </w:r>
    </w:p>
    <w:p w14:paraId="3AB2FA49" w14:textId="77777777" w:rsidR="00AA6786" w:rsidRPr="00AA6786" w:rsidRDefault="00AA6786" w:rsidP="002950C3">
      <w:pPr>
        <w:pStyle w:val="ListBullet"/>
      </w:pPr>
      <w:r w:rsidRPr="00AA6786">
        <w:t>There are no associated locations of interest.</w:t>
      </w:r>
    </w:p>
    <w:p w14:paraId="4386B76B" w14:textId="5B74D615" w:rsidR="00AA6786" w:rsidRPr="002950C3" w:rsidRDefault="00AA6786" w:rsidP="002950C3">
      <w:pPr>
        <w:pStyle w:val="ListBullet"/>
      </w:pPr>
      <w:proofErr w:type="gramStart"/>
      <w:r w:rsidRPr="00AA6786">
        <w:t>All of</w:t>
      </w:r>
      <w:proofErr w:type="gramEnd"/>
      <w:r w:rsidRPr="00AA6786">
        <w:t xml:space="preserve"> New Zealand is at Alert Level 1.</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This table list the New Zealand alert levels by summary and total numbers."/>
      </w:tblPr>
      <w:tblGrid>
        <w:gridCol w:w="7371"/>
        <w:gridCol w:w="1701"/>
      </w:tblGrid>
      <w:tr w:rsidR="00046248" w:rsidRPr="007E001C" w14:paraId="1BBADB80" w14:textId="77777777" w:rsidTr="00AA6786">
        <w:trPr>
          <w:trHeight w:hRule="exact" w:val="358"/>
          <w:tblHeader/>
        </w:trPr>
        <w:tc>
          <w:tcPr>
            <w:tcW w:w="7371" w:type="dxa"/>
            <w:shd w:val="clear" w:color="auto" w:fill="DAEEF3" w:themeFill="accent5" w:themeFillTint="33"/>
            <w:tcMar>
              <w:top w:w="45" w:type="dxa"/>
              <w:left w:w="75" w:type="dxa"/>
              <w:bottom w:w="45" w:type="dxa"/>
              <w:right w:w="75" w:type="dxa"/>
            </w:tcMar>
            <w:vAlign w:val="center"/>
            <w:hideMark/>
          </w:tcPr>
          <w:p w14:paraId="64DEB40F" w14:textId="26E65B4C" w:rsidR="00046248" w:rsidRPr="007E001C" w:rsidRDefault="00AA6786" w:rsidP="00026AD9">
            <w:pPr>
              <w:pageBreakBefore/>
              <w:rPr>
                <w:rFonts w:eastAsia="Times New Roman" w:cs="Arial"/>
                <w:b/>
                <w:sz w:val="22"/>
                <w:szCs w:val="22"/>
                <w:lang w:eastAsia="en-AU"/>
              </w:rPr>
            </w:pPr>
            <w:r>
              <w:rPr>
                <w:rFonts w:eastAsia="Times New Roman" w:cs="Arial"/>
                <w:b/>
                <w:sz w:val="22"/>
                <w:szCs w:val="22"/>
                <w:lang w:eastAsia="en-AU"/>
              </w:rPr>
              <w:lastRenderedPageBreak/>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7E001C" w:rsidRDefault="00046248" w:rsidP="00AA6786">
            <w:pPr>
              <w:jc w:val="right"/>
              <w:rPr>
                <w:rFonts w:eastAsia="Times New Roman" w:cs="Arial"/>
                <w:b/>
                <w:sz w:val="22"/>
                <w:szCs w:val="22"/>
                <w:lang w:eastAsia="en-AU"/>
              </w:rPr>
            </w:pPr>
            <w:r w:rsidRPr="007E001C">
              <w:rPr>
                <w:rFonts w:eastAsia="Times New Roman" w:cs="Arial"/>
                <w:b/>
                <w:sz w:val="22"/>
                <w:szCs w:val="22"/>
                <w:lang w:eastAsia="en-AU"/>
              </w:rPr>
              <w:t>Total</w:t>
            </w:r>
          </w:p>
        </w:tc>
      </w:tr>
      <w:tr w:rsidR="00AA6786" w:rsidRPr="007E001C" w14:paraId="2211065B" w14:textId="77777777" w:rsidTr="00AA6786">
        <w:trPr>
          <w:trHeight w:hRule="exact" w:val="320"/>
        </w:trPr>
        <w:tc>
          <w:tcPr>
            <w:tcW w:w="7371" w:type="dxa"/>
            <w:shd w:val="clear" w:color="auto" w:fill="auto"/>
            <w:tcMar>
              <w:top w:w="45" w:type="dxa"/>
              <w:left w:w="75" w:type="dxa"/>
              <w:bottom w:w="45" w:type="dxa"/>
              <w:right w:w="75" w:type="dxa"/>
            </w:tcMar>
            <w:vAlign w:val="center"/>
            <w:hideMark/>
          </w:tcPr>
          <w:p w14:paraId="6A837445" w14:textId="77777777" w:rsidR="00AA6786" w:rsidRPr="00AA6786" w:rsidRDefault="00AA6786" w:rsidP="00AA6786">
            <w:pPr>
              <w:spacing w:before="20" w:after="20" w:line="247" w:lineRule="auto"/>
              <w:rPr>
                <w:rFonts w:eastAsia="Times New Roman" w:cs="Arial"/>
                <w:sz w:val="23"/>
                <w:szCs w:val="23"/>
                <w:lang w:eastAsia="en-AU"/>
              </w:rPr>
            </w:pPr>
            <w:r w:rsidRPr="00AA6786">
              <w:rPr>
                <w:rFonts w:eastAsia="Times New Roman" w:cs="Arial"/>
                <w:sz w:val="23"/>
                <w:szCs w:val="23"/>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0F6C901F" w:rsidR="00AA6786" w:rsidRPr="00AA6786" w:rsidRDefault="004B6381" w:rsidP="00AA6786">
            <w:pPr>
              <w:spacing w:before="20" w:after="20" w:line="247" w:lineRule="auto"/>
              <w:jc w:val="right"/>
              <w:rPr>
                <w:rFonts w:eastAsia="Times New Roman" w:cs="Arial"/>
                <w:color w:val="FF0000"/>
                <w:sz w:val="23"/>
                <w:szCs w:val="23"/>
                <w:lang w:eastAsia="en-AU"/>
              </w:rPr>
            </w:pPr>
            <w:r w:rsidRPr="00AA6786">
              <w:rPr>
                <w:rFonts w:eastAsia="Times New Roman" w:cs="Arial"/>
                <w:color w:val="FF0000"/>
                <w:sz w:val="23"/>
                <w:szCs w:val="23"/>
                <w:lang w:eastAsia="en-AU"/>
              </w:rPr>
              <w:t>2,523</w:t>
            </w:r>
          </w:p>
        </w:tc>
      </w:tr>
      <w:tr w:rsidR="00AA6786" w:rsidRPr="007E001C" w14:paraId="3582A456" w14:textId="77777777" w:rsidTr="00AA6786">
        <w:trPr>
          <w:trHeight w:hRule="exact" w:val="382"/>
        </w:trPr>
        <w:tc>
          <w:tcPr>
            <w:tcW w:w="7371" w:type="dxa"/>
            <w:shd w:val="clear" w:color="auto" w:fill="auto"/>
            <w:tcMar>
              <w:top w:w="45" w:type="dxa"/>
              <w:left w:w="75" w:type="dxa"/>
              <w:bottom w:w="45" w:type="dxa"/>
              <w:right w:w="75" w:type="dxa"/>
            </w:tcMar>
            <w:vAlign w:val="center"/>
          </w:tcPr>
          <w:p w14:paraId="022D8969" w14:textId="77777777" w:rsidR="00AA6786" w:rsidRPr="00AA6786" w:rsidRDefault="00AA6786" w:rsidP="00AA6786">
            <w:pPr>
              <w:spacing w:before="20" w:after="20" w:line="247" w:lineRule="auto"/>
              <w:rPr>
                <w:rFonts w:eastAsia="Times New Roman" w:cs="Arial"/>
                <w:sz w:val="23"/>
                <w:szCs w:val="23"/>
                <w:lang w:eastAsia="en-AU"/>
              </w:rPr>
            </w:pPr>
            <w:r w:rsidRPr="00AA6786">
              <w:rPr>
                <w:rFonts w:eastAsia="Times New Roman" w:cs="Arial"/>
                <w:sz w:val="23"/>
                <w:szCs w:val="23"/>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379F47CF" w:rsidR="00AA6786" w:rsidRPr="00AA6786" w:rsidRDefault="000065AF" w:rsidP="00AA6786">
            <w:pPr>
              <w:spacing w:before="20" w:after="20" w:line="247" w:lineRule="auto"/>
              <w:jc w:val="right"/>
              <w:rPr>
                <w:rFonts w:eastAsia="Times New Roman" w:cs="Arial"/>
                <w:color w:val="FF0000"/>
                <w:sz w:val="23"/>
                <w:szCs w:val="23"/>
                <w:lang w:eastAsia="en-AU"/>
              </w:rPr>
            </w:pPr>
            <w:r>
              <w:rPr>
                <w:rFonts w:eastAsia="Times New Roman" w:cs="Arial"/>
                <w:color w:val="FF0000"/>
                <w:sz w:val="23"/>
                <w:szCs w:val="23"/>
                <w:lang w:eastAsia="en-AU"/>
              </w:rPr>
              <w:t>29</w:t>
            </w:r>
          </w:p>
        </w:tc>
      </w:tr>
      <w:tr w:rsidR="00AA6786" w:rsidRPr="007E001C" w14:paraId="4D5A3D43" w14:textId="77777777" w:rsidTr="00AA6786">
        <w:trPr>
          <w:trHeight w:hRule="exact" w:val="374"/>
        </w:trPr>
        <w:tc>
          <w:tcPr>
            <w:tcW w:w="7371" w:type="dxa"/>
            <w:shd w:val="clear" w:color="auto" w:fill="auto"/>
            <w:tcMar>
              <w:top w:w="45" w:type="dxa"/>
              <w:left w:w="75" w:type="dxa"/>
              <w:bottom w:w="45" w:type="dxa"/>
              <w:right w:w="75" w:type="dxa"/>
            </w:tcMar>
            <w:vAlign w:val="center"/>
          </w:tcPr>
          <w:p w14:paraId="6FE74E75" w14:textId="77777777" w:rsidR="00AA6786" w:rsidRPr="00AA6786" w:rsidRDefault="00AA6786" w:rsidP="00AA6786">
            <w:pPr>
              <w:spacing w:before="20" w:after="20" w:line="247" w:lineRule="auto"/>
              <w:rPr>
                <w:rFonts w:eastAsia="Times New Roman" w:cs="Arial"/>
                <w:sz w:val="23"/>
                <w:szCs w:val="23"/>
                <w:lang w:eastAsia="en-AU"/>
              </w:rPr>
            </w:pPr>
            <w:r w:rsidRPr="00AA6786">
              <w:rPr>
                <w:rFonts w:eastAsia="Times New Roman" w:cs="Arial"/>
                <w:sz w:val="23"/>
                <w:szCs w:val="23"/>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7492A50D" w:rsidR="00AA6786" w:rsidRPr="00AA6786" w:rsidRDefault="000065AF" w:rsidP="00AA6786">
            <w:pPr>
              <w:spacing w:before="20" w:after="20" w:line="247" w:lineRule="auto"/>
              <w:jc w:val="right"/>
              <w:rPr>
                <w:rFonts w:eastAsia="Times New Roman" w:cs="Arial"/>
                <w:color w:val="FF0000"/>
                <w:sz w:val="23"/>
                <w:szCs w:val="23"/>
                <w:lang w:eastAsia="en-AU"/>
              </w:rPr>
            </w:pPr>
            <w:r>
              <w:rPr>
                <w:rFonts w:eastAsia="Times New Roman" w:cs="Arial"/>
                <w:color w:val="FF0000"/>
                <w:sz w:val="23"/>
                <w:szCs w:val="23"/>
                <w:lang w:eastAsia="en-AU"/>
              </w:rPr>
              <w:t>0</w:t>
            </w:r>
            <w:r w:rsidR="00AA6786" w:rsidRPr="00AA6786">
              <w:rPr>
                <w:rFonts w:eastAsia="Times New Roman" w:cs="Arial"/>
                <w:color w:val="FF0000"/>
                <w:sz w:val="23"/>
                <w:szCs w:val="23"/>
                <w:lang w:eastAsia="en-AU"/>
              </w:rPr>
              <w:t xml:space="preserve">    </w:t>
            </w:r>
          </w:p>
        </w:tc>
      </w:tr>
      <w:tr w:rsidR="00AA6786" w:rsidRPr="007E001C" w14:paraId="64A49BEC" w14:textId="77777777" w:rsidTr="00AA6786">
        <w:trPr>
          <w:trHeight w:hRule="exact" w:val="380"/>
        </w:trPr>
        <w:tc>
          <w:tcPr>
            <w:tcW w:w="7371" w:type="dxa"/>
            <w:shd w:val="clear" w:color="auto" w:fill="auto"/>
            <w:tcMar>
              <w:top w:w="45" w:type="dxa"/>
              <w:left w:w="75" w:type="dxa"/>
              <w:bottom w:w="45" w:type="dxa"/>
              <w:right w:w="75" w:type="dxa"/>
            </w:tcMar>
            <w:vAlign w:val="center"/>
          </w:tcPr>
          <w:p w14:paraId="19ED21C9" w14:textId="77777777" w:rsidR="00AA6786" w:rsidRPr="00AA6786" w:rsidRDefault="00AA6786" w:rsidP="00AA6786">
            <w:pPr>
              <w:spacing w:before="20" w:after="20" w:line="247" w:lineRule="auto"/>
              <w:rPr>
                <w:rFonts w:eastAsia="Times New Roman" w:cs="Arial"/>
                <w:sz w:val="23"/>
                <w:szCs w:val="23"/>
                <w:lang w:eastAsia="en-AU"/>
              </w:rPr>
            </w:pPr>
            <w:r w:rsidRPr="00AA6786">
              <w:rPr>
                <w:rFonts w:eastAsia="Times New Roman" w:cs="Arial"/>
                <w:sz w:val="23"/>
                <w:szCs w:val="23"/>
                <w:lang w:eastAsia="en-AU"/>
              </w:rPr>
              <w:t>Cases removed or reclassified</w:t>
            </w:r>
          </w:p>
        </w:tc>
        <w:tc>
          <w:tcPr>
            <w:tcW w:w="1701" w:type="dxa"/>
            <w:shd w:val="clear" w:color="auto" w:fill="auto"/>
            <w:tcMar>
              <w:top w:w="45" w:type="dxa"/>
              <w:left w:w="75" w:type="dxa"/>
              <w:bottom w:w="45" w:type="dxa"/>
              <w:right w:w="75" w:type="dxa"/>
            </w:tcMar>
            <w:vAlign w:val="center"/>
          </w:tcPr>
          <w:p w14:paraId="3935EBD2" w14:textId="7EA7BC02" w:rsidR="00AA6786" w:rsidRPr="00665CE4" w:rsidRDefault="00665CE4" w:rsidP="00665CE4">
            <w:pPr>
              <w:spacing w:before="20" w:after="20" w:line="247" w:lineRule="auto"/>
              <w:ind w:left="660"/>
              <w:jc w:val="right"/>
              <w:rPr>
                <w:rFonts w:eastAsia="Times New Roman"/>
                <w:color w:val="FF0000"/>
                <w:sz w:val="23"/>
                <w:szCs w:val="23"/>
                <w:lang w:eastAsia="en-AU"/>
              </w:rPr>
            </w:pPr>
            <w:r w:rsidRPr="00665CE4">
              <w:rPr>
                <w:rFonts w:eastAsia="Times New Roman" w:cs="Arial"/>
                <w:color w:val="FF0000"/>
                <w:sz w:val="23"/>
                <w:szCs w:val="23"/>
                <w:lang w:eastAsia="en-AU"/>
              </w:rPr>
              <w:t>-</w:t>
            </w:r>
            <w:r>
              <w:rPr>
                <w:rFonts w:eastAsia="Times New Roman"/>
                <w:color w:val="FF0000"/>
                <w:sz w:val="23"/>
                <w:szCs w:val="23"/>
                <w:lang w:eastAsia="en-AU"/>
              </w:rPr>
              <w:t xml:space="preserve"> </w:t>
            </w:r>
            <w:r w:rsidR="000065AF" w:rsidRPr="00665CE4">
              <w:rPr>
                <w:rFonts w:eastAsia="Times New Roman"/>
                <w:color w:val="FF0000"/>
                <w:sz w:val="23"/>
                <w:szCs w:val="23"/>
                <w:lang w:eastAsia="en-AU"/>
              </w:rPr>
              <w:t>4</w:t>
            </w:r>
          </w:p>
        </w:tc>
      </w:tr>
      <w:tr w:rsidR="00AA6786" w:rsidRPr="007E001C" w14:paraId="5C9CCFDC" w14:textId="77777777" w:rsidTr="00AA6786">
        <w:trPr>
          <w:trHeight w:hRule="exact" w:val="375"/>
        </w:trPr>
        <w:tc>
          <w:tcPr>
            <w:tcW w:w="7371" w:type="dxa"/>
            <w:shd w:val="clear" w:color="auto" w:fill="auto"/>
            <w:tcMar>
              <w:top w:w="45" w:type="dxa"/>
              <w:left w:w="75" w:type="dxa"/>
              <w:bottom w:w="45" w:type="dxa"/>
              <w:right w:w="75" w:type="dxa"/>
            </w:tcMar>
            <w:vAlign w:val="center"/>
          </w:tcPr>
          <w:p w14:paraId="19FE9543" w14:textId="77777777" w:rsidR="00AA6786" w:rsidRPr="00AA6786" w:rsidRDefault="00AA6786" w:rsidP="00AA6786">
            <w:pPr>
              <w:spacing w:before="20" w:after="20" w:line="247" w:lineRule="auto"/>
              <w:rPr>
                <w:rFonts w:eastAsia="Times New Roman" w:cs="Arial"/>
                <w:sz w:val="23"/>
                <w:szCs w:val="23"/>
                <w:lang w:eastAsia="en-AU"/>
              </w:rPr>
            </w:pPr>
            <w:r w:rsidRPr="00AA6786">
              <w:rPr>
                <w:rFonts w:eastAsia="Times New Roman" w:cs="Arial"/>
                <w:sz w:val="23"/>
                <w:szCs w:val="23"/>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487C1A9F" w:rsidR="00AA6786" w:rsidRPr="00AA6786" w:rsidRDefault="000065AF" w:rsidP="00AA6786">
            <w:pPr>
              <w:spacing w:before="20" w:after="20" w:line="247" w:lineRule="auto"/>
              <w:jc w:val="right"/>
              <w:rPr>
                <w:rFonts w:eastAsia="Times New Roman" w:cs="Arial"/>
                <w:color w:val="FF0000"/>
                <w:sz w:val="23"/>
                <w:szCs w:val="23"/>
                <w:lang w:eastAsia="en-AU"/>
              </w:rPr>
            </w:pPr>
            <w:r>
              <w:rPr>
                <w:rFonts w:eastAsia="Times New Roman" w:cs="Arial"/>
                <w:color w:val="FF0000"/>
                <w:sz w:val="23"/>
                <w:szCs w:val="23"/>
                <w:lang w:eastAsia="en-AU"/>
              </w:rPr>
              <w:t>2,548</w:t>
            </w:r>
            <w:r w:rsidR="00AA6786" w:rsidRPr="00AA6786">
              <w:rPr>
                <w:rFonts w:eastAsia="Times New Roman" w:cs="Arial"/>
                <w:color w:val="FF0000"/>
                <w:sz w:val="23"/>
                <w:szCs w:val="23"/>
                <w:lang w:eastAsia="en-AU"/>
              </w:rPr>
              <w:t xml:space="preserve"> </w:t>
            </w:r>
          </w:p>
        </w:tc>
      </w:tr>
    </w:tbl>
    <w:p w14:paraId="06DF1C38" w14:textId="2237620F"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Description w:val="This table list the Hospitalisation and deaths by summary and total numbers."/>
      </w:tblPr>
      <w:tblGrid>
        <w:gridCol w:w="7372"/>
        <w:gridCol w:w="1701"/>
      </w:tblGrid>
      <w:tr w:rsidR="00046248" w:rsidRPr="0082685D" w14:paraId="4D47BAE0" w14:textId="77777777" w:rsidTr="00441C90">
        <w:trPr>
          <w:trHeight w:val="160"/>
        </w:trPr>
        <w:tc>
          <w:tcPr>
            <w:tcW w:w="7372" w:type="dxa"/>
            <w:tcBorders>
              <w:bottom w:val="single" w:sz="4" w:space="0" w:color="auto"/>
            </w:tcBorders>
            <w:shd w:val="clear" w:color="auto" w:fill="DBE5F1" w:themeFill="accent1" w:themeFillTint="33"/>
            <w:vAlign w:val="center"/>
          </w:tcPr>
          <w:p w14:paraId="384A3609" w14:textId="77777777" w:rsidR="00046248" w:rsidRPr="007E001C" w:rsidRDefault="00046248" w:rsidP="00441C90">
            <w:pPr>
              <w:spacing w:before="20" w:after="20"/>
              <w:rPr>
                <w:rFonts w:cs="Arial"/>
                <w:b/>
                <w:sz w:val="22"/>
                <w:szCs w:val="22"/>
                <w:lang w:val="en"/>
              </w:rPr>
            </w:pPr>
          </w:p>
        </w:tc>
        <w:tc>
          <w:tcPr>
            <w:tcW w:w="1701" w:type="dxa"/>
            <w:shd w:val="clear" w:color="auto" w:fill="DBE5F1" w:themeFill="accent1" w:themeFillTint="33"/>
            <w:vAlign w:val="center"/>
          </w:tcPr>
          <w:p w14:paraId="1207B8C3" w14:textId="77777777" w:rsidR="00046248" w:rsidRPr="007E001C" w:rsidRDefault="00046248" w:rsidP="00441C90">
            <w:pPr>
              <w:spacing w:before="20" w:after="20"/>
              <w:jc w:val="center"/>
              <w:rPr>
                <w:rFonts w:cs="Arial"/>
                <w:b/>
                <w:sz w:val="22"/>
                <w:szCs w:val="22"/>
                <w:lang w:val="en"/>
              </w:rPr>
            </w:pPr>
          </w:p>
        </w:tc>
      </w:tr>
      <w:tr w:rsidR="00046248" w:rsidRPr="0082685D" w14:paraId="6526DFA2" w14:textId="77777777" w:rsidTr="00441C90">
        <w:trPr>
          <w:trHeight w:val="160"/>
        </w:trPr>
        <w:tc>
          <w:tcPr>
            <w:tcW w:w="7372" w:type="dxa"/>
            <w:tcBorders>
              <w:top w:val="single" w:sz="4" w:space="0" w:color="auto"/>
            </w:tcBorders>
            <w:vAlign w:val="center"/>
          </w:tcPr>
          <w:p w14:paraId="53D8F964" w14:textId="77777777" w:rsidR="00046248" w:rsidRPr="00AA6786" w:rsidRDefault="00046248" w:rsidP="00441C90">
            <w:pPr>
              <w:spacing w:before="20" w:after="20"/>
              <w:rPr>
                <w:rFonts w:cs="Arial"/>
                <w:sz w:val="23"/>
                <w:szCs w:val="23"/>
                <w:lang w:val="en"/>
              </w:rPr>
            </w:pPr>
            <w:r w:rsidRPr="00AA6786">
              <w:rPr>
                <w:rFonts w:cs="Arial"/>
                <w:sz w:val="23"/>
                <w:szCs w:val="23"/>
                <w:lang w:val="en"/>
              </w:rPr>
              <w:t>Cumulative deaths</w:t>
            </w:r>
          </w:p>
        </w:tc>
        <w:tc>
          <w:tcPr>
            <w:tcW w:w="1701" w:type="dxa"/>
            <w:vAlign w:val="center"/>
          </w:tcPr>
          <w:p w14:paraId="45E45F3F" w14:textId="77777777" w:rsidR="00046248" w:rsidRPr="00AA6786" w:rsidRDefault="00441C90" w:rsidP="00AA6786">
            <w:pPr>
              <w:spacing w:before="20" w:after="20"/>
              <w:jc w:val="right"/>
              <w:rPr>
                <w:rFonts w:cs="Arial"/>
                <w:color w:val="FF0000"/>
                <w:sz w:val="23"/>
                <w:szCs w:val="23"/>
                <w:lang w:val="en"/>
              </w:rPr>
            </w:pPr>
            <w:r w:rsidRPr="00AA6786">
              <w:rPr>
                <w:rFonts w:cs="Arial"/>
                <w:color w:val="auto"/>
                <w:sz w:val="23"/>
                <w:szCs w:val="23"/>
                <w:lang w:val="en"/>
              </w:rPr>
              <w:t>26</w:t>
            </w:r>
          </w:p>
        </w:tc>
      </w:tr>
      <w:tr w:rsidR="00046248" w:rsidRPr="0082685D" w14:paraId="7D3570B1" w14:textId="77777777" w:rsidTr="00441C90">
        <w:trPr>
          <w:trHeight w:val="160"/>
        </w:trPr>
        <w:tc>
          <w:tcPr>
            <w:tcW w:w="7372" w:type="dxa"/>
            <w:vAlign w:val="center"/>
          </w:tcPr>
          <w:p w14:paraId="1F5E2B56" w14:textId="77777777" w:rsidR="00046248" w:rsidRPr="00AA6786" w:rsidRDefault="00046248" w:rsidP="00441C90">
            <w:pPr>
              <w:spacing w:before="20" w:after="20"/>
              <w:rPr>
                <w:rFonts w:cs="Arial"/>
                <w:sz w:val="23"/>
                <w:szCs w:val="23"/>
                <w:lang w:val="en"/>
              </w:rPr>
            </w:pPr>
            <w:r w:rsidRPr="00AA6786">
              <w:rPr>
                <w:rFonts w:cs="Arial"/>
                <w:sz w:val="23"/>
                <w:szCs w:val="23"/>
                <w:lang w:val="en"/>
              </w:rPr>
              <w:t>Currently</w:t>
            </w:r>
            <w:r w:rsidRPr="00AA6786">
              <w:rPr>
                <w:rFonts w:cs="Arial"/>
                <w:sz w:val="23"/>
                <w:szCs w:val="23"/>
              </w:rPr>
              <w:t xml:space="preserve"> hospitalised</w:t>
            </w:r>
          </w:p>
        </w:tc>
        <w:tc>
          <w:tcPr>
            <w:tcW w:w="1701" w:type="dxa"/>
            <w:vAlign w:val="center"/>
          </w:tcPr>
          <w:p w14:paraId="7AB141C7" w14:textId="1F3E784C" w:rsidR="00046248" w:rsidRPr="00AA6786" w:rsidRDefault="00624F34" w:rsidP="00AA6786">
            <w:pPr>
              <w:spacing w:before="20" w:after="20"/>
              <w:jc w:val="right"/>
              <w:rPr>
                <w:rFonts w:cs="Arial"/>
                <w:color w:val="FF0000"/>
                <w:sz w:val="23"/>
                <w:szCs w:val="23"/>
                <w:lang w:val="en"/>
              </w:rPr>
            </w:pPr>
            <w:r w:rsidRPr="001C6111">
              <w:rPr>
                <w:rFonts w:cs="Arial"/>
                <w:color w:val="FF0000"/>
                <w:lang w:val="en"/>
              </w:rPr>
              <w:t>3</w:t>
            </w:r>
          </w:p>
        </w:tc>
      </w:tr>
    </w:tbl>
    <w:p w14:paraId="274458C9" w14:textId="77777777"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This table is a list of Locally acquired COVID-19 cases in New Zealand."/>
      </w:tblPr>
      <w:tblGrid>
        <w:gridCol w:w="5671"/>
        <w:gridCol w:w="1701"/>
        <w:gridCol w:w="1701"/>
      </w:tblGrid>
      <w:tr w:rsidR="002F5E02" w:rsidRPr="002F5E02" w14:paraId="71F03864" w14:textId="77777777" w:rsidTr="00441C90">
        <w:trPr>
          <w:trHeight w:val="385"/>
          <w:tblHeader/>
        </w:trPr>
        <w:tc>
          <w:tcPr>
            <w:tcW w:w="5671" w:type="dxa"/>
            <w:tcBorders>
              <w:bottom w:val="single" w:sz="4" w:space="0" w:color="auto"/>
            </w:tcBorders>
            <w:shd w:val="clear" w:color="auto" w:fill="DBE5F1" w:themeFill="accent1" w:themeFillTint="33"/>
          </w:tcPr>
          <w:p w14:paraId="040EEE17" w14:textId="77777777"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14:paraId="4BD09E61" w14:textId="77777777"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14:paraId="1D58C7A8" w14:textId="77777777"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14:paraId="78C6A913" w14:textId="77777777" w:rsidTr="00441C90">
        <w:trPr>
          <w:trHeight w:val="370"/>
        </w:trPr>
        <w:tc>
          <w:tcPr>
            <w:tcW w:w="5671" w:type="dxa"/>
            <w:tcBorders>
              <w:top w:val="single" w:sz="4" w:space="0" w:color="auto"/>
            </w:tcBorders>
          </w:tcPr>
          <w:p w14:paraId="27B055A8" w14:textId="77777777" w:rsidR="000F78EE" w:rsidRPr="00AA6786" w:rsidRDefault="000F78EE" w:rsidP="00F33CD8">
            <w:pPr>
              <w:spacing w:after="0" w:line="22" w:lineRule="atLeast"/>
              <w:rPr>
                <w:rFonts w:cs="Arial"/>
                <w:color w:val="auto"/>
                <w:sz w:val="23"/>
                <w:szCs w:val="23"/>
                <w:lang w:val="en"/>
              </w:rPr>
            </w:pPr>
            <w:r w:rsidRPr="00AA6786">
              <w:rPr>
                <w:color w:val="auto"/>
                <w:sz w:val="23"/>
                <w:szCs w:val="23"/>
              </w:rPr>
              <w:t xml:space="preserve">Last locally acquired case </w:t>
            </w:r>
          </w:p>
        </w:tc>
        <w:tc>
          <w:tcPr>
            <w:tcW w:w="1701" w:type="dxa"/>
            <w:vAlign w:val="center"/>
          </w:tcPr>
          <w:p w14:paraId="32D2D54A" w14:textId="77777777" w:rsidR="000F78EE" w:rsidRPr="00AA6786" w:rsidRDefault="000F78EE" w:rsidP="00441C90">
            <w:pPr>
              <w:spacing w:after="0" w:line="22" w:lineRule="atLeast"/>
              <w:jc w:val="center"/>
              <w:rPr>
                <w:rFonts w:cs="Arial"/>
                <w:color w:val="FF0000"/>
                <w:sz w:val="23"/>
                <w:szCs w:val="23"/>
                <w:lang w:val="en"/>
              </w:rPr>
            </w:pPr>
            <w:r w:rsidRPr="00AA6786">
              <w:rPr>
                <w:rFonts w:cs="Arial"/>
                <w:color w:val="auto"/>
                <w:sz w:val="23"/>
                <w:szCs w:val="23"/>
                <w:lang w:val="en"/>
              </w:rPr>
              <w:t>20/04/2021</w:t>
            </w:r>
          </w:p>
        </w:tc>
        <w:tc>
          <w:tcPr>
            <w:tcW w:w="1701" w:type="dxa"/>
            <w:vAlign w:val="center"/>
          </w:tcPr>
          <w:p w14:paraId="5D4D47C1" w14:textId="7CDB2334" w:rsidR="000F78EE" w:rsidRPr="00AA6786" w:rsidRDefault="00AA6786" w:rsidP="00AA6786">
            <w:pPr>
              <w:spacing w:after="0" w:line="22" w:lineRule="atLeast"/>
              <w:jc w:val="right"/>
              <w:rPr>
                <w:rFonts w:cs="Arial"/>
                <w:color w:val="FF0000"/>
                <w:sz w:val="23"/>
                <w:szCs w:val="23"/>
                <w:lang w:val="en"/>
              </w:rPr>
            </w:pPr>
            <w:r>
              <w:rPr>
                <w:rFonts w:cs="Arial"/>
                <w:color w:val="FF0000"/>
                <w:sz w:val="23"/>
                <w:szCs w:val="23"/>
                <w:lang w:val="en"/>
              </w:rPr>
              <w:t>1</w:t>
            </w:r>
            <w:r w:rsidR="003D2107">
              <w:rPr>
                <w:rFonts w:cs="Arial"/>
                <w:color w:val="FF0000"/>
                <w:sz w:val="23"/>
                <w:szCs w:val="23"/>
                <w:lang w:val="en"/>
              </w:rPr>
              <w:t>13</w:t>
            </w:r>
          </w:p>
        </w:tc>
      </w:tr>
      <w:tr w:rsidR="000F78EE" w:rsidRPr="002F5E02" w14:paraId="6D949696" w14:textId="77777777" w:rsidTr="00441C90">
        <w:trPr>
          <w:trHeight w:val="342"/>
        </w:trPr>
        <w:tc>
          <w:tcPr>
            <w:tcW w:w="5671" w:type="dxa"/>
          </w:tcPr>
          <w:p w14:paraId="785148AB" w14:textId="77777777" w:rsidR="000F78EE" w:rsidRPr="00AA6786" w:rsidRDefault="000F78EE" w:rsidP="00441C90">
            <w:pPr>
              <w:spacing w:after="0" w:line="22" w:lineRule="atLeast"/>
              <w:rPr>
                <w:rFonts w:cs="Arial"/>
                <w:color w:val="auto"/>
                <w:sz w:val="23"/>
                <w:szCs w:val="23"/>
                <w:lang w:val="en"/>
              </w:rPr>
            </w:pPr>
            <w:r w:rsidRPr="00AA6786">
              <w:rPr>
                <w:color w:val="auto"/>
                <w:sz w:val="23"/>
                <w:szCs w:val="23"/>
              </w:rPr>
              <w:t xml:space="preserve">Last locally acquired case of unknown source </w:t>
            </w:r>
          </w:p>
        </w:tc>
        <w:tc>
          <w:tcPr>
            <w:tcW w:w="1701" w:type="dxa"/>
            <w:vAlign w:val="center"/>
          </w:tcPr>
          <w:p w14:paraId="615DB13E" w14:textId="77777777" w:rsidR="000F78EE" w:rsidRPr="00AA6786" w:rsidRDefault="000F78EE" w:rsidP="00441C90">
            <w:pPr>
              <w:pStyle w:val="NormalWeb"/>
              <w:spacing w:before="0" w:beforeAutospacing="0" w:after="0" w:afterAutospacing="0" w:line="22" w:lineRule="atLeast"/>
              <w:jc w:val="center"/>
              <w:rPr>
                <w:rFonts w:ascii="Arial" w:hAnsi="Arial" w:cs="Arial"/>
                <w:color w:val="FF0000"/>
                <w:sz w:val="23"/>
                <w:szCs w:val="23"/>
              </w:rPr>
            </w:pPr>
            <w:r w:rsidRPr="00AA6786">
              <w:rPr>
                <w:rFonts w:ascii="Arial" w:hAnsi="Arial" w:cs="Arial"/>
                <w:sz w:val="23"/>
                <w:szCs w:val="23"/>
                <w:lang w:val="en"/>
              </w:rPr>
              <w:t>13/02/2021</w:t>
            </w:r>
          </w:p>
        </w:tc>
        <w:tc>
          <w:tcPr>
            <w:tcW w:w="1701" w:type="dxa"/>
            <w:vAlign w:val="center"/>
          </w:tcPr>
          <w:p w14:paraId="626591BB" w14:textId="73723DD0" w:rsidR="000F78EE" w:rsidRPr="00AA6786" w:rsidRDefault="00AA6786" w:rsidP="00AA6786">
            <w:pPr>
              <w:spacing w:after="0" w:line="22" w:lineRule="atLeast"/>
              <w:jc w:val="right"/>
              <w:rPr>
                <w:rFonts w:cs="Arial"/>
                <w:color w:val="FF0000"/>
                <w:sz w:val="23"/>
                <w:szCs w:val="23"/>
              </w:rPr>
            </w:pPr>
            <w:r>
              <w:rPr>
                <w:rFonts w:cs="Arial"/>
                <w:color w:val="FF0000"/>
                <w:sz w:val="23"/>
                <w:szCs w:val="23"/>
                <w:lang w:val="en"/>
              </w:rPr>
              <w:t>17</w:t>
            </w:r>
            <w:r w:rsidR="003D2107">
              <w:rPr>
                <w:rFonts w:cs="Arial"/>
                <w:color w:val="FF0000"/>
                <w:sz w:val="23"/>
                <w:szCs w:val="23"/>
                <w:lang w:val="en"/>
              </w:rPr>
              <w:t>9</w:t>
            </w:r>
          </w:p>
        </w:tc>
      </w:tr>
    </w:tbl>
    <w:p w14:paraId="4D102721" w14:textId="77777777" w:rsidR="00926CA2" w:rsidRPr="00AA0B43" w:rsidRDefault="00926CA2" w:rsidP="002950C3">
      <w:pPr>
        <w:pStyle w:val="Heading1"/>
      </w:pPr>
      <w:r w:rsidRPr="00AA0B43">
        <w:t>Travel impacts</w:t>
      </w:r>
    </w:p>
    <w:p w14:paraId="5392BD71" w14:textId="566EEB89" w:rsidR="00AA6786" w:rsidRPr="00A01745" w:rsidRDefault="00AA6786" w:rsidP="002950C3">
      <w:pPr>
        <w:pStyle w:val="ListBullet"/>
      </w:pPr>
      <w:r w:rsidRPr="00A01745">
        <w:t xml:space="preserve">Quarantine-free travel from all Australian states and territories to New Zealand was suspended from 23 July 2021 due to the worsening COVID-19 situation in Australia. The suspension will be for a minimum period of eight weeks and will be reviewed in September 2021. </w:t>
      </w:r>
    </w:p>
    <w:p w14:paraId="4BB327F2" w14:textId="0AFCCA99" w:rsidR="00694D73" w:rsidRPr="00A01745" w:rsidRDefault="00694D73" w:rsidP="002950C3">
      <w:pPr>
        <w:pStyle w:val="ListBullet"/>
      </w:pPr>
      <w:r w:rsidRPr="00A01745">
        <w:t xml:space="preserve">Aside from managed return flights operating between 9 to 22 August </w:t>
      </w:r>
      <w:r w:rsidR="00165889">
        <w:t xml:space="preserve">2021 </w:t>
      </w:r>
      <w:r w:rsidRPr="00A01745">
        <w:t xml:space="preserve">from New South Wales, flights are </w:t>
      </w:r>
      <w:r w:rsidR="00665CE4">
        <w:t xml:space="preserve">currently </w:t>
      </w:r>
      <w:r w:rsidRPr="00A01745">
        <w:t xml:space="preserve">not operating to New Zealand from elsewhere in Australia. </w:t>
      </w:r>
    </w:p>
    <w:p w14:paraId="4E7AFEA8" w14:textId="562CD172" w:rsidR="00E9181D" w:rsidRPr="002D7279" w:rsidRDefault="002950C3" w:rsidP="002D7279">
      <w:pPr>
        <w:pStyle w:val="BodyText"/>
      </w:pPr>
      <w:r>
        <w:rPr>
          <w:noProof/>
        </w:rPr>
        <w:drawing>
          <wp:inline distT="0" distB="0" distL="0" distR="0" wp14:anchorId="4DD9F8E8" wp14:editId="059BFCCC">
            <wp:extent cx="2095500" cy="1171575"/>
            <wp:effectExtent l="0" t="0" r="0" b="9525"/>
            <wp:docPr id="1" name="Picture 1" descr="Signature of Professor Paul Kelly , Chief Medical Officer for the Department of Healt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Professor Paul Kelly , Chief Medical Officer for the Department of Health&#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pic:spPr>
                </pic:pic>
              </a:graphicData>
            </a:graphic>
          </wp:inline>
        </w:drawing>
      </w:r>
    </w:p>
    <w:p w14:paraId="6D157E2F" w14:textId="11EE01BF" w:rsidR="00AA6786" w:rsidRPr="007A4936" w:rsidRDefault="00AA6786" w:rsidP="00AA6786">
      <w:pPr>
        <w:spacing w:after="0" w:line="22" w:lineRule="atLeast"/>
        <w:ind w:left="284"/>
        <w:rPr>
          <w:color w:val="FF0000"/>
        </w:rPr>
      </w:pPr>
      <w:r w:rsidRPr="007A4936">
        <w:rPr>
          <w:color w:val="FF0000"/>
        </w:rPr>
        <w:t xml:space="preserve">Professor </w:t>
      </w:r>
      <w:r>
        <w:rPr>
          <w:color w:val="FF0000"/>
        </w:rPr>
        <w:t xml:space="preserve">Paul Kelly </w:t>
      </w:r>
      <w:r w:rsidRPr="007A4936">
        <w:rPr>
          <w:color w:val="FF0000"/>
        </w:rPr>
        <w:t xml:space="preserve"> </w:t>
      </w:r>
    </w:p>
    <w:p w14:paraId="7F9D6AD9" w14:textId="325D43D2" w:rsidR="00B211B6" w:rsidRPr="007A4936" w:rsidRDefault="000A5B04" w:rsidP="00441C90">
      <w:pPr>
        <w:spacing w:after="0" w:line="22" w:lineRule="atLeast"/>
        <w:ind w:left="284"/>
        <w:rPr>
          <w:color w:val="FF0000"/>
        </w:rPr>
      </w:pPr>
      <w:r w:rsidRPr="007A4936">
        <w:rPr>
          <w:color w:val="FF0000"/>
        </w:rPr>
        <w:t>C</w:t>
      </w:r>
      <w:r w:rsidR="00B211B6" w:rsidRPr="007A4936">
        <w:rPr>
          <w:color w:val="FF0000"/>
        </w:rPr>
        <w:t>hief Medical Officer</w:t>
      </w:r>
    </w:p>
    <w:p w14:paraId="39DCC7CA" w14:textId="08EEEF1B" w:rsidR="00365261" w:rsidRPr="007A4936" w:rsidRDefault="0084065A" w:rsidP="00441C90">
      <w:pPr>
        <w:spacing w:after="0" w:line="22" w:lineRule="atLeast"/>
        <w:ind w:left="284"/>
        <w:rPr>
          <w:color w:val="FF0000"/>
        </w:rPr>
      </w:pPr>
      <w:r w:rsidRPr="007A4936">
        <w:rPr>
          <w:noProof/>
          <w:color w:val="FF0000"/>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v:textbox>
              </v:shape>
            </w:pict>
          </mc:Fallback>
        </mc:AlternateContent>
      </w:r>
      <w:r w:rsidR="004B6381">
        <w:rPr>
          <w:noProof/>
          <w:color w:val="FF0000"/>
          <w:lang w:eastAsia="en-AU"/>
        </w:rPr>
        <w:t>11</w:t>
      </w:r>
      <w:r w:rsidR="00AA6786">
        <w:rPr>
          <w:noProof/>
          <w:color w:val="FF0000"/>
          <w:lang w:eastAsia="en-AU"/>
        </w:rPr>
        <w:t xml:space="preserve"> August</w:t>
      </w:r>
      <w:r w:rsidR="00A1790B" w:rsidRPr="007A4936">
        <w:rPr>
          <w:color w:val="FF0000"/>
        </w:rPr>
        <w:t xml:space="preserve"> 2021</w:t>
      </w:r>
    </w:p>
    <w:sectPr w:rsidR="00365261" w:rsidRPr="007A4936"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8325" w14:textId="77777777" w:rsidR="00994E50" w:rsidRDefault="00994E50" w:rsidP="003F5DCC">
      <w:pPr>
        <w:spacing w:after="0" w:line="240" w:lineRule="auto"/>
      </w:pPr>
      <w:r>
        <w:separator/>
      </w:r>
    </w:p>
  </w:endnote>
  <w:endnote w:type="continuationSeparator" w:id="0">
    <w:p w14:paraId="0EDBE478" w14:textId="77777777" w:rsidR="00994E50" w:rsidRDefault="00994E50" w:rsidP="003F5DCC">
      <w:pPr>
        <w:spacing w:after="0" w:line="240" w:lineRule="auto"/>
      </w:pPr>
      <w:r>
        <w:continuationSeparator/>
      </w:r>
    </w:p>
  </w:endnote>
  <w:endnote w:type="continuationNotice" w:id="1">
    <w:p w14:paraId="22488E48" w14:textId="77777777" w:rsidR="00994E50" w:rsidRDefault="00994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728" w14:textId="76DE669E"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2D7279">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781BC" w14:textId="77777777" w:rsidR="00994E50" w:rsidRDefault="00994E50" w:rsidP="003F5DCC">
      <w:pPr>
        <w:spacing w:after="0" w:line="240" w:lineRule="auto"/>
      </w:pPr>
      <w:r>
        <w:separator/>
      </w:r>
    </w:p>
  </w:footnote>
  <w:footnote w:type="continuationSeparator" w:id="0">
    <w:p w14:paraId="65726C51" w14:textId="77777777" w:rsidR="00994E50" w:rsidRDefault="00994E50" w:rsidP="003F5DCC">
      <w:pPr>
        <w:spacing w:after="0" w:line="240" w:lineRule="auto"/>
      </w:pPr>
      <w:r>
        <w:continuationSeparator/>
      </w:r>
    </w:p>
  </w:footnote>
  <w:footnote w:type="continuationNotice" w:id="1">
    <w:p w14:paraId="5EB30735" w14:textId="77777777" w:rsidR="00994E50" w:rsidRDefault="00994E50">
      <w:pPr>
        <w:spacing w:after="0" w:line="240" w:lineRule="auto"/>
      </w:pPr>
    </w:p>
  </w:footnote>
  <w:footnote w:id="2">
    <w:p w14:paraId="199931C6" w14:textId="77777777"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E6E1" w14:textId="77777777"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7F14" w14:textId="77777777"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3C8" w14:textId="77777777" w:rsidR="00B13F9B" w:rsidRDefault="003C64A9"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EE4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FAAC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2F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7E0F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50EB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F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435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655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886FEE"/>
    <w:lvl w:ilvl="0">
      <w:start w:val="1"/>
      <w:numFmt w:val="decimal"/>
      <w:lvlText w:val="%1."/>
      <w:lvlJc w:val="left"/>
      <w:pPr>
        <w:tabs>
          <w:tab w:val="num" w:pos="360"/>
        </w:tabs>
        <w:ind w:left="360" w:hanging="360"/>
      </w:pPr>
    </w:lvl>
  </w:abstractNum>
  <w:abstractNum w:abstractNumId="9"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3242F8"/>
    <w:multiLevelType w:val="hybridMultilevel"/>
    <w:tmpl w:val="DF7C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5F2E30"/>
    <w:multiLevelType w:val="hybridMultilevel"/>
    <w:tmpl w:val="481AA3D2"/>
    <w:lvl w:ilvl="0" w:tplc="B1164DF6">
      <w:start w:val="1"/>
      <w:numFmt w:val="bullet"/>
      <w:pStyle w:val="ListBullet2"/>
      <w:lvlText w:val=""/>
      <w:lvlJc w:val="left"/>
      <w:pPr>
        <w:ind w:left="720" w:hanging="360"/>
      </w:pPr>
      <w:rPr>
        <w:rFonts w:ascii="Symbol" w:hAnsi="Symbol" w:hint="default"/>
      </w:rPr>
    </w:lvl>
    <w:lvl w:ilvl="1" w:tplc="44DC3A3C">
      <w:start w:val="1"/>
      <w:numFmt w:val="bullet"/>
      <w:pStyle w:val="ListBullet3"/>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num w:numId="1">
    <w:abstractNumId w:val="9"/>
  </w:num>
  <w:num w:numId="2">
    <w:abstractNumId w:val="10"/>
  </w:num>
  <w:num w:numId="3">
    <w:abstractNumId w:val="12"/>
  </w:num>
  <w:num w:numId="4">
    <w:abstractNumId w:val="11"/>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217E2"/>
    <w:rsid w:val="0002211D"/>
    <w:rsid w:val="00022C1C"/>
    <w:rsid w:val="000231F0"/>
    <w:rsid w:val="000246E2"/>
    <w:rsid w:val="00025ED0"/>
    <w:rsid w:val="00026AD9"/>
    <w:rsid w:val="0002708E"/>
    <w:rsid w:val="00031F72"/>
    <w:rsid w:val="00033906"/>
    <w:rsid w:val="00040026"/>
    <w:rsid w:val="000436FB"/>
    <w:rsid w:val="00046248"/>
    <w:rsid w:val="00057650"/>
    <w:rsid w:val="00062C7F"/>
    <w:rsid w:val="00062E83"/>
    <w:rsid w:val="00070122"/>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60C1"/>
    <w:rsid w:val="000F073C"/>
    <w:rsid w:val="000F568B"/>
    <w:rsid w:val="000F5BB7"/>
    <w:rsid w:val="000F7501"/>
    <w:rsid w:val="000F7860"/>
    <w:rsid w:val="000F78EE"/>
    <w:rsid w:val="0010335F"/>
    <w:rsid w:val="00110F23"/>
    <w:rsid w:val="00113CF9"/>
    <w:rsid w:val="00115D98"/>
    <w:rsid w:val="00116001"/>
    <w:rsid w:val="001177D4"/>
    <w:rsid w:val="00123406"/>
    <w:rsid w:val="00147564"/>
    <w:rsid w:val="00152A33"/>
    <w:rsid w:val="001569AD"/>
    <w:rsid w:val="00157327"/>
    <w:rsid w:val="0016036F"/>
    <w:rsid w:val="00162C88"/>
    <w:rsid w:val="00165889"/>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50C3"/>
    <w:rsid w:val="00297EE7"/>
    <w:rsid w:val="002A519D"/>
    <w:rsid w:val="002B794D"/>
    <w:rsid w:val="002C2A43"/>
    <w:rsid w:val="002C3323"/>
    <w:rsid w:val="002C7AB1"/>
    <w:rsid w:val="002D0DAD"/>
    <w:rsid w:val="002D655D"/>
    <w:rsid w:val="002D7279"/>
    <w:rsid w:val="002E29D9"/>
    <w:rsid w:val="002E7AF7"/>
    <w:rsid w:val="002F2B8A"/>
    <w:rsid w:val="002F5E02"/>
    <w:rsid w:val="002F7DF8"/>
    <w:rsid w:val="00300221"/>
    <w:rsid w:val="00304E16"/>
    <w:rsid w:val="003077BF"/>
    <w:rsid w:val="00312B4E"/>
    <w:rsid w:val="00317709"/>
    <w:rsid w:val="00321098"/>
    <w:rsid w:val="00325A97"/>
    <w:rsid w:val="003320C4"/>
    <w:rsid w:val="00337760"/>
    <w:rsid w:val="003433A0"/>
    <w:rsid w:val="00343B8C"/>
    <w:rsid w:val="003555FE"/>
    <w:rsid w:val="003636FF"/>
    <w:rsid w:val="003642AD"/>
    <w:rsid w:val="00365065"/>
    <w:rsid w:val="00365261"/>
    <w:rsid w:val="00372037"/>
    <w:rsid w:val="00383823"/>
    <w:rsid w:val="0038500F"/>
    <w:rsid w:val="00390A39"/>
    <w:rsid w:val="00390B4D"/>
    <w:rsid w:val="00391355"/>
    <w:rsid w:val="003934D6"/>
    <w:rsid w:val="00394E16"/>
    <w:rsid w:val="003A4DBC"/>
    <w:rsid w:val="003A7104"/>
    <w:rsid w:val="003C1009"/>
    <w:rsid w:val="003C64A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65B56"/>
    <w:rsid w:val="00470665"/>
    <w:rsid w:val="00472D94"/>
    <w:rsid w:val="00472E2A"/>
    <w:rsid w:val="004867D1"/>
    <w:rsid w:val="00486A4D"/>
    <w:rsid w:val="00494230"/>
    <w:rsid w:val="004A0573"/>
    <w:rsid w:val="004A075B"/>
    <w:rsid w:val="004A0E1F"/>
    <w:rsid w:val="004B6381"/>
    <w:rsid w:val="004C3474"/>
    <w:rsid w:val="004C3A6B"/>
    <w:rsid w:val="004C3B71"/>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A107B"/>
    <w:rsid w:val="005A1504"/>
    <w:rsid w:val="005A2316"/>
    <w:rsid w:val="005B1E35"/>
    <w:rsid w:val="005B62AD"/>
    <w:rsid w:val="005D31CC"/>
    <w:rsid w:val="005E0C6D"/>
    <w:rsid w:val="005E1E18"/>
    <w:rsid w:val="005E5FFE"/>
    <w:rsid w:val="005F0F31"/>
    <w:rsid w:val="005F1BF3"/>
    <w:rsid w:val="005F201D"/>
    <w:rsid w:val="005F602A"/>
    <w:rsid w:val="00601060"/>
    <w:rsid w:val="00601991"/>
    <w:rsid w:val="00604999"/>
    <w:rsid w:val="006060C4"/>
    <w:rsid w:val="00616F76"/>
    <w:rsid w:val="0062366B"/>
    <w:rsid w:val="006236DF"/>
    <w:rsid w:val="006241BE"/>
    <w:rsid w:val="00624F34"/>
    <w:rsid w:val="00626224"/>
    <w:rsid w:val="006332AA"/>
    <w:rsid w:val="00651B3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27A45"/>
    <w:rsid w:val="00732EAF"/>
    <w:rsid w:val="00744435"/>
    <w:rsid w:val="00745300"/>
    <w:rsid w:val="007454BB"/>
    <w:rsid w:val="0074789B"/>
    <w:rsid w:val="00755C1E"/>
    <w:rsid w:val="007575E7"/>
    <w:rsid w:val="007702C5"/>
    <w:rsid w:val="00771686"/>
    <w:rsid w:val="00772AAC"/>
    <w:rsid w:val="007750C4"/>
    <w:rsid w:val="00777FF1"/>
    <w:rsid w:val="00793D70"/>
    <w:rsid w:val="007A46D6"/>
    <w:rsid w:val="007A4936"/>
    <w:rsid w:val="007A5D86"/>
    <w:rsid w:val="007A601E"/>
    <w:rsid w:val="007A6C8A"/>
    <w:rsid w:val="007B0669"/>
    <w:rsid w:val="007C0E67"/>
    <w:rsid w:val="007E001C"/>
    <w:rsid w:val="007E68CB"/>
    <w:rsid w:val="007F12A5"/>
    <w:rsid w:val="00802337"/>
    <w:rsid w:val="0080501F"/>
    <w:rsid w:val="00806B66"/>
    <w:rsid w:val="008112D6"/>
    <w:rsid w:val="00813165"/>
    <w:rsid w:val="00813BF4"/>
    <w:rsid w:val="00814E05"/>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FD"/>
    <w:rsid w:val="008C6A01"/>
    <w:rsid w:val="008E2A90"/>
    <w:rsid w:val="00900561"/>
    <w:rsid w:val="00901E58"/>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94E50"/>
    <w:rsid w:val="009A175F"/>
    <w:rsid w:val="009A248D"/>
    <w:rsid w:val="009B1C8A"/>
    <w:rsid w:val="009B24D4"/>
    <w:rsid w:val="009B5182"/>
    <w:rsid w:val="009C263D"/>
    <w:rsid w:val="009C4B3A"/>
    <w:rsid w:val="009C7680"/>
    <w:rsid w:val="009C769A"/>
    <w:rsid w:val="009D3C34"/>
    <w:rsid w:val="009D6DEB"/>
    <w:rsid w:val="009E22D0"/>
    <w:rsid w:val="009E35CB"/>
    <w:rsid w:val="009E5E2A"/>
    <w:rsid w:val="009E7164"/>
    <w:rsid w:val="009F1B69"/>
    <w:rsid w:val="009F5FDD"/>
    <w:rsid w:val="00A01745"/>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A6786"/>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525E"/>
    <w:rsid w:val="00BB0833"/>
    <w:rsid w:val="00BB2DCA"/>
    <w:rsid w:val="00BB5179"/>
    <w:rsid w:val="00BB56A4"/>
    <w:rsid w:val="00BC1ACA"/>
    <w:rsid w:val="00BC64D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625D3"/>
    <w:rsid w:val="00C766A0"/>
    <w:rsid w:val="00C808E5"/>
    <w:rsid w:val="00C81B48"/>
    <w:rsid w:val="00C91BD6"/>
    <w:rsid w:val="00CA0AA7"/>
    <w:rsid w:val="00CA14DF"/>
    <w:rsid w:val="00CA4CC3"/>
    <w:rsid w:val="00CA5637"/>
    <w:rsid w:val="00CA654D"/>
    <w:rsid w:val="00CB1090"/>
    <w:rsid w:val="00CB1808"/>
    <w:rsid w:val="00CC0B7C"/>
    <w:rsid w:val="00CC47E8"/>
    <w:rsid w:val="00CC4C1B"/>
    <w:rsid w:val="00CC764C"/>
    <w:rsid w:val="00CD7821"/>
    <w:rsid w:val="00CF14FC"/>
    <w:rsid w:val="00CF5CC0"/>
    <w:rsid w:val="00D01F3D"/>
    <w:rsid w:val="00D0327A"/>
    <w:rsid w:val="00D12306"/>
    <w:rsid w:val="00D23407"/>
    <w:rsid w:val="00D2738C"/>
    <w:rsid w:val="00D27A35"/>
    <w:rsid w:val="00D32B1F"/>
    <w:rsid w:val="00D32D6F"/>
    <w:rsid w:val="00D35673"/>
    <w:rsid w:val="00D36311"/>
    <w:rsid w:val="00D415AA"/>
    <w:rsid w:val="00D4409E"/>
    <w:rsid w:val="00D449A3"/>
    <w:rsid w:val="00D4754A"/>
    <w:rsid w:val="00D47E29"/>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524E"/>
    <w:rsid w:val="00DC55C7"/>
    <w:rsid w:val="00DC7086"/>
    <w:rsid w:val="00DD5DD6"/>
    <w:rsid w:val="00DE1D7A"/>
    <w:rsid w:val="00DF7207"/>
    <w:rsid w:val="00E025DA"/>
    <w:rsid w:val="00E03083"/>
    <w:rsid w:val="00E11B80"/>
    <w:rsid w:val="00E17FE0"/>
    <w:rsid w:val="00E21E05"/>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181D"/>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3658D"/>
    <w:rsid w:val="00F4102D"/>
    <w:rsid w:val="00F503F4"/>
    <w:rsid w:val="00F55E42"/>
    <w:rsid w:val="00F60D81"/>
    <w:rsid w:val="00F75E48"/>
    <w:rsid w:val="00F82E13"/>
    <w:rsid w:val="00F8328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2950C3"/>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2950C3"/>
    <w:pPr>
      <w:spacing w:before="120" w:after="120" w:line="240" w:lineRule="auto"/>
      <w:ind w:left="0" w:firstLine="0"/>
      <w:contextualSpacing w:val="0"/>
      <w:outlineLvl w:val="0"/>
    </w:pPr>
    <w:rPr>
      <w:rFonts w:cs="Arial"/>
      <w:color w:val="auto"/>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line="276" w:lineRule="auto"/>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unhideWhenUsed/>
    <w:rsid w:val="00026AD9"/>
    <w:pPr>
      <w:numPr>
        <w:numId w:val="1"/>
      </w:numPr>
      <w:spacing w:after="120" w:line="240" w:lineRule="auto"/>
      <w:ind w:left="714" w:hanging="357"/>
    </w:pPr>
    <w:rPr>
      <w:sz w:val="22"/>
    </w:r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2950C3"/>
    <w:rPr>
      <w:rFonts w:ascii="Arial" w:hAnsi="Arial" w:cs="Arial"/>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 w:type="paragraph" w:styleId="ListBullet2">
    <w:name w:val="List Bullet 2"/>
    <w:basedOn w:val="ListBullet"/>
    <w:uiPriority w:val="99"/>
    <w:unhideWhenUsed/>
    <w:rsid w:val="00026AD9"/>
    <w:pPr>
      <w:numPr>
        <w:numId w:val="3"/>
      </w:numPr>
      <w:tabs>
        <w:tab w:val="left" w:pos="2169"/>
      </w:tabs>
      <w:spacing w:before="60" w:after="60"/>
      <w:ind w:left="283" w:hanging="357"/>
    </w:pPr>
    <w:rPr>
      <w:rFonts w:eastAsia="Calibri" w:cs="Arial"/>
      <w:color w:val="FF0000"/>
      <w:szCs w:val="23"/>
    </w:rPr>
  </w:style>
  <w:style w:type="paragraph" w:styleId="ListBullet3">
    <w:name w:val="List Bullet 3"/>
    <w:basedOn w:val="ListBullet2"/>
    <w:uiPriority w:val="99"/>
    <w:unhideWhenUsed/>
    <w:rsid w:val="00026AD9"/>
    <w:pPr>
      <w:numPr>
        <w:ilvl w:val="1"/>
      </w:numPr>
      <w:ind w:left="143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CDD0-89BB-43F4-973D-60F7E5C2F50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83F167-4E4E-4E32-8456-9FFFFFEC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2578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11 AUgust 2021</dc:title>
  <dc:subject>Communicable diseases</dc:subject>
  <dc:creator>Australian Government Department of Health</dc:creator>
  <cp:keywords>coronavirus; covid-19; statistics; NZ; Communicable diseases; Emergency health management; Travel health</cp:keywords>
  <dc:description/>
  <cp:lastModifiedBy>MASCHKE, Elvia</cp:lastModifiedBy>
  <cp:revision>4</cp:revision>
  <cp:lastPrinted>2021-02-24T03:46:00Z</cp:lastPrinted>
  <dcterms:created xsi:type="dcterms:W3CDTF">2021-08-12T03:03:00Z</dcterms:created>
  <dcterms:modified xsi:type="dcterms:W3CDTF">2021-08-12T03:06:00Z</dcterms:modified>
</cp:coreProperties>
</file>