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6BD2" w14:textId="384D5BDB" w:rsidR="0012169C" w:rsidRPr="002D078B" w:rsidRDefault="0012169C" w:rsidP="001356A0">
      <w:pPr>
        <w:pStyle w:val="Title"/>
        <w:spacing w:before="2640" w:after="120"/>
      </w:pPr>
      <w:r w:rsidRPr="0012169C">
        <w:drawing>
          <wp:anchor distT="0" distB="0" distL="114300" distR="114300" simplePos="0" relativeHeight="251667456" behindDoc="1" locked="0" layoutInCell="1" allowOverlap="1" wp14:anchorId="34C14303" wp14:editId="0587A42C">
            <wp:simplePos x="0" y="0"/>
            <wp:positionH relativeFrom="margin">
              <wp:align>center</wp:align>
            </wp:positionH>
            <wp:positionV relativeFrom="margin">
              <wp:posOffset>114300</wp:posOffset>
            </wp:positionV>
            <wp:extent cx="6948805" cy="8506460"/>
            <wp:effectExtent l="0" t="0" r="4445"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920"/>
                    <a:stretch/>
                  </pic:blipFill>
                  <pic:spPr bwMode="auto">
                    <a:xfrm>
                      <a:off x="0" y="0"/>
                      <a:ext cx="6948805" cy="850646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2169C">
        <w:t>Clinical Trials in Australian Public</w:t>
      </w:r>
      <w:r w:rsidRPr="002D078B">
        <w:t xml:space="preserve"> Health Institutions</w:t>
      </w:r>
      <w:r>
        <w:t xml:space="preserve"> </w:t>
      </w:r>
      <w:r w:rsidRPr="002D078B">
        <w:t>2018-19 (NAS 4 report)</w:t>
      </w:r>
    </w:p>
    <w:p w14:paraId="387E3433" w14:textId="36B9FA3C" w:rsidR="0012169C" w:rsidRPr="002D078B" w:rsidRDefault="0012169C" w:rsidP="001356A0">
      <w:pPr>
        <w:pStyle w:val="Subtitle"/>
        <w:ind w:right="1938"/>
      </w:pPr>
      <w:r w:rsidRPr="002D078B">
        <w:t>Framework for National Aggregate Statistics (NAS) - Fourth Activity Report</w:t>
      </w:r>
    </w:p>
    <w:p w14:paraId="5114724D" w14:textId="77777777" w:rsidR="0012169C" w:rsidRPr="002D078B" w:rsidRDefault="0012169C" w:rsidP="0012169C">
      <w:pPr>
        <w:pStyle w:val="Subtitle"/>
      </w:pPr>
      <w:r w:rsidRPr="002D078B">
        <w:t>Clinical Trials Project Reference Group (CTPRG)</w:t>
      </w:r>
    </w:p>
    <w:p w14:paraId="6744D8C5" w14:textId="573CE75D" w:rsidR="0012169C" w:rsidRDefault="0012169C">
      <w:pPr>
        <w:spacing w:before="0" w:after="200" w:line="276" w:lineRule="auto"/>
      </w:pPr>
      <w:r>
        <w:br w:type="page"/>
      </w:r>
    </w:p>
    <w:p w14:paraId="787C1118" w14:textId="77777777" w:rsidR="00E421D6" w:rsidRDefault="00A56178" w:rsidP="0019029C">
      <w:pPr>
        <w:pStyle w:val="Copyright"/>
        <w:keepNext/>
      </w:pPr>
      <w:r>
        <w:lastRenderedPageBreak/>
        <w:t>Copyright</w:t>
      </w:r>
    </w:p>
    <w:p w14:paraId="4AA8B4FD" w14:textId="77777777" w:rsidR="00A56178" w:rsidRPr="002D078B" w:rsidRDefault="00A56178" w:rsidP="00A56178">
      <w:r w:rsidRPr="002D078B">
        <w:t>© 2020 Clinical Trials Project Reference Group</w:t>
      </w:r>
    </w:p>
    <w:p w14:paraId="45341DB5" w14:textId="77777777" w:rsidR="00A56178" w:rsidRPr="002D078B" w:rsidRDefault="00A56178" w:rsidP="00A56178">
      <w:r w:rsidRPr="002D078B">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7B6493C0" w14:textId="77777777" w:rsidR="00A56178" w:rsidRPr="002D078B" w:rsidRDefault="00A56178" w:rsidP="00A56178">
      <w:r w:rsidRPr="002D078B">
        <w:t>(a) do not use the copy or reproduction for any commercial purpose; and</w:t>
      </w:r>
    </w:p>
    <w:p w14:paraId="5C851546" w14:textId="77777777" w:rsidR="00A56178" w:rsidRPr="002D078B" w:rsidRDefault="00A56178" w:rsidP="00A56178">
      <w:r w:rsidRPr="002D078B">
        <w:t>(b) retain this copyright notice and all disclaimer notices as part of that copy or reproduction.</w:t>
      </w:r>
    </w:p>
    <w:p w14:paraId="788E0740" w14:textId="77777777" w:rsidR="00A56178" w:rsidRPr="002D078B" w:rsidRDefault="00A56178" w:rsidP="00A56178">
      <w:r w:rsidRPr="002D078B">
        <w:t xml:space="preserve">Apart from rights as permitted by the </w:t>
      </w:r>
      <w:r w:rsidRPr="002D078B">
        <w:rPr>
          <w:i/>
          <w:iCs/>
        </w:rPr>
        <w:t xml:space="preserve">Copyright Act 1968 </w:t>
      </w:r>
      <w:r w:rsidRPr="002D078B">
        <w:t>(</w:t>
      </w:r>
      <w:proofErr w:type="spellStart"/>
      <w:r w:rsidRPr="002D078B">
        <w:t>Cth</w:t>
      </w:r>
      <w:proofErr w:type="spellEnd"/>
      <w:r w:rsidRPr="002D078B">
        <w:t>) or allowed by this copyright notice, all other rights are reserved, including (but not limited to) all commercial rights.</w:t>
      </w:r>
    </w:p>
    <w:p w14:paraId="7BB926DF" w14:textId="77777777" w:rsidR="00A56178" w:rsidRDefault="00A56178" w:rsidP="00A56178">
      <w:r w:rsidRPr="002D078B">
        <w:t>Requests and inquiries concerning reproduction and other rights to use are to be sent to the Secretariat of the Clinical Trials Project Reference Group for the attention of the Communication and Change Branch, Commonwealth Department of Health, GPO Box 9848, Canberra ACT 2601</w:t>
      </w:r>
      <w:r w:rsidR="00A744D9" w:rsidRPr="002D078B">
        <w:t>, or</w:t>
      </w:r>
      <w:r w:rsidRPr="002D078B">
        <w:t xml:space="preserve"> via e-mail to </w:t>
      </w:r>
      <w:hyperlink r:id="rId9" w:history="1">
        <w:r w:rsidR="0019029C" w:rsidRPr="00887D67">
          <w:rPr>
            <w:rStyle w:val="Hyperlink"/>
          </w:rPr>
          <w:t>corporatecomms@health.gov.au</w:t>
        </w:r>
      </w:hyperlink>
      <w:r w:rsidRPr="002D078B">
        <w:t>.</w:t>
      </w:r>
    </w:p>
    <w:p w14:paraId="09152656" w14:textId="77777777" w:rsidR="0019029C" w:rsidRDefault="0019029C" w:rsidP="0019029C">
      <w:pPr>
        <w:pStyle w:val="Copyright"/>
      </w:pPr>
      <w:r>
        <w:t>Disclaimers</w:t>
      </w:r>
    </w:p>
    <w:p w14:paraId="0B6C6552" w14:textId="77777777" w:rsidR="0019029C" w:rsidRPr="002D078B" w:rsidRDefault="0019029C" w:rsidP="0019029C">
      <w:r w:rsidRPr="002D078B">
        <w:t xml:space="preserve">Whilst every effort was made to ensure that the information in this publication is correct at the time of publication, it may not be accurate or complete due to the quality of data used. Further, the information may be superseded where the future quality of the data is improved. </w:t>
      </w:r>
    </w:p>
    <w:p w14:paraId="5877B77B" w14:textId="77777777" w:rsidR="0019029C" w:rsidRDefault="0019029C" w:rsidP="0019029C">
      <w:r w:rsidRPr="002D078B">
        <w:t>To the extent permitted by law, the members of the Clinical Trials Project Reference Group do not accept any liability or responsibility for any injury, loss or damage suffered by any person arising from that person’s use or reliance on the content of this publication.</w:t>
      </w:r>
    </w:p>
    <w:p w14:paraId="7C0574D0" w14:textId="77777777" w:rsidR="009B553C" w:rsidRDefault="0019029C" w:rsidP="009B553C">
      <w:r w:rsidRPr="007B73BD">
        <w:rPr>
          <w:rFonts w:cs="Arial"/>
          <w:noProof/>
          <w:lang w:eastAsia="en-AU"/>
        </w:rPr>
        <w:drawing>
          <wp:inline distT="0" distB="0" distL="0" distR="0" wp14:anchorId="67C66BC6" wp14:editId="422179E6">
            <wp:extent cx="5731510" cy="2985267"/>
            <wp:effectExtent l="0" t="0" r="2540" b="5715"/>
            <wp:docPr id="1" name="Picture 1" descr="From top left to right, the Australian Department of Health crest, the National Health and Medical Research Council Australian Government crest.&#10;Next row from left to right, the crest of the Victoria State Government, New Southe Wales Government Health crest, the Queensland Government crest, then the Tasmanian Government crest.&#10;Bottom row, from left to right, the crest of the Government of South Australia SA Health, the ACT Government Health crest, the crest of the Government of Western Australia, then the crest of Northern Territory Government." title="Official crests of the Commonwealth,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for-copyright_BRA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985267"/>
                    </a:xfrm>
                    <a:prstGeom prst="rect">
                      <a:avLst/>
                    </a:prstGeom>
                  </pic:spPr>
                </pic:pic>
              </a:graphicData>
            </a:graphic>
          </wp:inline>
        </w:drawing>
      </w:r>
    </w:p>
    <w:p w14:paraId="785F4BDE" w14:textId="77777777" w:rsidR="009B553C" w:rsidRDefault="009B553C">
      <w:pPr>
        <w:spacing w:before="0" w:after="200" w:line="276" w:lineRule="auto"/>
      </w:pPr>
      <w:r>
        <w:br w:type="page"/>
      </w:r>
    </w:p>
    <w:sdt>
      <w:sdtPr>
        <w:id w:val="841349724"/>
        <w:docPartObj>
          <w:docPartGallery w:val="Table of Contents"/>
          <w:docPartUnique/>
        </w:docPartObj>
      </w:sdtPr>
      <w:sdtEndPr>
        <w:rPr>
          <w:rFonts w:asciiTheme="minorHAnsi" w:eastAsiaTheme="minorHAnsi" w:hAnsiTheme="minorHAnsi" w:cstheme="minorBidi"/>
          <w:bCs/>
          <w:noProof/>
          <w:color w:val="auto"/>
          <w:sz w:val="22"/>
          <w:szCs w:val="22"/>
          <w:lang w:val="en-AU"/>
        </w:rPr>
      </w:sdtEndPr>
      <w:sdtContent>
        <w:p w14:paraId="7AEE6AAC" w14:textId="77777777" w:rsidR="002E0697" w:rsidRPr="002E0697" w:rsidRDefault="002E0697" w:rsidP="002E0697">
          <w:pPr>
            <w:pStyle w:val="TOCHeading"/>
            <w:spacing w:before="120" w:after="120"/>
            <w:ind w:left="357" w:hanging="357"/>
            <w:rPr>
              <w:rFonts w:asciiTheme="minorHAnsi" w:hAnsiTheme="minorHAnsi"/>
              <w:b/>
              <w:caps/>
              <w:color w:val="358189"/>
              <w:sz w:val="28"/>
            </w:rPr>
          </w:pPr>
          <w:r w:rsidRPr="002E0697">
            <w:rPr>
              <w:rFonts w:asciiTheme="minorHAnsi" w:hAnsiTheme="minorHAnsi"/>
              <w:b/>
              <w:caps/>
              <w:color w:val="358189"/>
              <w:sz w:val="28"/>
            </w:rPr>
            <w:t>Contents</w:t>
          </w:r>
        </w:p>
        <w:p w14:paraId="714C5683" w14:textId="0C1B8998" w:rsidR="008F1828" w:rsidRDefault="002E0697">
          <w:pPr>
            <w:pStyle w:val="TOC1"/>
            <w:tabs>
              <w:tab w:val="right" w:leader="dot" w:pos="9016"/>
            </w:tabs>
            <w:rPr>
              <w:rFonts w:eastAsiaTheme="minorEastAsia"/>
              <w:noProof/>
              <w:lang w:eastAsia="en-AU"/>
            </w:rPr>
          </w:pPr>
          <w:r>
            <w:rPr>
              <w:b/>
              <w:caps/>
              <w:color w:val="358189"/>
              <w:sz w:val="28"/>
            </w:rPr>
            <w:fldChar w:fldCharType="begin"/>
          </w:r>
          <w:r>
            <w:rPr>
              <w:b/>
              <w:caps/>
              <w:color w:val="358189"/>
              <w:sz w:val="28"/>
            </w:rPr>
            <w:instrText xml:space="preserve"> TOC \o "1-3" \h \z \u </w:instrText>
          </w:r>
          <w:r>
            <w:rPr>
              <w:b/>
              <w:caps/>
              <w:color w:val="358189"/>
              <w:sz w:val="28"/>
            </w:rPr>
            <w:fldChar w:fldCharType="separate"/>
          </w:r>
          <w:hyperlink w:anchor="_Toc79679522" w:history="1">
            <w:r w:rsidR="008F1828" w:rsidRPr="00B57952">
              <w:rPr>
                <w:rStyle w:val="Hyperlink"/>
                <w:noProof/>
              </w:rPr>
              <w:t>Acronyms</w:t>
            </w:r>
            <w:r w:rsidR="008F1828">
              <w:rPr>
                <w:noProof/>
                <w:webHidden/>
              </w:rPr>
              <w:tab/>
            </w:r>
            <w:r w:rsidR="008F1828">
              <w:rPr>
                <w:noProof/>
                <w:webHidden/>
              </w:rPr>
              <w:fldChar w:fldCharType="begin"/>
            </w:r>
            <w:r w:rsidR="008F1828">
              <w:rPr>
                <w:noProof/>
                <w:webHidden/>
              </w:rPr>
              <w:instrText xml:space="preserve"> PAGEREF _Toc79679522 \h </w:instrText>
            </w:r>
            <w:r w:rsidR="008F1828">
              <w:rPr>
                <w:noProof/>
                <w:webHidden/>
              </w:rPr>
            </w:r>
            <w:r w:rsidR="008F1828">
              <w:rPr>
                <w:noProof/>
                <w:webHidden/>
              </w:rPr>
              <w:fldChar w:fldCharType="separate"/>
            </w:r>
            <w:r w:rsidR="008F1828">
              <w:rPr>
                <w:noProof/>
                <w:webHidden/>
              </w:rPr>
              <w:t>4</w:t>
            </w:r>
            <w:r w:rsidR="008F1828">
              <w:rPr>
                <w:noProof/>
                <w:webHidden/>
              </w:rPr>
              <w:fldChar w:fldCharType="end"/>
            </w:r>
          </w:hyperlink>
        </w:p>
        <w:p w14:paraId="189FCC2A" w14:textId="2DDB3AC9" w:rsidR="008F1828" w:rsidRDefault="008F1828">
          <w:pPr>
            <w:pStyle w:val="TOC1"/>
            <w:tabs>
              <w:tab w:val="right" w:leader="dot" w:pos="9016"/>
            </w:tabs>
            <w:rPr>
              <w:rFonts w:eastAsiaTheme="minorEastAsia"/>
              <w:noProof/>
              <w:lang w:eastAsia="en-AU"/>
            </w:rPr>
          </w:pPr>
          <w:hyperlink w:anchor="_Toc79679523" w:history="1">
            <w:r w:rsidRPr="00B57952">
              <w:rPr>
                <w:rStyle w:val="Hyperlink"/>
                <w:noProof/>
              </w:rPr>
              <w:t>Executive Summary</w:t>
            </w:r>
            <w:r>
              <w:rPr>
                <w:noProof/>
                <w:webHidden/>
              </w:rPr>
              <w:tab/>
            </w:r>
            <w:r>
              <w:rPr>
                <w:noProof/>
                <w:webHidden/>
              </w:rPr>
              <w:fldChar w:fldCharType="begin"/>
            </w:r>
            <w:r>
              <w:rPr>
                <w:noProof/>
                <w:webHidden/>
              </w:rPr>
              <w:instrText xml:space="preserve"> PAGEREF _Toc79679523 \h </w:instrText>
            </w:r>
            <w:r>
              <w:rPr>
                <w:noProof/>
                <w:webHidden/>
              </w:rPr>
            </w:r>
            <w:r>
              <w:rPr>
                <w:noProof/>
                <w:webHidden/>
              </w:rPr>
              <w:fldChar w:fldCharType="separate"/>
            </w:r>
            <w:r>
              <w:rPr>
                <w:noProof/>
                <w:webHidden/>
              </w:rPr>
              <w:t>5</w:t>
            </w:r>
            <w:r>
              <w:rPr>
                <w:noProof/>
                <w:webHidden/>
              </w:rPr>
              <w:fldChar w:fldCharType="end"/>
            </w:r>
          </w:hyperlink>
        </w:p>
        <w:p w14:paraId="456830C3" w14:textId="73D2E52E" w:rsidR="008F1828" w:rsidRDefault="008F1828">
          <w:pPr>
            <w:pStyle w:val="TOC1"/>
            <w:tabs>
              <w:tab w:val="right" w:leader="dot" w:pos="9016"/>
            </w:tabs>
            <w:rPr>
              <w:rFonts w:eastAsiaTheme="minorEastAsia"/>
              <w:noProof/>
              <w:lang w:eastAsia="en-AU"/>
            </w:rPr>
          </w:pPr>
          <w:hyperlink w:anchor="_Toc79679524" w:history="1">
            <w:r w:rsidRPr="00B57952">
              <w:rPr>
                <w:rStyle w:val="Hyperlink"/>
                <w:noProof/>
              </w:rPr>
              <w:t>Introduction</w:t>
            </w:r>
            <w:r>
              <w:rPr>
                <w:noProof/>
                <w:webHidden/>
              </w:rPr>
              <w:tab/>
            </w:r>
            <w:r>
              <w:rPr>
                <w:noProof/>
                <w:webHidden/>
              </w:rPr>
              <w:fldChar w:fldCharType="begin"/>
            </w:r>
            <w:r>
              <w:rPr>
                <w:noProof/>
                <w:webHidden/>
              </w:rPr>
              <w:instrText xml:space="preserve"> PAGEREF _Toc79679524 \h </w:instrText>
            </w:r>
            <w:r>
              <w:rPr>
                <w:noProof/>
                <w:webHidden/>
              </w:rPr>
            </w:r>
            <w:r>
              <w:rPr>
                <w:noProof/>
                <w:webHidden/>
              </w:rPr>
              <w:fldChar w:fldCharType="separate"/>
            </w:r>
            <w:r>
              <w:rPr>
                <w:noProof/>
                <w:webHidden/>
              </w:rPr>
              <w:t>7</w:t>
            </w:r>
            <w:r>
              <w:rPr>
                <w:noProof/>
                <w:webHidden/>
              </w:rPr>
              <w:fldChar w:fldCharType="end"/>
            </w:r>
          </w:hyperlink>
        </w:p>
        <w:p w14:paraId="492389F2" w14:textId="47D1A469" w:rsidR="008F1828" w:rsidRDefault="008F1828">
          <w:pPr>
            <w:pStyle w:val="TOC2"/>
            <w:tabs>
              <w:tab w:val="right" w:leader="dot" w:pos="9016"/>
            </w:tabs>
            <w:rPr>
              <w:rFonts w:eastAsiaTheme="minorEastAsia"/>
              <w:noProof/>
              <w:lang w:eastAsia="en-AU"/>
            </w:rPr>
          </w:pPr>
          <w:hyperlink w:anchor="_Toc79679525" w:history="1">
            <w:r w:rsidRPr="00B57952">
              <w:rPr>
                <w:rStyle w:val="Hyperlink"/>
                <w:noProof/>
              </w:rPr>
              <w:t>Background</w:t>
            </w:r>
            <w:r>
              <w:rPr>
                <w:noProof/>
                <w:webHidden/>
              </w:rPr>
              <w:tab/>
            </w:r>
            <w:r>
              <w:rPr>
                <w:noProof/>
                <w:webHidden/>
              </w:rPr>
              <w:fldChar w:fldCharType="begin"/>
            </w:r>
            <w:r>
              <w:rPr>
                <w:noProof/>
                <w:webHidden/>
              </w:rPr>
              <w:instrText xml:space="preserve"> PAGEREF _Toc79679525 \h </w:instrText>
            </w:r>
            <w:r>
              <w:rPr>
                <w:noProof/>
                <w:webHidden/>
              </w:rPr>
            </w:r>
            <w:r>
              <w:rPr>
                <w:noProof/>
                <w:webHidden/>
              </w:rPr>
              <w:fldChar w:fldCharType="separate"/>
            </w:r>
            <w:r>
              <w:rPr>
                <w:noProof/>
                <w:webHidden/>
              </w:rPr>
              <w:t>7</w:t>
            </w:r>
            <w:r>
              <w:rPr>
                <w:noProof/>
                <w:webHidden/>
              </w:rPr>
              <w:fldChar w:fldCharType="end"/>
            </w:r>
          </w:hyperlink>
        </w:p>
        <w:p w14:paraId="736FF256" w14:textId="2C0DC515" w:rsidR="008F1828" w:rsidRDefault="008F1828">
          <w:pPr>
            <w:pStyle w:val="TOC2"/>
            <w:tabs>
              <w:tab w:val="right" w:leader="dot" w:pos="9016"/>
            </w:tabs>
            <w:rPr>
              <w:rFonts w:eastAsiaTheme="minorEastAsia"/>
              <w:noProof/>
              <w:lang w:eastAsia="en-AU"/>
            </w:rPr>
          </w:pPr>
          <w:hyperlink w:anchor="_Toc79679526" w:history="1">
            <w:r w:rsidRPr="00B57952">
              <w:rPr>
                <w:rStyle w:val="Hyperlink"/>
                <w:noProof/>
              </w:rPr>
              <w:t>NMA Scheme</w:t>
            </w:r>
            <w:r>
              <w:rPr>
                <w:noProof/>
                <w:webHidden/>
              </w:rPr>
              <w:tab/>
            </w:r>
            <w:r>
              <w:rPr>
                <w:noProof/>
                <w:webHidden/>
              </w:rPr>
              <w:fldChar w:fldCharType="begin"/>
            </w:r>
            <w:r>
              <w:rPr>
                <w:noProof/>
                <w:webHidden/>
              </w:rPr>
              <w:instrText xml:space="preserve"> PAGEREF _Toc79679526 \h </w:instrText>
            </w:r>
            <w:r>
              <w:rPr>
                <w:noProof/>
                <w:webHidden/>
              </w:rPr>
            </w:r>
            <w:r>
              <w:rPr>
                <w:noProof/>
                <w:webHidden/>
              </w:rPr>
              <w:fldChar w:fldCharType="separate"/>
            </w:r>
            <w:r>
              <w:rPr>
                <w:noProof/>
                <w:webHidden/>
              </w:rPr>
              <w:t>8</w:t>
            </w:r>
            <w:r>
              <w:rPr>
                <w:noProof/>
                <w:webHidden/>
              </w:rPr>
              <w:fldChar w:fldCharType="end"/>
            </w:r>
          </w:hyperlink>
        </w:p>
        <w:p w14:paraId="28B0BCE3" w14:textId="35811A40" w:rsidR="008F1828" w:rsidRDefault="008F1828">
          <w:pPr>
            <w:pStyle w:val="TOC2"/>
            <w:tabs>
              <w:tab w:val="right" w:leader="dot" w:pos="9016"/>
            </w:tabs>
            <w:rPr>
              <w:rFonts w:eastAsiaTheme="minorEastAsia"/>
              <w:noProof/>
              <w:lang w:eastAsia="en-AU"/>
            </w:rPr>
          </w:pPr>
          <w:hyperlink w:anchor="_Toc79679527" w:history="1">
            <w:r w:rsidRPr="00B57952">
              <w:rPr>
                <w:rStyle w:val="Hyperlink"/>
                <w:noProof/>
              </w:rPr>
              <w:t>NAS Framework</w:t>
            </w:r>
            <w:r>
              <w:rPr>
                <w:noProof/>
                <w:webHidden/>
              </w:rPr>
              <w:tab/>
            </w:r>
            <w:r>
              <w:rPr>
                <w:noProof/>
                <w:webHidden/>
              </w:rPr>
              <w:fldChar w:fldCharType="begin"/>
            </w:r>
            <w:r>
              <w:rPr>
                <w:noProof/>
                <w:webHidden/>
              </w:rPr>
              <w:instrText xml:space="preserve"> PAGEREF _Toc79679527 \h </w:instrText>
            </w:r>
            <w:r>
              <w:rPr>
                <w:noProof/>
                <w:webHidden/>
              </w:rPr>
            </w:r>
            <w:r>
              <w:rPr>
                <w:noProof/>
                <w:webHidden/>
              </w:rPr>
              <w:fldChar w:fldCharType="separate"/>
            </w:r>
            <w:r>
              <w:rPr>
                <w:noProof/>
                <w:webHidden/>
              </w:rPr>
              <w:t>8</w:t>
            </w:r>
            <w:r>
              <w:rPr>
                <w:noProof/>
                <w:webHidden/>
              </w:rPr>
              <w:fldChar w:fldCharType="end"/>
            </w:r>
          </w:hyperlink>
        </w:p>
        <w:p w14:paraId="1F4B1CD2" w14:textId="15DE59C6" w:rsidR="008F1828" w:rsidRDefault="008F1828">
          <w:pPr>
            <w:pStyle w:val="TOC2"/>
            <w:tabs>
              <w:tab w:val="right" w:leader="dot" w:pos="9016"/>
            </w:tabs>
            <w:rPr>
              <w:rFonts w:eastAsiaTheme="minorEastAsia"/>
              <w:noProof/>
              <w:lang w:eastAsia="en-AU"/>
            </w:rPr>
          </w:pPr>
          <w:hyperlink w:anchor="_Toc79679528" w:history="1">
            <w:r w:rsidRPr="00B57952">
              <w:rPr>
                <w:rStyle w:val="Hyperlink"/>
                <w:noProof/>
              </w:rPr>
              <w:t>NAS Metrics</w:t>
            </w:r>
            <w:r>
              <w:rPr>
                <w:noProof/>
                <w:webHidden/>
              </w:rPr>
              <w:tab/>
            </w:r>
            <w:r>
              <w:rPr>
                <w:noProof/>
                <w:webHidden/>
              </w:rPr>
              <w:fldChar w:fldCharType="begin"/>
            </w:r>
            <w:r>
              <w:rPr>
                <w:noProof/>
                <w:webHidden/>
              </w:rPr>
              <w:instrText xml:space="preserve"> PAGEREF _Toc79679528 \h </w:instrText>
            </w:r>
            <w:r>
              <w:rPr>
                <w:noProof/>
                <w:webHidden/>
              </w:rPr>
            </w:r>
            <w:r>
              <w:rPr>
                <w:noProof/>
                <w:webHidden/>
              </w:rPr>
              <w:fldChar w:fldCharType="separate"/>
            </w:r>
            <w:r>
              <w:rPr>
                <w:noProof/>
                <w:webHidden/>
              </w:rPr>
              <w:t>9</w:t>
            </w:r>
            <w:r>
              <w:rPr>
                <w:noProof/>
                <w:webHidden/>
              </w:rPr>
              <w:fldChar w:fldCharType="end"/>
            </w:r>
          </w:hyperlink>
        </w:p>
        <w:p w14:paraId="1F9D5B4A" w14:textId="5AD85FE5" w:rsidR="008F1828" w:rsidRDefault="008F1828">
          <w:pPr>
            <w:pStyle w:val="TOC2"/>
            <w:tabs>
              <w:tab w:val="right" w:leader="dot" w:pos="9016"/>
            </w:tabs>
            <w:rPr>
              <w:rFonts w:eastAsiaTheme="minorEastAsia"/>
              <w:noProof/>
              <w:lang w:eastAsia="en-AU"/>
            </w:rPr>
          </w:pPr>
          <w:hyperlink w:anchor="_Toc79679529" w:history="1">
            <w:r w:rsidRPr="00B57952">
              <w:rPr>
                <w:rStyle w:val="Hyperlink"/>
                <w:noProof/>
              </w:rPr>
              <w:t>Scope</w:t>
            </w:r>
            <w:r>
              <w:rPr>
                <w:noProof/>
                <w:webHidden/>
              </w:rPr>
              <w:tab/>
            </w:r>
            <w:r>
              <w:rPr>
                <w:noProof/>
                <w:webHidden/>
              </w:rPr>
              <w:fldChar w:fldCharType="begin"/>
            </w:r>
            <w:r>
              <w:rPr>
                <w:noProof/>
                <w:webHidden/>
              </w:rPr>
              <w:instrText xml:space="preserve"> PAGEREF _Toc79679529 \h </w:instrText>
            </w:r>
            <w:r>
              <w:rPr>
                <w:noProof/>
                <w:webHidden/>
              </w:rPr>
            </w:r>
            <w:r>
              <w:rPr>
                <w:noProof/>
                <w:webHidden/>
              </w:rPr>
              <w:fldChar w:fldCharType="separate"/>
            </w:r>
            <w:r>
              <w:rPr>
                <w:noProof/>
                <w:webHidden/>
              </w:rPr>
              <w:t>9</w:t>
            </w:r>
            <w:r>
              <w:rPr>
                <w:noProof/>
                <w:webHidden/>
              </w:rPr>
              <w:fldChar w:fldCharType="end"/>
            </w:r>
          </w:hyperlink>
        </w:p>
        <w:p w14:paraId="72C3E5CB" w14:textId="40F51169" w:rsidR="008F1828" w:rsidRDefault="008F1828">
          <w:pPr>
            <w:pStyle w:val="TOC1"/>
            <w:tabs>
              <w:tab w:val="right" w:leader="dot" w:pos="9016"/>
            </w:tabs>
            <w:rPr>
              <w:rFonts w:eastAsiaTheme="minorEastAsia"/>
              <w:noProof/>
              <w:lang w:eastAsia="en-AU"/>
            </w:rPr>
          </w:pPr>
          <w:hyperlink w:anchor="_Toc79679530" w:history="1">
            <w:r w:rsidRPr="00B57952">
              <w:rPr>
                <w:rStyle w:val="Hyperlink"/>
                <w:noProof/>
              </w:rPr>
              <w:t>Metrics Report</w:t>
            </w:r>
            <w:r>
              <w:rPr>
                <w:noProof/>
                <w:webHidden/>
              </w:rPr>
              <w:tab/>
            </w:r>
            <w:r>
              <w:rPr>
                <w:noProof/>
                <w:webHidden/>
              </w:rPr>
              <w:fldChar w:fldCharType="begin"/>
            </w:r>
            <w:r>
              <w:rPr>
                <w:noProof/>
                <w:webHidden/>
              </w:rPr>
              <w:instrText xml:space="preserve"> PAGEREF _Toc79679530 \h </w:instrText>
            </w:r>
            <w:r>
              <w:rPr>
                <w:noProof/>
                <w:webHidden/>
              </w:rPr>
            </w:r>
            <w:r>
              <w:rPr>
                <w:noProof/>
                <w:webHidden/>
              </w:rPr>
              <w:fldChar w:fldCharType="separate"/>
            </w:r>
            <w:r>
              <w:rPr>
                <w:noProof/>
                <w:webHidden/>
              </w:rPr>
              <w:t>10</w:t>
            </w:r>
            <w:r>
              <w:rPr>
                <w:noProof/>
                <w:webHidden/>
              </w:rPr>
              <w:fldChar w:fldCharType="end"/>
            </w:r>
          </w:hyperlink>
        </w:p>
        <w:p w14:paraId="60539AA0" w14:textId="7E75D1FB" w:rsidR="008F1828" w:rsidRDefault="008F1828">
          <w:pPr>
            <w:pStyle w:val="TOC2"/>
            <w:tabs>
              <w:tab w:val="right" w:leader="dot" w:pos="9016"/>
            </w:tabs>
            <w:rPr>
              <w:rFonts w:eastAsiaTheme="minorEastAsia"/>
              <w:noProof/>
              <w:lang w:eastAsia="en-AU"/>
            </w:rPr>
          </w:pPr>
          <w:hyperlink w:anchor="_Toc79679531" w:history="1">
            <w:r w:rsidRPr="00B57952">
              <w:rPr>
                <w:rStyle w:val="Hyperlink"/>
                <w:noProof/>
              </w:rPr>
              <w:t>Metric 1: Number of New Trials per Trial Phase</w:t>
            </w:r>
            <w:r>
              <w:rPr>
                <w:noProof/>
                <w:webHidden/>
              </w:rPr>
              <w:tab/>
            </w:r>
            <w:r>
              <w:rPr>
                <w:noProof/>
                <w:webHidden/>
              </w:rPr>
              <w:fldChar w:fldCharType="begin"/>
            </w:r>
            <w:r>
              <w:rPr>
                <w:noProof/>
                <w:webHidden/>
              </w:rPr>
              <w:instrText xml:space="preserve"> PAGEREF _Toc79679531 \h </w:instrText>
            </w:r>
            <w:r>
              <w:rPr>
                <w:noProof/>
                <w:webHidden/>
              </w:rPr>
            </w:r>
            <w:r>
              <w:rPr>
                <w:noProof/>
                <w:webHidden/>
              </w:rPr>
              <w:fldChar w:fldCharType="separate"/>
            </w:r>
            <w:r>
              <w:rPr>
                <w:noProof/>
                <w:webHidden/>
              </w:rPr>
              <w:t>10</w:t>
            </w:r>
            <w:r>
              <w:rPr>
                <w:noProof/>
                <w:webHidden/>
              </w:rPr>
              <w:fldChar w:fldCharType="end"/>
            </w:r>
          </w:hyperlink>
        </w:p>
        <w:p w14:paraId="025FCBF6" w14:textId="49AE39F4" w:rsidR="008F1828" w:rsidRDefault="008F1828">
          <w:pPr>
            <w:pStyle w:val="TOC3"/>
            <w:tabs>
              <w:tab w:val="right" w:leader="dot" w:pos="9016"/>
            </w:tabs>
            <w:rPr>
              <w:rFonts w:eastAsiaTheme="minorEastAsia"/>
              <w:noProof/>
              <w:lang w:eastAsia="en-AU"/>
            </w:rPr>
          </w:pPr>
          <w:hyperlink w:anchor="_Toc79679532" w:history="1">
            <w:r w:rsidRPr="00B57952">
              <w:rPr>
                <w:rStyle w:val="Hyperlink"/>
                <w:noProof/>
              </w:rPr>
              <w:t>1a: Number of New Trials per Sponsor Type</w:t>
            </w:r>
            <w:r>
              <w:rPr>
                <w:noProof/>
                <w:webHidden/>
              </w:rPr>
              <w:tab/>
            </w:r>
            <w:r>
              <w:rPr>
                <w:noProof/>
                <w:webHidden/>
              </w:rPr>
              <w:fldChar w:fldCharType="begin"/>
            </w:r>
            <w:r>
              <w:rPr>
                <w:noProof/>
                <w:webHidden/>
              </w:rPr>
              <w:instrText xml:space="preserve"> PAGEREF _Toc79679532 \h </w:instrText>
            </w:r>
            <w:r>
              <w:rPr>
                <w:noProof/>
                <w:webHidden/>
              </w:rPr>
            </w:r>
            <w:r>
              <w:rPr>
                <w:noProof/>
                <w:webHidden/>
              </w:rPr>
              <w:fldChar w:fldCharType="separate"/>
            </w:r>
            <w:r>
              <w:rPr>
                <w:noProof/>
                <w:webHidden/>
              </w:rPr>
              <w:t>11</w:t>
            </w:r>
            <w:r>
              <w:rPr>
                <w:noProof/>
                <w:webHidden/>
              </w:rPr>
              <w:fldChar w:fldCharType="end"/>
            </w:r>
          </w:hyperlink>
        </w:p>
        <w:p w14:paraId="30205C0F" w14:textId="601ECFE2" w:rsidR="008F1828" w:rsidRDefault="008F1828">
          <w:pPr>
            <w:pStyle w:val="TOC2"/>
            <w:tabs>
              <w:tab w:val="right" w:leader="dot" w:pos="9016"/>
            </w:tabs>
            <w:rPr>
              <w:rFonts w:eastAsiaTheme="minorEastAsia"/>
              <w:noProof/>
              <w:lang w:eastAsia="en-AU"/>
            </w:rPr>
          </w:pPr>
          <w:hyperlink w:anchor="_Toc79679533" w:history="1">
            <w:r w:rsidRPr="00B57952">
              <w:rPr>
                <w:rStyle w:val="Hyperlink"/>
                <w:noProof/>
              </w:rPr>
              <w:t>Metric 2: Overall Study Start Up – ‘Without Clock’</w:t>
            </w:r>
            <w:r>
              <w:rPr>
                <w:noProof/>
                <w:webHidden/>
              </w:rPr>
              <w:tab/>
            </w:r>
            <w:r>
              <w:rPr>
                <w:noProof/>
                <w:webHidden/>
              </w:rPr>
              <w:fldChar w:fldCharType="begin"/>
            </w:r>
            <w:r>
              <w:rPr>
                <w:noProof/>
                <w:webHidden/>
              </w:rPr>
              <w:instrText xml:space="preserve"> PAGEREF _Toc79679533 \h </w:instrText>
            </w:r>
            <w:r>
              <w:rPr>
                <w:noProof/>
                <w:webHidden/>
              </w:rPr>
            </w:r>
            <w:r>
              <w:rPr>
                <w:noProof/>
                <w:webHidden/>
              </w:rPr>
              <w:fldChar w:fldCharType="separate"/>
            </w:r>
            <w:r>
              <w:rPr>
                <w:noProof/>
                <w:webHidden/>
              </w:rPr>
              <w:t>12</w:t>
            </w:r>
            <w:r>
              <w:rPr>
                <w:noProof/>
                <w:webHidden/>
              </w:rPr>
              <w:fldChar w:fldCharType="end"/>
            </w:r>
          </w:hyperlink>
        </w:p>
        <w:p w14:paraId="64786E10" w14:textId="21AB7EE2" w:rsidR="008F1828" w:rsidRDefault="008F1828">
          <w:pPr>
            <w:pStyle w:val="TOC2"/>
            <w:tabs>
              <w:tab w:val="right" w:leader="dot" w:pos="9016"/>
            </w:tabs>
            <w:rPr>
              <w:rFonts w:eastAsiaTheme="minorEastAsia"/>
              <w:noProof/>
              <w:lang w:eastAsia="en-AU"/>
            </w:rPr>
          </w:pPr>
          <w:hyperlink w:anchor="_Toc79679534" w:history="1">
            <w:r w:rsidRPr="00B57952">
              <w:rPr>
                <w:rStyle w:val="Hyperlink"/>
                <w:noProof/>
              </w:rPr>
              <w:t>Metric 3: Ethics and SSA/Site Assessment Timeline – ‘With Clock’</w:t>
            </w:r>
            <w:r>
              <w:rPr>
                <w:noProof/>
                <w:webHidden/>
              </w:rPr>
              <w:tab/>
            </w:r>
            <w:r>
              <w:rPr>
                <w:noProof/>
                <w:webHidden/>
              </w:rPr>
              <w:fldChar w:fldCharType="begin"/>
            </w:r>
            <w:r>
              <w:rPr>
                <w:noProof/>
                <w:webHidden/>
              </w:rPr>
              <w:instrText xml:space="preserve"> PAGEREF _Toc79679534 \h </w:instrText>
            </w:r>
            <w:r>
              <w:rPr>
                <w:noProof/>
                <w:webHidden/>
              </w:rPr>
            </w:r>
            <w:r>
              <w:rPr>
                <w:noProof/>
                <w:webHidden/>
              </w:rPr>
              <w:fldChar w:fldCharType="separate"/>
            </w:r>
            <w:r>
              <w:rPr>
                <w:noProof/>
                <w:webHidden/>
              </w:rPr>
              <w:t>13</w:t>
            </w:r>
            <w:r>
              <w:rPr>
                <w:noProof/>
                <w:webHidden/>
              </w:rPr>
              <w:fldChar w:fldCharType="end"/>
            </w:r>
          </w:hyperlink>
        </w:p>
        <w:p w14:paraId="7B2338A5" w14:textId="293EF6D5" w:rsidR="008F1828" w:rsidRDefault="008F1828">
          <w:pPr>
            <w:pStyle w:val="TOC2"/>
            <w:tabs>
              <w:tab w:val="right" w:leader="dot" w:pos="9016"/>
            </w:tabs>
            <w:rPr>
              <w:rFonts w:eastAsiaTheme="minorEastAsia"/>
              <w:noProof/>
              <w:lang w:eastAsia="en-AU"/>
            </w:rPr>
          </w:pPr>
          <w:hyperlink w:anchor="_Toc79679535" w:history="1">
            <w:r w:rsidRPr="00B57952">
              <w:rPr>
                <w:rStyle w:val="Hyperlink"/>
                <w:noProof/>
              </w:rPr>
              <w:t>Metric 4: Ethics Approval Timeline</w:t>
            </w:r>
            <w:r>
              <w:rPr>
                <w:noProof/>
                <w:webHidden/>
              </w:rPr>
              <w:tab/>
            </w:r>
            <w:r>
              <w:rPr>
                <w:noProof/>
                <w:webHidden/>
              </w:rPr>
              <w:fldChar w:fldCharType="begin"/>
            </w:r>
            <w:r>
              <w:rPr>
                <w:noProof/>
                <w:webHidden/>
              </w:rPr>
              <w:instrText xml:space="preserve"> PAGEREF _Toc79679535 \h </w:instrText>
            </w:r>
            <w:r>
              <w:rPr>
                <w:noProof/>
                <w:webHidden/>
              </w:rPr>
            </w:r>
            <w:r>
              <w:rPr>
                <w:noProof/>
                <w:webHidden/>
              </w:rPr>
              <w:fldChar w:fldCharType="separate"/>
            </w:r>
            <w:r>
              <w:rPr>
                <w:noProof/>
                <w:webHidden/>
              </w:rPr>
              <w:t>14</w:t>
            </w:r>
            <w:r>
              <w:rPr>
                <w:noProof/>
                <w:webHidden/>
              </w:rPr>
              <w:fldChar w:fldCharType="end"/>
            </w:r>
          </w:hyperlink>
        </w:p>
        <w:p w14:paraId="1141142C" w14:textId="73171E9B" w:rsidR="008F1828" w:rsidRDefault="008F1828">
          <w:pPr>
            <w:pStyle w:val="TOC3"/>
            <w:tabs>
              <w:tab w:val="right" w:leader="dot" w:pos="9016"/>
            </w:tabs>
            <w:rPr>
              <w:rFonts w:eastAsiaTheme="minorEastAsia"/>
              <w:noProof/>
              <w:lang w:eastAsia="en-AU"/>
            </w:rPr>
          </w:pPr>
          <w:hyperlink w:anchor="_Toc79679536" w:history="1">
            <w:r w:rsidRPr="00B57952">
              <w:rPr>
                <w:rStyle w:val="Hyperlink"/>
                <w:noProof/>
              </w:rPr>
              <w:t>4a HREC Approval Timeline – ‘Without Clock’</w:t>
            </w:r>
            <w:r>
              <w:rPr>
                <w:noProof/>
                <w:webHidden/>
              </w:rPr>
              <w:tab/>
            </w:r>
            <w:r>
              <w:rPr>
                <w:noProof/>
                <w:webHidden/>
              </w:rPr>
              <w:fldChar w:fldCharType="begin"/>
            </w:r>
            <w:r>
              <w:rPr>
                <w:noProof/>
                <w:webHidden/>
              </w:rPr>
              <w:instrText xml:space="preserve"> PAGEREF _Toc79679536 \h </w:instrText>
            </w:r>
            <w:r>
              <w:rPr>
                <w:noProof/>
                <w:webHidden/>
              </w:rPr>
            </w:r>
            <w:r>
              <w:rPr>
                <w:noProof/>
                <w:webHidden/>
              </w:rPr>
              <w:fldChar w:fldCharType="separate"/>
            </w:r>
            <w:r>
              <w:rPr>
                <w:noProof/>
                <w:webHidden/>
              </w:rPr>
              <w:t>14</w:t>
            </w:r>
            <w:r>
              <w:rPr>
                <w:noProof/>
                <w:webHidden/>
              </w:rPr>
              <w:fldChar w:fldCharType="end"/>
            </w:r>
          </w:hyperlink>
        </w:p>
        <w:p w14:paraId="08AF83C6" w14:textId="19290A90" w:rsidR="008F1828" w:rsidRDefault="008F1828">
          <w:pPr>
            <w:pStyle w:val="TOC3"/>
            <w:tabs>
              <w:tab w:val="right" w:leader="dot" w:pos="9016"/>
            </w:tabs>
            <w:rPr>
              <w:rFonts w:eastAsiaTheme="minorEastAsia"/>
              <w:noProof/>
              <w:lang w:eastAsia="en-AU"/>
            </w:rPr>
          </w:pPr>
          <w:hyperlink w:anchor="_Toc79679537" w:history="1">
            <w:r w:rsidRPr="00B57952">
              <w:rPr>
                <w:rStyle w:val="Hyperlink"/>
                <w:noProof/>
              </w:rPr>
              <w:t>4b HREC Approval Timeline – ‘With Clock’</w:t>
            </w:r>
            <w:r>
              <w:rPr>
                <w:noProof/>
                <w:webHidden/>
              </w:rPr>
              <w:tab/>
            </w:r>
            <w:r>
              <w:rPr>
                <w:noProof/>
                <w:webHidden/>
              </w:rPr>
              <w:fldChar w:fldCharType="begin"/>
            </w:r>
            <w:r>
              <w:rPr>
                <w:noProof/>
                <w:webHidden/>
              </w:rPr>
              <w:instrText xml:space="preserve"> PAGEREF _Toc79679537 \h </w:instrText>
            </w:r>
            <w:r>
              <w:rPr>
                <w:noProof/>
                <w:webHidden/>
              </w:rPr>
            </w:r>
            <w:r>
              <w:rPr>
                <w:noProof/>
                <w:webHidden/>
              </w:rPr>
              <w:fldChar w:fldCharType="separate"/>
            </w:r>
            <w:r>
              <w:rPr>
                <w:noProof/>
                <w:webHidden/>
              </w:rPr>
              <w:t>15</w:t>
            </w:r>
            <w:r>
              <w:rPr>
                <w:noProof/>
                <w:webHidden/>
              </w:rPr>
              <w:fldChar w:fldCharType="end"/>
            </w:r>
          </w:hyperlink>
        </w:p>
        <w:p w14:paraId="505F07B7" w14:textId="463DBB8D" w:rsidR="008F1828" w:rsidRDefault="008F1828">
          <w:pPr>
            <w:pStyle w:val="TOC2"/>
            <w:tabs>
              <w:tab w:val="right" w:leader="dot" w:pos="9016"/>
            </w:tabs>
            <w:rPr>
              <w:rFonts w:eastAsiaTheme="minorEastAsia"/>
              <w:noProof/>
              <w:lang w:eastAsia="en-AU"/>
            </w:rPr>
          </w:pPr>
          <w:hyperlink w:anchor="_Toc79679538" w:history="1">
            <w:r w:rsidRPr="00B57952">
              <w:rPr>
                <w:rStyle w:val="Hyperlink"/>
                <w:noProof/>
              </w:rPr>
              <w:t>Metric 5: SSA/Site Assessment Timeline ‘Without Clock’</w:t>
            </w:r>
            <w:r>
              <w:rPr>
                <w:noProof/>
                <w:webHidden/>
              </w:rPr>
              <w:tab/>
            </w:r>
            <w:r>
              <w:rPr>
                <w:noProof/>
                <w:webHidden/>
              </w:rPr>
              <w:fldChar w:fldCharType="begin"/>
            </w:r>
            <w:r>
              <w:rPr>
                <w:noProof/>
                <w:webHidden/>
              </w:rPr>
              <w:instrText xml:space="preserve"> PAGEREF _Toc79679538 \h </w:instrText>
            </w:r>
            <w:r>
              <w:rPr>
                <w:noProof/>
                <w:webHidden/>
              </w:rPr>
            </w:r>
            <w:r>
              <w:rPr>
                <w:noProof/>
                <w:webHidden/>
              </w:rPr>
              <w:fldChar w:fldCharType="separate"/>
            </w:r>
            <w:r>
              <w:rPr>
                <w:noProof/>
                <w:webHidden/>
              </w:rPr>
              <w:t>16</w:t>
            </w:r>
            <w:r>
              <w:rPr>
                <w:noProof/>
                <w:webHidden/>
              </w:rPr>
              <w:fldChar w:fldCharType="end"/>
            </w:r>
          </w:hyperlink>
        </w:p>
        <w:p w14:paraId="68B7C794" w14:textId="6223E6B4" w:rsidR="008F1828" w:rsidRDefault="008F1828">
          <w:pPr>
            <w:pStyle w:val="TOC3"/>
            <w:tabs>
              <w:tab w:val="right" w:leader="dot" w:pos="9016"/>
            </w:tabs>
            <w:rPr>
              <w:rFonts w:eastAsiaTheme="minorEastAsia"/>
              <w:noProof/>
              <w:lang w:eastAsia="en-AU"/>
            </w:rPr>
          </w:pPr>
          <w:hyperlink w:anchor="_Toc79679539" w:history="1">
            <w:r w:rsidRPr="00B57952">
              <w:rPr>
                <w:rStyle w:val="Hyperlink"/>
                <w:noProof/>
              </w:rPr>
              <w:t>5a SSA/Site Assessment Timeline – from HREC Approval Date ‘Without Clock’</w:t>
            </w:r>
            <w:r>
              <w:rPr>
                <w:noProof/>
                <w:webHidden/>
              </w:rPr>
              <w:tab/>
            </w:r>
            <w:r>
              <w:rPr>
                <w:noProof/>
                <w:webHidden/>
              </w:rPr>
              <w:fldChar w:fldCharType="begin"/>
            </w:r>
            <w:r>
              <w:rPr>
                <w:noProof/>
                <w:webHidden/>
              </w:rPr>
              <w:instrText xml:space="preserve"> PAGEREF _Toc79679539 \h </w:instrText>
            </w:r>
            <w:r>
              <w:rPr>
                <w:noProof/>
                <w:webHidden/>
              </w:rPr>
            </w:r>
            <w:r>
              <w:rPr>
                <w:noProof/>
                <w:webHidden/>
              </w:rPr>
              <w:fldChar w:fldCharType="separate"/>
            </w:r>
            <w:r>
              <w:rPr>
                <w:noProof/>
                <w:webHidden/>
              </w:rPr>
              <w:t>16</w:t>
            </w:r>
            <w:r>
              <w:rPr>
                <w:noProof/>
                <w:webHidden/>
              </w:rPr>
              <w:fldChar w:fldCharType="end"/>
            </w:r>
          </w:hyperlink>
        </w:p>
        <w:p w14:paraId="6D705945" w14:textId="5E078987" w:rsidR="008F1828" w:rsidRDefault="008F1828">
          <w:pPr>
            <w:pStyle w:val="TOC3"/>
            <w:tabs>
              <w:tab w:val="right" w:leader="dot" w:pos="9016"/>
            </w:tabs>
            <w:rPr>
              <w:rFonts w:eastAsiaTheme="minorEastAsia"/>
              <w:noProof/>
              <w:lang w:eastAsia="en-AU"/>
            </w:rPr>
          </w:pPr>
          <w:hyperlink w:anchor="_Toc79679540" w:history="1">
            <w:r w:rsidRPr="00B57952">
              <w:rPr>
                <w:rStyle w:val="Hyperlink"/>
                <w:noProof/>
              </w:rPr>
              <w:t>5b SSA/Site Assessment Timeline – from SSA Validation Date ‘Without Clock’</w:t>
            </w:r>
            <w:r>
              <w:rPr>
                <w:noProof/>
                <w:webHidden/>
              </w:rPr>
              <w:tab/>
            </w:r>
            <w:r>
              <w:rPr>
                <w:noProof/>
                <w:webHidden/>
              </w:rPr>
              <w:fldChar w:fldCharType="begin"/>
            </w:r>
            <w:r>
              <w:rPr>
                <w:noProof/>
                <w:webHidden/>
              </w:rPr>
              <w:instrText xml:space="preserve"> PAGEREF _Toc79679540 \h </w:instrText>
            </w:r>
            <w:r>
              <w:rPr>
                <w:noProof/>
                <w:webHidden/>
              </w:rPr>
            </w:r>
            <w:r>
              <w:rPr>
                <w:noProof/>
                <w:webHidden/>
              </w:rPr>
              <w:fldChar w:fldCharType="separate"/>
            </w:r>
            <w:r>
              <w:rPr>
                <w:noProof/>
                <w:webHidden/>
              </w:rPr>
              <w:t>17</w:t>
            </w:r>
            <w:r>
              <w:rPr>
                <w:noProof/>
                <w:webHidden/>
              </w:rPr>
              <w:fldChar w:fldCharType="end"/>
            </w:r>
          </w:hyperlink>
        </w:p>
        <w:p w14:paraId="0A1DAA79" w14:textId="74E4911B" w:rsidR="008F1828" w:rsidRDefault="008F1828">
          <w:pPr>
            <w:pStyle w:val="TOC1"/>
            <w:tabs>
              <w:tab w:val="right" w:leader="dot" w:pos="9016"/>
            </w:tabs>
            <w:rPr>
              <w:rFonts w:eastAsiaTheme="minorEastAsia"/>
              <w:noProof/>
              <w:lang w:eastAsia="en-AU"/>
            </w:rPr>
          </w:pPr>
          <w:hyperlink w:anchor="_Toc79679541" w:history="1">
            <w:r w:rsidRPr="00B57952">
              <w:rPr>
                <w:rStyle w:val="Hyperlink"/>
                <w:noProof/>
              </w:rPr>
              <w:t>Explanatory Notes</w:t>
            </w:r>
            <w:r>
              <w:rPr>
                <w:noProof/>
                <w:webHidden/>
              </w:rPr>
              <w:tab/>
            </w:r>
            <w:r>
              <w:rPr>
                <w:noProof/>
                <w:webHidden/>
              </w:rPr>
              <w:fldChar w:fldCharType="begin"/>
            </w:r>
            <w:r>
              <w:rPr>
                <w:noProof/>
                <w:webHidden/>
              </w:rPr>
              <w:instrText xml:space="preserve"> PAGEREF _Toc79679541 \h </w:instrText>
            </w:r>
            <w:r>
              <w:rPr>
                <w:noProof/>
                <w:webHidden/>
              </w:rPr>
            </w:r>
            <w:r>
              <w:rPr>
                <w:noProof/>
                <w:webHidden/>
              </w:rPr>
              <w:fldChar w:fldCharType="separate"/>
            </w:r>
            <w:r>
              <w:rPr>
                <w:noProof/>
                <w:webHidden/>
              </w:rPr>
              <w:t>19</w:t>
            </w:r>
            <w:r>
              <w:rPr>
                <w:noProof/>
                <w:webHidden/>
              </w:rPr>
              <w:fldChar w:fldCharType="end"/>
            </w:r>
          </w:hyperlink>
        </w:p>
        <w:p w14:paraId="2F21A7EB" w14:textId="2800DE91" w:rsidR="008F1828" w:rsidRDefault="008F1828">
          <w:pPr>
            <w:pStyle w:val="TOC2"/>
            <w:tabs>
              <w:tab w:val="right" w:leader="dot" w:pos="9016"/>
            </w:tabs>
            <w:rPr>
              <w:rFonts w:eastAsiaTheme="minorEastAsia"/>
              <w:noProof/>
              <w:lang w:eastAsia="en-AU"/>
            </w:rPr>
          </w:pPr>
          <w:hyperlink w:anchor="_Toc79679542" w:history="1">
            <w:r w:rsidRPr="00B57952">
              <w:rPr>
                <w:rStyle w:val="Hyperlink"/>
                <w:noProof/>
              </w:rPr>
              <w:t>A1. Glossary</w:t>
            </w:r>
            <w:r>
              <w:rPr>
                <w:noProof/>
                <w:webHidden/>
              </w:rPr>
              <w:tab/>
            </w:r>
            <w:r>
              <w:rPr>
                <w:noProof/>
                <w:webHidden/>
              </w:rPr>
              <w:fldChar w:fldCharType="begin"/>
            </w:r>
            <w:r>
              <w:rPr>
                <w:noProof/>
                <w:webHidden/>
              </w:rPr>
              <w:instrText xml:space="preserve"> PAGEREF _Toc79679542 \h </w:instrText>
            </w:r>
            <w:r>
              <w:rPr>
                <w:noProof/>
                <w:webHidden/>
              </w:rPr>
            </w:r>
            <w:r>
              <w:rPr>
                <w:noProof/>
                <w:webHidden/>
              </w:rPr>
              <w:fldChar w:fldCharType="separate"/>
            </w:r>
            <w:r>
              <w:rPr>
                <w:noProof/>
                <w:webHidden/>
              </w:rPr>
              <w:t>19</w:t>
            </w:r>
            <w:r>
              <w:rPr>
                <w:noProof/>
                <w:webHidden/>
              </w:rPr>
              <w:fldChar w:fldCharType="end"/>
            </w:r>
          </w:hyperlink>
        </w:p>
        <w:p w14:paraId="3933B28C" w14:textId="65CFC14D" w:rsidR="008F1828" w:rsidRDefault="008F1828">
          <w:pPr>
            <w:pStyle w:val="TOC2"/>
            <w:tabs>
              <w:tab w:val="right" w:leader="dot" w:pos="9016"/>
            </w:tabs>
            <w:rPr>
              <w:rFonts w:eastAsiaTheme="minorEastAsia"/>
              <w:noProof/>
              <w:lang w:eastAsia="en-AU"/>
            </w:rPr>
          </w:pPr>
          <w:hyperlink w:anchor="_Toc79679543" w:history="1">
            <w:r w:rsidRPr="00B57952">
              <w:rPr>
                <w:rStyle w:val="Hyperlink"/>
                <w:noProof/>
              </w:rPr>
              <w:t>A2. NAS Metric Definition</w:t>
            </w:r>
            <w:r>
              <w:rPr>
                <w:noProof/>
                <w:webHidden/>
              </w:rPr>
              <w:tab/>
            </w:r>
            <w:r>
              <w:rPr>
                <w:noProof/>
                <w:webHidden/>
              </w:rPr>
              <w:fldChar w:fldCharType="begin"/>
            </w:r>
            <w:r>
              <w:rPr>
                <w:noProof/>
                <w:webHidden/>
              </w:rPr>
              <w:instrText xml:space="preserve"> PAGEREF _Toc79679543 \h </w:instrText>
            </w:r>
            <w:r>
              <w:rPr>
                <w:noProof/>
                <w:webHidden/>
              </w:rPr>
            </w:r>
            <w:r>
              <w:rPr>
                <w:noProof/>
                <w:webHidden/>
              </w:rPr>
              <w:fldChar w:fldCharType="separate"/>
            </w:r>
            <w:r>
              <w:rPr>
                <w:noProof/>
                <w:webHidden/>
              </w:rPr>
              <w:t>22</w:t>
            </w:r>
            <w:r>
              <w:rPr>
                <w:noProof/>
                <w:webHidden/>
              </w:rPr>
              <w:fldChar w:fldCharType="end"/>
            </w:r>
          </w:hyperlink>
        </w:p>
        <w:p w14:paraId="0F5565FA" w14:textId="63ED0E38" w:rsidR="008F1828" w:rsidRDefault="008F1828">
          <w:pPr>
            <w:pStyle w:val="TOC3"/>
            <w:tabs>
              <w:tab w:val="right" w:leader="dot" w:pos="9016"/>
            </w:tabs>
            <w:rPr>
              <w:rFonts w:eastAsiaTheme="minorEastAsia"/>
              <w:noProof/>
              <w:lang w:eastAsia="en-AU"/>
            </w:rPr>
          </w:pPr>
          <w:hyperlink w:anchor="_Toc79679544" w:history="1">
            <w:r w:rsidRPr="00B57952">
              <w:rPr>
                <w:rStyle w:val="Hyperlink"/>
                <w:noProof/>
              </w:rPr>
              <w:t>National clinical trial activity</w:t>
            </w:r>
            <w:r>
              <w:rPr>
                <w:noProof/>
                <w:webHidden/>
              </w:rPr>
              <w:tab/>
            </w:r>
            <w:r>
              <w:rPr>
                <w:noProof/>
                <w:webHidden/>
              </w:rPr>
              <w:fldChar w:fldCharType="begin"/>
            </w:r>
            <w:r>
              <w:rPr>
                <w:noProof/>
                <w:webHidden/>
              </w:rPr>
              <w:instrText xml:space="preserve"> PAGEREF _Toc79679544 \h </w:instrText>
            </w:r>
            <w:r>
              <w:rPr>
                <w:noProof/>
                <w:webHidden/>
              </w:rPr>
            </w:r>
            <w:r>
              <w:rPr>
                <w:noProof/>
                <w:webHidden/>
              </w:rPr>
              <w:fldChar w:fldCharType="separate"/>
            </w:r>
            <w:r>
              <w:rPr>
                <w:noProof/>
                <w:webHidden/>
              </w:rPr>
              <w:t>22</w:t>
            </w:r>
            <w:r>
              <w:rPr>
                <w:noProof/>
                <w:webHidden/>
              </w:rPr>
              <w:fldChar w:fldCharType="end"/>
            </w:r>
          </w:hyperlink>
        </w:p>
        <w:p w14:paraId="5A35D560" w14:textId="723CEF8F" w:rsidR="008F1828" w:rsidRDefault="008F1828">
          <w:pPr>
            <w:pStyle w:val="TOC3"/>
            <w:tabs>
              <w:tab w:val="right" w:leader="dot" w:pos="9016"/>
            </w:tabs>
            <w:rPr>
              <w:rFonts w:eastAsiaTheme="minorEastAsia"/>
              <w:noProof/>
              <w:lang w:eastAsia="en-AU"/>
            </w:rPr>
          </w:pPr>
          <w:hyperlink w:anchor="_Toc79679545" w:history="1">
            <w:r w:rsidRPr="00B57952">
              <w:rPr>
                <w:rStyle w:val="Hyperlink"/>
                <w:noProof/>
              </w:rPr>
              <w:t>Regulatory Timelines – total</w:t>
            </w:r>
            <w:r>
              <w:rPr>
                <w:noProof/>
                <w:webHidden/>
              </w:rPr>
              <w:tab/>
            </w:r>
            <w:r>
              <w:rPr>
                <w:noProof/>
                <w:webHidden/>
              </w:rPr>
              <w:fldChar w:fldCharType="begin"/>
            </w:r>
            <w:r>
              <w:rPr>
                <w:noProof/>
                <w:webHidden/>
              </w:rPr>
              <w:instrText xml:space="preserve"> PAGEREF _Toc79679545 \h </w:instrText>
            </w:r>
            <w:r>
              <w:rPr>
                <w:noProof/>
                <w:webHidden/>
              </w:rPr>
            </w:r>
            <w:r>
              <w:rPr>
                <w:noProof/>
                <w:webHidden/>
              </w:rPr>
              <w:fldChar w:fldCharType="separate"/>
            </w:r>
            <w:r>
              <w:rPr>
                <w:noProof/>
                <w:webHidden/>
              </w:rPr>
              <w:t>22</w:t>
            </w:r>
            <w:r>
              <w:rPr>
                <w:noProof/>
                <w:webHidden/>
              </w:rPr>
              <w:fldChar w:fldCharType="end"/>
            </w:r>
          </w:hyperlink>
        </w:p>
        <w:p w14:paraId="5E47AE7F" w14:textId="3A5BC091" w:rsidR="008F1828" w:rsidRDefault="008F1828">
          <w:pPr>
            <w:pStyle w:val="TOC3"/>
            <w:tabs>
              <w:tab w:val="right" w:leader="dot" w:pos="9016"/>
            </w:tabs>
            <w:rPr>
              <w:rFonts w:eastAsiaTheme="minorEastAsia"/>
              <w:noProof/>
              <w:lang w:eastAsia="en-AU"/>
            </w:rPr>
          </w:pPr>
          <w:hyperlink w:anchor="_Toc79679546" w:history="1">
            <w:r w:rsidRPr="00B57952">
              <w:rPr>
                <w:rStyle w:val="Hyperlink"/>
                <w:noProof/>
              </w:rPr>
              <w:t>Regulator Timelines – components</w:t>
            </w:r>
            <w:r>
              <w:rPr>
                <w:noProof/>
                <w:webHidden/>
              </w:rPr>
              <w:tab/>
            </w:r>
            <w:r>
              <w:rPr>
                <w:noProof/>
                <w:webHidden/>
              </w:rPr>
              <w:fldChar w:fldCharType="begin"/>
            </w:r>
            <w:r>
              <w:rPr>
                <w:noProof/>
                <w:webHidden/>
              </w:rPr>
              <w:instrText xml:space="preserve"> PAGEREF _Toc79679546 \h </w:instrText>
            </w:r>
            <w:r>
              <w:rPr>
                <w:noProof/>
                <w:webHidden/>
              </w:rPr>
            </w:r>
            <w:r>
              <w:rPr>
                <w:noProof/>
                <w:webHidden/>
              </w:rPr>
              <w:fldChar w:fldCharType="separate"/>
            </w:r>
            <w:r>
              <w:rPr>
                <w:noProof/>
                <w:webHidden/>
              </w:rPr>
              <w:t>22</w:t>
            </w:r>
            <w:r>
              <w:rPr>
                <w:noProof/>
                <w:webHidden/>
              </w:rPr>
              <w:fldChar w:fldCharType="end"/>
            </w:r>
          </w:hyperlink>
        </w:p>
        <w:p w14:paraId="7EFE2A2E" w14:textId="610435C5" w:rsidR="008F1828" w:rsidRDefault="008F1828">
          <w:pPr>
            <w:pStyle w:val="TOC3"/>
            <w:tabs>
              <w:tab w:val="right" w:leader="dot" w:pos="9016"/>
            </w:tabs>
            <w:rPr>
              <w:rFonts w:eastAsiaTheme="minorEastAsia"/>
              <w:noProof/>
              <w:lang w:eastAsia="en-AU"/>
            </w:rPr>
          </w:pPr>
          <w:hyperlink w:anchor="_Toc79679547" w:history="1">
            <w:r w:rsidRPr="00B57952">
              <w:rPr>
                <w:rStyle w:val="Hyperlink"/>
                <w:noProof/>
              </w:rPr>
              <w:t>Recruitment/Investment</w:t>
            </w:r>
            <w:r>
              <w:rPr>
                <w:noProof/>
                <w:webHidden/>
              </w:rPr>
              <w:tab/>
            </w:r>
            <w:r>
              <w:rPr>
                <w:noProof/>
                <w:webHidden/>
              </w:rPr>
              <w:fldChar w:fldCharType="begin"/>
            </w:r>
            <w:r>
              <w:rPr>
                <w:noProof/>
                <w:webHidden/>
              </w:rPr>
              <w:instrText xml:space="preserve"> PAGEREF _Toc79679547 \h </w:instrText>
            </w:r>
            <w:r>
              <w:rPr>
                <w:noProof/>
                <w:webHidden/>
              </w:rPr>
            </w:r>
            <w:r>
              <w:rPr>
                <w:noProof/>
                <w:webHidden/>
              </w:rPr>
              <w:fldChar w:fldCharType="separate"/>
            </w:r>
            <w:r>
              <w:rPr>
                <w:noProof/>
                <w:webHidden/>
              </w:rPr>
              <w:t>23</w:t>
            </w:r>
            <w:r>
              <w:rPr>
                <w:noProof/>
                <w:webHidden/>
              </w:rPr>
              <w:fldChar w:fldCharType="end"/>
            </w:r>
          </w:hyperlink>
        </w:p>
        <w:p w14:paraId="77A52410" w14:textId="56947307" w:rsidR="008F1828" w:rsidRDefault="008F1828">
          <w:pPr>
            <w:pStyle w:val="TOC2"/>
            <w:tabs>
              <w:tab w:val="right" w:leader="dot" w:pos="9016"/>
            </w:tabs>
            <w:rPr>
              <w:rFonts w:eastAsiaTheme="minorEastAsia"/>
              <w:noProof/>
              <w:lang w:eastAsia="en-AU"/>
            </w:rPr>
          </w:pPr>
          <w:hyperlink w:anchor="_Toc79679548" w:history="1">
            <w:r w:rsidRPr="00B57952">
              <w:rPr>
                <w:rStyle w:val="Hyperlink"/>
                <w:noProof/>
              </w:rPr>
              <w:t>A3. NAS Reporting</w:t>
            </w:r>
            <w:r>
              <w:rPr>
                <w:noProof/>
                <w:webHidden/>
              </w:rPr>
              <w:tab/>
            </w:r>
            <w:r>
              <w:rPr>
                <w:noProof/>
                <w:webHidden/>
              </w:rPr>
              <w:fldChar w:fldCharType="begin"/>
            </w:r>
            <w:r>
              <w:rPr>
                <w:noProof/>
                <w:webHidden/>
              </w:rPr>
              <w:instrText xml:space="preserve"> PAGEREF _Toc79679548 \h </w:instrText>
            </w:r>
            <w:r>
              <w:rPr>
                <w:noProof/>
                <w:webHidden/>
              </w:rPr>
            </w:r>
            <w:r>
              <w:rPr>
                <w:noProof/>
                <w:webHidden/>
              </w:rPr>
              <w:fldChar w:fldCharType="separate"/>
            </w:r>
            <w:r>
              <w:rPr>
                <w:noProof/>
                <w:webHidden/>
              </w:rPr>
              <w:t>23</w:t>
            </w:r>
            <w:r>
              <w:rPr>
                <w:noProof/>
                <w:webHidden/>
              </w:rPr>
              <w:fldChar w:fldCharType="end"/>
            </w:r>
          </w:hyperlink>
        </w:p>
        <w:p w14:paraId="156575AC" w14:textId="3721E153" w:rsidR="008F1828" w:rsidRDefault="008F1828">
          <w:pPr>
            <w:pStyle w:val="TOC2"/>
            <w:tabs>
              <w:tab w:val="right" w:leader="dot" w:pos="9016"/>
            </w:tabs>
            <w:rPr>
              <w:rFonts w:eastAsiaTheme="minorEastAsia"/>
              <w:noProof/>
              <w:lang w:eastAsia="en-AU"/>
            </w:rPr>
          </w:pPr>
          <w:hyperlink w:anchor="_Toc79679549" w:history="1">
            <w:r w:rsidRPr="00B57952">
              <w:rPr>
                <w:rStyle w:val="Hyperlink"/>
                <w:noProof/>
              </w:rPr>
              <w:t>A4. NAS Data Collection Methodology</w:t>
            </w:r>
            <w:r>
              <w:rPr>
                <w:noProof/>
                <w:webHidden/>
              </w:rPr>
              <w:tab/>
            </w:r>
            <w:r>
              <w:rPr>
                <w:noProof/>
                <w:webHidden/>
              </w:rPr>
              <w:fldChar w:fldCharType="begin"/>
            </w:r>
            <w:r>
              <w:rPr>
                <w:noProof/>
                <w:webHidden/>
              </w:rPr>
              <w:instrText xml:space="preserve"> PAGEREF _Toc79679549 \h </w:instrText>
            </w:r>
            <w:r>
              <w:rPr>
                <w:noProof/>
                <w:webHidden/>
              </w:rPr>
            </w:r>
            <w:r>
              <w:rPr>
                <w:noProof/>
                <w:webHidden/>
              </w:rPr>
              <w:fldChar w:fldCharType="separate"/>
            </w:r>
            <w:r>
              <w:rPr>
                <w:noProof/>
                <w:webHidden/>
              </w:rPr>
              <w:t>24</w:t>
            </w:r>
            <w:r>
              <w:rPr>
                <w:noProof/>
                <w:webHidden/>
              </w:rPr>
              <w:fldChar w:fldCharType="end"/>
            </w:r>
          </w:hyperlink>
        </w:p>
        <w:p w14:paraId="706004B3" w14:textId="6259E4CD" w:rsidR="008F1828" w:rsidRDefault="008F1828">
          <w:pPr>
            <w:pStyle w:val="TOC3"/>
            <w:tabs>
              <w:tab w:val="right" w:leader="dot" w:pos="9016"/>
            </w:tabs>
            <w:rPr>
              <w:rFonts w:eastAsiaTheme="minorEastAsia"/>
              <w:noProof/>
              <w:lang w:eastAsia="en-AU"/>
            </w:rPr>
          </w:pPr>
          <w:hyperlink w:anchor="_Toc79679550" w:history="1">
            <w:r w:rsidRPr="00B57952">
              <w:rPr>
                <w:rStyle w:val="Hyperlink"/>
                <w:noProof/>
              </w:rPr>
              <w:t>Data Sources</w:t>
            </w:r>
            <w:r>
              <w:rPr>
                <w:noProof/>
                <w:webHidden/>
              </w:rPr>
              <w:tab/>
            </w:r>
            <w:r>
              <w:rPr>
                <w:noProof/>
                <w:webHidden/>
              </w:rPr>
              <w:fldChar w:fldCharType="begin"/>
            </w:r>
            <w:r>
              <w:rPr>
                <w:noProof/>
                <w:webHidden/>
              </w:rPr>
              <w:instrText xml:space="preserve"> PAGEREF _Toc79679550 \h </w:instrText>
            </w:r>
            <w:r>
              <w:rPr>
                <w:noProof/>
                <w:webHidden/>
              </w:rPr>
            </w:r>
            <w:r>
              <w:rPr>
                <w:noProof/>
                <w:webHidden/>
              </w:rPr>
              <w:fldChar w:fldCharType="separate"/>
            </w:r>
            <w:r>
              <w:rPr>
                <w:noProof/>
                <w:webHidden/>
              </w:rPr>
              <w:t>24</w:t>
            </w:r>
            <w:r>
              <w:rPr>
                <w:noProof/>
                <w:webHidden/>
              </w:rPr>
              <w:fldChar w:fldCharType="end"/>
            </w:r>
          </w:hyperlink>
        </w:p>
        <w:p w14:paraId="2EA1303A" w14:textId="4D0027A6" w:rsidR="008F1828" w:rsidRDefault="008F1828">
          <w:pPr>
            <w:pStyle w:val="TOC3"/>
            <w:tabs>
              <w:tab w:val="right" w:leader="dot" w:pos="9016"/>
            </w:tabs>
            <w:rPr>
              <w:rFonts w:eastAsiaTheme="minorEastAsia"/>
              <w:noProof/>
              <w:lang w:eastAsia="en-AU"/>
            </w:rPr>
          </w:pPr>
          <w:hyperlink w:anchor="_Toc79679551" w:history="1">
            <w:r w:rsidRPr="00B57952">
              <w:rPr>
                <w:rStyle w:val="Hyperlink"/>
                <w:noProof/>
              </w:rPr>
              <w:t>Data aggregation process</w:t>
            </w:r>
            <w:r>
              <w:rPr>
                <w:noProof/>
                <w:webHidden/>
              </w:rPr>
              <w:tab/>
            </w:r>
            <w:r>
              <w:rPr>
                <w:noProof/>
                <w:webHidden/>
              </w:rPr>
              <w:fldChar w:fldCharType="begin"/>
            </w:r>
            <w:r>
              <w:rPr>
                <w:noProof/>
                <w:webHidden/>
              </w:rPr>
              <w:instrText xml:space="preserve"> PAGEREF _Toc79679551 \h </w:instrText>
            </w:r>
            <w:r>
              <w:rPr>
                <w:noProof/>
                <w:webHidden/>
              </w:rPr>
            </w:r>
            <w:r>
              <w:rPr>
                <w:noProof/>
                <w:webHidden/>
              </w:rPr>
              <w:fldChar w:fldCharType="separate"/>
            </w:r>
            <w:r>
              <w:rPr>
                <w:noProof/>
                <w:webHidden/>
              </w:rPr>
              <w:t>25</w:t>
            </w:r>
            <w:r>
              <w:rPr>
                <w:noProof/>
                <w:webHidden/>
              </w:rPr>
              <w:fldChar w:fldCharType="end"/>
            </w:r>
          </w:hyperlink>
        </w:p>
        <w:p w14:paraId="78C3FBCE" w14:textId="2C209F22" w:rsidR="008F1828" w:rsidRDefault="008F1828">
          <w:pPr>
            <w:pStyle w:val="TOC3"/>
            <w:tabs>
              <w:tab w:val="right" w:leader="dot" w:pos="9016"/>
            </w:tabs>
            <w:rPr>
              <w:rFonts w:eastAsiaTheme="minorEastAsia"/>
              <w:noProof/>
              <w:lang w:eastAsia="en-AU"/>
            </w:rPr>
          </w:pPr>
          <w:hyperlink w:anchor="_Toc79679552" w:history="1">
            <w:r w:rsidRPr="00B57952">
              <w:rPr>
                <w:rStyle w:val="Hyperlink"/>
                <w:noProof/>
              </w:rPr>
              <w:t>Limitations</w:t>
            </w:r>
            <w:r>
              <w:rPr>
                <w:noProof/>
                <w:webHidden/>
              </w:rPr>
              <w:tab/>
            </w:r>
            <w:r>
              <w:rPr>
                <w:noProof/>
                <w:webHidden/>
              </w:rPr>
              <w:fldChar w:fldCharType="begin"/>
            </w:r>
            <w:r>
              <w:rPr>
                <w:noProof/>
                <w:webHidden/>
              </w:rPr>
              <w:instrText xml:space="preserve"> PAGEREF _Toc79679552 \h </w:instrText>
            </w:r>
            <w:r>
              <w:rPr>
                <w:noProof/>
                <w:webHidden/>
              </w:rPr>
            </w:r>
            <w:r>
              <w:rPr>
                <w:noProof/>
                <w:webHidden/>
              </w:rPr>
              <w:fldChar w:fldCharType="separate"/>
            </w:r>
            <w:r>
              <w:rPr>
                <w:noProof/>
                <w:webHidden/>
              </w:rPr>
              <w:t>25</w:t>
            </w:r>
            <w:r>
              <w:rPr>
                <w:noProof/>
                <w:webHidden/>
              </w:rPr>
              <w:fldChar w:fldCharType="end"/>
            </w:r>
          </w:hyperlink>
        </w:p>
        <w:p w14:paraId="08C49E26" w14:textId="11A00CC5" w:rsidR="002E0697" w:rsidRDefault="002E0697" w:rsidP="001356A0">
          <w:r>
            <w:rPr>
              <w:caps/>
              <w:color w:val="358189"/>
              <w:sz w:val="28"/>
            </w:rPr>
            <w:fldChar w:fldCharType="end"/>
          </w:r>
        </w:p>
      </w:sdtContent>
    </w:sdt>
    <w:p w14:paraId="70DE8E26" w14:textId="77777777" w:rsidR="00A56178" w:rsidRDefault="00017727" w:rsidP="00017727">
      <w:pPr>
        <w:pStyle w:val="Heading1"/>
      </w:pPr>
      <w:bookmarkStart w:id="0" w:name="_Toc71019122"/>
      <w:bookmarkStart w:id="1" w:name="_Toc79679522"/>
      <w:r>
        <w:lastRenderedPageBreak/>
        <w:t>Acronyms</w:t>
      </w:r>
      <w:bookmarkEnd w:id="0"/>
      <w:bookmarkEnd w:id="1"/>
    </w:p>
    <w:tbl>
      <w:tblPr>
        <w:tblStyle w:val="TableGrid"/>
        <w:tblW w:w="0" w:type="auto"/>
        <w:tblLook w:val="04A0" w:firstRow="1" w:lastRow="0" w:firstColumn="1" w:lastColumn="0" w:noHBand="0" w:noVBand="1"/>
        <w:tblDescription w:val="A list of Terms and Description used in this document."/>
      </w:tblPr>
      <w:tblGrid>
        <w:gridCol w:w="1696"/>
        <w:gridCol w:w="7320"/>
      </w:tblGrid>
      <w:tr w:rsidR="00017727" w14:paraId="1CC71F96" w14:textId="77777777" w:rsidTr="00232F7D">
        <w:trPr>
          <w:tblHeader/>
        </w:trPr>
        <w:tc>
          <w:tcPr>
            <w:tcW w:w="1696" w:type="dxa"/>
            <w:shd w:val="clear" w:color="auto" w:fill="5EBAAB"/>
          </w:tcPr>
          <w:p w14:paraId="2500447D" w14:textId="77777777" w:rsidR="00017727" w:rsidRPr="00017727" w:rsidRDefault="00017727" w:rsidP="00017727">
            <w:pPr>
              <w:rPr>
                <w:b/>
                <w:color w:val="FFFFFF" w:themeColor="background1"/>
              </w:rPr>
            </w:pPr>
            <w:r w:rsidRPr="00017727">
              <w:rPr>
                <w:b/>
                <w:color w:val="FFFFFF" w:themeColor="background1"/>
              </w:rPr>
              <w:t>TERM</w:t>
            </w:r>
          </w:p>
        </w:tc>
        <w:tc>
          <w:tcPr>
            <w:tcW w:w="7320" w:type="dxa"/>
            <w:shd w:val="clear" w:color="auto" w:fill="5EBAAB"/>
          </w:tcPr>
          <w:p w14:paraId="16502C7B" w14:textId="77777777" w:rsidR="00017727" w:rsidRPr="00017727" w:rsidRDefault="00017727" w:rsidP="00017727">
            <w:pPr>
              <w:rPr>
                <w:b/>
                <w:color w:val="FFFFFF" w:themeColor="background1"/>
              </w:rPr>
            </w:pPr>
            <w:r w:rsidRPr="00017727">
              <w:rPr>
                <w:b/>
                <w:color w:val="FFFFFF" w:themeColor="background1"/>
              </w:rPr>
              <w:t>DESCRIPTION</w:t>
            </w:r>
          </w:p>
        </w:tc>
      </w:tr>
      <w:tr w:rsidR="00017727" w14:paraId="7C15CE40" w14:textId="77777777" w:rsidTr="00017727">
        <w:tc>
          <w:tcPr>
            <w:tcW w:w="1696" w:type="dxa"/>
          </w:tcPr>
          <w:p w14:paraId="1E137A1D" w14:textId="77777777" w:rsidR="00017727" w:rsidRPr="00017727" w:rsidRDefault="00017727" w:rsidP="00017727">
            <w:pPr>
              <w:rPr>
                <w:rStyle w:val="Strong"/>
              </w:rPr>
            </w:pPr>
            <w:r>
              <w:rPr>
                <w:rStyle w:val="Strong"/>
              </w:rPr>
              <w:t>ACSQHC</w:t>
            </w:r>
          </w:p>
        </w:tc>
        <w:tc>
          <w:tcPr>
            <w:tcW w:w="7320" w:type="dxa"/>
          </w:tcPr>
          <w:p w14:paraId="6C405BFC" w14:textId="77777777" w:rsidR="00017727" w:rsidRDefault="00017727" w:rsidP="00017727">
            <w:r w:rsidRPr="002369A4">
              <w:t>Australian Commission on Safety and Quality in Health Care</w:t>
            </w:r>
          </w:p>
        </w:tc>
      </w:tr>
      <w:tr w:rsidR="00017727" w14:paraId="2BE6D706" w14:textId="77777777" w:rsidTr="00017727">
        <w:tc>
          <w:tcPr>
            <w:tcW w:w="1696" w:type="dxa"/>
          </w:tcPr>
          <w:p w14:paraId="6B966941" w14:textId="77777777" w:rsidR="00017727" w:rsidRPr="00017727" w:rsidRDefault="00017727" w:rsidP="00017727">
            <w:pPr>
              <w:rPr>
                <w:rStyle w:val="Strong"/>
              </w:rPr>
            </w:pPr>
            <w:r>
              <w:rPr>
                <w:rStyle w:val="Strong"/>
              </w:rPr>
              <w:t>ANZCTR</w:t>
            </w:r>
          </w:p>
        </w:tc>
        <w:tc>
          <w:tcPr>
            <w:tcW w:w="7320" w:type="dxa"/>
          </w:tcPr>
          <w:p w14:paraId="0450D422" w14:textId="77777777" w:rsidR="00017727" w:rsidRDefault="00017727" w:rsidP="00017727">
            <w:r w:rsidRPr="002369A4">
              <w:t>Australian New Zealand Clinical Trials Registry</w:t>
            </w:r>
          </w:p>
        </w:tc>
      </w:tr>
      <w:tr w:rsidR="00017727" w14:paraId="7C66FE34" w14:textId="77777777" w:rsidTr="00017727">
        <w:tc>
          <w:tcPr>
            <w:tcW w:w="1696" w:type="dxa"/>
          </w:tcPr>
          <w:p w14:paraId="51D3BD45" w14:textId="77777777" w:rsidR="00017727" w:rsidRPr="00017727" w:rsidRDefault="00017727" w:rsidP="00017727">
            <w:pPr>
              <w:rPr>
                <w:rStyle w:val="Strong"/>
              </w:rPr>
            </w:pPr>
            <w:r>
              <w:rPr>
                <w:rStyle w:val="Strong"/>
              </w:rPr>
              <w:t>CRO</w:t>
            </w:r>
          </w:p>
        </w:tc>
        <w:tc>
          <w:tcPr>
            <w:tcW w:w="7320" w:type="dxa"/>
          </w:tcPr>
          <w:p w14:paraId="4310F3D5" w14:textId="77777777" w:rsidR="00017727" w:rsidRDefault="00017727" w:rsidP="00017727">
            <w:r w:rsidRPr="002369A4">
              <w:t>Commercial Research Organisation</w:t>
            </w:r>
          </w:p>
        </w:tc>
      </w:tr>
      <w:tr w:rsidR="00017727" w14:paraId="0F2882A7" w14:textId="77777777" w:rsidTr="00017727">
        <w:tc>
          <w:tcPr>
            <w:tcW w:w="1696" w:type="dxa"/>
          </w:tcPr>
          <w:p w14:paraId="16330A34" w14:textId="77777777" w:rsidR="00017727" w:rsidRPr="00017727" w:rsidRDefault="00017727" w:rsidP="00017727">
            <w:pPr>
              <w:rPr>
                <w:rStyle w:val="Strong"/>
              </w:rPr>
            </w:pPr>
            <w:r>
              <w:rPr>
                <w:rStyle w:val="Strong"/>
              </w:rPr>
              <w:t>CTA</w:t>
            </w:r>
          </w:p>
        </w:tc>
        <w:tc>
          <w:tcPr>
            <w:tcW w:w="7320" w:type="dxa"/>
          </w:tcPr>
          <w:p w14:paraId="3F1B235D" w14:textId="77777777" w:rsidR="00017727" w:rsidRDefault="00017727" w:rsidP="00017727">
            <w:r>
              <w:t>Clinical Trial Approval Scheme</w:t>
            </w:r>
          </w:p>
        </w:tc>
      </w:tr>
      <w:tr w:rsidR="00017727" w14:paraId="23613434" w14:textId="77777777" w:rsidTr="00017727">
        <w:tc>
          <w:tcPr>
            <w:tcW w:w="1696" w:type="dxa"/>
          </w:tcPr>
          <w:p w14:paraId="2028E84F" w14:textId="77777777" w:rsidR="00017727" w:rsidRPr="00017727" w:rsidRDefault="00017727" w:rsidP="00017727">
            <w:pPr>
              <w:rPr>
                <w:rStyle w:val="Strong"/>
              </w:rPr>
            </w:pPr>
            <w:r>
              <w:rPr>
                <w:rStyle w:val="Strong"/>
              </w:rPr>
              <w:t>CTN</w:t>
            </w:r>
          </w:p>
        </w:tc>
        <w:tc>
          <w:tcPr>
            <w:tcW w:w="7320" w:type="dxa"/>
          </w:tcPr>
          <w:p w14:paraId="5C64D58C" w14:textId="77777777" w:rsidR="00017727" w:rsidRDefault="00017727" w:rsidP="00017727">
            <w:r w:rsidRPr="002369A4">
              <w:t>Clinical Trial Notification</w:t>
            </w:r>
            <w:r>
              <w:t xml:space="preserve"> Scheme</w:t>
            </w:r>
          </w:p>
        </w:tc>
      </w:tr>
      <w:tr w:rsidR="00017727" w14:paraId="5D99DC0A" w14:textId="77777777" w:rsidTr="00017727">
        <w:tc>
          <w:tcPr>
            <w:tcW w:w="1696" w:type="dxa"/>
          </w:tcPr>
          <w:p w14:paraId="631C6849" w14:textId="77777777" w:rsidR="00017727" w:rsidRPr="00017727" w:rsidRDefault="00017727" w:rsidP="00017727">
            <w:pPr>
              <w:rPr>
                <w:rStyle w:val="Strong"/>
              </w:rPr>
            </w:pPr>
            <w:r>
              <w:rPr>
                <w:rStyle w:val="Strong"/>
              </w:rPr>
              <w:t>CTPRG</w:t>
            </w:r>
          </w:p>
        </w:tc>
        <w:tc>
          <w:tcPr>
            <w:tcW w:w="7320" w:type="dxa"/>
          </w:tcPr>
          <w:p w14:paraId="53D9979A" w14:textId="77777777" w:rsidR="00017727" w:rsidRDefault="00017727" w:rsidP="00017727">
            <w:r w:rsidRPr="002369A4">
              <w:t>Clinical Trials Project Reference Group</w:t>
            </w:r>
          </w:p>
        </w:tc>
      </w:tr>
      <w:tr w:rsidR="00017727" w14:paraId="0852B3CA" w14:textId="77777777" w:rsidTr="00017727">
        <w:tc>
          <w:tcPr>
            <w:tcW w:w="1696" w:type="dxa"/>
          </w:tcPr>
          <w:p w14:paraId="729B5774" w14:textId="77777777" w:rsidR="00017727" w:rsidRDefault="00017727" w:rsidP="00017727">
            <w:pPr>
              <w:rPr>
                <w:rStyle w:val="Strong"/>
              </w:rPr>
            </w:pPr>
            <w:r>
              <w:rPr>
                <w:rStyle w:val="Strong"/>
              </w:rPr>
              <w:t>ERM</w:t>
            </w:r>
          </w:p>
        </w:tc>
        <w:tc>
          <w:tcPr>
            <w:tcW w:w="7320" w:type="dxa"/>
          </w:tcPr>
          <w:p w14:paraId="4C76E597" w14:textId="77777777" w:rsidR="00017727" w:rsidRPr="002369A4" w:rsidRDefault="00017727" w:rsidP="00017727">
            <w:r w:rsidRPr="002369A4">
              <w:t>Ethics Review Manager</w:t>
            </w:r>
          </w:p>
        </w:tc>
      </w:tr>
      <w:tr w:rsidR="00017727" w14:paraId="55D57BF9" w14:textId="77777777" w:rsidTr="00017727">
        <w:tc>
          <w:tcPr>
            <w:tcW w:w="1696" w:type="dxa"/>
          </w:tcPr>
          <w:p w14:paraId="67C80F5E" w14:textId="77777777" w:rsidR="00017727" w:rsidRDefault="00017727" w:rsidP="00017727">
            <w:pPr>
              <w:rPr>
                <w:rStyle w:val="Strong"/>
              </w:rPr>
            </w:pPr>
            <w:r>
              <w:rPr>
                <w:rStyle w:val="Strong"/>
              </w:rPr>
              <w:t>FTIH / FTIP</w:t>
            </w:r>
          </w:p>
        </w:tc>
        <w:tc>
          <w:tcPr>
            <w:tcW w:w="7320" w:type="dxa"/>
          </w:tcPr>
          <w:p w14:paraId="010271D4" w14:textId="77777777" w:rsidR="00017727" w:rsidRPr="002369A4" w:rsidRDefault="00017727" w:rsidP="00017727">
            <w:r w:rsidRPr="002369A4">
              <w:t>First time in human / First time in patient</w:t>
            </w:r>
          </w:p>
        </w:tc>
      </w:tr>
      <w:tr w:rsidR="00017727" w14:paraId="2159499A" w14:textId="77777777" w:rsidTr="00017727">
        <w:tc>
          <w:tcPr>
            <w:tcW w:w="1696" w:type="dxa"/>
          </w:tcPr>
          <w:p w14:paraId="7A01F4DE" w14:textId="77777777" w:rsidR="00017727" w:rsidRDefault="00017727" w:rsidP="00017727">
            <w:pPr>
              <w:rPr>
                <w:rStyle w:val="Strong"/>
              </w:rPr>
            </w:pPr>
            <w:r>
              <w:rPr>
                <w:rStyle w:val="Strong"/>
              </w:rPr>
              <w:t>GOVERNANCE FRAMEWORK</w:t>
            </w:r>
          </w:p>
        </w:tc>
        <w:tc>
          <w:tcPr>
            <w:tcW w:w="7320" w:type="dxa"/>
          </w:tcPr>
          <w:p w14:paraId="381BE627" w14:textId="77777777" w:rsidR="00017727" w:rsidRPr="002369A4" w:rsidRDefault="00017727" w:rsidP="00017727">
            <w:r>
              <w:t>Clinical Trials Governance Framework</w:t>
            </w:r>
          </w:p>
        </w:tc>
      </w:tr>
      <w:tr w:rsidR="00017727" w14:paraId="36BB25AB" w14:textId="77777777" w:rsidTr="00017727">
        <w:tc>
          <w:tcPr>
            <w:tcW w:w="1696" w:type="dxa"/>
          </w:tcPr>
          <w:p w14:paraId="79694DD7" w14:textId="77777777" w:rsidR="00017727" w:rsidRDefault="00017727" w:rsidP="00017727">
            <w:pPr>
              <w:rPr>
                <w:rStyle w:val="Strong"/>
              </w:rPr>
            </w:pPr>
            <w:r>
              <w:rPr>
                <w:rStyle w:val="Strong"/>
              </w:rPr>
              <w:t>HMR</w:t>
            </w:r>
          </w:p>
        </w:tc>
        <w:tc>
          <w:tcPr>
            <w:tcW w:w="7320" w:type="dxa"/>
          </w:tcPr>
          <w:p w14:paraId="57DC3A73" w14:textId="77777777" w:rsidR="00017727" w:rsidRDefault="00017727" w:rsidP="00017727">
            <w:r w:rsidRPr="002369A4">
              <w:t>Health and Medical Research</w:t>
            </w:r>
          </w:p>
        </w:tc>
      </w:tr>
      <w:tr w:rsidR="00017727" w14:paraId="58424C6A" w14:textId="77777777" w:rsidTr="00017727">
        <w:tc>
          <w:tcPr>
            <w:tcW w:w="1696" w:type="dxa"/>
          </w:tcPr>
          <w:p w14:paraId="44A0ED6F" w14:textId="77777777" w:rsidR="00017727" w:rsidRDefault="00017727" w:rsidP="00017727">
            <w:pPr>
              <w:rPr>
                <w:rStyle w:val="Strong"/>
              </w:rPr>
            </w:pPr>
            <w:r>
              <w:rPr>
                <w:rStyle w:val="Strong"/>
              </w:rPr>
              <w:t>NHMRC</w:t>
            </w:r>
          </w:p>
        </w:tc>
        <w:tc>
          <w:tcPr>
            <w:tcW w:w="7320" w:type="dxa"/>
          </w:tcPr>
          <w:p w14:paraId="6CC18CC5" w14:textId="77777777" w:rsidR="00017727" w:rsidRPr="002369A4" w:rsidRDefault="00017727" w:rsidP="00017727">
            <w:r w:rsidRPr="002369A4">
              <w:t>National Health and Medical Research Council</w:t>
            </w:r>
          </w:p>
        </w:tc>
      </w:tr>
      <w:tr w:rsidR="00017727" w14:paraId="6DD19671" w14:textId="77777777" w:rsidTr="00017727">
        <w:tc>
          <w:tcPr>
            <w:tcW w:w="1696" w:type="dxa"/>
          </w:tcPr>
          <w:p w14:paraId="027A5940" w14:textId="77777777" w:rsidR="00017727" w:rsidRDefault="001A7A66" w:rsidP="00017727">
            <w:pPr>
              <w:rPr>
                <w:rStyle w:val="Strong"/>
              </w:rPr>
            </w:pPr>
            <w:r>
              <w:rPr>
                <w:rStyle w:val="Strong"/>
              </w:rPr>
              <w:t>HREC</w:t>
            </w:r>
          </w:p>
        </w:tc>
        <w:tc>
          <w:tcPr>
            <w:tcW w:w="7320" w:type="dxa"/>
          </w:tcPr>
          <w:p w14:paraId="2ABE9E74" w14:textId="77777777" w:rsidR="00017727" w:rsidRPr="002369A4" w:rsidRDefault="001A7A66" w:rsidP="00017727">
            <w:r w:rsidRPr="002369A4">
              <w:t>Health Research Ethics Committee</w:t>
            </w:r>
          </w:p>
        </w:tc>
      </w:tr>
      <w:tr w:rsidR="001A7A66" w14:paraId="4A3E1A95" w14:textId="77777777" w:rsidTr="00017727">
        <w:tc>
          <w:tcPr>
            <w:tcW w:w="1696" w:type="dxa"/>
          </w:tcPr>
          <w:p w14:paraId="1C8556C7" w14:textId="77777777" w:rsidR="001A7A66" w:rsidRDefault="001A7A66" w:rsidP="00017727">
            <w:pPr>
              <w:rPr>
                <w:rStyle w:val="Strong"/>
              </w:rPr>
            </w:pPr>
            <w:r>
              <w:rPr>
                <w:rStyle w:val="Strong"/>
              </w:rPr>
              <w:t>NAS</w:t>
            </w:r>
          </w:p>
        </w:tc>
        <w:tc>
          <w:tcPr>
            <w:tcW w:w="7320" w:type="dxa"/>
          </w:tcPr>
          <w:p w14:paraId="425ECF28" w14:textId="77777777" w:rsidR="001A7A66" w:rsidRPr="002369A4" w:rsidRDefault="001A7A66" w:rsidP="00017727">
            <w:r w:rsidRPr="002369A4">
              <w:t>National Aggregate Statistics</w:t>
            </w:r>
          </w:p>
        </w:tc>
      </w:tr>
      <w:tr w:rsidR="001A7A66" w14:paraId="3316459E" w14:textId="77777777" w:rsidTr="00017727">
        <w:tc>
          <w:tcPr>
            <w:tcW w:w="1696" w:type="dxa"/>
          </w:tcPr>
          <w:p w14:paraId="4B8E92EE" w14:textId="77777777" w:rsidR="001A7A66" w:rsidRDefault="001A7A66" w:rsidP="00017727">
            <w:pPr>
              <w:rPr>
                <w:rStyle w:val="Strong"/>
              </w:rPr>
            </w:pPr>
            <w:r>
              <w:rPr>
                <w:rStyle w:val="Strong"/>
              </w:rPr>
              <w:t>NMA</w:t>
            </w:r>
          </w:p>
        </w:tc>
        <w:tc>
          <w:tcPr>
            <w:tcW w:w="7320" w:type="dxa"/>
          </w:tcPr>
          <w:p w14:paraId="37A79545" w14:textId="77777777" w:rsidR="001A7A66" w:rsidRPr="002369A4" w:rsidRDefault="001A7A66" w:rsidP="00017727">
            <w:r w:rsidRPr="002369A4">
              <w:t>National Mutual Acceptance</w:t>
            </w:r>
          </w:p>
        </w:tc>
      </w:tr>
      <w:tr w:rsidR="001A7A66" w14:paraId="0AEEB3F5" w14:textId="77777777" w:rsidTr="00017727">
        <w:tc>
          <w:tcPr>
            <w:tcW w:w="1696" w:type="dxa"/>
          </w:tcPr>
          <w:p w14:paraId="78799829" w14:textId="77777777" w:rsidR="001A7A66" w:rsidRDefault="001A7A66" w:rsidP="00017727">
            <w:pPr>
              <w:rPr>
                <w:rStyle w:val="Strong"/>
              </w:rPr>
            </w:pPr>
            <w:r>
              <w:rPr>
                <w:rStyle w:val="Strong"/>
              </w:rPr>
              <w:t>REGIS</w:t>
            </w:r>
          </w:p>
        </w:tc>
        <w:tc>
          <w:tcPr>
            <w:tcW w:w="7320" w:type="dxa"/>
          </w:tcPr>
          <w:p w14:paraId="6BCF4DF5" w14:textId="77777777" w:rsidR="001A7A66" w:rsidRPr="002369A4" w:rsidRDefault="001A7A66" w:rsidP="00017727">
            <w:r w:rsidRPr="002369A4">
              <w:t>Research Ethics and Governance Information System</w:t>
            </w:r>
          </w:p>
        </w:tc>
      </w:tr>
      <w:tr w:rsidR="001A7A66" w14:paraId="515D28AA" w14:textId="77777777" w:rsidTr="00017727">
        <w:tc>
          <w:tcPr>
            <w:tcW w:w="1696" w:type="dxa"/>
          </w:tcPr>
          <w:p w14:paraId="027A6C8A" w14:textId="77777777" w:rsidR="001A7A66" w:rsidRDefault="001A7A66" w:rsidP="00017727">
            <w:pPr>
              <w:rPr>
                <w:rStyle w:val="Strong"/>
              </w:rPr>
            </w:pPr>
            <w:r>
              <w:rPr>
                <w:rStyle w:val="Strong"/>
              </w:rPr>
              <w:t>RGS</w:t>
            </w:r>
          </w:p>
        </w:tc>
        <w:tc>
          <w:tcPr>
            <w:tcW w:w="7320" w:type="dxa"/>
          </w:tcPr>
          <w:p w14:paraId="2DA295E4" w14:textId="77777777" w:rsidR="001A7A66" w:rsidRPr="002369A4" w:rsidRDefault="00AC7E23" w:rsidP="00017727">
            <w:r>
              <w:t>Research Governance Service</w:t>
            </w:r>
          </w:p>
        </w:tc>
      </w:tr>
      <w:tr w:rsidR="001A7A66" w14:paraId="04BB147D" w14:textId="77777777" w:rsidTr="00017727">
        <w:tc>
          <w:tcPr>
            <w:tcW w:w="1696" w:type="dxa"/>
          </w:tcPr>
          <w:p w14:paraId="7DEDF49F" w14:textId="77777777" w:rsidR="001A7A66" w:rsidRDefault="001A7A66" w:rsidP="00017727">
            <w:pPr>
              <w:rPr>
                <w:rStyle w:val="Strong"/>
              </w:rPr>
            </w:pPr>
            <w:r>
              <w:rPr>
                <w:rStyle w:val="Strong"/>
              </w:rPr>
              <w:t>SSA</w:t>
            </w:r>
          </w:p>
        </w:tc>
        <w:tc>
          <w:tcPr>
            <w:tcW w:w="7320" w:type="dxa"/>
          </w:tcPr>
          <w:p w14:paraId="2CCE630F" w14:textId="77777777" w:rsidR="001A7A66" w:rsidRPr="002369A4" w:rsidRDefault="001A7A66" w:rsidP="00017727">
            <w:r w:rsidRPr="002369A4">
              <w:t>Site Specific Assessment</w:t>
            </w:r>
          </w:p>
        </w:tc>
      </w:tr>
      <w:tr w:rsidR="001A7A66" w14:paraId="303DE867" w14:textId="77777777" w:rsidTr="00017727">
        <w:tc>
          <w:tcPr>
            <w:tcW w:w="1696" w:type="dxa"/>
          </w:tcPr>
          <w:p w14:paraId="180DB151" w14:textId="77777777" w:rsidR="001A7A66" w:rsidRDefault="001A7A66" w:rsidP="00017727">
            <w:pPr>
              <w:rPr>
                <w:rStyle w:val="Strong"/>
              </w:rPr>
            </w:pPr>
            <w:r>
              <w:rPr>
                <w:rStyle w:val="Strong"/>
              </w:rPr>
              <w:t>TGA</w:t>
            </w:r>
          </w:p>
        </w:tc>
        <w:tc>
          <w:tcPr>
            <w:tcW w:w="7320" w:type="dxa"/>
          </w:tcPr>
          <w:p w14:paraId="605822DA" w14:textId="77777777" w:rsidR="001A7A66" w:rsidRPr="002369A4" w:rsidRDefault="001A7A66" w:rsidP="00017727">
            <w:r w:rsidRPr="002369A4">
              <w:t>Therapeutic Goods Administration</w:t>
            </w:r>
          </w:p>
        </w:tc>
      </w:tr>
    </w:tbl>
    <w:p w14:paraId="7A4FC81E" w14:textId="77777777" w:rsidR="00017727" w:rsidRDefault="008A648E" w:rsidP="001356A0">
      <w:pPr>
        <w:pStyle w:val="Heading1"/>
        <w:pageBreakBefore/>
      </w:pPr>
      <w:bookmarkStart w:id="2" w:name="_Toc71019123"/>
      <w:bookmarkStart w:id="3" w:name="_Toc79679523"/>
      <w:r>
        <w:lastRenderedPageBreak/>
        <w:t>Executive Summary</w:t>
      </w:r>
      <w:bookmarkEnd w:id="2"/>
      <w:bookmarkEnd w:id="3"/>
    </w:p>
    <w:p w14:paraId="61BD2D2B" w14:textId="77777777" w:rsidR="003B779A" w:rsidRPr="002D078B" w:rsidRDefault="003B779A" w:rsidP="00FC0888">
      <w:r w:rsidRPr="002D078B">
        <w:t xml:space="preserve">Health and Medical Research (HMR) is the backbone of health system delivery and continuous improvement, and clinical trials are a key part of the Australian HMR sector. All jurisdictions are collaborating to improve the Australian clinical trials environment with a view to improving health outcomes and increasing international investment in Australia. </w:t>
      </w:r>
    </w:p>
    <w:p w14:paraId="317AB7A5" w14:textId="77777777" w:rsidR="003B779A" w:rsidRPr="002D078B" w:rsidRDefault="003B779A" w:rsidP="00FC0888">
      <w:r w:rsidRPr="002D078B">
        <w:t xml:space="preserve">In 2015, all Health Ministers agreed to a Framework for National Aggregate Statistics (NAS) and annual collection of data by all jurisdictions through the Clinical Trials Project Reference Group (CTPRG) to improve and inform approval timelines, operational objectives and strategic and targeted promotion of Australia as a preferred global location for clinical trials. </w:t>
      </w:r>
    </w:p>
    <w:p w14:paraId="4BE3F36E" w14:textId="77777777" w:rsidR="003B779A" w:rsidRPr="002D078B" w:rsidRDefault="003B779A" w:rsidP="00FC0888">
      <w:r w:rsidRPr="002D078B">
        <w:t xml:space="preserve">This Fourth National Aggregate Statistics Report on Clinical Trials in Australia (NAS 4 Report) was produced by Victoria on behalf of all jurisdictions, through CTPRG. As with previous reports, metrics collection has utilised the underpinning framework of the National Mutual Acceptance (NMA) Scheme. Each NAS Report has progressively built on preceding releases, and for the first time this iteration includes data from all 8 jurisdictions. Consequently, as newly reporting jurisdictions have contributed data, it has not been possible to continue time-series analysis. </w:t>
      </w:r>
      <w:r>
        <w:t>W</w:t>
      </w:r>
      <w:r w:rsidRPr="002D078B">
        <w:t>ork is continuing</w:t>
      </w:r>
      <w:r>
        <w:t xml:space="preserve"> across jurisdictions</w:t>
      </w:r>
      <w:r w:rsidRPr="002D078B">
        <w:t xml:space="preserve"> to address gaps</w:t>
      </w:r>
      <w:r>
        <w:t xml:space="preserve"> in data</w:t>
      </w:r>
      <w:r w:rsidRPr="002D078B">
        <w:t>.</w:t>
      </w:r>
    </w:p>
    <w:p w14:paraId="02FEAF89" w14:textId="77777777" w:rsidR="003B779A" w:rsidRDefault="003B779A" w:rsidP="00FC0888">
      <w:r w:rsidRPr="002D078B">
        <w:t>The NAS 4 Report represents new clinical trials in 2018-19 in public health organisations from 8 jurisdictions. In total, 940 new clinical trials were reported in 2018-19</w:t>
      </w:r>
      <w:r>
        <w:t>, which is of a similar order to previous years</w:t>
      </w:r>
      <w:r w:rsidRPr="002D078B">
        <w:t>. Key findings indicate that in public health organisations in Australia</w:t>
      </w:r>
      <w:r w:rsidRPr="00CA1B5D">
        <w:rPr>
          <w:vertAlign w:val="superscript"/>
        </w:rPr>
        <w:footnoteReference w:id="1"/>
      </w:r>
      <w:r w:rsidRPr="002D078B">
        <w:t>:</w:t>
      </w:r>
    </w:p>
    <w:p w14:paraId="7FA0D5CF" w14:textId="77777777" w:rsidR="003B779A" w:rsidRPr="003B779A" w:rsidRDefault="003B779A" w:rsidP="00713E77">
      <w:pPr>
        <w:pStyle w:val="ListParagraph"/>
        <w:numPr>
          <w:ilvl w:val="0"/>
          <w:numId w:val="7"/>
        </w:numPr>
      </w:pPr>
      <w:proofErr w:type="gramStart"/>
      <w:r>
        <w:t>The majority of</w:t>
      </w:r>
      <w:proofErr w:type="gramEnd"/>
      <w:r>
        <w:t xml:space="preserve"> trials </w:t>
      </w:r>
      <w:r w:rsidRPr="00713E77">
        <w:rPr>
          <w:rFonts w:eastAsia="Times New Roman"/>
          <w:color w:val="000000" w:themeColor="text1"/>
          <w:szCs w:val="24"/>
        </w:rPr>
        <w:t>were multi-site, Phase 3 (37 per cent), and commercially sponsored (48 per cent).</w:t>
      </w:r>
    </w:p>
    <w:p w14:paraId="58376B7F" w14:textId="77777777" w:rsidR="003B779A" w:rsidRPr="003B779A" w:rsidRDefault="003B779A" w:rsidP="00FC0888">
      <w:pPr>
        <w:pStyle w:val="ListParagraph"/>
        <w:numPr>
          <w:ilvl w:val="0"/>
          <w:numId w:val="7"/>
        </w:numPr>
      </w:pPr>
      <w:r>
        <w:t xml:space="preserve">The </w:t>
      </w:r>
      <w:r w:rsidRPr="00FC0888">
        <w:rPr>
          <w:rFonts w:eastAsia="Times New Roman"/>
          <w:color w:val="000000" w:themeColor="text1"/>
          <w:szCs w:val="24"/>
        </w:rPr>
        <w:t>number of Phase 1 trials increased significantly since 2016-17 and there was a notable increase in the number of trials sponsored by the Investigator Initiated Group (130 in 2016-17 compared to 230 in 2018-19).</w:t>
      </w:r>
    </w:p>
    <w:p w14:paraId="6123DD4C" w14:textId="77777777" w:rsidR="003B779A" w:rsidRPr="003B779A" w:rsidRDefault="003B779A" w:rsidP="00FC0888">
      <w:pPr>
        <w:pStyle w:val="ListParagraph"/>
        <w:numPr>
          <w:ilvl w:val="0"/>
          <w:numId w:val="7"/>
        </w:numPr>
      </w:pPr>
      <w:r>
        <w:t xml:space="preserve">Ten </w:t>
      </w:r>
      <w:r w:rsidRPr="00FC0888">
        <w:rPr>
          <w:rFonts w:eastAsia="Times New Roman"/>
          <w:color w:val="000000" w:themeColor="text1"/>
          <w:szCs w:val="24"/>
        </w:rPr>
        <w:t>per cent of all trials took an average 38.8 days to complete the regulatory process within 60 calendar days, ready to proceed to study start-up.</w:t>
      </w:r>
    </w:p>
    <w:p w14:paraId="37ED979C" w14:textId="77777777" w:rsidR="003B779A" w:rsidRPr="003B779A" w:rsidRDefault="003B779A" w:rsidP="00FC0888">
      <w:pPr>
        <w:pStyle w:val="ListParagraph"/>
        <w:numPr>
          <w:ilvl w:val="0"/>
          <w:numId w:val="7"/>
        </w:numPr>
      </w:pPr>
      <w:r>
        <w:t xml:space="preserve">There </w:t>
      </w:r>
      <w:r w:rsidRPr="00FC0888">
        <w:rPr>
          <w:rFonts w:eastAsia="Times New Roman"/>
          <w:color w:val="000000" w:themeColor="text1"/>
          <w:szCs w:val="24"/>
        </w:rPr>
        <w:t>was a slight reduction in the number of clinical trials approved within the benchmark of 60 days, however the majority completed the process within 120 days.</w:t>
      </w:r>
    </w:p>
    <w:p w14:paraId="30DDFDD6" w14:textId="77777777" w:rsidR="003B779A" w:rsidRPr="003B779A" w:rsidRDefault="003B779A" w:rsidP="00FC0888">
      <w:pPr>
        <w:pStyle w:val="ListParagraph"/>
        <w:numPr>
          <w:ilvl w:val="0"/>
          <w:numId w:val="7"/>
        </w:numPr>
      </w:pPr>
      <w:r>
        <w:t xml:space="preserve">The </w:t>
      </w:r>
      <w:r w:rsidRPr="00FC0888">
        <w:rPr>
          <w:rFonts w:eastAsia="Times New Roman"/>
          <w:color w:val="000000" w:themeColor="text1"/>
          <w:szCs w:val="24"/>
        </w:rPr>
        <w:t>administrative process for most SSA applications is complete within 60 days, however when measured from the date of ethics approval, only 40 per cent achieve this timeline. This suggests possible delays in submission of the SSA application, or failure to manage ethics and SSA approval processes concurrently.</w:t>
      </w:r>
    </w:p>
    <w:p w14:paraId="4F5FBD21" w14:textId="77777777" w:rsidR="003B779A" w:rsidRDefault="003B779A" w:rsidP="00FC0888">
      <w:r>
        <w:t xml:space="preserve">While </w:t>
      </w:r>
      <w:r w:rsidRPr="002D078B">
        <w:t>findings indicate a substantial clinical trial sector and strong improvements in ethics approval processing times by administering bodies, priorities for further improvement have been identified:</w:t>
      </w:r>
    </w:p>
    <w:p w14:paraId="26E77248" w14:textId="77777777" w:rsidR="003B779A" w:rsidRPr="003B779A" w:rsidRDefault="003B779A" w:rsidP="00FC0888">
      <w:pPr>
        <w:pStyle w:val="ListParagraph"/>
        <w:numPr>
          <w:ilvl w:val="0"/>
          <w:numId w:val="8"/>
        </w:numPr>
      </w:pPr>
      <w:r w:rsidRPr="003B779A">
        <w:t>Metrics 4 provides a comparison of ethics approval time by the administering body only (Metric 4b – With Clock) and total time (Metric 4a – Without Clock). With clock, the proportion of ethics approval in 60 days is 73 per cent, compared to 41 per cent ‘Without Clock’. This highlights an area for improvement.</w:t>
      </w:r>
    </w:p>
    <w:p w14:paraId="1817FF16" w14:textId="77777777" w:rsidR="003B779A" w:rsidRDefault="003B779A" w:rsidP="00FC0888">
      <w:pPr>
        <w:pStyle w:val="ListParagraph"/>
        <w:numPr>
          <w:ilvl w:val="0"/>
          <w:numId w:val="8"/>
        </w:numPr>
      </w:pPr>
      <w:r w:rsidRPr="003B779A">
        <w:t>Metrics 5 also provides an important comparison of timeliness of the SSA/Site assessment process 'Without Clock’. Most jurisdictions have a policy to commence the SSA/</w:t>
      </w:r>
      <w:r w:rsidR="001127EA">
        <w:t>S</w:t>
      </w:r>
      <w:r w:rsidRPr="003B779A">
        <w:t>ite assessment concurrently with the ethics process, but the metrics suggest this is not occurring frequently. There could be several reasons for this difference.</w:t>
      </w:r>
    </w:p>
    <w:p w14:paraId="6BA1BB0B" w14:textId="77777777" w:rsidR="003B779A" w:rsidRPr="00CA1B5D" w:rsidRDefault="003B779A" w:rsidP="00FC0888">
      <w:r w:rsidRPr="00CA1B5D">
        <w:t xml:space="preserve">Until new national benchmarks are agreed, the NAS metrics in this report are compared against commonly used domestic or international benchmarks, where available. </w:t>
      </w:r>
    </w:p>
    <w:p w14:paraId="36917CD9" w14:textId="77D282B2" w:rsidR="003B779A" w:rsidRPr="00E46749" w:rsidRDefault="003B779A" w:rsidP="00FC0888">
      <w:r w:rsidRPr="00E46749">
        <w:lastRenderedPageBreak/>
        <w:t>The benchmark often used by industry for time to recruit the first patient into a trial</w:t>
      </w:r>
      <w:r w:rsidRPr="00E46749">
        <w:rPr>
          <w:vertAlign w:val="superscript"/>
        </w:rPr>
        <w:footnoteReference w:id="2"/>
      </w:r>
      <w:r w:rsidRPr="00E46749">
        <w:t xml:space="preserve"> is 12 weeks (84</w:t>
      </w:r>
      <w:r w:rsidR="001127EA">
        <w:t> </w:t>
      </w:r>
      <w:r w:rsidRPr="00E46749">
        <w:t>days). The NMA has a benchmark of 60 days for ethics approval ‘With Clock’ (Metric 4b). Benchmarks for the time to process ethics applications in Europe and England is 60 days; 30 days in the United States and Canada; and 145 days in China. In South Korea, there is a 30 working-day benchmark for clinical trial protocol approval, and in New Zealand ethical review (including decision) must be undertaken within 35 calendar days</w:t>
      </w:r>
      <w:r w:rsidRPr="003B779A">
        <w:rPr>
          <w:vertAlign w:val="superscript"/>
        </w:rPr>
        <w:t>1</w:t>
      </w:r>
      <w:r w:rsidRPr="00E46749">
        <w:t>. The degree to which these benchmarks are met outside Australia is not within the scope of the current NAS Framework or reports.</w:t>
      </w:r>
    </w:p>
    <w:p w14:paraId="066F6162" w14:textId="5999C74B" w:rsidR="003B779A" w:rsidRDefault="003B779A" w:rsidP="00FC0888">
      <w:pPr>
        <w:rPr>
          <w:rFonts w:cstheme="minorHAnsi"/>
        </w:rPr>
      </w:pPr>
      <w:r w:rsidRPr="00CA1B5D">
        <w:rPr>
          <w:rFonts w:cstheme="minorHAnsi"/>
        </w:rPr>
        <w:t>Th</w:t>
      </w:r>
      <w:r w:rsidR="0013311F">
        <w:rPr>
          <w:rFonts w:cstheme="minorHAnsi"/>
        </w:rPr>
        <w:t xml:space="preserve">e </w:t>
      </w:r>
      <w:hyperlink w:anchor="_Explanatory_Notes" w:history="1">
        <w:r w:rsidR="0013311F" w:rsidRPr="00715820">
          <w:rPr>
            <w:rStyle w:val="Hyperlink"/>
            <w:rFonts w:cstheme="minorHAnsi"/>
          </w:rPr>
          <w:t>Explanatory Notes</w:t>
        </w:r>
      </w:hyperlink>
      <w:r w:rsidR="0013311F">
        <w:rPr>
          <w:rFonts w:cstheme="minorHAnsi"/>
        </w:rPr>
        <w:t xml:space="preserve"> (see page </w:t>
      </w:r>
      <w:r w:rsidR="0013311F">
        <w:rPr>
          <w:rFonts w:cstheme="minorHAnsi"/>
        </w:rPr>
        <w:fldChar w:fldCharType="begin"/>
      </w:r>
      <w:r w:rsidR="0013311F">
        <w:rPr>
          <w:rFonts w:cstheme="minorHAnsi"/>
        </w:rPr>
        <w:instrText xml:space="preserve"> PAGEREF _Ref71191745 \h </w:instrText>
      </w:r>
      <w:r w:rsidR="0013311F">
        <w:rPr>
          <w:rFonts w:cstheme="minorHAnsi"/>
        </w:rPr>
      </w:r>
      <w:r w:rsidR="0013311F">
        <w:rPr>
          <w:rFonts w:cstheme="minorHAnsi"/>
        </w:rPr>
        <w:fldChar w:fldCharType="separate"/>
      </w:r>
      <w:r w:rsidR="00A73B36">
        <w:rPr>
          <w:rFonts w:cstheme="minorHAnsi"/>
          <w:noProof/>
        </w:rPr>
        <w:t>19</w:t>
      </w:r>
      <w:r w:rsidR="0013311F">
        <w:rPr>
          <w:rFonts w:cstheme="minorHAnsi"/>
        </w:rPr>
        <w:fldChar w:fldCharType="end"/>
      </w:r>
      <w:r w:rsidRPr="00CA1B5D">
        <w:rPr>
          <w:rFonts w:cstheme="minorHAnsi"/>
        </w:rPr>
        <w:t xml:space="preserve">) details NAS data sources and methodology (including limitations), and should be read in conjunction with report findings. </w:t>
      </w:r>
    </w:p>
    <w:p w14:paraId="2D48FF7B" w14:textId="77777777" w:rsidR="003B779A" w:rsidRDefault="00EC7C56" w:rsidP="001356A0">
      <w:pPr>
        <w:pStyle w:val="Heading1"/>
        <w:pageBreakBefore/>
      </w:pPr>
      <w:bookmarkStart w:id="4" w:name="_Toc71019124"/>
      <w:bookmarkStart w:id="5" w:name="_Toc79679524"/>
      <w:r>
        <w:lastRenderedPageBreak/>
        <w:t>Introduction</w:t>
      </w:r>
      <w:bookmarkEnd w:id="4"/>
      <w:bookmarkEnd w:id="5"/>
    </w:p>
    <w:p w14:paraId="647DD7E4" w14:textId="77777777" w:rsidR="00EC7C56" w:rsidRDefault="00EC7C56" w:rsidP="00EC7C56">
      <w:pPr>
        <w:pStyle w:val="Heading2"/>
      </w:pPr>
      <w:bookmarkStart w:id="6" w:name="_Toc71019125"/>
      <w:bookmarkStart w:id="7" w:name="_Toc79679525"/>
      <w:r>
        <w:t>Background</w:t>
      </w:r>
      <w:bookmarkEnd w:id="6"/>
      <w:bookmarkEnd w:id="7"/>
    </w:p>
    <w:p w14:paraId="4AD0273C" w14:textId="77777777" w:rsidR="002A1A81" w:rsidRPr="002D078B" w:rsidRDefault="002A1A81" w:rsidP="002A1A81">
      <w:r w:rsidRPr="002D078B">
        <w:t>Health and Medical Research (HMR) is the backbone of health system delivery and continuous improvement; and clinical trials are a key part of the Australian HMR sector, often seen as the gold standard in HMR evidence. They benefit patients, advance medical knowledge and for every dollar invested in clinician-driven clinical trials it is estimated $5.80 is returned in health benefit</w:t>
      </w:r>
      <w:r w:rsidRPr="0052478D">
        <w:rPr>
          <w:vertAlign w:val="superscript"/>
        </w:rPr>
        <w:footnoteReference w:id="3"/>
      </w:r>
      <w:r w:rsidRPr="002D078B">
        <w:t>.</w:t>
      </w:r>
    </w:p>
    <w:p w14:paraId="2E7E07BB" w14:textId="77777777" w:rsidR="002A1A81" w:rsidRPr="002D078B" w:rsidRDefault="002A1A81" w:rsidP="002A1A81">
      <w:r w:rsidRPr="002D078B">
        <w:t xml:space="preserve">Australia has traditionally been perceived as an attractive place to undertake safe and </w:t>
      </w:r>
      <w:proofErr w:type="gramStart"/>
      <w:r w:rsidRPr="002D078B">
        <w:t>high quality</w:t>
      </w:r>
      <w:proofErr w:type="gramEnd"/>
      <w:r w:rsidRPr="002D078B">
        <w:t xml:space="preserve"> trials. However, international competition is increasing, and delays in gaining approval and in recruiting patients are challenging Australia’s competitiveness. The Australian clinical trial</w:t>
      </w:r>
      <w:r>
        <w:t>s</w:t>
      </w:r>
      <w:r w:rsidRPr="002D078B">
        <w:t xml:space="preserve"> policy landscape is complex, and no single government or agency holds all the levers for change. In response to these challenges, all jurisdictions are collaborating to improve the Australian clinical trials environment. Much of this work is being achieved through collaboration between Commonwealth and jurisdictional agencies, as health system managers of public hospitals in Australia, where </w:t>
      </w:r>
      <w:proofErr w:type="gramStart"/>
      <w:r w:rsidRPr="002D078B">
        <w:t>the majority of</w:t>
      </w:r>
      <w:proofErr w:type="gramEnd"/>
      <w:r w:rsidRPr="002D078B">
        <w:t xml:space="preserve"> clinical trials occur. </w:t>
      </w:r>
    </w:p>
    <w:p w14:paraId="33FB7018" w14:textId="77777777" w:rsidR="002A1A81" w:rsidRPr="002D078B" w:rsidRDefault="002A1A81" w:rsidP="002A1A81">
      <w:r w:rsidRPr="002D078B">
        <w:t xml:space="preserve">Health Ministers agreed in 2016 to develop approaches to organise public health services to better support and streamline clinical trial processes in Australia. In response, jurisdictions - through the Clinical Trials Project Reference Group (CTPRG) - developed a set of Principles and Priority Action Areas to underpin redesign of jurisdictional clinical trial systems. Stimulus funding of $7 million nationally was made available under the </w:t>
      </w:r>
      <w:r w:rsidRPr="002D078B">
        <w:rPr>
          <w:i/>
        </w:rPr>
        <w:t>Encouraging More Clinical Trials in Australia</w:t>
      </w:r>
      <w:r w:rsidRPr="002D078B">
        <w:t xml:space="preserve"> initiative to assist State and Territory governments to achieve system redesign in accordance with the </w:t>
      </w:r>
      <w:r w:rsidRPr="002D078B">
        <w:rPr>
          <w:i/>
        </w:rPr>
        <w:t>Revitalised clinical trials agenda</w:t>
      </w:r>
      <w:r w:rsidRPr="002D078B">
        <w:t xml:space="preserve"> (Agenda) endorsed by all Health Ministers in March 2017. Among other things, this agenda seeks to; establish central points of contact to improve system navigation for sponsors and participants, streamline trial processes, decrease time to trial start-up, and improve capability.</w:t>
      </w:r>
    </w:p>
    <w:p w14:paraId="5008166B" w14:textId="5174F3AB" w:rsidR="002A1A81" w:rsidRPr="002D078B" w:rsidRDefault="002A1A81" w:rsidP="002A1A81">
      <w:r w:rsidRPr="002D078B">
        <w:t xml:space="preserve">The National Clinical Trials Governance Framework is a key initiative of the Revitalised clinical trials agenda. It has been developed by the Australian Commission on Safety and Quality in Health Care on behalf of all jurisdictions to support the delivery and integration of high-quality clinical trials service provision into routine hospital care for improved patient outcomes. The </w:t>
      </w:r>
      <w:r w:rsidR="004C0B93">
        <w:t xml:space="preserve">National Clinical Trials </w:t>
      </w:r>
      <w:r w:rsidRPr="002D078B">
        <w:t>Governance Framework is aligned with the National Safety and Quality Health Service (NSQHS) Standards. Once embedded, just as health service organisations need to meet requirements of the NSQHS Standards when they are accredited, the actions in the National Clinical Trials Governance Framework will also be mandatory for health service organisations and trial sites providing clinical trial services.</w:t>
      </w:r>
    </w:p>
    <w:p w14:paraId="6150EE92" w14:textId="10D7C569" w:rsidR="002A1A81" w:rsidRDefault="002A1A81" w:rsidP="002A1A81">
      <w:r w:rsidRPr="002D078B">
        <w:t xml:space="preserve">Since its inception, CTPRG has identified the absence of, and critical need for, national data across a set of key strategic and operational objectives to drive quality improvement within the sector and position Australia as a preferred location for trials. </w:t>
      </w:r>
      <w:r>
        <w:t>A</w:t>
      </w:r>
      <w:r w:rsidRPr="002D078B">
        <w:t xml:space="preserve"> Framework for National Aggregate Statistics (NAS) and annual collection of data to facilitate this quality improvement approach and inform strategic and operational objectives</w:t>
      </w:r>
      <w:r>
        <w:t xml:space="preserve"> has been </w:t>
      </w:r>
      <w:r w:rsidRPr="002D078B">
        <w:t>approved by Health Ministers and is intended to complement other current sources of national data on clinical trial activity in Australia, including the Australian New Zealand Clinical Trial Registry (ANZCTR) and</w:t>
      </w:r>
      <w:r w:rsidR="00FE1443">
        <w:t xml:space="preserve"> the</w:t>
      </w:r>
      <w:r w:rsidRPr="002D078B">
        <w:t xml:space="preserve"> </w:t>
      </w:r>
      <w:r w:rsidR="00FE1443" w:rsidRPr="002369A4">
        <w:t>Therapeutic Goods Administration</w:t>
      </w:r>
      <w:r w:rsidR="00FE1443">
        <w:t>’s</w:t>
      </w:r>
      <w:r w:rsidR="00FE1443" w:rsidRPr="002D078B">
        <w:t xml:space="preserve"> </w:t>
      </w:r>
      <w:r w:rsidR="00FE1443">
        <w:t>(</w:t>
      </w:r>
      <w:r w:rsidRPr="002D078B">
        <w:t>TGA’s</w:t>
      </w:r>
      <w:r w:rsidR="00FE1443">
        <w:t xml:space="preserve">) </w:t>
      </w:r>
      <w:r w:rsidR="00FE1443" w:rsidRPr="002369A4">
        <w:t>Clinical Trial Notification</w:t>
      </w:r>
      <w:r w:rsidR="00FE1443">
        <w:t xml:space="preserve"> Scheme</w:t>
      </w:r>
      <w:r w:rsidRPr="002D078B">
        <w:t xml:space="preserve"> </w:t>
      </w:r>
      <w:r w:rsidR="00FE1443">
        <w:t>(</w:t>
      </w:r>
      <w:r w:rsidRPr="002D078B">
        <w:t>CTN</w:t>
      </w:r>
      <w:r w:rsidR="00FE1443">
        <w:t>)</w:t>
      </w:r>
      <w:r w:rsidRPr="002D078B">
        <w:t xml:space="preserve"> scheme.</w:t>
      </w:r>
    </w:p>
    <w:p w14:paraId="78DD3FDC" w14:textId="77F9A1B4" w:rsidR="002A1A81" w:rsidRDefault="002A1A81" w:rsidP="006A3363">
      <w:pPr>
        <w:pStyle w:val="Heading2"/>
        <w:keepNext w:val="0"/>
        <w:keepLines w:val="0"/>
        <w:pageBreakBefore/>
      </w:pPr>
      <w:bookmarkStart w:id="8" w:name="_Toc71019126"/>
      <w:bookmarkStart w:id="9" w:name="_Toc79679526"/>
      <w:r>
        <w:lastRenderedPageBreak/>
        <w:t>N</w:t>
      </w:r>
      <w:r w:rsidR="00CD1B61">
        <w:t>MA</w:t>
      </w:r>
      <w:r>
        <w:t xml:space="preserve"> Scheme</w:t>
      </w:r>
      <w:bookmarkEnd w:id="8"/>
      <w:bookmarkEnd w:id="9"/>
    </w:p>
    <w:p w14:paraId="5AE7DF8B" w14:textId="704EAD15" w:rsidR="002A1A81" w:rsidRDefault="002A1A81" w:rsidP="002A1A81">
      <w:r w:rsidRPr="002D078B">
        <w:t xml:space="preserve">The </w:t>
      </w:r>
      <w:r w:rsidR="00FE1443">
        <w:t>National Mutual Acceptance (</w:t>
      </w:r>
      <w:r w:rsidRPr="002D078B">
        <w:t>NMA</w:t>
      </w:r>
      <w:r w:rsidR="00FE1443">
        <w:t>)</w:t>
      </w:r>
      <w:r w:rsidRPr="002D078B">
        <w:t xml:space="preserve"> scheme supports the acceptance of a single scientific and ethical review for multi-centre research conducted in </w:t>
      </w:r>
      <w:proofErr w:type="gramStart"/>
      <w:r w:rsidRPr="002D078B">
        <w:t>publicly-funded</w:t>
      </w:r>
      <w:proofErr w:type="gramEnd"/>
      <w:r w:rsidRPr="002D078B">
        <w:t xml:space="preserve"> health services. As at September 2020, all </w:t>
      </w:r>
      <w:proofErr w:type="gramStart"/>
      <w:r w:rsidRPr="002D078B">
        <w:t>states</w:t>
      </w:r>
      <w:proofErr w:type="gramEnd"/>
      <w:r w:rsidRPr="002D078B">
        <w:t xml:space="preserve"> and territories, with the exception of the Northern Territory and Tasmania, </w:t>
      </w:r>
      <w:r>
        <w:t>participate in</w:t>
      </w:r>
      <w:r w:rsidRPr="002D078B">
        <w:t xml:space="preserve"> the NMA scheme however </w:t>
      </w:r>
      <w:r>
        <w:t>all</w:t>
      </w:r>
      <w:r w:rsidRPr="002D078B">
        <w:t xml:space="preserve"> jurisdictions are members </w:t>
      </w:r>
      <w:r>
        <w:t>since</w:t>
      </w:r>
      <w:r w:rsidRPr="002D078B">
        <w:t xml:space="preserve"> early 2021. NMA involves linking cross-jurisdictional applications so each jurisdiction hosting a trial site has a record of ethical review in another jurisdiction. NMA also established the collation and reporting against objectives for metrics on cross-jurisdictional clinical trials in Australia and this in-part provided the framework for the reporting of cross-jurisdictional clinical trials within NAS. </w:t>
      </w:r>
    </w:p>
    <w:p w14:paraId="0C77C4D2" w14:textId="715B8059" w:rsidR="002A1A81" w:rsidRDefault="003852D4" w:rsidP="002A1A81">
      <w:r>
        <w:fldChar w:fldCharType="begin"/>
      </w:r>
      <w:r>
        <w:instrText xml:space="preserve"> REF _Ref71193629 \h </w:instrText>
      </w:r>
      <w:r>
        <w:fldChar w:fldCharType="separate"/>
      </w:r>
      <w:r w:rsidR="00A73B36">
        <w:t xml:space="preserve">Diagram </w:t>
      </w:r>
      <w:r w:rsidR="00A73B36">
        <w:rPr>
          <w:noProof/>
        </w:rPr>
        <w:t>1</w:t>
      </w:r>
      <w:r>
        <w:fldChar w:fldCharType="end"/>
      </w:r>
      <w:r>
        <w:t xml:space="preserve"> </w:t>
      </w:r>
      <w:r w:rsidR="002A1A81" w:rsidRPr="00E30D73">
        <w:t>illustrates processes in the NAS Framework which occur with separate administration but in a parallel timeframe. The end point of the approval p</w:t>
      </w:r>
      <w:r w:rsidR="00B67361">
        <w:t>rocess is authorisation of SSA/S</w:t>
      </w:r>
      <w:r w:rsidR="002A1A81" w:rsidRPr="00E30D73">
        <w:t>ite assessment at the trial site and this can then trigger the initiation of a trial at that site. There are also requirements to register trials and where applicable, notify TGA of trial conduct prior to commencement.</w:t>
      </w:r>
    </w:p>
    <w:p w14:paraId="46865D96" w14:textId="577F3CEC" w:rsidR="003852D4" w:rsidRDefault="003852D4" w:rsidP="003852D4">
      <w:pPr>
        <w:pStyle w:val="Caption"/>
      </w:pPr>
      <w:bookmarkStart w:id="10" w:name="_Ref71193629"/>
      <w:r>
        <w:t xml:space="preserve">Diagram </w:t>
      </w:r>
      <w:r w:rsidR="008F1828">
        <w:fldChar w:fldCharType="begin"/>
      </w:r>
      <w:r w:rsidR="008F1828">
        <w:instrText xml:space="preserve"> SEQ Diagram \* ARABIC </w:instrText>
      </w:r>
      <w:r w:rsidR="008F1828">
        <w:fldChar w:fldCharType="separate"/>
      </w:r>
      <w:r w:rsidR="00A73B36">
        <w:rPr>
          <w:noProof/>
        </w:rPr>
        <w:t>1</w:t>
      </w:r>
      <w:r w:rsidR="008F1828">
        <w:rPr>
          <w:noProof/>
        </w:rPr>
        <w:fldChar w:fldCharType="end"/>
      </w:r>
      <w:bookmarkEnd w:id="10"/>
      <w:r>
        <w:t xml:space="preserve">: </w:t>
      </w:r>
      <w:r w:rsidRPr="00D14A97">
        <w:t>Clinical Trial Regulatory Processes: Ethics and SSA/Site Assessment</w:t>
      </w:r>
    </w:p>
    <w:p w14:paraId="22725700" w14:textId="77777777" w:rsidR="002A1A81" w:rsidRDefault="002A1A81" w:rsidP="002A1A81">
      <w:r w:rsidRPr="007B73BD">
        <w:rPr>
          <w:rFonts w:cs="Arial"/>
          <w:noProof/>
          <w:lang w:eastAsia="en-AU"/>
        </w:rPr>
        <w:drawing>
          <wp:inline distT="0" distB="0" distL="0" distR="0" wp14:anchorId="570FFAC8" wp14:editId="1B14A087">
            <wp:extent cx="5731510" cy="4119325"/>
            <wp:effectExtent l="0" t="0" r="2540" b="0"/>
            <wp:docPr id="2" name="Picture 2" descr="A flow chart depicting the approval process of a clinical trial beginning with submitting an ethics application to validation of the ethics applicaiton to HREC review. The process then moves to ethics approval acheived or a request for further information. In a second flow chart within the same diagram, depicting a parallel process, the site- specific assessment research governance submission is validated, then moves to the Research governance organisationfor either a CEO or delegate decision or a request for further information from the applicant." title="Diagram 1: Clinical trial regualtory processes: Ethical and SSA/sit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Diagram 1 ima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119325"/>
                    </a:xfrm>
                    <a:prstGeom prst="rect">
                      <a:avLst/>
                    </a:prstGeom>
                    <a:noFill/>
                    <a:ln>
                      <a:noFill/>
                    </a:ln>
                  </pic:spPr>
                </pic:pic>
              </a:graphicData>
            </a:graphic>
          </wp:inline>
        </w:drawing>
      </w:r>
    </w:p>
    <w:p w14:paraId="17806BDA" w14:textId="77777777" w:rsidR="002A1A81" w:rsidRDefault="00073F9D" w:rsidP="00073F9D">
      <w:pPr>
        <w:pStyle w:val="Heading2"/>
      </w:pPr>
      <w:bookmarkStart w:id="11" w:name="_Toc71019127"/>
      <w:bookmarkStart w:id="12" w:name="_Toc79679527"/>
      <w:r>
        <w:t>NAS Framework</w:t>
      </w:r>
      <w:bookmarkEnd w:id="11"/>
      <w:bookmarkEnd w:id="12"/>
    </w:p>
    <w:p w14:paraId="34B63D4C" w14:textId="77777777" w:rsidR="00073F9D" w:rsidRDefault="00073F9D" w:rsidP="00073F9D">
      <w:r w:rsidRPr="002D078B">
        <w:t>The NAS Framework, as endorsed by all Health Ministers, comprises the eight metrics agreed by all jurisdictions as essential to evaluate the success of clinical trials improvement initiatives, and to promote Australia as a preferred global destination. These include metrics to measure clinical trial activity, timelines for trial start-up measured by mandatory approval processes for clinical trials to be conducted in Australia, and associated recruitment and investment levels.</w:t>
      </w:r>
    </w:p>
    <w:p w14:paraId="4E5A61CD" w14:textId="77777777" w:rsidR="00BF7561" w:rsidRPr="00073F9D" w:rsidRDefault="00073F9D" w:rsidP="00BF7561">
      <w:pPr>
        <w:pStyle w:val="Heading2"/>
      </w:pPr>
      <w:bookmarkStart w:id="13" w:name="_NAS_Metrics"/>
      <w:bookmarkStart w:id="14" w:name="_Toc71019128"/>
      <w:bookmarkStart w:id="15" w:name="_Toc79679528"/>
      <w:bookmarkEnd w:id="13"/>
      <w:r>
        <w:lastRenderedPageBreak/>
        <w:t>NAS Metrics</w:t>
      </w:r>
      <w:bookmarkEnd w:id="14"/>
      <w:bookmarkEnd w:id="15"/>
    </w:p>
    <w:p w14:paraId="7C66E377" w14:textId="77777777" w:rsidR="00073F9D" w:rsidRPr="001356A0" w:rsidRDefault="00073F9D" w:rsidP="001356A0">
      <w:pPr>
        <w:pStyle w:val="Boxtext"/>
      </w:pPr>
      <w:r w:rsidRPr="001356A0">
        <w:t>National Clinical Trial Activity</w:t>
      </w:r>
    </w:p>
    <w:p w14:paraId="12313EF3" w14:textId="77777777" w:rsidR="00073F9D" w:rsidRPr="002E0697" w:rsidRDefault="00073F9D" w:rsidP="001356A0">
      <w:pPr>
        <w:pStyle w:val="Boxtext"/>
        <w:ind w:firstLine="720"/>
      </w:pPr>
      <w:r w:rsidRPr="002E0697">
        <w:t>Metric 1:</w:t>
      </w:r>
      <w:r w:rsidRPr="002E0697">
        <w:tab/>
      </w:r>
      <w:r w:rsidR="002B5AC0" w:rsidRPr="002E0697">
        <w:t>Number of New Trials per Trial P</w:t>
      </w:r>
      <w:r w:rsidRPr="002E0697">
        <w:t xml:space="preserve">hase (by trial type ‘medicine’ only)  </w:t>
      </w:r>
    </w:p>
    <w:p w14:paraId="0648A75A" w14:textId="77777777" w:rsidR="00073F9D" w:rsidRPr="002E0697" w:rsidRDefault="00073F9D" w:rsidP="001356A0">
      <w:pPr>
        <w:pStyle w:val="Boxtext"/>
        <w:ind w:firstLine="720"/>
      </w:pPr>
      <w:r w:rsidRPr="002E0697">
        <w:t xml:space="preserve">Metric 1a: </w:t>
      </w:r>
      <w:r w:rsidRPr="002E0697">
        <w:tab/>
      </w:r>
      <w:r w:rsidR="002B5AC0" w:rsidRPr="002E0697">
        <w:t>Number of New Clinical Trials per Sponsor T</w:t>
      </w:r>
      <w:r w:rsidRPr="002E0697">
        <w:t>ype</w:t>
      </w:r>
    </w:p>
    <w:p w14:paraId="2C48EE94" w14:textId="77777777" w:rsidR="00073F9D" w:rsidRPr="001356A0" w:rsidRDefault="00073F9D" w:rsidP="001356A0">
      <w:pPr>
        <w:pStyle w:val="Boxtext"/>
      </w:pPr>
      <w:r w:rsidRPr="001356A0">
        <w:t>Regulatory Timelines - total</w:t>
      </w:r>
    </w:p>
    <w:p w14:paraId="04F5772A" w14:textId="77777777" w:rsidR="00073F9D" w:rsidRPr="002E0697" w:rsidRDefault="00073F9D" w:rsidP="001356A0">
      <w:pPr>
        <w:pStyle w:val="Boxtext"/>
        <w:ind w:firstLine="720"/>
      </w:pPr>
      <w:r w:rsidRPr="002E0697">
        <w:t>Metric 2:</w:t>
      </w:r>
      <w:r w:rsidRPr="002E0697">
        <w:tab/>
      </w:r>
      <w:r w:rsidR="002B5AC0" w:rsidRPr="002E0697">
        <w:t>Overall Study Start-Up Timeline (Regulatory T</w:t>
      </w:r>
      <w:r w:rsidRPr="002E0697">
        <w:t>imeline) – Without Clock</w:t>
      </w:r>
    </w:p>
    <w:p w14:paraId="57E9401A" w14:textId="77777777" w:rsidR="00073F9D" w:rsidRPr="002E0697" w:rsidRDefault="002B5AC0" w:rsidP="001356A0">
      <w:pPr>
        <w:pStyle w:val="Boxtext"/>
        <w:ind w:firstLine="720"/>
      </w:pPr>
      <w:r w:rsidRPr="002E0697">
        <w:t>Metric 3:</w:t>
      </w:r>
      <w:r w:rsidRPr="002E0697">
        <w:tab/>
        <w:t>Ethics and SSA/Site Assessment Approval T</w:t>
      </w:r>
      <w:r w:rsidR="00073F9D" w:rsidRPr="002E0697">
        <w:t>imeline – With Clock</w:t>
      </w:r>
    </w:p>
    <w:p w14:paraId="2A4D07FA" w14:textId="77777777" w:rsidR="00073F9D" w:rsidRPr="001356A0" w:rsidRDefault="00073F9D" w:rsidP="001356A0">
      <w:pPr>
        <w:pStyle w:val="Boxtext"/>
      </w:pPr>
      <w:r w:rsidRPr="001356A0">
        <w:t>Regulatory Timelines - components</w:t>
      </w:r>
    </w:p>
    <w:p w14:paraId="6837D630" w14:textId="77777777" w:rsidR="00073F9D" w:rsidRPr="002E0697" w:rsidRDefault="002B5AC0" w:rsidP="001356A0">
      <w:pPr>
        <w:pStyle w:val="Boxtext"/>
        <w:ind w:firstLine="720"/>
      </w:pPr>
      <w:r w:rsidRPr="002E0697">
        <w:t xml:space="preserve">Metric 4: </w:t>
      </w:r>
      <w:r w:rsidRPr="002E0697">
        <w:tab/>
        <w:t>Ethics Approval T</w:t>
      </w:r>
      <w:r w:rsidR="00073F9D" w:rsidRPr="002E0697">
        <w:t>imeline (4a) Without Clock (4b) With Clock</w:t>
      </w:r>
    </w:p>
    <w:p w14:paraId="4120DD82" w14:textId="77777777" w:rsidR="00073F9D" w:rsidRPr="002E0697" w:rsidRDefault="002B5AC0" w:rsidP="001356A0">
      <w:pPr>
        <w:pStyle w:val="Boxtext"/>
        <w:ind w:firstLine="720"/>
      </w:pPr>
      <w:r w:rsidRPr="002E0697">
        <w:t xml:space="preserve">Metric 5: </w:t>
      </w:r>
      <w:r w:rsidRPr="002E0697">
        <w:tab/>
        <w:t>SSA/Site Authorisation T</w:t>
      </w:r>
      <w:r w:rsidR="00073F9D" w:rsidRPr="002E0697">
        <w:t xml:space="preserve">imeline - Without Clock </w:t>
      </w:r>
    </w:p>
    <w:p w14:paraId="6F5BAA80" w14:textId="77777777" w:rsidR="001356A0" w:rsidRDefault="00073F9D" w:rsidP="001356A0">
      <w:pPr>
        <w:pStyle w:val="Boxtext"/>
        <w:ind w:firstLine="720"/>
      </w:pPr>
      <w:r w:rsidRPr="002E0697">
        <w:t xml:space="preserve">(5a) </w:t>
      </w:r>
      <w:r w:rsidRPr="002E0697">
        <w:tab/>
      </w:r>
      <w:r w:rsidR="002B5AC0" w:rsidRPr="002E0697">
        <w:t>From HREC Approval D</w:t>
      </w:r>
      <w:r w:rsidRPr="002E0697">
        <w:t>ate</w:t>
      </w:r>
    </w:p>
    <w:p w14:paraId="24DE978C" w14:textId="415184AD" w:rsidR="00073F9D" w:rsidRPr="002E0697" w:rsidRDefault="00073F9D" w:rsidP="001356A0">
      <w:pPr>
        <w:pStyle w:val="Boxtext"/>
        <w:ind w:firstLine="720"/>
      </w:pPr>
      <w:r w:rsidRPr="002E0697">
        <w:t>(5b)</w:t>
      </w:r>
      <w:r w:rsidR="001356A0">
        <w:t xml:space="preserve"> fr</w:t>
      </w:r>
      <w:r w:rsidR="002B5AC0" w:rsidRPr="002E0697">
        <w:t>om Validation D</w:t>
      </w:r>
      <w:r w:rsidRPr="002E0697">
        <w:t>ate</w:t>
      </w:r>
    </w:p>
    <w:p w14:paraId="0A68AF1A" w14:textId="77777777" w:rsidR="00073F9D" w:rsidRPr="001356A0" w:rsidRDefault="00073F9D" w:rsidP="001356A0">
      <w:pPr>
        <w:pStyle w:val="Boxtext"/>
      </w:pPr>
      <w:r w:rsidRPr="001356A0">
        <w:t>Recruitment/Investment</w:t>
      </w:r>
    </w:p>
    <w:p w14:paraId="6D1238BB" w14:textId="77777777" w:rsidR="00073F9D" w:rsidRPr="002E0697" w:rsidRDefault="00073F9D" w:rsidP="001356A0">
      <w:pPr>
        <w:pStyle w:val="Boxtext"/>
        <w:ind w:firstLine="720"/>
      </w:pPr>
      <w:r w:rsidRPr="002E0697">
        <w:t xml:space="preserve">Metric 6: </w:t>
      </w:r>
      <w:r w:rsidRPr="002E0697">
        <w:tab/>
        <w:t>Trial Recruitment Actual/Planned</w:t>
      </w:r>
    </w:p>
    <w:p w14:paraId="6F17584A" w14:textId="77777777" w:rsidR="00BF7561" w:rsidRPr="002E0697" w:rsidRDefault="00073F9D" w:rsidP="001356A0">
      <w:pPr>
        <w:pStyle w:val="Boxtext"/>
        <w:ind w:firstLine="720"/>
      </w:pPr>
      <w:r w:rsidRPr="002E0697">
        <w:t xml:space="preserve">Metric 7: </w:t>
      </w:r>
      <w:r w:rsidRPr="002E0697">
        <w:tab/>
        <w:t>Site Recruitment: Actual/Planned</w:t>
      </w:r>
    </w:p>
    <w:p w14:paraId="6DA3008C" w14:textId="5CB20FAC" w:rsidR="00073F9D" w:rsidRPr="002E0697" w:rsidRDefault="009E64BF" w:rsidP="001356A0">
      <w:pPr>
        <w:pStyle w:val="Boxtext"/>
        <w:ind w:firstLine="720"/>
      </w:pPr>
      <w:r w:rsidRPr="002E0697">
        <w:t xml:space="preserve">Metric 8: </w:t>
      </w:r>
      <w:r w:rsidRPr="002E0697">
        <w:tab/>
        <w:t>Total Inbound (internal and external) Investment A</w:t>
      </w:r>
      <w:r w:rsidR="00073F9D" w:rsidRPr="002E0697">
        <w:t xml:space="preserve">nnually (FY) </w:t>
      </w:r>
      <w:r w:rsidR="00073F9D" w:rsidRPr="002E0697">
        <w:br/>
        <w:t>Actual/Planned</w:t>
      </w:r>
    </w:p>
    <w:p w14:paraId="2158E9D5" w14:textId="77777777" w:rsidR="002B5AC0" w:rsidRDefault="002B5AC0" w:rsidP="002B5AC0">
      <w:pPr>
        <w:pStyle w:val="Heading2"/>
      </w:pPr>
      <w:bookmarkStart w:id="16" w:name="_Toc71019129"/>
      <w:bookmarkStart w:id="17" w:name="_Toc79679529"/>
      <w:r>
        <w:t>Scope</w:t>
      </w:r>
      <w:bookmarkEnd w:id="16"/>
      <w:bookmarkEnd w:id="17"/>
    </w:p>
    <w:p w14:paraId="6B0F444D" w14:textId="77777777" w:rsidR="002B5AC0" w:rsidRPr="002D078B" w:rsidRDefault="002B5AC0" w:rsidP="002B5AC0">
      <w:r w:rsidRPr="002D078B">
        <w:t>The current scope of the NAS Framework – and this NAS report – are all clinical trials conducted in public health organisations in Australia. This includes trials managed by universities that involve clinical treatment within public health organisations</w:t>
      </w:r>
      <w:r w:rsidRPr="0052478D">
        <w:rPr>
          <w:vertAlign w:val="superscript"/>
        </w:rPr>
        <w:footnoteReference w:id="4"/>
      </w:r>
      <w:r w:rsidRPr="002D078B">
        <w:t xml:space="preserve">. Some trials reported in NAS may include trial sites at some private health organisations and universities that accept ethical </w:t>
      </w:r>
      <w:proofErr w:type="gramStart"/>
      <w:r w:rsidRPr="002D078B">
        <w:t>review</w:t>
      </w:r>
      <w:proofErr w:type="gramEnd"/>
      <w:r w:rsidRPr="002D078B">
        <w:t xml:space="preserve"> but these are not reported in the SSA/Site assessment data due to lack of information capture. Clinical trials conducted in a primary care setting are unlikely to be represented in this report, unless the trial is connected to a public health institution’s information management platform. </w:t>
      </w:r>
    </w:p>
    <w:p w14:paraId="43BC3974" w14:textId="77777777" w:rsidR="002B5AC0" w:rsidRPr="002D078B" w:rsidRDefault="002B5AC0" w:rsidP="002B5AC0">
      <w:r w:rsidRPr="002D078B">
        <w:t xml:space="preserve">Within the public health system, the NAS captures all trial types, including trials that are funded by commercial organisations such as pharmaceutical or device companies and non-commercial, including Investigator Initiated, Collaborative Group, </w:t>
      </w:r>
      <w:proofErr w:type="gramStart"/>
      <w:r w:rsidRPr="002D078B">
        <w:t>Institution</w:t>
      </w:r>
      <w:proofErr w:type="gramEnd"/>
      <w:r w:rsidRPr="002D078B">
        <w:t xml:space="preserve"> and other clinical trials. NAS also captures both multi and single-site studies where information is available. </w:t>
      </w:r>
    </w:p>
    <w:p w14:paraId="26F4FE2B" w14:textId="77777777" w:rsidR="002B5AC0" w:rsidRPr="002B5AC0" w:rsidRDefault="002B5AC0" w:rsidP="002B5AC0">
      <w:r w:rsidRPr="002D078B">
        <w:t>Data reporting capability is improving in jurisdictions, and as more data becomes available it will lead to more comprehensive data analysis for Australian clinical trials in public health organisations.</w:t>
      </w:r>
    </w:p>
    <w:p w14:paraId="1C922C31" w14:textId="77777777" w:rsidR="003B779A" w:rsidRDefault="002B5AC0" w:rsidP="002B5AC0">
      <w:pPr>
        <w:pStyle w:val="Heading1"/>
      </w:pPr>
      <w:bookmarkStart w:id="18" w:name="_Toc71019130"/>
      <w:bookmarkStart w:id="19" w:name="_Toc79679530"/>
      <w:r>
        <w:lastRenderedPageBreak/>
        <w:t>Metrics Report</w:t>
      </w:r>
      <w:bookmarkEnd w:id="18"/>
      <w:bookmarkEnd w:id="19"/>
    </w:p>
    <w:p w14:paraId="2EB6198F" w14:textId="77777777" w:rsidR="002B5AC0" w:rsidRPr="00553D0C" w:rsidRDefault="002B5AC0" w:rsidP="00553D0C">
      <w:pPr>
        <w:pStyle w:val="Heading2"/>
      </w:pPr>
      <w:bookmarkStart w:id="20" w:name="_Metric_1:_Number"/>
      <w:bookmarkStart w:id="21" w:name="_Toc71019131"/>
      <w:bookmarkStart w:id="22" w:name="_Toc79679531"/>
      <w:bookmarkEnd w:id="20"/>
      <w:r w:rsidRPr="00553D0C">
        <w:t>Metric 1: Number of New Trials per Trial Phase</w:t>
      </w:r>
      <w:bookmarkEnd w:id="21"/>
      <w:bookmarkEnd w:id="22"/>
    </w:p>
    <w:p w14:paraId="1AFF60E9" w14:textId="77777777" w:rsidR="00FD3660" w:rsidRPr="002D078B" w:rsidRDefault="00FD3660" w:rsidP="00FD3660">
      <w:r w:rsidRPr="002D078B">
        <w:t>For the annual period 1 July 2018 – 30 June 2019 there were 940 new clinical trials reported from all jurisdictions</w:t>
      </w:r>
      <w:r>
        <w:t>, which is of a similar order to previous years</w:t>
      </w:r>
      <w:r w:rsidRPr="002D078B">
        <w:t>. Of these, trial phase</w:t>
      </w:r>
      <w:r>
        <w:rPr>
          <w:rStyle w:val="FootnoteReference"/>
        </w:rPr>
        <w:footnoteReference w:id="5"/>
      </w:r>
      <w:r w:rsidRPr="002D078B">
        <w:t xml:space="preserve"> was reported for 452. The low response is largely </w:t>
      </w:r>
      <w:r>
        <w:t>because</w:t>
      </w:r>
      <w:r w:rsidRPr="002D078B">
        <w:t xml:space="preserve"> some jurisdictions do not report or have incomplete reporting of trial phase.</w:t>
      </w:r>
      <w:r w:rsidR="00F24639">
        <w:t xml:space="preserve"> </w:t>
      </w:r>
    </w:p>
    <w:p w14:paraId="52359BF1" w14:textId="54FA286A" w:rsidR="002E0697" w:rsidRDefault="002E0697" w:rsidP="00127F8A">
      <w:pPr>
        <w:pStyle w:val="Caption"/>
      </w:pPr>
      <w:r>
        <w:t xml:space="preserve">Figure </w:t>
      </w:r>
      <w:r w:rsidR="008F1828">
        <w:fldChar w:fldCharType="begin"/>
      </w:r>
      <w:r w:rsidR="008F1828">
        <w:instrText xml:space="preserve"> SEQ Figure \* ARABIC </w:instrText>
      </w:r>
      <w:r w:rsidR="008F1828">
        <w:fldChar w:fldCharType="separate"/>
      </w:r>
      <w:r w:rsidR="00A73B36">
        <w:rPr>
          <w:noProof/>
        </w:rPr>
        <w:t>1</w:t>
      </w:r>
      <w:r w:rsidR="008F1828">
        <w:rPr>
          <w:noProof/>
        </w:rPr>
        <w:fldChar w:fldCharType="end"/>
      </w:r>
      <w:r>
        <w:t xml:space="preserve">: </w:t>
      </w:r>
      <w:r w:rsidRPr="006A1313">
        <w:t>Number of Clinical Trials (medicines) by Trial Phase</w:t>
      </w:r>
    </w:p>
    <w:p w14:paraId="6DAC4976" w14:textId="77777777" w:rsidR="00FC2183" w:rsidRDefault="00F24639" w:rsidP="00FD3660">
      <w:pPr>
        <w:pStyle w:val="Diagram"/>
      </w:pPr>
      <w:r w:rsidRPr="007B73BD">
        <w:rPr>
          <w:rFonts w:cs="Arial"/>
          <w:noProof/>
          <w:lang w:eastAsia="en-AU"/>
        </w:rPr>
        <w:drawing>
          <wp:inline distT="0" distB="0" distL="0" distR="0" wp14:anchorId="015F14AB" wp14:editId="37A88B62">
            <wp:extent cx="5647206" cy="3352800"/>
            <wp:effectExtent l="0" t="0" r="10795" b="0"/>
            <wp:docPr id="6" name="Chart 6" descr="Figure 1 is a chart presenting the number of trials by trial phase." title="Figure 1: Number of Clinical Trials (medicines) by Trial Phase">
              <a:extLst xmlns:a="http://schemas.openxmlformats.org/drawingml/2006/main">
                <a:ext uri="{FF2B5EF4-FFF2-40B4-BE49-F238E27FC236}">
                  <a16:creationId xmlns:a16="http://schemas.microsoft.com/office/drawing/2014/main" id="{0E97E128-9284-473F-B945-F9841FC8B0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8B16B4" w14:textId="04A6D0D0" w:rsidR="00FC2183" w:rsidRPr="002D078B" w:rsidRDefault="00FC2183" w:rsidP="00FC2183">
      <w:r w:rsidRPr="002D078B">
        <w:t>As shown below</w:t>
      </w:r>
      <w:r w:rsidR="00553D0C">
        <w:t xml:space="preserve"> (see </w:t>
      </w:r>
      <w:r w:rsidR="006A4494">
        <w:fldChar w:fldCharType="begin"/>
      </w:r>
      <w:r w:rsidR="006A4494">
        <w:instrText xml:space="preserve"> REF _Ref71033841 \h </w:instrText>
      </w:r>
      <w:r w:rsidR="006A4494">
        <w:fldChar w:fldCharType="separate"/>
      </w:r>
      <w:r w:rsidR="00A73B36">
        <w:t xml:space="preserve">Table </w:t>
      </w:r>
      <w:r w:rsidR="00A73B36">
        <w:rPr>
          <w:noProof/>
        </w:rPr>
        <w:t>1</w:t>
      </w:r>
      <w:r w:rsidR="006A4494">
        <w:fldChar w:fldCharType="end"/>
      </w:r>
      <w:r w:rsidR="00553D0C">
        <w:t>)</w:t>
      </w:r>
      <w:r w:rsidRPr="002D078B">
        <w:t>, Phase 3 trials were the majority (37 per cent), followed by Phase 2 trials (28 per cent). This represented an increase in the total number of Phase 3 trials compared to 2016-17 (46 per cent of a total of 375 trials). There was a slight increase in the number of Phase 2 trials compared to 2016-17 (127 compared to 105), while the relative proportion compared to all trials remain</w:t>
      </w:r>
      <w:r>
        <w:t>ed</w:t>
      </w:r>
      <w:r w:rsidRPr="002D078B">
        <w:t xml:space="preserve"> static.</w:t>
      </w:r>
    </w:p>
    <w:p w14:paraId="43F29AFB" w14:textId="77777777" w:rsidR="00FC2183" w:rsidRPr="002D078B" w:rsidRDefault="00FC2183" w:rsidP="00FC2183">
      <w:r w:rsidRPr="002D078B">
        <w:t>The number of Phase 1 trials reported by phase increased in 2018-19 with the number compared to 2016-17 almost doubling (93 compared to 47). There was also an increase in Phase 1 trials as a proportion of all trials reporting trial phase over the period.</w:t>
      </w:r>
    </w:p>
    <w:p w14:paraId="56D4EA5B" w14:textId="652BA476" w:rsidR="00FC2183" w:rsidRDefault="00FC2183" w:rsidP="00FC2183">
      <w:r w:rsidRPr="002D078B">
        <w:t>There was a significant increase in the number of Phase 4 trials compared to 2016-17. The percentage for first time in human/in patient trials has remained relatively constant</w:t>
      </w:r>
      <w:r>
        <w:t>.</w:t>
      </w:r>
    </w:p>
    <w:p w14:paraId="412F96F3" w14:textId="7AF713C0" w:rsidR="00FC0488" w:rsidRDefault="00FC0488" w:rsidP="00127F8A">
      <w:pPr>
        <w:pStyle w:val="Caption"/>
      </w:pPr>
      <w:bookmarkStart w:id="23" w:name="_Ref71033841"/>
      <w:r>
        <w:lastRenderedPageBreak/>
        <w:t xml:space="preserve">Table </w:t>
      </w:r>
      <w:r w:rsidR="008F1828">
        <w:fldChar w:fldCharType="begin"/>
      </w:r>
      <w:r w:rsidR="008F1828">
        <w:instrText xml:space="preserve"> SEQ Table \* ARABIC </w:instrText>
      </w:r>
      <w:r w:rsidR="008F1828">
        <w:fldChar w:fldCharType="separate"/>
      </w:r>
      <w:r w:rsidR="00A73B36">
        <w:rPr>
          <w:noProof/>
        </w:rPr>
        <w:t>1</w:t>
      </w:r>
      <w:r w:rsidR="008F1828">
        <w:rPr>
          <w:noProof/>
        </w:rPr>
        <w:fldChar w:fldCharType="end"/>
      </w:r>
      <w:bookmarkEnd w:id="23"/>
      <w:r>
        <w:t xml:space="preserve">: </w:t>
      </w:r>
      <w:r w:rsidRPr="00230050">
        <w:t>Number of Clinical Trials (medicines) by Trial Phase</w:t>
      </w:r>
    </w:p>
    <w:tbl>
      <w:tblPr>
        <w:tblStyle w:val="GridTable5Dark-Accent5"/>
        <w:tblW w:w="5000" w:type="pct"/>
        <w:tblLook w:val="0620" w:firstRow="1" w:lastRow="0" w:firstColumn="0" w:lastColumn="0" w:noHBand="1" w:noVBand="1"/>
        <w:tblDescription w:val="Table 1 provides a breakdown of the number and percentage of clinical trials (medicines) by trial phase"/>
      </w:tblPr>
      <w:tblGrid>
        <w:gridCol w:w="3973"/>
        <w:gridCol w:w="1841"/>
        <w:gridCol w:w="3202"/>
      </w:tblGrid>
      <w:tr w:rsidR="00FC2183" w:rsidRPr="007B73BD" w14:paraId="3980F72E" w14:textId="77777777" w:rsidTr="003D71EC">
        <w:trPr>
          <w:cnfStyle w:val="100000000000" w:firstRow="1" w:lastRow="0" w:firstColumn="0" w:lastColumn="0" w:oddVBand="0" w:evenVBand="0" w:oddHBand="0" w:evenHBand="0" w:firstRowFirstColumn="0" w:firstRowLastColumn="0" w:lastRowFirstColumn="0" w:lastRowLastColumn="0"/>
          <w:trHeight w:val="378"/>
          <w:tblHeader/>
        </w:trPr>
        <w:tc>
          <w:tcPr>
            <w:tcW w:w="2203" w:type="pct"/>
            <w:vMerge w:val="restart"/>
            <w:tcBorders>
              <w:right w:val="single" w:sz="4" w:space="0" w:color="FFFFFF" w:themeColor="background1"/>
            </w:tcBorders>
            <w:shd w:val="clear" w:color="auto" w:fill="00B8B4"/>
            <w:noWrap/>
          </w:tcPr>
          <w:p w14:paraId="59BEC5B6" w14:textId="77777777" w:rsidR="00FC2183" w:rsidRPr="00FC0488" w:rsidRDefault="00FC2183" w:rsidP="00FC2183">
            <w:pPr>
              <w:keepNext/>
              <w:rPr>
                <w:rStyle w:val="Strong"/>
              </w:rPr>
            </w:pPr>
            <w:r w:rsidRPr="00FC0488">
              <w:rPr>
                <w:rStyle w:val="Strong"/>
              </w:rPr>
              <w:t xml:space="preserve">Trial phase </w:t>
            </w:r>
          </w:p>
        </w:tc>
        <w:tc>
          <w:tcPr>
            <w:tcW w:w="2797" w:type="pct"/>
            <w:gridSpan w:val="2"/>
            <w:tcBorders>
              <w:left w:val="single" w:sz="4" w:space="0" w:color="FFFFFF" w:themeColor="background1"/>
            </w:tcBorders>
            <w:shd w:val="clear" w:color="auto" w:fill="00B8B4"/>
          </w:tcPr>
          <w:p w14:paraId="06B3C45E" w14:textId="77777777" w:rsidR="00FC2183" w:rsidRPr="00FC0488" w:rsidRDefault="00FC2183" w:rsidP="00FC2183">
            <w:pPr>
              <w:keepNext/>
              <w:jc w:val="center"/>
              <w:rPr>
                <w:rStyle w:val="Strong"/>
              </w:rPr>
            </w:pPr>
            <w:r w:rsidRPr="00FC0488">
              <w:rPr>
                <w:rStyle w:val="Strong"/>
              </w:rPr>
              <w:t>2018-19</w:t>
            </w:r>
          </w:p>
        </w:tc>
      </w:tr>
      <w:tr w:rsidR="00FC2183" w:rsidRPr="007B73BD" w14:paraId="42A66497" w14:textId="77777777" w:rsidTr="003D71EC">
        <w:trPr>
          <w:cnfStyle w:val="100000000000" w:firstRow="1" w:lastRow="0" w:firstColumn="0" w:lastColumn="0" w:oddVBand="0" w:evenVBand="0" w:oddHBand="0" w:evenHBand="0" w:firstRowFirstColumn="0" w:firstRowLastColumn="0" w:lastRowFirstColumn="0" w:lastRowLastColumn="0"/>
          <w:trHeight w:val="414"/>
          <w:tblHeader/>
        </w:trPr>
        <w:tc>
          <w:tcPr>
            <w:tcW w:w="2203" w:type="pct"/>
            <w:vMerge/>
            <w:tcBorders>
              <w:right w:val="single" w:sz="4" w:space="0" w:color="FFFFFF" w:themeColor="background1"/>
            </w:tcBorders>
            <w:shd w:val="clear" w:color="auto" w:fill="00B8B4"/>
            <w:noWrap/>
          </w:tcPr>
          <w:p w14:paraId="23977FEC" w14:textId="77777777" w:rsidR="00FC2183" w:rsidRPr="00FC0488" w:rsidRDefault="00FC2183" w:rsidP="0055365E">
            <w:pPr>
              <w:rPr>
                <w:rStyle w:val="Strong"/>
              </w:rPr>
            </w:pPr>
          </w:p>
        </w:tc>
        <w:tc>
          <w:tcPr>
            <w:tcW w:w="1021" w:type="pct"/>
            <w:tcBorders>
              <w:top w:val="single" w:sz="4" w:space="0" w:color="FFFFFF" w:themeColor="background1"/>
              <w:left w:val="single" w:sz="4" w:space="0" w:color="FFFFFF" w:themeColor="background1"/>
              <w:right w:val="single" w:sz="4" w:space="0" w:color="FFFFFF" w:themeColor="background1"/>
            </w:tcBorders>
            <w:shd w:val="clear" w:color="auto" w:fill="00B8B4"/>
          </w:tcPr>
          <w:p w14:paraId="06133CE8" w14:textId="77777777" w:rsidR="00FC2183" w:rsidRPr="00FC0488" w:rsidRDefault="00FC2183" w:rsidP="0055365E">
            <w:pPr>
              <w:rPr>
                <w:rStyle w:val="Strong"/>
              </w:rPr>
            </w:pPr>
            <w:r w:rsidRPr="00FC0488">
              <w:rPr>
                <w:rStyle w:val="Strong"/>
              </w:rPr>
              <w:t>No.</w:t>
            </w:r>
          </w:p>
        </w:tc>
        <w:tc>
          <w:tcPr>
            <w:tcW w:w="1775" w:type="pct"/>
            <w:tcBorders>
              <w:top w:val="single" w:sz="4" w:space="0" w:color="FFFFFF" w:themeColor="background1"/>
              <w:left w:val="single" w:sz="4" w:space="0" w:color="FFFFFF" w:themeColor="background1"/>
            </w:tcBorders>
            <w:shd w:val="clear" w:color="auto" w:fill="00B8B4"/>
          </w:tcPr>
          <w:p w14:paraId="2B143E4A" w14:textId="77777777" w:rsidR="00FC2183" w:rsidRPr="00FC0488" w:rsidRDefault="00FC2183" w:rsidP="0055365E">
            <w:pPr>
              <w:rPr>
                <w:rStyle w:val="Strong"/>
              </w:rPr>
            </w:pPr>
            <w:r w:rsidRPr="00FC0488">
              <w:rPr>
                <w:rStyle w:val="Strong"/>
              </w:rPr>
              <w:t>Per cent</w:t>
            </w:r>
          </w:p>
        </w:tc>
      </w:tr>
      <w:tr w:rsidR="00FC2183" w:rsidRPr="007B73BD" w14:paraId="4B941370" w14:textId="77777777" w:rsidTr="003D71EC">
        <w:trPr>
          <w:trHeight w:val="425"/>
        </w:trPr>
        <w:tc>
          <w:tcPr>
            <w:tcW w:w="2203" w:type="pct"/>
            <w:shd w:val="clear" w:color="auto" w:fill="A9DBD3"/>
            <w:noWrap/>
            <w:hideMark/>
          </w:tcPr>
          <w:p w14:paraId="046DC82E" w14:textId="77777777" w:rsidR="00FC2183" w:rsidRPr="00FC2183" w:rsidRDefault="00FC2183" w:rsidP="0055365E">
            <w:pPr>
              <w:rPr>
                <w:rFonts w:cstheme="minorHAnsi"/>
                <w:lang w:eastAsia="en-AU"/>
              </w:rPr>
            </w:pPr>
            <w:r w:rsidRPr="00FC2183">
              <w:rPr>
                <w:rFonts w:cstheme="minorHAnsi"/>
                <w:lang w:eastAsia="en-AU"/>
              </w:rPr>
              <w:t>FTIH / FTIP</w:t>
            </w:r>
          </w:p>
        </w:tc>
        <w:tc>
          <w:tcPr>
            <w:tcW w:w="1021" w:type="pct"/>
            <w:shd w:val="clear" w:color="auto" w:fill="A9DBD3"/>
          </w:tcPr>
          <w:p w14:paraId="02A53F97" w14:textId="77777777" w:rsidR="00FC2183" w:rsidRPr="00FC2183" w:rsidRDefault="00FC2183" w:rsidP="0055365E">
            <w:pPr>
              <w:rPr>
                <w:rFonts w:cstheme="minorHAnsi"/>
                <w:lang w:eastAsia="en-AU"/>
              </w:rPr>
            </w:pPr>
            <w:r w:rsidRPr="00FC2183">
              <w:rPr>
                <w:rFonts w:cstheme="minorHAnsi"/>
              </w:rPr>
              <w:t>13</w:t>
            </w:r>
          </w:p>
        </w:tc>
        <w:tc>
          <w:tcPr>
            <w:tcW w:w="1775" w:type="pct"/>
            <w:shd w:val="clear" w:color="auto" w:fill="A9DBD3"/>
          </w:tcPr>
          <w:p w14:paraId="18854426" w14:textId="77777777" w:rsidR="00FC2183" w:rsidRPr="00FC2183" w:rsidRDefault="00FC2183" w:rsidP="0055365E">
            <w:pPr>
              <w:rPr>
                <w:rFonts w:cstheme="minorHAnsi"/>
                <w:lang w:eastAsia="en-AU"/>
              </w:rPr>
            </w:pPr>
            <w:r w:rsidRPr="00FC2183">
              <w:rPr>
                <w:rFonts w:cstheme="minorHAnsi"/>
              </w:rPr>
              <w:t>3%</w:t>
            </w:r>
          </w:p>
        </w:tc>
      </w:tr>
      <w:tr w:rsidR="00FC2183" w:rsidRPr="007B73BD" w14:paraId="66EB79F2" w14:textId="77777777" w:rsidTr="003D71EC">
        <w:trPr>
          <w:trHeight w:val="425"/>
        </w:trPr>
        <w:tc>
          <w:tcPr>
            <w:tcW w:w="2203" w:type="pct"/>
            <w:shd w:val="clear" w:color="auto" w:fill="A9DBD3"/>
            <w:noWrap/>
            <w:hideMark/>
          </w:tcPr>
          <w:p w14:paraId="0ABA91EC" w14:textId="77777777" w:rsidR="00FC2183" w:rsidRPr="00FC2183" w:rsidRDefault="00FC2183" w:rsidP="0055365E">
            <w:pPr>
              <w:rPr>
                <w:rFonts w:cstheme="minorHAnsi"/>
                <w:lang w:eastAsia="en-AU"/>
              </w:rPr>
            </w:pPr>
            <w:r w:rsidRPr="00FC2183">
              <w:rPr>
                <w:rFonts w:cstheme="minorHAnsi"/>
                <w:lang w:eastAsia="en-AU"/>
              </w:rPr>
              <w:t>Phase 1</w:t>
            </w:r>
          </w:p>
        </w:tc>
        <w:tc>
          <w:tcPr>
            <w:tcW w:w="1021" w:type="pct"/>
            <w:shd w:val="clear" w:color="auto" w:fill="A9DBD3"/>
          </w:tcPr>
          <w:p w14:paraId="327CC33B" w14:textId="77777777" w:rsidR="00FC2183" w:rsidRPr="00FC2183" w:rsidRDefault="00FC2183" w:rsidP="0055365E">
            <w:pPr>
              <w:rPr>
                <w:rFonts w:cstheme="minorHAnsi"/>
                <w:lang w:eastAsia="en-AU"/>
              </w:rPr>
            </w:pPr>
            <w:r w:rsidRPr="00FC2183">
              <w:rPr>
                <w:rFonts w:cstheme="minorHAnsi"/>
              </w:rPr>
              <w:t>93</w:t>
            </w:r>
          </w:p>
        </w:tc>
        <w:tc>
          <w:tcPr>
            <w:tcW w:w="1775" w:type="pct"/>
            <w:shd w:val="clear" w:color="auto" w:fill="A9DBD3"/>
          </w:tcPr>
          <w:p w14:paraId="775A869F" w14:textId="77777777" w:rsidR="00FC2183" w:rsidRPr="00FC2183" w:rsidRDefault="00FC2183" w:rsidP="0055365E">
            <w:pPr>
              <w:rPr>
                <w:rFonts w:cstheme="minorHAnsi"/>
                <w:lang w:eastAsia="en-AU"/>
              </w:rPr>
            </w:pPr>
            <w:r w:rsidRPr="00FC2183">
              <w:rPr>
                <w:rFonts w:cstheme="minorHAnsi"/>
              </w:rPr>
              <w:t>21%</w:t>
            </w:r>
          </w:p>
        </w:tc>
      </w:tr>
      <w:tr w:rsidR="00FC2183" w:rsidRPr="007B73BD" w14:paraId="050F859D" w14:textId="77777777" w:rsidTr="003D71EC">
        <w:trPr>
          <w:trHeight w:val="425"/>
        </w:trPr>
        <w:tc>
          <w:tcPr>
            <w:tcW w:w="2203" w:type="pct"/>
            <w:shd w:val="clear" w:color="auto" w:fill="A9DBD3"/>
            <w:noWrap/>
            <w:hideMark/>
          </w:tcPr>
          <w:p w14:paraId="72B2203D" w14:textId="77777777" w:rsidR="00FC2183" w:rsidRPr="00FC2183" w:rsidRDefault="00FC2183" w:rsidP="0055365E">
            <w:pPr>
              <w:rPr>
                <w:rFonts w:cstheme="minorHAnsi"/>
                <w:lang w:eastAsia="en-AU"/>
              </w:rPr>
            </w:pPr>
            <w:r w:rsidRPr="00FC2183">
              <w:rPr>
                <w:rFonts w:cstheme="minorHAnsi"/>
                <w:lang w:eastAsia="en-AU"/>
              </w:rPr>
              <w:t>Phase 2</w:t>
            </w:r>
          </w:p>
        </w:tc>
        <w:tc>
          <w:tcPr>
            <w:tcW w:w="1021" w:type="pct"/>
            <w:shd w:val="clear" w:color="auto" w:fill="A9DBD3"/>
          </w:tcPr>
          <w:p w14:paraId="368BB082" w14:textId="77777777" w:rsidR="00FC2183" w:rsidRPr="00FC2183" w:rsidRDefault="00FC2183" w:rsidP="0055365E">
            <w:pPr>
              <w:rPr>
                <w:rFonts w:cstheme="minorHAnsi"/>
                <w:lang w:eastAsia="en-AU"/>
              </w:rPr>
            </w:pPr>
            <w:r w:rsidRPr="00FC2183">
              <w:rPr>
                <w:rFonts w:cstheme="minorHAnsi"/>
              </w:rPr>
              <w:t>127</w:t>
            </w:r>
          </w:p>
        </w:tc>
        <w:tc>
          <w:tcPr>
            <w:tcW w:w="1775" w:type="pct"/>
            <w:shd w:val="clear" w:color="auto" w:fill="A9DBD3"/>
          </w:tcPr>
          <w:p w14:paraId="27FF37E1" w14:textId="77777777" w:rsidR="00FC2183" w:rsidRPr="00FC2183" w:rsidRDefault="00FC2183" w:rsidP="0055365E">
            <w:pPr>
              <w:rPr>
                <w:rFonts w:cstheme="minorHAnsi"/>
                <w:lang w:eastAsia="en-AU"/>
              </w:rPr>
            </w:pPr>
            <w:r w:rsidRPr="00FC2183">
              <w:rPr>
                <w:rFonts w:cstheme="minorHAnsi"/>
              </w:rPr>
              <w:t>28%</w:t>
            </w:r>
          </w:p>
        </w:tc>
      </w:tr>
      <w:tr w:rsidR="00FC2183" w:rsidRPr="007B73BD" w14:paraId="57A76236" w14:textId="77777777" w:rsidTr="003D71EC">
        <w:trPr>
          <w:trHeight w:val="425"/>
        </w:trPr>
        <w:tc>
          <w:tcPr>
            <w:tcW w:w="2203" w:type="pct"/>
            <w:shd w:val="clear" w:color="auto" w:fill="A9DBD3"/>
            <w:noWrap/>
            <w:hideMark/>
          </w:tcPr>
          <w:p w14:paraId="3F858777" w14:textId="77777777" w:rsidR="00FC2183" w:rsidRPr="00FC2183" w:rsidRDefault="00FC2183" w:rsidP="0055365E">
            <w:pPr>
              <w:rPr>
                <w:rFonts w:cstheme="minorHAnsi"/>
                <w:lang w:eastAsia="en-AU"/>
              </w:rPr>
            </w:pPr>
            <w:r w:rsidRPr="00FC2183">
              <w:rPr>
                <w:rFonts w:cstheme="minorHAnsi"/>
                <w:lang w:eastAsia="en-AU"/>
              </w:rPr>
              <w:t>Phase 3</w:t>
            </w:r>
          </w:p>
        </w:tc>
        <w:tc>
          <w:tcPr>
            <w:tcW w:w="1021" w:type="pct"/>
            <w:shd w:val="clear" w:color="auto" w:fill="A9DBD3"/>
          </w:tcPr>
          <w:p w14:paraId="00AAB940" w14:textId="77777777" w:rsidR="00FC2183" w:rsidRPr="00FC2183" w:rsidRDefault="00FC2183" w:rsidP="0055365E">
            <w:pPr>
              <w:rPr>
                <w:rFonts w:cstheme="minorHAnsi"/>
                <w:lang w:eastAsia="en-AU"/>
              </w:rPr>
            </w:pPr>
            <w:r w:rsidRPr="00FC2183">
              <w:rPr>
                <w:rFonts w:cstheme="minorHAnsi"/>
              </w:rPr>
              <w:t>165</w:t>
            </w:r>
          </w:p>
        </w:tc>
        <w:tc>
          <w:tcPr>
            <w:tcW w:w="1775" w:type="pct"/>
            <w:shd w:val="clear" w:color="auto" w:fill="A9DBD3"/>
          </w:tcPr>
          <w:p w14:paraId="309177A2" w14:textId="77777777" w:rsidR="00FC2183" w:rsidRPr="00FC2183" w:rsidRDefault="00FC2183" w:rsidP="0055365E">
            <w:pPr>
              <w:rPr>
                <w:rFonts w:cstheme="minorHAnsi"/>
                <w:lang w:eastAsia="en-AU"/>
              </w:rPr>
            </w:pPr>
            <w:r w:rsidRPr="00FC2183">
              <w:rPr>
                <w:rFonts w:cstheme="minorHAnsi"/>
              </w:rPr>
              <w:t>37%</w:t>
            </w:r>
          </w:p>
        </w:tc>
      </w:tr>
      <w:tr w:rsidR="00FC2183" w:rsidRPr="007B73BD" w14:paraId="1E88DE60" w14:textId="77777777" w:rsidTr="003D71EC">
        <w:trPr>
          <w:trHeight w:val="425"/>
        </w:trPr>
        <w:tc>
          <w:tcPr>
            <w:tcW w:w="2203" w:type="pct"/>
            <w:shd w:val="clear" w:color="auto" w:fill="A9DBD3"/>
            <w:noWrap/>
            <w:hideMark/>
          </w:tcPr>
          <w:p w14:paraId="4B6F8739" w14:textId="77777777" w:rsidR="00FC2183" w:rsidRPr="00FC2183" w:rsidRDefault="00FC2183" w:rsidP="0055365E">
            <w:pPr>
              <w:rPr>
                <w:rFonts w:cstheme="minorHAnsi"/>
                <w:lang w:eastAsia="en-AU"/>
              </w:rPr>
            </w:pPr>
            <w:r w:rsidRPr="00FC2183">
              <w:rPr>
                <w:rFonts w:cstheme="minorHAnsi"/>
                <w:lang w:eastAsia="en-AU"/>
              </w:rPr>
              <w:t>Phase 4</w:t>
            </w:r>
          </w:p>
        </w:tc>
        <w:tc>
          <w:tcPr>
            <w:tcW w:w="1021" w:type="pct"/>
            <w:shd w:val="clear" w:color="auto" w:fill="A9DBD3"/>
          </w:tcPr>
          <w:p w14:paraId="10A37086" w14:textId="77777777" w:rsidR="00FC2183" w:rsidRPr="00FC2183" w:rsidRDefault="00FC2183" w:rsidP="0055365E">
            <w:pPr>
              <w:rPr>
                <w:rFonts w:cstheme="minorHAnsi"/>
                <w:lang w:eastAsia="en-AU"/>
              </w:rPr>
            </w:pPr>
            <w:r w:rsidRPr="00FC2183">
              <w:rPr>
                <w:rFonts w:cstheme="minorHAnsi"/>
              </w:rPr>
              <w:t>54</w:t>
            </w:r>
          </w:p>
        </w:tc>
        <w:tc>
          <w:tcPr>
            <w:tcW w:w="1775" w:type="pct"/>
            <w:shd w:val="clear" w:color="auto" w:fill="A9DBD3"/>
          </w:tcPr>
          <w:p w14:paraId="69207DD9" w14:textId="77777777" w:rsidR="00FC2183" w:rsidRPr="00FC2183" w:rsidRDefault="00FC2183" w:rsidP="0055365E">
            <w:pPr>
              <w:rPr>
                <w:rFonts w:cstheme="minorHAnsi"/>
                <w:lang w:eastAsia="en-AU"/>
              </w:rPr>
            </w:pPr>
            <w:r w:rsidRPr="00FC2183">
              <w:rPr>
                <w:rFonts w:cstheme="minorHAnsi"/>
              </w:rPr>
              <w:t>12%</w:t>
            </w:r>
          </w:p>
        </w:tc>
      </w:tr>
      <w:tr w:rsidR="00FC2183" w:rsidRPr="007B73BD" w14:paraId="5A346EED" w14:textId="77777777" w:rsidTr="003D71EC">
        <w:trPr>
          <w:trHeight w:val="425"/>
        </w:trPr>
        <w:tc>
          <w:tcPr>
            <w:tcW w:w="2203" w:type="pct"/>
            <w:shd w:val="clear" w:color="auto" w:fill="A9DBD3"/>
            <w:noWrap/>
            <w:hideMark/>
          </w:tcPr>
          <w:p w14:paraId="03C7DBF9" w14:textId="77777777" w:rsidR="00FC2183" w:rsidRPr="00FC2183" w:rsidRDefault="00FC2183" w:rsidP="0055365E">
            <w:pPr>
              <w:rPr>
                <w:rFonts w:cstheme="minorHAnsi"/>
                <w:lang w:eastAsia="en-AU"/>
              </w:rPr>
            </w:pPr>
            <w:r w:rsidRPr="00FC2183">
              <w:rPr>
                <w:rFonts w:cstheme="minorHAnsi"/>
                <w:lang w:eastAsia="en-AU"/>
              </w:rPr>
              <w:t>Total</w:t>
            </w:r>
          </w:p>
        </w:tc>
        <w:tc>
          <w:tcPr>
            <w:tcW w:w="1021" w:type="pct"/>
            <w:shd w:val="clear" w:color="auto" w:fill="A9DBD3"/>
          </w:tcPr>
          <w:p w14:paraId="254EA3CB" w14:textId="77777777" w:rsidR="00FC2183" w:rsidRPr="00FC2183" w:rsidRDefault="00FC2183" w:rsidP="0055365E">
            <w:pPr>
              <w:rPr>
                <w:rFonts w:cstheme="minorHAnsi"/>
                <w:lang w:eastAsia="en-AU"/>
              </w:rPr>
            </w:pPr>
            <w:r w:rsidRPr="00FC2183">
              <w:rPr>
                <w:rFonts w:cstheme="minorHAnsi"/>
                <w:bCs/>
              </w:rPr>
              <w:t>452</w:t>
            </w:r>
          </w:p>
        </w:tc>
        <w:tc>
          <w:tcPr>
            <w:tcW w:w="1775" w:type="pct"/>
            <w:shd w:val="clear" w:color="auto" w:fill="A9DBD3"/>
          </w:tcPr>
          <w:p w14:paraId="54EE6F66" w14:textId="77777777" w:rsidR="00FC2183" w:rsidRPr="00FC2183" w:rsidRDefault="00FC2183" w:rsidP="0055365E">
            <w:pPr>
              <w:rPr>
                <w:rFonts w:cstheme="minorHAnsi"/>
                <w:lang w:eastAsia="en-AU"/>
              </w:rPr>
            </w:pPr>
            <w:r w:rsidRPr="00FC2183">
              <w:rPr>
                <w:rFonts w:cstheme="minorHAnsi"/>
                <w:bCs/>
              </w:rPr>
              <w:t>100%</w:t>
            </w:r>
          </w:p>
        </w:tc>
      </w:tr>
    </w:tbl>
    <w:p w14:paraId="28904FE4" w14:textId="77777777" w:rsidR="00FC2183" w:rsidRDefault="00A744D9" w:rsidP="00A744D9">
      <w:pPr>
        <w:pStyle w:val="Note"/>
      </w:pPr>
      <w:r>
        <w:t>Note: ‘Clinical Trials Phase’ is not reported in Tasmania; for individual trials; or may be ‘not applicable’ (e.g. device trial).</w:t>
      </w:r>
    </w:p>
    <w:p w14:paraId="4355B6D8" w14:textId="77777777" w:rsidR="00AC7E23" w:rsidRDefault="00A744D9" w:rsidP="00AC7E23">
      <w:r w:rsidRPr="002D078B">
        <w:t xml:space="preserve">There is no data recorded for device trial </w:t>
      </w:r>
      <w:r>
        <w:t>s</w:t>
      </w:r>
      <w:r w:rsidRPr="002D078B">
        <w:t>tages</w:t>
      </w:r>
      <w:r>
        <w:t>,</w:t>
      </w:r>
      <w:r w:rsidRPr="002D078B">
        <w:t xml:space="preserve"> but </w:t>
      </w:r>
      <w:proofErr w:type="gramStart"/>
      <w:r w:rsidRPr="002D078B">
        <w:t>overall</w:t>
      </w:r>
      <w:proofErr w:type="gramEnd"/>
      <w:r w:rsidRPr="002D078B">
        <w:t xml:space="preserve"> 90 device trials</w:t>
      </w:r>
      <w:r>
        <w:t xml:space="preserve"> received</w:t>
      </w:r>
      <w:r w:rsidRPr="002D078B">
        <w:t xml:space="preserve"> ethics approv</w:t>
      </w:r>
      <w:r>
        <w:t>al</w:t>
      </w:r>
      <w:r w:rsidRPr="002D078B">
        <w:t xml:space="preserve"> in 2018-2019 (10 per cent of total trials).</w:t>
      </w:r>
      <w:r>
        <w:t xml:space="preserve"> </w:t>
      </w:r>
      <w:proofErr w:type="gramStart"/>
      <w:r w:rsidRPr="002D078B">
        <w:t>The majority of</w:t>
      </w:r>
      <w:proofErr w:type="gramEnd"/>
      <w:r w:rsidRPr="002D078B">
        <w:t xml:space="preserve"> clinical trials were multi-site trials and 506 occurred across and within jurisdiction</w:t>
      </w:r>
      <w:r>
        <w:t>s</w:t>
      </w:r>
      <w:r w:rsidRPr="002D078B">
        <w:t xml:space="preserve"> in 2018-19. </w:t>
      </w:r>
    </w:p>
    <w:p w14:paraId="4A544E37" w14:textId="77777777" w:rsidR="00AC7E23" w:rsidRDefault="00127F8A" w:rsidP="008F0534">
      <w:pPr>
        <w:pStyle w:val="Heading3"/>
      </w:pPr>
      <w:bookmarkStart w:id="24" w:name="_1a:_Number_of"/>
      <w:bookmarkStart w:id="25" w:name="_Toc71019132"/>
      <w:bookmarkStart w:id="26" w:name="_Toc79679532"/>
      <w:bookmarkEnd w:id="24"/>
      <w:r>
        <w:t>1a: Number of New Trials per Sponsor T</w:t>
      </w:r>
      <w:r w:rsidR="008F0534">
        <w:t>ype</w:t>
      </w:r>
      <w:bookmarkEnd w:id="25"/>
      <w:bookmarkEnd w:id="26"/>
    </w:p>
    <w:p w14:paraId="1F497457" w14:textId="77777777" w:rsidR="00553D0C" w:rsidRDefault="00B80881" w:rsidP="00553D0C">
      <w:r w:rsidRPr="002D078B">
        <w:t xml:space="preserve">Commercially sponsored clinical trials represent 48 per cent of all trials reported by sponsor type in Australia in 2018-19. Investigator centred trials combined (collaborative groups, </w:t>
      </w:r>
      <w:proofErr w:type="gramStart"/>
      <w:r w:rsidRPr="002D078B">
        <w:t>investigators</w:t>
      </w:r>
      <w:proofErr w:type="gramEnd"/>
      <w:r w:rsidRPr="002D078B">
        <w:t xml:space="preserve"> and institutions) represent 45 per cent of trials. </w:t>
      </w:r>
    </w:p>
    <w:p w14:paraId="6000F7B5" w14:textId="1155AD1D" w:rsidR="00553D0C" w:rsidRDefault="00553D0C" w:rsidP="00127F8A">
      <w:pPr>
        <w:pStyle w:val="Caption"/>
      </w:pPr>
      <w:r>
        <w:t xml:space="preserve">Table </w:t>
      </w:r>
      <w:r w:rsidR="008F1828">
        <w:fldChar w:fldCharType="begin"/>
      </w:r>
      <w:r w:rsidR="008F1828">
        <w:instrText xml:space="preserve"> SEQ Table \* ARABIC </w:instrText>
      </w:r>
      <w:r w:rsidR="008F1828">
        <w:fldChar w:fldCharType="separate"/>
      </w:r>
      <w:r w:rsidR="00A73B36">
        <w:rPr>
          <w:noProof/>
        </w:rPr>
        <w:t>2</w:t>
      </w:r>
      <w:r w:rsidR="008F1828">
        <w:rPr>
          <w:noProof/>
        </w:rPr>
        <w:fldChar w:fldCharType="end"/>
      </w:r>
      <w:r>
        <w:t xml:space="preserve">: </w:t>
      </w:r>
      <w:r w:rsidRPr="00A74504">
        <w:t>Number of Clinical Trials by Sponsor Type</w:t>
      </w:r>
    </w:p>
    <w:tbl>
      <w:tblPr>
        <w:tblStyle w:val="GridTable5Dark-Accent5"/>
        <w:tblW w:w="5000" w:type="pct"/>
        <w:tblLook w:val="0620" w:firstRow="1" w:lastRow="0" w:firstColumn="0" w:lastColumn="0" w:noHBand="1" w:noVBand="1"/>
        <w:tblCaption w:val="Table 2: Number of Clinical Trials by Sponsor Type"/>
        <w:tblDescription w:val="Table 2 provides a breakdown by number and percentage of clinical trials by Sponsor type."/>
      </w:tblPr>
      <w:tblGrid>
        <w:gridCol w:w="5586"/>
        <w:gridCol w:w="1713"/>
        <w:gridCol w:w="1717"/>
      </w:tblGrid>
      <w:tr w:rsidR="00B80881" w:rsidRPr="00B80881" w14:paraId="4A5FA63F" w14:textId="77777777" w:rsidTr="003D71EC">
        <w:trPr>
          <w:cnfStyle w:val="100000000000" w:firstRow="1" w:lastRow="0" w:firstColumn="0" w:lastColumn="0" w:oddVBand="0" w:evenVBand="0" w:oddHBand="0" w:evenHBand="0" w:firstRowFirstColumn="0" w:firstRowLastColumn="0" w:lastRowFirstColumn="0" w:lastRowLastColumn="0"/>
          <w:trHeight w:val="378"/>
          <w:tblHeader/>
        </w:trPr>
        <w:tc>
          <w:tcPr>
            <w:tcW w:w="3098" w:type="pct"/>
            <w:vMerge w:val="restart"/>
            <w:tcBorders>
              <w:right w:val="single" w:sz="4" w:space="0" w:color="FFFFFF" w:themeColor="background1"/>
            </w:tcBorders>
            <w:shd w:val="clear" w:color="auto" w:fill="00B8B4"/>
            <w:noWrap/>
          </w:tcPr>
          <w:p w14:paraId="202BCD3F" w14:textId="77777777" w:rsidR="00B80881" w:rsidRPr="00553D0C" w:rsidRDefault="00B80881" w:rsidP="0055365E">
            <w:pPr>
              <w:rPr>
                <w:rStyle w:val="Strong"/>
              </w:rPr>
            </w:pPr>
            <w:r w:rsidRPr="00553D0C">
              <w:rPr>
                <w:rStyle w:val="Strong"/>
              </w:rPr>
              <w:t>Sponsor Type</w:t>
            </w:r>
            <w:r w:rsidRPr="00553D0C" w:rsidDel="00E34CB6">
              <w:rPr>
                <w:rStyle w:val="Strong"/>
              </w:rPr>
              <w:t xml:space="preserve"> </w:t>
            </w:r>
          </w:p>
        </w:tc>
        <w:tc>
          <w:tcPr>
            <w:tcW w:w="1902" w:type="pct"/>
            <w:gridSpan w:val="2"/>
            <w:tcBorders>
              <w:left w:val="single" w:sz="4" w:space="0" w:color="FFFFFF" w:themeColor="background1"/>
            </w:tcBorders>
            <w:shd w:val="clear" w:color="auto" w:fill="00B8B4"/>
          </w:tcPr>
          <w:p w14:paraId="4B6DB258" w14:textId="77777777" w:rsidR="00B80881" w:rsidRPr="00553D0C" w:rsidRDefault="00B80881" w:rsidP="0055365E">
            <w:pPr>
              <w:jc w:val="center"/>
              <w:rPr>
                <w:rStyle w:val="Strong"/>
              </w:rPr>
            </w:pPr>
            <w:r w:rsidRPr="00553D0C">
              <w:rPr>
                <w:rStyle w:val="Strong"/>
              </w:rPr>
              <w:t>2018-19</w:t>
            </w:r>
          </w:p>
        </w:tc>
      </w:tr>
      <w:tr w:rsidR="00B80881" w:rsidRPr="00B80881" w14:paraId="73761DE7" w14:textId="77777777" w:rsidTr="003D71EC">
        <w:trPr>
          <w:cnfStyle w:val="100000000000" w:firstRow="1" w:lastRow="0" w:firstColumn="0" w:lastColumn="0" w:oddVBand="0" w:evenVBand="0" w:oddHBand="0" w:evenHBand="0" w:firstRowFirstColumn="0" w:firstRowLastColumn="0" w:lastRowFirstColumn="0" w:lastRowLastColumn="0"/>
          <w:trHeight w:val="73"/>
          <w:tblHeader/>
        </w:trPr>
        <w:tc>
          <w:tcPr>
            <w:tcW w:w="3098" w:type="pct"/>
            <w:vMerge/>
            <w:tcBorders>
              <w:right w:val="single" w:sz="4" w:space="0" w:color="FFFFFF" w:themeColor="background1"/>
            </w:tcBorders>
            <w:shd w:val="clear" w:color="auto" w:fill="00B8B4"/>
            <w:noWrap/>
          </w:tcPr>
          <w:p w14:paraId="52799547" w14:textId="77777777" w:rsidR="00B80881" w:rsidRPr="00553D0C" w:rsidRDefault="00B80881" w:rsidP="0055365E">
            <w:pPr>
              <w:rPr>
                <w:rStyle w:val="Strong"/>
              </w:rPr>
            </w:pPr>
          </w:p>
        </w:tc>
        <w:tc>
          <w:tcPr>
            <w:tcW w:w="950" w:type="pct"/>
            <w:tcBorders>
              <w:top w:val="single" w:sz="4" w:space="0" w:color="FFFFFF" w:themeColor="background1"/>
              <w:left w:val="single" w:sz="4" w:space="0" w:color="FFFFFF" w:themeColor="background1"/>
              <w:right w:val="single" w:sz="4" w:space="0" w:color="FFFFFF" w:themeColor="background1"/>
            </w:tcBorders>
            <w:shd w:val="clear" w:color="auto" w:fill="00B8B4"/>
          </w:tcPr>
          <w:p w14:paraId="1D60AF32" w14:textId="77777777" w:rsidR="00B80881" w:rsidRPr="00553D0C" w:rsidRDefault="00B80881" w:rsidP="0055365E">
            <w:pPr>
              <w:rPr>
                <w:rStyle w:val="Strong"/>
              </w:rPr>
            </w:pPr>
            <w:r w:rsidRPr="00553D0C">
              <w:rPr>
                <w:rStyle w:val="Strong"/>
              </w:rPr>
              <w:t>No.</w:t>
            </w:r>
          </w:p>
        </w:tc>
        <w:tc>
          <w:tcPr>
            <w:tcW w:w="952" w:type="pct"/>
            <w:tcBorders>
              <w:top w:val="single" w:sz="4" w:space="0" w:color="FFFFFF" w:themeColor="background1"/>
              <w:left w:val="single" w:sz="4" w:space="0" w:color="FFFFFF" w:themeColor="background1"/>
            </w:tcBorders>
            <w:shd w:val="clear" w:color="auto" w:fill="00B8B4"/>
          </w:tcPr>
          <w:p w14:paraId="212DC1F2" w14:textId="77777777" w:rsidR="00B80881" w:rsidRPr="00553D0C" w:rsidRDefault="00B80881" w:rsidP="0055365E">
            <w:pPr>
              <w:rPr>
                <w:rStyle w:val="Strong"/>
              </w:rPr>
            </w:pPr>
            <w:r w:rsidRPr="00553D0C">
              <w:rPr>
                <w:rStyle w:val="Strong"/>
              </w:rPr>
              <w:t>Per cent</w:t>
            </w:r>
          </w:p>
        </w:tc>
      </w:tr>
      <w:tr w:rsidR="00B80881" w:rsidRPr="00B80881" w14:paraId="3C807218" w14:textId="77777777" w:rsidTr="003D71EC">
        <w:trPr>
          <w:trHeight w:val="425"/>
        </w:trPr>
        <w:tc>
          <w:tcPr>
            <w:tcW w:w="3098" w:type="pct"/>
            <w:shd w:val="clear" w:color="auto" w:fill="A9DBD3"/>
            <w:noWrap/>
          </w:tcPr>
          <w:p w14:paraId="15662194" w14:textId="77777777" w:rsidR="00B80881" w:rsidRPr="00B80881" w:rsidRDefault="00B80881" w:rsidP="0055365E">
            <w:pPr>
              <w:rPr>
                <w:rFonts w:cstheme="minorHAnsi"/>
                <w:lang w:eastAsia="en-AU"/>
              </w:rPr>
            </w:pPr>
            <w:r w:rsidRPr="00B80881">
              <w:rPr>
                <w:rFonts w:cstheme="minorHAnsi"/>
                <w:lang w:eastAsia="en-AU"/>
              </w:rPr>
              <w:t xml:space="preserve">Collaborative Group </w:t>
            </w:r>
          </w:p>
        </w:tc>
        <w:tc>
          <w:tcPr>
            <w:tcW w:w="950" w:type="pct"/>
            <w:shd w:val="clear" w:color="auto" w:fill="A9DBD3"/>
          </w:tcPr>
          <w:p w14:paraId="0A22EB95" w14:textId="77777777" w:rsidR="00B80881" w:rsidRPr="00B80881" w:rsidRDefault="00B80881" w:rsidP="0055365E">
            <w:pPr>
              <w:rPr>
                <w:rFonts w:cstheme="minorHAnsi"/>
                <w:lang w:eastAsia="en-AU"/>
              </w:rPr>
            </w:pPr>
            <w:r w:rsidRPr="00B80881">
              <w:rPr>
                <w:rFonts w:cstheme="minorHAnsi"/>
              </w:rPr>
              <w:t>37</w:t>
            </w:r>
          </w:p>
        </w:tc>
        <w:tc>
          <w:tcPr>
            <w:tcW w:w="952" w:type="pct"/>
            <w:shd w:val="clear" w:color="auto" w:fill="A9DBD3"/>
          </w:tcPr>
          <w:p w14:paraId="78B46B2C" w14:textId="77777777" w:rsidR="00B80881" w:rsidRPr="00B80881" w:rsidRDefault="00B80881" w:rsidP="0055365E">
            <w:pPr>
              <w:rPr>
                <w:rFonts w:cstheme="minorHAnsi"/>
                <w:lang w:eastAsia="en-AU"/>
              </w:rPr>
            </w:pPr>
            <w:r w:rsidRPr="00B80881">
              <w:rPr>
                <w:rFonts w:cstheme="minorHAnsi"/>
              </w:rPr>
              <w:t>5%</w:t>
            </w:r>
          </w:p>
        </w:tc>
      </w:tr>
      <w:tr w:rsidR="00B80881" w:rsidRPr="00B80881" w14:paraId="73BD07FE" w14:textId="77777777" w:rsidTr="003D71EC">
        <w:trPr>
          <w:trHeight w:val="425"/>
        </w:trPr>
        <w:tc>
          <w:tcPr>
            <w:tcW w:w="3098" w:type="pct"/>
            <w:shd w:val="clear" w:color="auto" w:fill="A9DBD3"/>
            <w:noWrap/>
          </w:tcPr>
          <w:p w14:paraId="26A5C6FB" w14:textId="77777777" w:rsidR="00B80881" w:rsidRPr="00B80881" w:rsidRDefault="00B80881" w:rsidP="0055365E">
            <w:pPr>
              <w:rPr>
                <w:rFonts w:cstheme="minorHAnsi"/>
                <w:lang w:eastAsia="en-AU"/>
              </w:rPr>
            </w:pPr>
            <w:r w:rsidRPr="00B80881">
              <w:rPr>
                <w:rFonts w:cstheme="minorHAnsi"/>
                <w:lang w:eastAsia="en-AU"/>
              </w:rPr>
              <w:t>Commercially Sponsored</w:t>
            </w:r>
            <w:r w:rsidRPr="00B80881" w:rsidDel="00E34CB6">
              <w:rPr>
                <w:rFonts w:cstheme="minorHAnsi"/>
                <w:lang w:eastAsia="en-AU"/>
              </w:rPr>
              <w:t xml:space="preserve"> </w:t>
            </w:r>
          </w:p>
        </w:tc>
        <w:tc>
          <w:tcPr>
            <w:tcW w:w="950" w:type="pct"/>
            <w:shd w:val="clear" w:color="auto" w:fill="A9DBD3"/>
          </w:tcPr>
          <w:p w14:paraId="40CF50DE" w14:textId="77777777" w:rsidR="00B80881" w:rsidRPr="00B80881" w:rsidRDefault="00B80881" w:rsidP="0055365E">
            <w:pPr>
              <w:rPr>
                <w:rFonts w:cstheme="minorHAnsi"/>
                <w:lang w:eastAsia="en-AU"/>
              </w:rPr>
            </w:pPr>
            <w:r w:rsidRPr="00B80881">
              <w:rPr>
                <w:rFonts w:cstheme="minorHAnsi"/>
              </w:rPr>
              <w:t>388</w:t>
            </w:r>
          </w:p>
        </w:tc>
        <w:tc>
          <w:tcPr>
            <w:tcW w:w="952" w:type="pct"/>
            <w:shd w:val="clear" w:color="auto" w:fill="A9DBD3"/>
          </w:tcPr>
          <w:p w14:paraId="6C5E2BA3" w14:textId="77777777" w:rsidR="00B80881" w:rsidRPr="00B80881" w:rsidRDefault="00B80881" w:rsidP="0055365E">
            <w:pPr>
              <w:rPr>
                <w:rFonts w:cstheme="minorHAnsi"/>
                <w:lang w:eastAsia="en-AU"/>
              </w:rPr>
            </w:pPr>
            <w:r w:rsidRPr="00B80881">
              <w:rPr>
                <w:rFonts w:cstheme="minorHAnsi"/>
              </w:rPr>
              <w:t>48%</w:t>
            </w:r>
          </w:p>
        </w:tc>
      </w:tr>
      <w:tr w:rsidR="00B80881" w:rsidRPr="00B80881" w14:paraId="5FBF462C" w14:textId="77777777" w:rsidTr="003D71EC">
        <w:trPr>
          <w:trHeight w:val="425"/>
        </w:trPr>
        <w:tc>
          <w:tcPr>
            <w:tcW w:w="3098" w:type="pct"/>
            <w:shd w:val="clear" w:color="auto" w:fill="A9DBD3"/>
            <w:noWrap/>
          </w:tcPr>
          <w:p w14:paraId="35E89E2D" w14:textId="77777777" w:rsidR="00B80881" w:rsidRPr="00B80881" w:rsidRDefault="00B80881" w:rsidP="0055365E">
            <w:pPr>
              <w:rPr>
                <w:rFonts w:cstheme="minorHAnsi"/>
                <w:lang w:eastAsia="en-AU"/>
              </w:rPr>
            </w:pPr>
            <w:r w:rsidRPr="00B80881">
              <w:rPr>
                <w:rFonts w:cstheme="minorHAnsi"/>
                <w:lang w:eastAsia="en-AU"/>
              </w:rPr>
              <w:t xml:space="preserve">Institution </w:t>
            </w:r>
          </w:p>
        </w:tc>
        <w:tc>
          <w:tcPr>
            <w:tcW w:w="950" w:type="pct"/>
            <w:shd w:val="clear" w:color="auto" w:fill="A9DBD3"/>
          </w:tcPr>
          <w:p w14:paraId="3808E46A" w14:textId="77777777" w:rsidR="00B80881" w:rsidRPr="00B80881" w:rsidRDefault="00B80881" w:rsidP="0055365E">
            <w:pPr>
              <w:rPr>
                <w:rFonts w:cstheme="minorHAnsi"/>
                <w:lang w:eastAsia="en-AU"/>
              </w:rPr>
            </w:pPr>
            <w:r w:rsidRPr="00B80881">
              <w:rPr>
                <w:rFonts w:cstheme="minorHAnsi"/>
              </w:rPr>
              <w:t>98</w:t>
            </w:r>
          </w:p>
        </w:tc>
        <w:tc>
          <w:tcPr>
            <w:tcW w:w="952" w:type="pct"/>
            <w:shd w:val="clear" w:color="auto" w:fill="A9DBD3"/>
          </w:tcPr>
          <w:p w14:paraId="482F7599" w14:textId="77777777" w:rsidR="00B80881" w:rsidRPr="00B80881" w:rsidRDefault="00B80881" w:rsidP="0055365E">
            <w:pPr>
              <w:rPr>
                <w:rFonts w:cstheme="minorHAnsi"/>
                <w:lang w:eastAsia="en-AU"/>
              </w:rPr>
            </w:pPr>
            <w:r w:rsidRPr="00B80881">
              <w:rPr>
                <w:rFonts w:cstheme="minorHAnsi"/>
              </w:rPr>
              <w:t>12%</w:t>
            </w:r>
          </w:p>
        </w:tc>
      </w:tr>
      <w:tr w:rsidR="00B80881" w:rsidRPr="00B80881" w14:paraId="5E48A5F3" w14:textId="77777777" w:rsidTr="003D71EC">
        <w:trPr>
          <w:trHeight w:val="425"/>
        </w:trPr>
        <w:tc>
          <w:tcPr>
            <w:tcW w:w="3098" w:type="pct"/>
            <w:shd w:val="clear" w:color="auto" w:fill="A9DBD3"/>
            <w:noWrap/>
          </w:tcPr>
          <w:p w14:paraId="47F3ECC9" w14:textId="77777777" w:rsidR="00B80881" w:rsidRPr="00B80881" w:rsidRDefault="00B80881" w:rsidP="0055365E">
            <w:pPr>
              <w:rPr>
                <w:rFonts w:cstheme="minorHAnsi"/>
                <w:lang w:eastAsia="en-AU"/>
              </w:rPr>
            </w:pPr>
            <w:r w:rsidRPr="00B80881">
              <w:rPr>
                <w:rFonts w:cstheme="minorHAnsi"/>
                <w:lang w:eastAsia="en-AU"/>
              </w:rPr>
              <w:t>Investigator Initiated Group</w:t>
            </w:r>
            <w:r w:rsidRPr="00B80881" w:rsidDel="00E34CB6">
              <w:rPr>
                <w:rFonts w:cstheme="minorHAnsi"/>
                <w:lang w:eastAsia="en-AU"/>
              </w:rPr>
              <w:t xml:space="preserve"> </w:t>
            </w:r>
          </w:p>
        </w:tc>
        <w:tc>
          <w:tcPr>
            <w:tcW w:w="950" w:type="pct"/>
            <w:shd w:val="clear" w:color="auto" w:fill="A9DBD3"/>
          </w:tcPr>
          <w:p w14:paraId="73CFBCF3" w14:textId="77777777" w:rsidR="00B80881" w:rsidRPr="00B80881" w:rsidRDefault="00B80881" w:rsidP="0055365E">
            <w:pPr>
              <w:rPr>
                <w:rFonts w:cstheme="minorHAnsi"/>
                <w:lang w:eastAsia="en-AU"/>
              </w:rPr>
            </w:pPr>
            <w:r w:rsidRPr="00B80881">
              <w:rPr>
                <w:rFonts w:cstheme="minorHAnsi"/>
              </w:rPr>
              <w:t>230</w:t>
            </w:r>
          </w:p>
        </w:tc>
        <w:tc>
          <w:tcPr>
            <w:tcW w:w="952" w:type="pct"/>
            <w:shd w:val="clear" w:color="auto" w:fill="A9DBD3"/>
          </w:tcPr>
          <w:p w14:paraId="03909FA1" w14:textId="77777777" w:rsidR="00B80881" w:rsidRPr="00B80881" w:rsidRDefault="00B80881" w:rsidP="0055365E">
            <w:pPr>
              <w:rPr>
                <w:rFonts w:cstheme="minorHAnsi"/>
                <w:lang w:eastAsia="en-AU"/>
              </w:rPr>
            </w:pPr>
            <w:r w:rsidRPr="00B80881">
              <w:rPr>
                <w:rFonts w:cstheme="minorHAnsi"/>
              </w:rPr>
              <w:t>28%</w:t>
            </w:r>
          </w:p>
        </w:tc>
      </w:tr>
      <w:tr w:rsidR="00B80881" w:rsidRPr="00B80881" w14:paraId="7E5D3125" w14:textId="77777777" w:rsidTr="003D71EC">
        <w:trPr>
          <w:trHeight w:val="425"/>
        </w:trPr>
        <w:tc>
          <w:tcPr>
            <w:tcW w:w="3098" w:type="pct"/>
            <w:shd w:val="clear" w:color="auto" w:fill="A9DBD3"/>
            <w:noWrap/>
          </w:tcPr>
          <w:p w14:paraId="2413398A" w14:textId="77777777" w:rsidR="00B80881" w:rsidRPr="00B80881" w:rsidRDefault="00B80881" w:rsidP="0055365E">
            <w:pPr>
              <w:rPr>
                <w:rFonts w:cstheme="minorHAnsi"/>
                <w:lang w:eastAsia="en-AU"/>
              </w:rPr>
            </w:pPr>
            <w:r w:rsidRPr="00B80881">
              <w:rPr>
                <w:rFonts w:cstheme="minorHAnsi"/>
                <w:lang w:eastAsia="en-AU"/>
              </w:rPr>
              <w:t>Other</w:t>
            </w:r>
            <w:r w:rsidRPr="00B80881" w:rsidDel="00E34CB6">
              <w:rPr>
                <w:rFonts w:cstheme="minorHAnsi"/>
                <w:lang w:eastAsia="en-AU"/>
              </w:rPr>
              <w:t xml:space="preserve"> </w:t>
            </w:r>
          </w:p>
        </w:tc>
        <w:tc>
          <w:tcPr>
            <w:tcW w:w="950" w:type="pct"/>
            <w:shd w:val="clear" w:color="auto" w:fill="A9DBD3"/>
          </w:tcPr>
          <w:p w14:paraId="109329F1" w14:textId="77777777" w:rsidR="00B80881" w:rsidRPr="00B80881" w:rsidRDefault="00B80881" w:rsidP="0055365E">
            <w:pPr>
              <w:rPr>
                <w:rFonts w:cstheme="minorHAnsi"/>
                <w:lang w:eastAsia="en-AU"/>
              </w:rPr>
            </w:pPr>
            <w:r w:rsidRPr="00B80881">
              <w:rPr>
                <w:rFonts w:cstheme="minorHAnsi"/>
              </w:rPr>
              <w:t>28</w:t>
            </w:r>
          </w:p>
        </w:tc>
        <w:tc>
          <w:tcPr>
            <w:tcW w:w="952" w:type="pct"/>
            <w:shd w:val="clear" w:color="auto" w:fill="A9DBD3"/>
          </w:tcPr>
          <w:p w14:paraId="78BCCEF9" w14:textId="77777777" w:rsidR="00B80881" w:rsidRPr="00B80881" w:rsidRDefault="00B80881" w:rsidP="0055365E">
            <w:pPr>
              <w:rPr>
                <w:rFonts w:cstheme="minorHAnsi"/>
                <w:lang w:eastAsia="en-AU"/>
              </w:rPr>
            </w:pPr>
            <w:r w:rsidRPr="00B80881">
              <w:rPr>
                <w:rFonts w:cstheme="minorHAnsi"/>
              </w:rPr>
              <w:t>3%</w:t>
            </w:r>
          </w:p>
        </w:tc>
      </w:tr>
      <w:tr w:rsidR="00B80881" w:rsidRPr="00B80881" w14:paraId="58175F6C" w14:textId="77777777" w:rsidTr="003D71EC">
        <w:trPr>
          <w:trHeight w:val="425"/>
        </w:trPr>
        <w:tc>
          <w:tcPr>
            <w:tcW w:w="3098" w:type="pct"/>
            <w:shd w:val="clear" w:color="auto" w:fill="A9DBD3"/>
            <w:noWrap/>
          </w:tcPr>
          <w:p w14:paraId="58336109" w14:textId="77777777" w:rsidR="00B80881" w:rsidRPr="00B80881" w:rsidRDefault="00B80881" w:rsidP="0055365E">
            <w:pPr>
              <w:rPr>
                <w:rFonts w:cstheme="minorHAnsi"/>
                <w:lang w:eastAsia="en-AU"/>
              </w:rPr>
            </w:pPr>
            <w:r w:rsidRPr="00B80881">
              <w:rPr>
                <w:rFonts w:cstheme="minorHAnsi"/>
                <w:lang w:eastAsia="en-AU"/>
              </w:rPr>
              <w:t>University</w:t>
            </w:r>
            <w:r w:rsidRPr="00B80881" w:rsidDel="00E34CB6">
              <w:rPr>
                <w:rFonts w:cstheme="minorHAnsi"/>
                <w:lang w:eastAsia="en-AU"/>
              </w:rPr>
              <w:t xml:space="preserve"> </w:t>
            </w:r>
          </w:p>
        </w:tc>
        <w:tc>
          <w:tcPr>
            <w:tcW w:w="950" w:type="pct"/>
            <w:shd w:val="clear" w:color="auto" w:fill="A9DBD3"/>
          </w:tcPr>
          <w:p w14:paraId="461E7534" w14:textId="77777777" w:rsidR="00B80881" w:rsidRPr="00B80881" w:rsidRDefault="00B80881" w:rsidP="0055365E">
            <w:pPr>
              <w:rPr>
                <w:rFonts w:cstheme="minorHAnsi"/>
                <w:lang w:eastAsia="en-AU"/>
              </w:rPr>
            </w:pPr>
            <w:r w:rsidRPr="00B80881">
              <w:rPr>
                <w:rFonts w:cstheme="minorHAnsi"/>
              </w:rPr>
              <w:t>33</w:t>
            </w:r>
          </w:p>
        </w:tc>
        <w:tc>
          <w:tcPr>
            <w:tcW w:w="952" w:type="pct"/>
            <w:shd w:val="clear" w:color="auto" w:fill="A9DBD3"/>
          </w:tcPr>
          <w:p w14:paraId="19832B0D" w14:textId="77777777" w:rsidR="00B80881" w:rsidRPr="00B80881" w:rsidRDefault="00B80881" w:rsidP="0055365E">
            <w:pPr>
              <w:rPr>
                <w:rFonts w:cstheme="minorHAnsi"/>
                <w:lang w:eastAsia="en-AU"/>
              </w:rPr>
            </w:pPr>
            <w:r w:rsidRPr="00B80881">
              <w:rPr>
                <w:rFonts w:cstheme="minorHAnsi"/>
              </w:rPr>
              <w:t>4%</w:t>
            </w:r>
          </w:p>
        </w:tc>
      </w:tr>
      <w:tr w:rsidR="00B80881" w:rsidRPr="00B80881" w14:paraId="7FF1C57B" w14:textId="77777777" w:rsidTr="003D71EC">
        <w:trPr>
          <w:trHeight w:val="425"/>
        </w:trPr>
        <w:tc>
          <w:tcPr>
            <w:tcW w:w="3098" w:type="pct"/>
            <w:shd w:val="clear" w:color="auto" w:fill="A9DBD3"/>
            <w:noWrap/>
          </w:tcPr>
          <w:p w14:paraId="13B499F0" w14:textId="77777777" w:rsidR="00B80881" w:rsidRPr="00B80881" w:rsidRDefault="00B80881" w:rsidP="0055365E">
            <w:pPr>
              <w:rPr>
                <w:rFonts w:cstheme="minorHAnsi"/>
                <w:lang w:eastAsia="en-AU"/>
              </w:rPr>
            </w:pPr>
            <w:r w:rsidRPr="00B80881">
              <w:rPr>
                <w:rFonts w:cstheme="minorHAnsi"/>
                <w:lang w:eastAsia="en-AU"/>
              </w:rPr>
              <w:t>Total</w:t>
            </w:r>
          </w:p>
        </w:tc>
        <w:tc>
          <w:tcPr>
            <w:tcW w:w="950" w:type="pct"/>
            <w:shd w:val="clear" w:color="auto" w:fill="A9DBD3"/>
          </w:tcPr>
          <w:p w14:paraId="12824EA7" w14:textId="77777777" w:rsidR="00B80881" w:rsidRPr="00B80881" w:rsidRDefault="00B80881" w:rsidP="0055365E">
            <w:pPr>
              <w:rPr>
                <w:rFonts w:cstheme="minorHAnsi"/>
                <w:bCs/>
              </w:rPr>
            </w:pPr>
            <w:r w:rsidRPr="00B80881">
              <w:rPr>
                <w:rFonts w:cstheme="minorHAnsi"/>
                <w:bCs/>
              </w:rPr>
              <w:t>814</w:t>
            </w:r>
          </w:p>
        </w:tc>
        <w:tc>
          <w:tcPr>
            <w:tcW w:w="952" w:type="pct"/>
            <w:shd w:val="clear" w:color="auto" w:fill="A9DBD3"/>
          </w:tcPr>
          <w:p w14:paraId="2C101491" w14:textId="77777777" w:rsidR="00B80881" w:rsidRPr="00B80881" w:rsidRDefault="00B80881" w:rsidP="0055365E">
            <w:pPr>
              <w:rPr>
                <w:rFonts w:cstheme="minorHAnsi"/>
                <w:bCs/>
              </w:rPr>
            </w:pPr>
            <w:r w:rsidRPr="00B80881">
              <w:rPr>
                <w:rFonts w:cstheme="minorHAnsi"/>
                <w:bCs/>
              </w:rPr>
              <w:t>100%</w:t>
            </w:r>
          </w:p>
        </w:tc>
      </w:tr>
    </w:tbl>
    <w:p w14:paraId="7931F278" w14:textId="77777777" w:rsidR="00A1169F" w:rsidRPr="003E4EC8" w:rsidRDefault="003E4EC8" w:rsidP="003E4EC8">
      <w:pPr>
        <w:pStyle w:val="Note"/>
        <w:rPr>
          <w:vertAlign w:val="superscript"/>
        </w:rPr>
      </w:pPr>
      <w:r>
        <w:t xml:space="preserve">Note: </w:t>
      </w:r>
      <w:r w:rsidRPr="00652A6D">
        <w:t xml:space="preserve">Jurisdictions represented </w:t>
      </w:r>
      <w:proofErr w:type="gramStart"/>
      <w:r w:rsidRPr="00652A6D">
        <w:t>are:</w:t>
      </w:r>
      <w:proofErr w:type="gramEnd"/>
      <w:r w:rsidRPr="00652A6D">
        <w:t xml:space="preserve"> Australian Capital Territory, New South Wales, Northern Territory, Queensland, South</w:t>
      </w:r>
      <w:r>
        <w:t xml:space="preserve"> Australia, Victoria </w:t>
      </w:r>
      <w:r w:rsidRPr="00652A6D">
        <w:t>and Western Australia. There were</w:t>
      </w:r>
      <w:r>
        <w:t xml:space="preserve"> </w:t>
      </w:r>
      <w:r w:rsidRPr="00652A6D">
        <w:t>126 trials reported where the type of sponsor was not stated.</w:t>
      </w:r>
    </w:p>
    <w:p w14:paraId="0C2FF04A" w14:textId="77777777" w:rsidR="008F0534" w:rsidRDefault="003E4EC8" w:rsidP="008F0534">
      <w:r w:rsidRPr="002D078B">
        <w:t xml:space="preserve">There was an increase in total trials sponsored by the Investigator Initiated Group compared to 2016-17. ‘Other’ sponsor type has been separated into </w:t>
      </w:r>
      <w:r>
        <w:t>‘</w:t>
      </w:r>
      <w:r w:rsidRPr="002D078B">
        <w:t>Other</w:t>
      </w:r>
      <w:r>
        <w:t>’</w:t>
      </w:r>
      <w:r w:rsidRPr="002D078B">
        <w:t xml:space="preserve"> and </w:t>
      </w:r>
      <w:r>
        <w:t>‘</w:t>
      </w:r>
      <w:r w:rsidRPr="002D078B">
        <w:t>University</w:t>
      </w:r>
      <w:r>
        <w:t>’</w:t>
      </w:r>
      <w:r w:rsidRPr="001324A3">
        <w:t xml:space="preserve"> </w:t>
      </w:r>
      <w:r w:rsidRPr="002D078B">
        <w:t>categories in this report.</w:t>
      </w:r>
    </w:p>
    <w:p w14:paraId="262202C1" w14:textId="77777777" w:rsidR="003E4EC8" w:rsidRDefault="003E4EC8" w:rsidP="001356A0">
      <w:pPr>
        <w:pStyle w:val="Heading2"/>
      </w:pPr>
      <w:bookmarkStart w:id="27" w:name="_Metric_2:_Overall"/>
      <w:bookmarkStart w:id="28" w:name="_Toc71019133"/>
      <w:bookmarkStart w:id="29" w:name="_Toc79679533"/>
      <w:bookmarkEnd w:id="27"/>
      <w:r>
        <w:lastRenderedPageBreak/>
        <w:t>Metric 2: Overall Study Start Up – ‘Without Clock’</w:t>
      </w:r>
      <w:bookmarkEnd w:id="28"/>
      <w:bookmarkEnd w:id="29"/>
    </w:p>
    <w:p w14:paraId="01D05E9D" w14:textId="77777777" w:rsidR="00025872" w:rsidRPr="002D078B" w:rsidRDefault="00025872" w:rsidP="00025872">
      <w:r w:rsidRPr="002D078B">
        <w:t xml:space="preserve">Measuring the overall study start up is an important metric for commercial sponsors in determining location of clinical trials globally. Sponsors have emphasised clinical trial site selection globally depends on timelines, for the regulatory approval, site authorisation, study start up and first patient recruited. This metric gives a real indication of the time from submission of ethics application to possible site initiation and progression to trial commencement.  </w:t>
      </w:r>
    </w:p>
    <w:p w14:paraId="31CA5EDD" w14:textId="70D06309" w:rsidR="00025872" w:rsidRPr="002D078B" w:rsidRDefault="00025872" w:rsidP="00025872">
      <w:r w:rsidRPr="002D078B">
        <w:t>‘Time to first patient recruited’ is the most widely accepted international indicator for efficiency of trial start-up. Mechanisms to collect this data for Australia are actively being progressed but are not currently available. As an interim, Metric 2 provides a proxy for study start up timeline by measuring the timeline for the two mandatory approval/regulatory processes for clinical trials in Australia: from ethics application submission clo</w:t>
      </w:r>
      <w:r w:rsidR="006A4494">
        <w:t>sing date to date of first SSA/S</w:t>
      </w:r>
      <w:r w:rsidRPr="002D078B">
        <w:t>ite authorisation, noting that these processes should be completed concurrently but some jurisdictions may be an exception.</w:t>
      </w:r>
    </w:p>
    <w:p w14:paraId="3BA6161C" w14:textId="10C703EF" w:rsidR="003E4EC8" w:rsidRDefault="00025872" w:rsidP="00025872">
      <w:r w:rsidRPr="002D078B">
        <w:t>Over the reporting period, there were 460 clinical trials reported for this measure. The period commences at ethics submission and the date for the first SSA/Site assessment authorisation is the endpoint. Ten per cent of clinical trials completed the regulatory process in 60 calendar days or less, and a total of 44 per cent (2018-19) of trial applications were processed within 120 days. The remainder of trials take 120 days or more (over 180 days) to reach the end point of the regulatory process. Reduction in th</w:t>
      </w:r>
      <w:r w:rsidR="006A4494">
        <w:t>is metric time relating to SSA/S</w:t>
      </w:r>
      <w:r w:rsidRPr="002D078B">
        <w:t>ite assessment will depend on initiatives to improve adherence to jurisdiction’s policy at health services</w:t>
      </w:r>
      <w:r>
        <w:t>.</w:t>
      </w:r>
    </w:p>
    <w:p w14:paraId="6DAB0823" w14:textId="28CCDEB6" w:rsidR="00553D0C" w:rsidRDefault="00553D0C" w:rsidP="00127F8A">
      <w:pPr>
        <w:pStyle w:val="Caption"/>
      </w:pPr>
      <w:r>
        <w:t xml:space="preserve">Figure </w:t>
      </w:r>
      <w:r w:rsidR="008F1828">
        <w:fldChar w:fldCharType="begin"/>
      </w:r>
      <w:r w:rsidR="008F1828">
        <w:instrText xml:space="preserve"> SEQ Figure \* ARABIC </w:instrText>
      </w:r>
      <w:r w:rsidR="008F1828">
        <w:fldChar w:fldCharType="separate"/>
      </w:r>
      <w:r w:rsidR="00A73B36">
        <w:rPr>
          <w:noProof/>
        </w:rPr>
        <w:t>2</w:t>
      </w:r>
      <w:r w:rsidR="008F1828">
        <w:rPr>
          <w:noProof/>
        </w:rPr>
        <w:fldChar w:fldCharType="end"/>
      </w:r>
      <w:r>
        <w:t xml:space="preserve">: </w:t>
      </w:r>
      <w:r w:rsidRPr="00CD4396">
        <w:t>Overall estimated Trial Study Start-Up</w:t>
      </w:r>
    </w:p>
    <w:p w14:paraId="556409FE" w14:textId="77777777" w:rsidR="00025872" w:rsidRDefault="00025872" w:rsidP="00025872">
      <w:pPr>
        <w:pStyle w:val="Diagram"/>
      </w:pPr>
      <w:r w:rsidRPr="007B73BD">
        <w:rPr>
          <w:rFonts w:cs="Arial"/>
          <w:noProof/>
          <w:color w:val="FF0000"/>
          <w:lang w:eastAsia="en-AU"/>
        </w:rPr>
        <w:drawing>
          <wp:inline distT="0" distB="0" distL="0" distR="0" wp14:anchorId="57F80F56" wp14:editId="62712849">
            <wp:extent cx="5556169" cy="2092851"/>
            <wp:effectExtent l="0" t="0" r="6985" b="3175"/>
            <wp:docPr id="9" name="Picture 9" descr="Figure 2 is a chart presenting the Overall study start up timeline (no clock) by days taken." title="Figure 2: Overall estimated Trial Study Star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0155" cy="2128253"/>
                    </a:xfrm>
                    <a:prstGeom prst="rect">
                      <a:avLst/>
                    </a:prstGeom>
                    <a:noFill/>
                  </pic:spPr>
                </pic:pic>
              </a:graphicData>
            </a:graphic>
          </wp:inline>
        </w:drawing>
      </w:r>
    </w:p>
    <w:p w14:paraId="79E04909" w14:textId="77777777" w:rsidR="00025872" w:rsidRDefault="00025872" w:rsidP="00025872">
      <w:pPr>
        <w:pStyle w:val="Note"/>
      </w:pPr>
      <w:r>
        <w:t xml:space="preserve">Note: </w:t>
      </w:r>
      <w:r w:rsidRPr="002D078B">
        <w:t xml:space="preserve">Jurisdictions represented are: New South Wales, Northern Territory, Queensland, South Australia, </w:t>
      </w:r>
      <w:proofErr w:type="gramStart"/>
      <w:r w:rsidRPr="002D078B">
        <w:t>Victoria</w:t>
      </w:r>
      <w:proofErr w:type="gramEnd"/>
      <w:r w:rsidRPr="002D078B">
        <w:t xml:space="preserve"> and Western Australia. Some clinical trials did not meet the criteria for this metric as they were approved but an SSA was not yet authorised. No SSAs were processed in Tasmania and Australian Capital Territory.</w:t>
      </w:r>
    </w:p>
    <w:p w14:paraId="2C5ED076" w14:textId="77777777" w:rsidR="00025872" w:rsidRPr="002D078B" w:rsidRDefault="00025872" w:rsidP="00025872">
      <w:r w:rsidRPr="002D078B">
        <w:t xml:space="preserve">Estimated study start-up mean and standard error has been calculated across </w:t>
      </w:r>
      <w:proofErr w:type="gramStart"/>
      <w:r w:rsidRPr="002D078B">
        <w:t>four time</w:t>
      </w:r>
      <w:proofErr w:type="gramEnd"/>
      <w:r w:rsidRPr="002D078B">
        <w:t xml:space="preserve"> intervals ranging from 0-60 days up to 180+ days. </w:t>
      </w:r>
    </w:p>
    <w:p w14:paraId="4C7011D0" w14:textId="77777777" w:rsidR="00025872" w:rsidRDefault="00025872" w:rsidP="00025872">
      <w:r w:rsidRPr="002D078B">
        <w:t>Ten per cent of trials took, on average, 38.8±2.8 days to complete study start-up within 60-calendar day</w:t>
      </w:r>
      <w:r>
        <w:t>s</w:t>
      </w:r>
      <w:r w:rsidRPr="002D078B">
        <w:t xml:space="preserve">. Overall, the cohort averaged 159.0±5.0 days to complete study start-up, </w:t>
      </w:r>
      <w:proofErr w:type="gramStart"/>
      <w:r w:rsidRPr="002D078B">
        <w:t>similar to</w:t>
      </w:r>
      <w:proofErr w:type="gramEnd"/>
      <w:r w:rsidRPr="002D078B">
        <w:t xml:space="preserve"> 2016-17.</w:t>
      </w:r>
    </w:p>
    <w:p w14:paraId="02683554" w14:textId="7F8D1A65" w:rsidR="00432C26" w:rsidRDefault="00432C26" w:rsidP="00B67F04">
      <w:pPr>
        <w:pStyle w:val="Caption"/>
      </w:pPr>
      <w:r>
        <w:t xml:space="preserve">Table </w:t>
      </w:r>
      <w:r w:rsidR="008F1828">
        <w:fldChar w:fldCharType="begin"/>
      </w:r>
      <w:r w:rsidR="008F1828">
        <w:instrText xml:space="preserve"> SEQ Table \* ARABIC </w:instrText>
      </w:r>
      <w:r w:rsidR="008F1828">
        <w:fldChar w:fldCharType="separate"/>
      </w:r>
      <w:r w:rsidR="00A73B36">
        <w:rPr>
          <w:noProof/>
        </w:rPr>
        <w:t>3</w:t>
      </w:r>
      <w:r w:rsidR="008F1828">
        <w:rPr>
          <w:noProof/>
        </w:rPr>
        <w:fldChar w:fldCharType="end"/>
      </w:r>
      <w:r>
        <w:t xml:space="preserve">: </w:t>
      </w:r>
      <w:r w:rsidRPr="00F04564">
        <w:t>Overall mean estimated Trial Study Start-Up</w:t>
      </w:r>
    </w:p>
    <w:tbl>
      <w:tblPr>
        <w:tblStyle w:val="GridTable5Dark-Accent5"/>
        <w:tblW w:w="5000" w:type="pct"/>
        <w:shd w:val="clear" w:color="auto" w:fill="D0E9EC"/>
        <w:tblLook w:val="04A0" w:firstRow="1" w:lastRow="0" w:firstColumn="1" w:lastColumn="0" w:noHBand="0" w:noVBand="1"/>
        <w:tblCaption w:val="Table 3: Overall mean estimated Trial Study Start-Up"/>
        <w:tblDescription w:val="Table 3 provides a breakdown by calendar days of the overall mean estimated trial study start-up."/>
      </w:tblPr>
      <w:tblGrid>
        <w:gridCol w:w="1316"/>
        <w:gridCol w:w="1565"/>
        <w:gridCol w:w="1569"/>
        <w:gridCol w:w="1711"/>
        <w:gridCol w:w="1506"/>
        <w:gridCol w:w="1349"/>
      </w:tblGrid>
      <w:tr w:rsidR="00025872" w:rsidRPr="00025872" w14:paraId="32030D59" w14:textId="77777777" w:rsidTr="003D71EC">
        <w:trPr>
          <w:cnfStyle w:val="100000000000" w:firstRow="1" w:lastRow="0" w:firstColumn="0" w:lastColumn="0" w:oddVBand="0" w:evenVBand="0" w:oddHBand="0" w:evenHBand="0" w:firstRowFirstColumn="0" w:firstRowLastColumn="0" w:lastRowFirstColumn="0" w:lastRowLastColumn="0"/>
          <w:trHeight w:val="441"/>
          <w:tblHeader/>
        </w:trPr>
        <w:tc>
          <w:tcPr>
            <w:cnfStyle w:val="001000000000" w:firstRow="0" w:lastRow="0" w:firstColumn="1" w:lastColumn="0" w:oddVBand="0" w:evenVBand="0" w:oddHBand="0" w:evenHBand="0" w:firstRowFirstColumn="0" w:firstRowLastColumn="0" w:lastRowFirstColumn="0" w:lastRowLastColumn="0"/>
            <w:tcW w:w="730" w:type="pct"/>
            <w:vMerge w:val="restart"/>
            <w:tcBorders>
              <w:bottom w:val="single" w:sz="4" w:space="0" w:color="FFFFFF" w:themeColor="background1"/>
              <w:right w:val="single" w:sz="4" w:space="0" w:color="FFFFFF" w:themeColor="background1"/>
            </w:tcBorders>
            <w:shd w:val="clear" w:color="auto" w:fill="00B8B4"/>
            <w:noWrap/>
            <w:hideMark/>
          </w:tcPr>
          <w:p w14:paraId="72D2860B" w14:textId="77777777" w:rsidR="00025872" w:rsidRPr="00432C26" w:rsidRDefault="00025872" w:rsidP="00025872">
            <w:pPr>
              <w:keepNext/>
              <w:jc w:val="center"/>
              <w:rPr>
                <w:rStyle w:val="Strong"/>
              </w:rPr>
            </w:pPr>
            <w:r w:rsidRPr="00432C26">
              <w:rPr>
                <w:rStyle w:val="Strong"/>
              </w:rPr>
              <w:t>Year</w:t>
            </w:r>
          </w:p>
        </w:tc>
        <w:tc>
          <w:tcPr>
            <w:tcW w:w="3522" w:type="pct"/>
            <w:gridSpan w:val="4"/>
            <w:tcBorders>
              <w:left w:val="single" w:sz="4" w:space="0" w:color="FFFFFF" w:themeColor="background1"/>
              <w:bottom w:val="single" w:sz="4" w:space="0" w:color="FFFFFF" w:themeColor="background1"/>
              <w:right w:val="single" w:sz="4" w:space="0" w:color="FFFFFF" w:themeColor="background1"/>
            </w:tcBorders>
            <w:shd w:val="clear" w:color="auto" w:fill="00B8B4"/>
            <w:hideMark/>
          </w:tcPr>
          <w:p w14:paraId="116D4C7C" w14:textId="77777777" w:rsidR="00025872" w:rsidRPr="00432C26" w:rsidRDefault="00025872" w:rsidP="00025872">
            <w:pPr>
              <w:keepNext/>
              <w:jc w:val="center"/>
              <w:cnfStyle w:val="100000000000" w:firstRow="1" w:lastRow="0" w:firstColumn="0" w:lastColumn="0" w:oddVBand="0" w:evenVBand="0" w:oddHBand="0" w:evenHBand="0" w:firstRowFirstColumn="0" w:firstRowLastColumn="0" w:lastRowFirstColumn="0" w:lastRowLastColumn="0"/>
              <w:rPr>
                <w:rStyle w:val="Strong"/>
              </w:rPr>
            </w:pPr>
            <w:r w:rsidRPr="00432C26">
              <w:rPr>
                <w:rStyle w:val="Strong"/>
              </w:rPr>
              <w:t>Calendar Days</w:t>
            </w:r>
          </w:p>
        </w:tc>
        <w:tc>
          <w:tcPr>
            <w:tcW w:w="748" w:type="pct"/>
            <w:vMerge w:val="restart"/>
            <w:tcBorders>
              <w:left w:val="single" w:sz="4" w:space="0" w:color="FFFFFF" w:themeColor="background1"/>
              <w:bottom w:val="single" w:sz="4" w:space="0" w:color="FFFFFF" w:themeColor="background1"/>
            </w:tcBorders>
            <w:shd w:val="clear" w:color="auto" w:fill="00B8B4"/>
            <w:hideMark/>
          </w:tcPr>
          <w:p w14:paraId="291BFE99" w14:textId="77777777" w:rsidR="00025872" w:rsidRPr="00432C26" w:rsidRDefault="00025872" w:rsidP="00025872">
            <w:pPr>
              <w:keepNext/>
              <w:jc w:val="center"/>
              <w:cnfStyle w:val="100000000000" w:firstRow="1" w:lastRow="0" w:firstColumn="0" w:lastColumn="0" w:oddVBand="0" w:evenVBand="0" w:oddHBand="0" w:evenHBand="0" w:firstRowFirstColumn="0" w:firstRowLastColumn="0" w:lastRowFirstColumn="0" w:lastRowLastColumn="0"/>
              <w:rPr>
                <w:rStyle w:val="Strong"/>
              </w:rPr>
            </w:pPr>
            <w:r w:rsidRPr="00432C26">
              <w:rPr>
                <w:rStyle w:val="Strong"/>
              </w:rPr>
              <w:t>Total</w:t>
            </w:r>
          </w:p>
        </w:tc>
      </w:tr>
      <w:tr w:rsidR="003012D5" w:rsidRPr="00025872" w14:paraId="1C44EE58" w14:textId="77777777" w:rsidTr="003D71EC">
        <w:trPr>
          <w:cnfStyle w:val="100000000000" w:firstRow="1" w:lastRow="0" w:firstColumn="0" w:lastColumn="0" w:oddVBand="0" w:evenVBand="0" w:oddHBand="0" w:evenHBand="0" w:firstRowFirstColumn="0" w:firstRowLastColumn="0" w:lastRowFirstColumn="0" w:lastRowLastColumn="0"/>
          <w:trHeight w:val="491"/>
          <w:tblHeader/>
        </w:trPr>
        <w:tc>
          <w:tcPr>
            <w:cnfStyle w:val="001000000000" w:firstRow="0" w:lastRow="0" w:firstColumn="1" w:lastColumn="0" w:oddVBand="0" w:evenVBand="0" w:oddHBand="0" w:evenHBand="0" w:firstRowFirstColumn="0" w:firstRowLastColumn="0" w:lastRowFirstColumn="0" w:lastRowLastColumn="0"/>
            <w:tcW w:w="730" w:type="pct"/>
            <w:vMerge/>
            <w:tcBorders>
              <w:top w:val="single" w:sz="4" w:space="0" w:color="FFFFFF" w:themeColor="background1"/>
            </w:tcBorders>
            <w:shd w:val="clear" w:color="auto" w:fill="3F9385"/>
            <w:noWrap/>
          </w:tcPr>
          <w:p w14:paraId="3A23DA09" w14:textId="77777777" w:rsidR="00025872" w:rsidRPr="00025872" w:rsidRDefault="00025872" w:rsidP="0055365E">
            <w:pPr>
              <w:spacing w:before="0"/>
              <w:rPr>
                <w:rStyle w:val="Strong"/>
                <w:color w:val="auto"/>
              </w:rPr>
            </w:pPr>
          </w:p>
        </w:tc>
        <w:tc>
          <w:tcPr>
            <w:tcW w:w="868" w:type="pct"/>
            <w:tcBorders>
              <w:top w:val="single" w:sz="4" w:space="0" w:color="FFFFFF" w:themeColor="background1"/>
              <w:bottom w:val="single" w:sz="4" w:space="0" w:color="FFFFFF" w:themeColor="background1"/>
              <w:right w:val="single" w:sz="4" w:space="0" w:color="FFFFFF" w:themeColor="background1"/>
            </w:tcBorders>
            <w:shd w:val="clear" w:color="auto" w:fill="00B8B4"/>
          </w:tcPr>
          <w:p w14:paraId="0C7068C9" w14:textId="77777777" w:rsidR="00025872" w:rsidRPr="00432C26" w:rsidRDefault="00025872" w:rsidP="0055365E">
            <w:pPr>
              <w:spacing w:before="0"/>
              <w:jc w:val="center"/>
              <w:cnfStyle w:val="100000000000" w:firstRow="1" w:lastRow="0" w:firstColumn="0" w:lastColumn="0" w:oddVBand="0" w:evenVBand="0" w:oddHBand="0" w:evenHBand="0" w:firstRowFirstColumn="0" w:firstRowLastColumn="0" w:lastRowFirstColumn="0" w:lastRowLastColumn="0"/>
              <w:rPr>
                <w:rStyle w:val="Strong"/>
              </w:rPr>
            </w:pPr>
            <w:r w:rsidRPr="00432C26">
              <w:rPr>
                <w:rStyle w:val="Strong"/>
              </w:rPr>
              <w:t>0-60</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8B4"/>
          </w:tcPr>
          <w:p w14:paraId="4F708E82" w14:textId="77777777" w:rsidR="00025872" w:rsidRPr="00432C26" w:rsidRDefault="00025872" w:rsidP="0055365E">
            <w:pPr>
              <w:spacing w:before="0"/>
              <w:jc w:val="center"/>
              <w:cnfStyle w:val="100000000000" w:firstRow="1" w:lastRow="0" w:firstColumn="0" w:lastColumn="0" w:oddVBand="0" w:evenVBand="0" w:oddHBand="0" w:evenHBand="0" w:firstRowFirstColumn="0" w:firstRowLastColumn="0" w:lastRowFirstColumn="0" w:lastRowLastColumn="0"/>
              <w:rPr>
                <w:rStyle w:val="Strong"/>
              </w:rPr>
            </w:pPr>
            <w:r w:rsidRPr="00432C26">
              <w:rPr>
                <w:rStyle w:val="Strong"/>
              </w:rPr>
              <w:t>61-120</w:t>
            </w:r>
          </w:p>
        </w:tc>
        <w:tc>
          <w:tcPr>
            <w:tcW w:w="9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8B4"/>
          </w:tcPr>
          <w:p w14:paraId="2C17E081" w14:textId="77777777" w:rsidR="00025872" w:rsidRPr="00432C26" w:rsidRDefault="00025872" w:rsidP="0055365E">
            <w:pPr>
              <w:spacing w:before="0"/>
              <w:jc w:val="center"/>
              <w:cnfStyle w:val="100000000000" w:firstRow="1" w:lastRow="0" w:firstColumn="0" w:lastColumn="0" w:oddVBand="0" w:evenVBand="0" w:oddHBand="0" w:evenHBand="0" w:firstRowFirstColumn="0" w:firstRowLastColumn="0" w:lastRowFirstColumn="0" w:lastRowLastColumn="0"/>
              <w:rPr>
                <w:rStyle w:val="Strong"/>
              </w:rPr>
            </w:pPr>
            <w:r w:rsidRPr="00432C26">
              <w:rPr>
                <w:rStyle w:val="Strong"/>
              </w:rPr>
              <w:t>121-180</w:t>
            </w:r>
          </w:p>
        </w:tc>
        <w:tc>
          <w:tcPr>
            <w:tcW w:w="83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8B4"/>
          </w:tcPr>
          <w:p w14:paraId="2B0C6F16" w14:textId="77777777" w:rsidR="00025872" w:rsidRPr="00432C26" w:rsidRDefault="00025872" w:rsidP="0055365E">
            <w:pPr>
              <w:spacing w:before="0"/>
              <w:jc w:val="center"/>
              <w:cnfStyle w:val="100000000000" w:firstRow="1" w:lastRow="0" w:firstColumn="0" w:lastColumn="0" w:oddVBand="0" w:evenVBand="0" w:oddHBand="0" w:evenHBand="0" w:firstRowFirstColumn="0" w:firstRowLastColumn="0" w:lastRowFirstColumn="0" w:lastRowLastColumn="0"/>
              <w:rPr>
                <w:rStyle w:val="Strong"/>
              </w:rPr>
            </w:pPr>
            <w:r w:rsidRPr="00432C26">
              <w:rPr>
                <w:rStyle w:val="Strong"/>
              </w:rPr>
              <w:t>180+</w:t>
            </w:r>
          </w:p>
        </w:tc>
        <w:tc>
          <w:tcPr>
            <w:tcW w:w="748" w:type="pct"/>
            <w:vMerge/>
            <w:tcBorders>
              <w:top w:val="single" w:sz="4" w:space="0" w:color="FFFFFF" w:themeColor="background1"/>
              <w:left w:val="single" w:sz="4" w:space="0" w:color="FFFFFF" w:themeColor="background1"/>
            </w:tcBorders>
            <w:shd w:val="clear" w:color="auto" w:fill="3F9385"/>
          </w:tcPr>
          <w:p w14:paraId="170E57A4" w14:textId="77777777" w:rsidR="00025872" w:rsidRPr="00025872" w:rsidRDefault="00025872" w:rsidP="0055365E">
            <w:pPr>
              <w:spacing w:before="0"/>
              <w:cnfStyle w:val="100000000000" w:firstRow="1" w:lastRow="0" w:firstColumn="0" w:lastColumn="0" w:oddVBand="0" w:evenVBand="0" w:oddHBand="0" w:evenHBand="0" w:firstRowFirstColumn="0" w:firstRowLastColumn="0" w:lastRowFirstColumn="0" w:lastRowLastColumn="0"/>
              <w:rPr>
                <w:rStyle w:val="Strong"/>
                <w:color w:val="auto"/>
              </w:rPr>
            </w:pPr>
          </w:p>
        </w:tc>
      </w:tr>
      <w:tr w:rsidR="003012D5" w:rsidRPr="00025872" w14:paraId="4863D1F1" w14:textId="77777777" w:rsidTr="003D71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30" w:type="pct"/>
            <w:vMerge w:val="restart"/>
            <w:shd w:val="clear" w:color="auto" w:fill="A9DBD3"/>
            <w:noWrap/>
            <w:hideMark/>
          </w:tcPr>
          <w:p w14:paraId="1B786F8D" w14:textId="77777777" w:rsidR="00025872" w:rsidRPr="00025872" w:rsidRDefault="003012D5" w:rsidP="0055365E">
            <w:pPr>
              <w:spacing w:before="0"/>
              <w:jc w:val="center"/>
              <w:rPr>
                <w:rFonts w:cs="Arial"/>
                <w:bCs w:val="0"/>
                <w:color w:val="auto"/>
                <w:lang w:eastAsia="en-AU"/>
              </w:rPr>
            </w:pPr>
            <w:r>
              <w:rPr>
                <w:rFonts w:cs="Arial"/>
                <w:color w:val="auto"/>
                <w:lang w:eastAsia="en-AU"/>
              </w:rPr>
              <w:t>2018-</w:t>
            </w:r>
            <w:r w:rsidR="00025872" w:rsidRPr="00025872">
              <w:rPr>
                <w:rFonts w:cs="Arial"/>
                <w:color w:val="auto"/>
                <w:lang w:eastAsia="en-AU"/>
              </w:rPr>
              <w:t>19</w:t>
            </w:r>
          </w:p>
        </w:tc>
        <w:tc>
          <w:tcPr>
            <w:tcW w:w="868" w:type="pct"/>
            <w:tcBorders>
              <w:top w:val="single" w:sz="4" w:space="0" w:color="FFFFFF" w:themeColor="background1"/>
            </w:tcBorders>
            <w:shd w:val="clear" w:color="auto" w:fill="A9DBD3"/>
            <w:noWrap/>
            <w:hideMark/>
          </w:tcPr>
          <w:p w14:paraId="765C35EF" w14:textId="77777777" w:rsidR="00025872" w:rsidRPr="00025872" w:rsidRDefault="00025872" w:rsidP="0055365E">
            <w:pPr>
              <w:spacing w:before="0"/>
              <w:jc w:val="center"/>
              <w:cnfStyle w:val="000000100000" w:firstRow="0" w:lastRow="0" w:firstColumn="0" w:lastColumn="0" w:oddVBand="0" w:evenVBand="0" w:oddHBand="1" w:evenHBand="0" w:firstRowFirstColumn="0" w:firstRowLastColumn="0" w:lastRowFirstColumn="0" w:lastRowLastColumn="0"/>
              <w:rPr>
                <w:rFonts w:cs="Arial"/>
                <w:lang w:eastAsia="en-AU"/>
              </w:rPr>
            </w:pPr>
            <w:r w:rsidRPr="00025872">
              <w:rPr>
                <w:rFonts w:cs="Arial"/>
                <w:lang w:eastAsia="en-AU"/>
              </w:rPr>
              <w:t>38.8 ± 2.8</w:t>
            </w:r>
          </w:p>
        </w:tc>
        <w:tc>
          <w:tcPr>
            <w:tcW w:w="870" w:type="pct"/>
            <w:tcBorders>
              <w:top w:val="single" w:sz="4" w:space="0" w:color="FFFFFF" w:themeColor="background1"/>
            </w:tcBorders>
            <w:shd w:val="clear" w:color="auto" w:fill="A9DBD3"/>
            <w:noWrap/>
            <w:hideMark/>
          </w:tcPr>
          <w:p w14:paraId="4A8DF720" w14:textId="77777777" w:rsidR="00025872" w:rsidRPr="00025872" w:rsidRDefault="00025872" w:rsidP="0055365E">
            <w:pPr>
              <w:spacing w:before="0"/>
              <w:jc w:val="center"/>
              <w:cnfStyle w:val="000000100000" w:firstRow="0" w:lastRow="0" w:firstColumn="0" w:lastColumn="0" w:oddVBand="0" w:evenVBand="0" w:oddHBand="1" w:evenHBand="0" w:firstRowFirstColumn="0" w:firstRowLastColumn="0" w:lastRowFirstColumn="0" w:lastRowLastColumn="0"/>
              <w:rPr>
                <w:rFonts w:cs="Arial"/>
                <w:lang w:eastAsia="en-AU"/>
              </w:rPr>
            </w:pPr>
            <w:r w:rsidRPr="00025872">
              <w:rPr>
                <w:rFonts w:cs="Arial"/>
                <w:lang w:eastAsia="en-AU"/>
              </w:rPr>
              <w:t>91.4 ± 1.3</w:t>
            </w:r>
          </w:p>
        </w:tc>
        <w:tc>
          <w:tcPr>
            <w:tcW w:w="949" w:type="pct"/>
            <w:tcBorders>
              <w:top w:val="single" w:sz="4" w:space="0" w:color="FFFFFF" w:themeColor="background1"/>
            </w:tcBorders>
            <w:shd w:val="clear" w:color="auto" w:fill="A9DBD3"/>
            <w:noWrap/>
            <w:hideMark/>
          </w:tcPr>
          <w:p w14:paraId="434E76A5" w14:textId="77777777" w:rsidR="00025872" w:rsidRPr="00025872" w:rsidRDefault="00025872" w:rsidP="0055365E">
            <w:pPr>
              <w:spacing w:before="0"/>
              <w:jc w:val="center"/>
              <w:cnfStyle w:val="000000100000" w:firstRow="0" w:lastRow="0" w:firstColumn="0" w:lastColumn="0" w:oddVBand="0" w:evenVBand="0" w:oddHBand="1" w:evenHBand="0" w:firstRowFirstColumn="0" w:firstRowLastColumn="0" w:lastRowFirstColumn="0" w:lastRowLastColumn="0"/>
              <w:rPr>
                <w:rFonts w:cs="Arial"/>
                <w:lang w:eastAsia="en-AU"/>
              </w:rPr>
            </w:pPr>
            <w:r w:rsidRPr="00025872">
              <w:rPr>
                <w:rFonts w:cs="Arial"/>
                <w:lang w:eastAsia="en-AU"/>
              </w:rPr>
              <w:t>146.5 ± 1.6</w:t>
            </w:r>
          </w:p>
        </w:tc>
        <w:tc>
          <w:tcPr>
            <w:tcW w:w="834" w:type="pct"/>
            <w:tcBorders>
              <w:top w:val="single" w:sz="4" w:space="0" w:color="FFFFFF" w:themeColor="background1"/>
            </w:tcBorders>
            <w:shd w:val="clear" w:color="auto" w:fill="A9DBD3"/>
            <w:noWrap/>
            <w:hideMark/>
          </w:tcPr>
          <w:p w14:paraId="342A609F" w14:textId="77777777" w:rsidR="00025872" w:rsidRPr="00025872" w:rsidRDefault="00025872" w:rsidP="0055365E">
            <w:pPr>
              <w:spacing w:before="0"/>
              <w:jc w:val="center"/>
              <w:cnfStyle w:val="000000100000" w:firstRow="0" w:lastRow="0" w:firstColumn="0" w:lastColumn="0" w:oddVBand="0" w:evenVBand="0" w:oddHBand="1" w:evenHBand="0" w:firstRowFirstColumn="0" w:firstRowLastColumn="0" w:lastRowFirstColumn="0" w:lastRowLastColumn="0"/>
              <w:rPr>
                <w:rFonts w:cs="Arial"/>
                <w:lang w:eastAsia="en-AU"/>
              </w:rPr>
            </w:pPr>
            <w:r w:rsidRPr="00025872">
              <w:rPr>
                <w:rFonts w:cs="Arial"/>
                <w:lang w:eastAsia="en-AU"/>
              </w:rPr>
              <w:t>282.2 ± 9.1</w:t>
            </w:r>
          </w:p>
        </w:tc>
        <w:tc>
          <w:tcPr>
            <w:tcW w:w="748" w:type="pct"/>
            <w:shd w:val="clear" w:color="auto" w:fill="A9DBD3"/>
            <w:noWrap/>
            <w:hideMark/>
          </w:tcPr>
          <w:p w14:paraId="58C994F1" w14:textId="77777777" w:rsidR="00025872" w:rsidRPr="00025872" w:rsidRDefault="00025872" w:rsidP="0055365E">
            <w:pPr>
              <w:spacing w:before="0"/>
              <w:jc w:val="center"/>
              <w:cnfStyle w:val="000000100000" w:firstRow="0" w:lastRow="0" w:firstColumn="0" w:lastColumn="0" w:oddVBand="0" w:evenVBand="0" w:oddHBand="1" w:evenHBand="0" w:firstRowFirstColumn="0" w:firstRowLastColumn="0" w:lastRowFirstColumn="0" w:lastRowLastColumn="0"/>
              <w:rPr>
                <w:rFonts w:cs="Arial"/>
                <w:lang w:eastAsia="en-AU"/>
              </w:rPr>
            </w:pPr>
            <w:r w:rsidRPr="00025872">
              <w:rPr>
                <w:rFonts w:cs="Arial"/>
                <w:lang w:eastAsia="en-AU"/>
              </w:rPr>
              <w:t>159.0 ± 5.0</w:t>
            </w:r>
          </w:p>
        </w:tc>
      </w:tr>
      <w:tr w:rsidR="003012D5" w:rsidRPr="00025872" w14:paraId="0860BA78" w14:textId="77777777" w:rsidTr="003D71EC">
        <w:trPr>
          <w:trHeight w:val="290"/>
        </w:trPr>
        <w:tc>
          <w:tcPr>
            <w:cnfStyle w:val="001000000000" w:firstRow="0" w:lastRow="0" w:firstColumn="1" w:lastColumn="0" w:oddVBand="0" w:evenVBand="0" w:oddHBand="0" w:evenHBand="0" w:firstRowFirstColumn="0" w:firstRowLastColumn="0" w:lastRowFirstColumn="0" w:lastRowLastColumn="0"/>
            <w:tcW w:w="730" w:type="pct"/>
            <w:vMerge/>
            <w:shd w:val="clear" w:color="auto" w:fill="A9DBD3"/>
            <w:hideMark/>
          </w:tcPr>
          <w:p w14:paraId="3879F613" w14:textId="77777777" w:rsidR="00025872" w:rsidRPr="00025872" w:rsidRDefault="00025872" w:rsidP="0055365E">
            <w:pPr>
              <w:spacing w:before="0"/>
              <w:rPr>
                <w:rFonts w:cs="Arial"/>
                <w:bCs w:val="0"/>
                <w:color w:val="auto"/>
                <w:lang w:eastAsia="en-AU"/>
              </w:rPr>
            </w:pPr>
          </w:p>
        </w:tc>
        <w:tc>
          <w:tcPr>
            <w:tcW w:w="868" w:type="pct"/>
            <w:shd w:val="clear" w:color="auto" w:fill="A9DBD3"/>
            <w:noWrap/>
            <w:hideMark/>
          </w:tcPr>
          <w:p w14:paraId="39E2037B" w14:textId="77777777" w:rsidR="00025872" w:rsidRPr="00025872" w:rsidRDefault="00025872" w:rsidP="0055365E">
            <w:pPr>
              <w:spacing w:before="0"/>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25872">
              <w:rPr>
                <w:rFonts w:cs="Arial"/>
                <w:sz w:val="18"/>
                <w:szCs w:val="18"/>
                <w:lang w:eastAsia="en-AU"/>
              </w:rPr>
              <w:t>(n=46)</w:t>
            </w:r>
          </w:p>
        </w:tc>
        <w:tc>
          <w:tcPr>
            <w:tcW w:w="870" w:type="pct"/>
            <w:shd w:val="clear" w:color="auto" w:fill="A9DBD3"/>
            <w:noWrap/>
            <w:hideMark/>
          </w:tcPr>
          <w:p w14:paraId="2EAC5196" w14:textId="77777777" w:rsidR="00025872" w:rsidRPr="00025872" w:rsidRDefault="00025872" w:rsidP="0055365E">
            <w:pPr>
              <w:spacing w:before="0"/>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25872">
              <w:rPr>
                <w:rFonts w:cs="Arial"/>
                <w:sz w:val="18"/>
                <w:szCs w:val="18"/>
                <w:lang w:eastAsia="en-AU"/>
              </w:rPr>
              <w:t>(n=156)</w:t>
            </w:r>
          </w:p>
        </w:tc>
        <w:tc>
          <w:tcPr>
            <w:tcW w:w="949" w:type="pct"/>
            <w:shd w:val="clear" w:color="auto" w:fill="A9DBD3"/>
            <w:noWrap/>
            <w:hideMark/>
          </w:tcPr>
          <w:p w14:paraId="23C2C168" w14:textId="77777777" w:rsidR="00025872" w:rsidRPr="00025872" w:rsidRDefault="00025872" w:rsidP="0055365E">
            <w:pPr>
              <w:spacing w:before="0"/>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25872">
              <w:rPr>
                <w:rFonts w:cs="Arial"/>
                <w:sz w:val="18"/>
                <w:szCs w:val="18"/>
                <w:lang w:eastAsia="en-AU"/>
              </w:rPr>
              <w:t>(n=142)</w:t>
            </w:r>
          </w:p>
        </w:tc>
        <w:tc>
          <w:tcPr>
            <w:tcW w:w="834" w:type="pct"/>
            <w:shd w:val="clear" w:color="auto" w:fill="A9DBD3"/>
            <w:noWrap/>
            <w:hideMark/>
          </w:tcPr>
          <w:p w14:paraId="01828B6D" w14:textId="77777777" w:rsidR="00025872" w:rsidRPr="00025872" w:rsidRDefault="00025872" w:rsidP="0055365E">
            <w:pPr>
              <w:spacing w:before="0"/>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25872">
              <w:rPr>
                <w:rFonts w:cs="Arial"/>
                <w:sz w:val="18"/>
                <w:szCs w:val="18"/>
                <w:lang w:eastAsia="en-AU"/>
              </w:rPr>
              <w:t>(n=142)</w:t>
            </w:r>
          </w:p>
        </w:tc>
        <w:tc>
          <w:tcPr>
            <w:tcW w:w="748" w:type="pct"/>
            <w:shd w:val="clear" w:color="auto" w:fill="A9DBD3"/>
            <w:noWrap/>
            <w:hideMark/>
          </w:tcPr>
          <w:p w14:paraId="082B8382" w14:textId="77777777" w:rsidR="00025872" w:rsidRPr="00025872" w:rsidRDefault="00025872" w:rsidP="0055365E">
            <w:pPr>
              <w:spacing w:before="0"/>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025872">
              <w:rPr>
                <w:rFonts w:cs="Arial"/>
                <w:sz w:val="18"/>
                <w:szCs w:val="18"/>
                <w:lang w:eastAsia="en-AU"/>
              </w:rPr>
              <w:t>(n=460)</w:t>
            </w:r>
          </w:p>
        </w:tc>
      </w:tr>
    </w:tbl>
    <w:p w14:paraId="01DE3AF8" w14:textId="77777777" w:rsidR="00025872" w:rsidRDefault="00025872" w:rsidP="00025872">
      <w:pPr>
        <w:pStyle w:val="Note"/>
      </w:pPr>
      <w:r>
        <w:lastRenderedPageBreak/>
        <w:t xml:space="preserve">The mean and standard error for each </w:t>
      </w:r>
      <w:proofErr w:type="gramStart"/>
      <w:r>
        <w:t>time period</w:t>
      </w:r>
      <w:proofErr w:type="gramEnd"/>
      <w:r>
        <w:t xml:space="preserve"> is shown and the number of trials is in brackets.</w:t>
      </w:r>
    </w:p>
    <w:p w14:paraId="4588DBC0" w14:textId="77777777" w:rsidR="00432C26" w:rsidRDefault="00432C26" w:rsidP="001356A0">
      <w:pPr>
        <w:pStyle w:val="Heading2"/>
      </w:pPr>
      <w:bookmarkStart w:id="30" w:name="_Metric_3:_Ethics"/>
      <w:bookmarkStart w:id="31" w:name="_Toc79679534"/>
      <w:bookmarkEnd w:id="30"/>
      <w:r>
        <w:t>Metric 3: Ethics and SSA/Site Assessment Timeline – ‘With Clock’</w:t>
      </w:r>
      <w:bookmarkEnd w:id="31"/>
    </w:p>
    <w:p w14:paraId="2E6337EC" w14:textId="57A0CEBC" w:rsidR="00432C26" w:rsidRPr="002D078B" w:rsidRDefault="006A4494" w:rsidP="00432C26">
      <w:r>
        <w:t xml:space="preserve">The ‘With Clock’ Ethics and SSA </w:t>
      </w:r>
      <w:r w:rsidR="00432C26" w:rsidRPr="002D078B">
        <w:t xml:space="preserve">assessment timeline is a measure of the administration time for the two concurrent regulatory processes. The Clock is started on the submission closing date, stopped on the date of the first site authorisation and then deducts any time intervals between request and receipt of further information from investigator/trial coordinator, sponsor/CRO. This measures the administrating organisations’ timeliness for the ethics </w:t>
      </w:r>
      <w:r w:rsidR="00432C26">
        <w:t>and SSA</w:t>
      </w:r>
      <w:r w:rsidR="00432C26" w:rsidRPr="002D078B">
        <w:t xml:space="preserve"> process.</w:t>
      </w:r>
    </w:p>
    <w:p w14:paraId="2F651F65" w14:textId="78E3E85A" w:rsidR="003012D5" w:rsidRDefault="00432C26" w:rsidP="00432C26">
      <w:r w:rsidRPr="002D078B">
        <w:t xml:space="preserve">The majority of trials complete the process for ethics review and site assessment ‘with clock’ within 60 or 120 days, in contrast to </w:t>
      </w:r>
      <w:hyperlink w:anchor="_Metric_2:_Overall" w:history="1">
        <w:r w:rsidRPr="006A4494">
          <w:rPr>
            <w:rStyle w:val="Hyperlink"/>
          </w:rPr>
          <w:t>Metric 2</w:t>
        </w:r>
      </w:hyperlink>
      <w:r w:rsidRPr="002D078B">
        <w:t xml:space="preserve"> (above) which does not use a clock</w:t>
      </w:r>
      <w:r>
        <w:t xml:space="preserve"> to distinguish time use</w:t>
      </w:r>
      <w:r w:rsidRPr="002D078B">
        <w:t>. In 2018-19, there was a decline in proportion of trials completing the two processes within 60 days compared to 2016-17 (approximately 25 per cent in 2018-19 compared to 30 per cent in 2017-18)</w:t>
      </w:r>
      <w:r>
        <w:t xml:space="preserve">. </w:t>
      </w:r>
    </w:p>
    <w:p w14:paraId="5572242E" w14:textId="080CF797" w:rsidR="00432C26" w:rsidRDefault="00432C26" w:rsidP="00127F8A">
      <w:pPr>
        <w:pStyle w:val="Caption"/>
      </w:pPr>
      <w:r>
        <w:t xml:space="preserve">Figure </w:t>
      </w:r>
      <w:r w:rsidR="008F1828">
        <w:fldChar w:fldCharType="begin"/>
      </w:r>
      <w:r w:rsidR="008F1828">
        <w:instrText xml:space="preserve"> SEQ Figure \* ARABIC</w:instrText>
      </w:r>
      <w:r w:rsidR="008F1828">
        <w:instrText xml:space="preserve"> </w:instrText>
      </w:r>
      <w:r w:rsidR="008F1828">
        <w:fldChar w:fldCharType="separate"/>
      </w:r>
      <w:r w:rsidR="00A73B36">
        <w:rPr>
          <w:noProof/>
        </w:rPr>
        <w:t>3</w:t>
      </w:r>
      <w:r w:rsidR="008F1828">
        <w:rPr>
          <w:noProof/>
        </w:rPr>
        <w:fldChar w:fldCharType="end"/>
      </w:r>
      <w:r>
        <w:t xml:space="preserve">: </w:t>
      </w:r>
      <w:r w:rsidRPr="00E757C2">
        <w:t>Ethics and SSA/Site Assessment timeline (With Clock)</w:t>
      </w:r>
    </w:p>
    <w:p w14:paraId="16E2E549" w14:textId="77777777" w:rsidR="00432C26" w:rsidRPr="007B73BD" w:rsidRDefault="00432C26" w:rsidP="00432C26">
      <w:pPr>
        <w:pStyle w:val="Footertextitalics"/>
        <w:rPr>
          <w:rFonts w:ascii="Arial" w:eastAsia="Times New Roman" w:hAnsi="Arial" w:cs="Arial"/>
          <w:i w:val="0"/>
          <w:sz w:val="20"/>
          <w:lang w:eastAsia="en-AU"/>
        </w:rPr>
      </w:pPr>
      <w:r w:rsidRPr="007B73BD">
        <w:rPr>
          <w:rFonts w:ascii="Arial" w:eastAsia="Times New Roman" w:hAnsi="Arial" w:cs="Arial"/>
          <w:i w:val="0"/>
          <w:noProof/>
          <w:sz w:val="20"/>
          <w:lang w:eastAsia="en-AU"/>
        </w:rPr>
        <w:drawing>
          <wp:inline distT="0" distB="0" distL="0" distR="0" wp14:anchorId="2A2374C1" wp14:editId="2D42C9BC">
            <wp:extent cx="5697318" cy="2171089"/>
            <wp:effectExtent l="0" t="0" r="0" b="635"/>
            <wp:docPr id="16" name="Picture 16" descr="Figure 3 is a chart presenting Ethics and SSA/Site Assessment timeline (HREC Clock in Use) by days taken " title="Figure 3: Ethics and SSA/Site Assessment timeline (With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7997" cy="2201834"/>
                    </a:xfrm>
                    <a:prstGeom prst="rect">
                      <a:avLst/>
                    </a:prstGeom>
                    <a:noFill/>
                  </pic:spPr>
                </pic:pic>
              </a:graphicData>
            </a:graphic>
          </wp:inline>
        </w:drawing>
      </w:r>
    </w:p>
    <w:p w14:paraId="1982DC91" w14:textId="77777777" w:rsidR="00432C26" w:rsidRDefault="00432C26" w:rsidP="0040572D">
      <w:pPr>
        <w:pStyle w:val="Note"/>
        <w:rPr>
          <w:iCs/>
        </w:rPr>
      </w:pPr>
      <w:r w:rsidRPr="002D078B">
        <w:rPr>
          <w:vertAlign w:val="superscript"/>
        </w:rPr>
        <w:t>#</w:t>
      </w:r>
      <w:r w:rsidRPr="002D078B">
        <w:t>Note:</w:t>
      </w:r>
      <w:r w:rsidRPr="002D078B">
        <w:rPr>
          <w:vertAlign w:val="superscript"/>
        </w:rPr>
        <w:t xml:space="preserve"> </w:t>
      </w:r>
      <w:r w:rsidRPr="002D078B">
        <w:t xml:space="preserve">Jurisdictions represented are: New South Wales, Northern Territory, Queensland, South Australia, </w:t>
      </w:r>
      <w:proofErr w:type="gramStart"/>
      <w:r w:rsidRPr="002D078B">
        <w:t>Victoria</w:t>
      </w:r>
      <w:proofErr w:type="gramEnd"/>
      <w:r w:rsidRPr="002D078B">
        <w:t xml:space="preserve"> and Western Australia. Some clinical trials did not meet the criteria for this metric as they were either approved but an SSA was not yet authorised. No SSAs were processed in Tasmania and Australian Capital Territory.  </w:t>
      </w:r>
      <w:r w:rsidRPr="002D078B">
        <w:rPr>
          <w:iCs/>
        </w:rPr>
        <w:t xml:space="preserve"> </w:t>
      </w:r>
    </w:p>
    <w:p w14:paraId="4C545F3F" w14:textId="77777777" w:rsidR="002B2CCE" w:rsidRPr="002B2CCE" w:rsidRDefault="003C7E11" w:rsidP="002B2CCE">
      <w:r w:rsidRPr="002D078B">
        <w:t xml:space="preserve">With no clock the timelines </w:t>
      </w:r>
      <w:proofErr w:type="gramStart"/>
      <w:r w:rsidRPr="002D078B">
        <w:t>is</w:t>
      </w:r>
      <w:proofErr w:type="gramEnd"/>
      <w:r w:rsidRPr="002D078B">
        <w:t xml:space="preserve"> 159.0±5.0 and with clock it takes 130.0±4.8 days. Approximately 29 added days are due to delays responding to administrators, an improvement on the NAS 3 Report estimate (time-series analysis over 3 years) of 50 days added due to delays in response.</w:t>
      </w:r>
    </w:p>
    <w:p w14:paraId="5BD6D30B" w14:textId="240004C1" w:rsidR="002B2CCE" w:rsidRDefault="002B2CCE" w:rsidP="00B67F04">
      <w:pPr>
        <w:pStyle w:val="Caption"/>
        <w:keepNext w:val="0"/>
      </w:pPr>
      <w:r>
        <w:t xml:space="preserve">Table </w:t>
      </w:r>
      <w:r w:rsidR="008F1828">
        <w:fldChar w:fldCharType="begin"/>
      </w:r>
      <w:r w:rsidR="008F1828">
        <w:instrText xml:space="preserve"> SEQ Table \* ARABIC </w:instrText>
      </w:r>
      <w:r w:rsidR="008F1828">
        <w:fldChar w:fldCharType="separate"/>
      </w:r>
      <w:r w:rsidR="00A73B36">
        <w:rPr>
          <w:noProof/>
        </w:rPr>
        <w:t>4</w:t>
      </w:r>
      <w:r w:rsidR="008F1828">
        <w:rPr>
          <w:noProof/>
        </w:rPr>
        <w:fldChar w:fldCharType="end"/>
      </w:r>
      <w:r>
        <w:t xml:space="preserve">: </w:t>
      </w:r>
      <w:r w:rsidRPr="0050323F">
        <w:t>Ethics and SSA/Site Assessment mean timeline (With Clock)</w:t>
      </w:r>
    </w:p>
    <w:tbl>
      <w:tblPr>
        <w:tblW w:w="895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Description w:val="Table 4 provides a breakdown by calendar days of ethics and SSA/Site Assessment mean timeline (with clock)."/>
      </w:tblPr>
      <w:tblGrid>
        <w:gridCol w:w="1307"/>
        <w:gridCol w:w="1556"/>
        <w:gridCol w:w="1559"/>
        <w:gridCol w:w="1701"/>
        <w:gridCol w:w="1494"/>
        <w:gridCol w:w="1341"/>
      </w:tblGrid>
      <w:tr w:rsidR="002B2CCE" w:rsidRPr="00AF6658" w14:paraId="6253D4BF" w14:textId="77777777" w:rsidTr="00114393">
        <w:trPr>
          <w:trHeight w:val="441"/>
        </w:trPr>
        <w:tc>
          <w:tcPr>
            <w:tcW w:w="1307" w:type="dxa"/>
            <w:vMerge w:val="restart"/>
            <w:shd w:val="clear" w:color="auto" w:fill="00B8B4"/>
            <w:noWrap/>
            <w:vAlign w:val="center"/>
            <w:hideMark/>
          </w:tcPr>
          <w:p w14:paraId="5B6B410F" w14:textId="77777777" w:rsidR="002B2CCE" w:rsidRPr="00AF6658" w:rsidRDefault="002B2CCE" w:rsidP="0055365E">
            <w:pPr>
              <w:jc w:val="center"/>
              <w:rPr>
                <w:rStyle w:val="Strong"/>
                <w:color w:val="FFFFFF" w:themeColor="background1"/>
              </w:rPr>
            </w:pPr>
            <w:r w:rsidRPr="00AF6658">
              <w:rPr>
                <w:rStyle w:val="Strong"/>
                <w:color w:val="FFFFFF" w:themeColor="background1"/>
              </w:rPr>
              <w:t>Year</w:t>
            </w:r>
          </w:p>
        </w:tc>
        <w:tc>
          <w:tcPr>
            <w:tcW w:w="6310" w:type="dxa"/>
            <w:gridSpan w:val="4"/>
            <w:shd w:val="clear" w:color="auto" w:fill="00B8B4"/>
            <w:vAlign w:val="center"/>
            <w:hideMark/>
          </w:tcPr>
          <w:p w14:paraId="3CABC427" w14:textId="77777777" w:rsidR="002B2CCE" w:rsidRPr="00AF6658" w:rsidRDefault="002B2CCE" w:rsidP="0055365E">
            <w:pPr>
              <w:jc w:val="center"/>
              <w:rPr>
                <w:rStyle w:val="Strong"/>
                <w:color w:val="FFFFFF" w:themeColor="background1"/>
              </w:rPr>
            </w:pPr>
            <w:r w:rsidRPr="00AF6658">
              <w:rPr>
                <w:rStyle w:val="Strong"/>
                <w:color w:val="FFFFFF" w:themeColor="background1"/>
              </w:rPr>
              <w:t>Calendar Days</w:t>
            </w:r>
          </w:p>
        </w:tc>
        <w:tc>
          <w:tcPr>
            <w:tcW w:w="1341" w:type="dxa"/>
            <w:vMerge w:val="restart"/>
            <w:shd w:val="clear" w:color="auto" w:fill="00B8B4"/>
            <w:vAlign w:val="center"/>
            <w:hideMark/>
          </w:tcPr>
          <w:p w14:paraId="2490CEA2" w14:textId="77777777" w:rsidR="002B2CCE" w:rsidRPr="00AF6658" w:rsidRDefault="002B2CCE" w:rsidP="0055365E">
            <w:pPr>
              <w:jc w:val="center"/>
              <w:rPr>
                <w:rStyle w:val="Strong"/>
                <w:color w:val="FFFFFF" w:themeColor="background1"/>
              </w:rPr>
            </w:pPr>
            <w:r w:rsidRPr="00AF6658">
              <w:rPr>
                <w:rStyle w:val="Strong"/>
                <w:color w:val="FFFFFF" w:themeColor="background1"/>
              </w:rPr>
              <w:t>Total</w:t>
            </w:r>
          </w:p>
        </w:tc>
      </w:tr>
      <w:tr w:rsidR="002B2CCE" w:rsidRPr="00AF6658" w14:paraId="32B70AC3" w14:textId="77777777" w:rsidTr="00114393">
        <w:trPr>
          <w:trHeight w:val="491"/>
        </w:trPr>
        <w:tc>
          <w:tcPr>
            <w:tcW w:w="1307" w:type="dxa"/>
            <w:vMerge/>
            <w:shd w:val="clear" w:color="auto" w:fill="5EBAAB"/>
            <w:noWrap/>
            <w:vAlign w:val="bottom"/>
          </w:tcPr>
          <w:p w14:paraId="4515908F" w14:textId="77777777" w:rsidR="002B2CCE" w:rsidRPr="00AF6658" w:rsidRDefault="002B2CCE" w:rsidP="0055365E">
            <w:pPr>
              <w:spacing w:before="0"/>
              <w:rPr>
                <w:rStyle w:val="Strong"/>
                <w:color w:val="FFFFFF" w:themeColor="background1"/>
              </w:rPr>
            </w:pPr>
          </w:p>
        </w:tc>
        <w:tc>
          <w:tcPr>
            <w:tcW w:w="1556" w:type="dxa"/>
            <w:tcBorders>
              <w:bottom w:val="single" w:sz="4" w:space="0" w:color="F2F2F2" w:themeColor="background1" w:themeShade="F2"/>
            </w:tcBorders>
            <w:shd w:val="clear" w:color="auto" w:fill="00B8B4"/>
            <w:vAlign w:val="center"/>
          </w:tcPr>
          <w:p w14:paraId="67578A60" w14:textId="77777777" w:rsidR="002B2CCE" w:rsidRPr="00AF6658" w:rsidRDefault="002B2CCE" w:rsidP="0055365E">
            <w:pPr>
              <w:spacing w:before="0"/>
              <w:jc w:val="center"/>
              <w:rPr>
                <w:rStyle w:val="Strong"/>
                <w:color w:val="FFFFFF" w:themeColor="background1"/>
              </w:rPr>
            </w:pPr>
            <w:r w:rsidRPr="00AF6658">
              <w:rPr>
                <w:rStyle w:val="Strong"/>
                <w:color w:val="FFFFFF" w:themeColor="background1"/>
              </w:rPr>
              <w:t>0-60</w:t>
            </w:r>
          </w:p>
        </w:tc>
        <w:tc>
          <w:tcPr>
            <w:tcW w:w="1559" w:type="dxa"/>
            <w:tcBorders>
              <w:bottom w:val="single" w:sz="4" w:space="0" w:color="F2F2F2" w:themeColor="background1" w:themeShade="F2"/>
            </w:tcBorders>
            <w:shd w:val="clear" w:color="auto" w:fill="00B8B4"/>
            <w:vAlign w:val="center"/>
          </w:tcPr>
          <w:p w14:paraId="24646935" w14:textId="77777777" w:rsidR="002B2CCE" w:rsidRPr="00AF6658" w:rsidRDefault="002B2CCE" w:rsidP="0055365E">
            <w:pPr>
              <w:spacing w:before="0"/>
              <w:jc w:val="center"/>
              <w:rPr>
                <w:rStyle w:val="Strong"/>
                <w:color w:val="FFFFFF" w:themeColor="background1"/>
              </w:rPr>
            </w:pPr>
            <w:r w:rsidRPr="00AF6658">
              <w:rPr>
                <w:rStyle w:val="Strong"/>
                <w:color w:val="FFFFFF" w:themeColor="background1"/>
              </w:rPr>
              <w:t>61-120</w:t>
            </w:r>
          </w:p>
        </w:tc>
        <w:tc>
          <w:tcPr>
            <w:tcW w:w="1701" w:type="dxa"/>
            <w:tcBorders>
              <w:bottom w:val="single" w:sz="4" w:space="0" w:color="F2F2F2" w:themeColor="background1" w:themeShade="F2"/>
            </w:tcBorders>
            <w:shd w:val="clear" w:color="auto" w:fill="00B8B4"/>
            <w:vAlign w:val="center"/>
          </w:tcPr>
          <w:p w14:paraId="3B24D20C" w14:textId="77777777" w:rsidR="002B2CCE" w:rsidRPr="00AF6658" w:rsidRDefault="002B2CCE" w:rsidP="0055365E">
            <w:pPr>
              <w:spacing w:before="0"/>
              <w:jc w:val="center"/>
              <w:rPr>
                <w:rStyle w:val="Strong"/>
                <w:color w:val="FFFFFF" w:themeColor="background1"/>
              </w:rPr>
            </w:pPr>
            <w:r w:rsidRPr="00AF6658">
              <w:rPr>
                <w:rStyle w:val="Strong"/>
                <w:color w:val="FFFFFF" w:themeColor="background1"/>
              </w:rPr>
              <w:t>121-180</w:t>
            </w:r>
          </w:p>
        </w:tc>
        <w:tc>
          <w:tcPr>
            <w:tcW w:w="1494" w:type="dxa"/>
            <w:tcBorders>
              <w:bottom w:val="single" w:sz="4" w:space="0" w:color="F2F2F2" w:themeColor="background1" w:themeShade="F2"/>
            </w:tcBorders>
            <w:shd w:val="clear" w:color="auto" w:fill="00B8B4"/>
            <w:vAlign w:val="center"/>
          </w:tcPr>
          <w:p w14:paraId="0E9AEE41" w14:textId="77777777" w:rsidR="002B2CCE" w:rsidRPr="00AF6658" w:rsidRDefault="002B2CCE" w:rsidP="0055365E">
            <w:pPr>
              <w:spacing w:before="0"/>
              <w:jc w:val="center"/>
              <w:rPr>
                <w:rStyle w:val="Strong"/>
                <w:color w:val="FFFFFF" w:themeColor="background1"/>
              </w:rPr>
            </w:pPr>
            <w:r w:rsidRPr="00AF6658">
              <w:rPr>
                <w:rStyle w:val="Strong"/>
                <w:color w:val="FFFFFF" w:themeColor="background1"/>
              </w:rPr>
              <w:t>180+</w:t>
            </w:r>
          </w:p>
        </w:tc>
        <w:tc>
          <w:tcPr>
            <w:tcW w:w="1341" w:type="dxa"/>
            <w:vMerge/>
            <w:tcBorders>
              <w:bottom w:val="single" w:sz="4" w:space="0" w:color="F2F2F2" w:themeColor="background1" w:themeShade="F2"/>
            </w:tcBorders>
            <w:shd w:val="clear" w:color="auto" w:fill="5EBAAB"/>
            <w:vAlign w:val="bottom"/>
          </w:tcPr>
          <w:p w14:paraId="68B2E98F" w14:textId="77777777" w:rsidR="002B2CCE" w:rsidRPr="00AF6658" w:rsidRDefault="002B2CCE" w:rsidP="0055365E">
            <w:pPr>
              <w:spacing w:before="0"/>
              <w:rPr>
                <w:rStyle w:val="Strong"/>
                <w:color w:val="FFFFFF" w:themeColor="background1"/>
              </w:rPr>
            </w:pPr>
          </w:p>
        </w:tc>
      </w:tr>
      <w:tr w:rsidR="002B2CCE" w:rsidRPr="00AF6658" w14:paraId="7D822137" w14:textId="77777777" w:rsidTr="00114393">
        <w:trPr>
          <w:trHeight w:val="290"/>
        </w:trPr>
        <w:tc>
          <w:tcPr>
            <w:tcW w:w="1307" w:type="dxa"/>
            <w:vMerge w:val="restart"/>
            <w:shd w:val="clear" w:color="auto" w:fill="A9DBD3"/>
            <w:noWrap/>
            <w:vAlign w:val="center"/>
            <w:hideMark/>
          </w:tcPr>
          <w:p w14:paraId="33249F53" w14:textId="77777777" w:rsidR="002B2CCE" w:rsidRPr="00E6461D" w:rsidRDefault="002B2CCE" w:rsidP="0055365E">
            <w:pPr>
              <w:spacing w:before="0"/>
              <w:jc w:val="center"/>
              <w:rPr>
                <w:rFonts w:cs="Arial"/>
                <w:bCs/>
                <w:lang w:eastAsia="en-AU"/>
              </w:rPr>
            </w:pPr>
            <w:r w:rsidRPr="00E6461D">
              <w:rPr>
                <w:rFonts w:cs="Arial"/>
                <w:bCs/>
                <w:lang w:eastAsia="en-AU"/>
              </w:rPr>
              <w:t>2018/19</w:t>
            </w:r>
          </w:p>
        </w:tc>
        <w:tc>
          <w:tcPr>
            <w:tcW w:w="1556"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9DBD3"/>
            <w:noWrap/>
            <w:vAlign w:val="bottom"/>
          </w:tcPr>
          <w:p w14:paraId="1F010DBE" w14:textId="77777777" w:rsidR="002B2CCE" w:rsidRPr="00E6461D" w:rsidRDefault="002B2CCE" w:rsidP="0055365E">
            <w:pPr>
              <w:spacing w:before="0"/>
              <w:jc w:val="center"/>
              <w:rPr>
                <w:rFonts w:cs="Arial"/>
                <w:lang w:eastAsia="en-AU"/>
              </w:rPr>
            </w:pPr>
            <w:r w:rsidRPr="00E6461D">
              <w:rPr>
                <w:rFonts w:cstheme="minorHAnsi"/>
                <w:lang w:eastAsia="en-AU"/>
              </w:rPr>
              <w:t>36.2 ± 1.5</w:t>
            </w: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vAlign w:val="bottom"/>
          </w:tcPr>
          <w:p w14:paraId="0678FCA8" w14:textId="77777777" w:rsidR="002B2CCE" w:rsidRPr="00E6461D" w:rsidRDefault="002B2CCE" w:rsidP="0055365E">
            <w:pPr>
              <w:spacing w:before="0"/>
              <w:jc w:val="center"/>
              <w:rPr>
                <w:rFonts w:cs="Arial"/>
                <w:lang w:eastAsia="en-AU"/>
              </w:rPr>
            </w:pPr>
            <w:r w:rsidRPr="00E6461D">
              <w:rPr>
                <w:rFonts w:cstheme="minorHAnsi"/>
                <w:lang w:eastAsia="en-AU"/>
              </w:rPr>
              <w:t>89.0 ± 1.4</w:t>
            </w:r>
          </w:p>
        </w:tc>
        <w:tc>
          <w:tcPr>
            <w:tcW w:w="170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vAlign w:val="bottom"/>
          </w:tcPr>
          <w:p w14:paraId="6A816935" w14:textId="77777777" w:rsidR="002B2CCE" w:rsidRPr="00E6461D" w:rsidRDefault="002B2CCE" w:rsidP="0055365E">
            <w:pPr>
              <w:spacing w:before="0"/>
              <w:jc w:val="center"/>
              <w:rPr>
                <w:rFonts w:cs="Arial"/>
                <w:lang w:eastAsia="en-AU"/>
              </w:rPr>
            </w:pPr>
            <w:r w:rsidRPr="00E6461D">
              <w:rPr>
                <w:rFonts w:cstheme="minorHAnsi"/>
                <w:lang w:eastAsia="en-AU"/>
              </w:rPr>
              <w:t>150.7 ± 2.1</w:t>
            </w:r>
          </w:p>
        </w:tc>
        <w:tc>
          <w:tcPr>
            <w:tcW w:w="14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vAlign w:val="bottom"/>
          </w:tcPr>
          <w:p w14:paraId="01AE0E98" w14:textId="77777777" w:rsidR="002B2CCE" w:rsidRPr="00E6461D" w:rsidRDefault="002B2CCE" w:rsidP="0055365E">
            <w:pPr>
              <w:spacing w:before="0"/>
              <w:jc w:val="center"/>
              <w:rPr>
                <w:rFonts w:cs="Arial"/>
                <w:lang w:eastAsia="en-AU"/>
              </w:rPr>
            </w:pPr>
            <w:r w:rsidRPr="00E6461D">
              <w:rPr>
                <w:rFonts w:cstheme="minorHAnsi"/>
                <w:lang w:eastAsia="en-AU"/>
              </w:rPr>
              <w:t>275.4 ± 9.8</w:t>
            </w:r>
          </w:p>
        </w:tc>
        <w:tc>
          <w:tcPr>
            <w:tcW w:w="13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vAlign w:val="bottom"/>
          </w:tcPr>
          <w:p w14:paraId="0D7285C2" w14:textId="77777777" w:rsidR="002B2CCE" w:rsidRPr="00E6461D" w:rsidRDefault="002B2CCE" w:rsidP="0055365E">
            <w:pPr>
              <w:spacing w:before="0"/>
              <w:jc w:val="center"/>
              <w:rPr>
                <w:rFonts w:cs="Arial"/>
                <w:lang w:eastAsia="en-AU"/>
              </w:rPr>
            </w:pPr>
            <w:r w:rsidRPr="00E6461D">
              <w:rPr>
                <w:rFonts w:cstheme="minorHAnsi"/>
                <w:lang w:eastAsia="en-AU"/>
              </w:rPr>
              <w:t>130.0 ± 4.8</w:t>
            </w:r>
          </w:p>
        </w:tc>
      </w:tr>
      <w:tr w:rsidR="002B2CCE" w:rsidRPr="00AF6658" w14:paraId="2EC3DB1F" w14:textId="77777777" w:rsidTr="00114393">
        <w:trPr>
          <w:trHeight w:val="290"/>
        </w:trPr>
        <w:tc>
          <w:tcPr>
            <w:tcW w:w="1307" w:type="dxa"/>
            <w:vMerge/>
            <w:shd w:val="clear" w:color="auto" w:fill="A9DBD3"/>
            <w:vAlign w:val="center"/>
            <w:hideMark/>
          </w:tcPr>
          <w:p w14:paraId="0441459A" w14:textId="77777777" w:rsidR="002B2CCE" w:rsidRPr="00E6461D" w:rsidRDefault="002B2CCE" w:rsidP="0055365E">
            <w:pPr>
              <w:spacing w:before="0"/>
              <w:rPr>
                <w:rFonts w:cs="Arial"/>
                <w:bCs/>
                <w:lang w:eastAsia="en-AU"/>
              </w:rPr>
            </w:pPr>
          </w:p>
        </w:tc>
        <w:tc>
          <w:tcPr>
            <w:tcW w:w="1556"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9DBD3"/>
            <w:noWrap/>
            <w:vAlign w:val="bottom"/>
          </w:tcPr>
          <w:p w14:paraId="5717D9EB" w14:textId="77777777" w:rsidR="002B2CCE" w:rsidRPr="00E6461D" w:rsidRDefault="002B2CCE" w:rsidP="0055365E">
            <w:pPr>
              <w:spacing w:before="0"/>
              <w:jc w:val="center"/>
              <w:rPr>
                <w:rFonts w:cs="Arial"/>
                <w:sz w:val="18"/>
                <w:szCs w:val="18"/>
                <w:lang w:eastAsia="en-AU"/>
              </w:rPr>
            </w:pPr>
            <w:r w:rsidRPr="00E6461D">
              <w:rPr>
                <w:rFonts w:cstheme="minorHAnsi"/>
                <w:sz w:val="18"/>
                <w:szCs w:val="18"/>
                <w:lang w:eastAsia="en-AU"/>
              </w:rPr>
              <w:t>(n=109)</w:t>
            </w: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vAlign w:val="bottom"/>
          </w:tcPr>
          <w:p w14:paraId="490FF652" w14:textId="77777777" w:rsidR="002B2CCE" w:rsidRPr="00E6461D" w:rsidRDefault="002B2CCE" w:rsidP="0055365E">
            <w:pPr>
              <w:spacing w:before="0"/>
              <w:jc w:val="center"/>
              <w:rPr>
                <w:rFonts w:cs="Arial"/>
                <w:sz w:val="18"/>
                <w:szCs w:val="18"/>
                <w:lang w:eastAsia="en-AU"/>
              </w:rPr>
            </w:pPr>
            <w:r w:rsidRPr="00E6461D">
              <w:rPr>
                <w:rFonts w:cstheme="minorHAnsi"/>
                <w:sz w:val="18"/>
                <w:szCs w:val="18"/>
                <w:lang w:eastAsia="en-AU"/>
              </w:rPr>
              <w:t>(n=150)</w:t>
            </w:r>
          </w:p>
        </w:tc>
        <w:tc>
          <w:tcPr>
            <w:tcW w:w="170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vAlign w:val="bottom"/>
          </w:tcPr>
          <w:p w14:paraId="04697B7D" w14:textId="77777777" w:rsidR="002B2CCE" w:rsidRPr="00E6461D" w:rsidRDefault="002B2CCE" w:rsidP="0055365E">
            <w:pPr>
              <w:spacing w:before="0"/>
              <w:jc w:val="center"/>
              <w:rPr>
                <w:rFonts w:cs="Arial"/>
                <w:sz w:val="18"/>
                <w:szCs w:val="18"/>
                <w:lang w:eastAsia="en-AU"/>
              </w:rPr>
            </w:pPr>
            <w:r w:rsidRPr="00E6461D">
              <w:rPr>
                <w:rFonts w:cstheme="minorHAnsi"/>
                <w:sz w:val="18"/>
                <w:szCs w:val="18"/>
                <w:lang w:eastAsia="en-AU"/>
              </w:rPr>
              <w:t>(n=82)</w:t>
            </w:r>
          </w:p>
        </w:tc>
        <w:tc>
          <w:tcPr>
            <w:tcW w:w="14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vAlign w:val="bottom"/>
          </w:tcPr>
          <w:p w14:paraId="5DB319C3" w14:textId="77777777" w:rsidR="002B2CCE" w:rsidRPr="00E6461D" w:rsidRDefault="002B2CCE" w:rsidP="0055365E">
            <w:pPr>
              <w:spacing w:before="0"/>
              <w:jc w:val="center"/>
              <w:rPr>
                <w:rFonts w:cs="Arial"/>
                <w:sz w:val="18"/>
                <w:szCs w:val="18"/>
                <w:lang w:eastAsia="en-AU"/>
              </w:rPr>
            </w:pPr>
            <w:r w:rsidRPr="00E6461D">
              <w:rPr>
                <w:rFonts w:cstheme="minorHAnsi"/>
                <w:sz w:val="18"/>
                <w:szCs w:val="18"/>
                <w:lang w:eastAsia="en-AU"/>
              </w:rPr>
              <w:t>(n=101)</w:t>
            </w:r>
          </w:p>
        </w:tc>
        <w:tc>
          <w:tcPr>
            <w:tcW w:w="13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vAlign w:val="bottom"/>
          </w:tcPr>
          <w:p w14:paraId="3AF04640" w14:textId="77777777" w:rsidR="002B2CCE" w:rsidRPr="00E6461D" w:rsidRDefault="002B2CCE" w:rsidP="0055365E">
            <w:pPr>
              <w:spacing w:before="0"/>
              <w:jc w:val="center"/>
              <w:rPr>
                <w:rFonts w:cs="Arial"/>
                <w:sz w:val="18"/>
                <w:szCs w:val="18"/>
                <w:lang w:eastAsia="en-AU"/>
              </w:rPr>
            </w:pPr>
            <w:r w:rsidRPr="00E6461D">
              <w:rPr>
                <w:rFonts w:cstheme="minorHAnsi"/>
                <w:sz w:val="18"/>
                <w:szCs w:val="18"/>
                <w:lang w:eastAsia="en-AU"/>
              </w:rPr>
              <w:t>(n=442)</w:t>
            </w:r>
          </w:p>
        </w:tc>
      </w:tr>
    </w:tbl>
    <w:p w14:paraId="2AB9EDE2" w14:textId="77777777" w:rsidR="002B2CCE" w:rsidRDefault="002B2CCE" w:rsidP="002B2CCE">
      <w:pPr>
        <w:pStyle w:val="Note"/>
      </w:pPr>
      <w:r w:rsidRPr="007B73BD">
        <w:t xml:space="preserve">The mean and standard error for each </w:t>
      </w:r>
      <w:proofErr w:type="gramStart"/>
      <w:r w:rsidRPr="007B73BD">
        <w:t>time period</w:t>
      </w:r>
      <w:proofErr w:type="gramEnd"/>
      <w:r w:rsidRPr="007B73BD">
        <w:t xml:space="preserve"> is shown and the number of trials is in brackets.</w:t>
      </w:r>
    </w:p>
    <w:p w14:paraId="39E7C4BA" w14:textId="7CB375B6" w:rsidR="002B2CCE" w:rsidRPr="002D078B" w:rsidRDefault="002B2CCE" w:rsidP="002B2CCE">
      <w:r w:rsidRPr="002D078B">
        <w:t>Administration of the ethics/HREC and authorisation</w:t>
      </w:r>
      <w:r w:rsidR="00922467">
        <w:t xml:space="preserve"> of the first SSA/S</w:t>
      </w:r>
      <w:r w:rsidRPr="002D078B">
        <w:t>ite assessment were completed within 60 days for 36 per cent (decrease from 39.2 ± 1.1 in 2016-17) of trial applications and within 61-120 days for 89 per cent (an increase from 86.9 ± 1.3 in 2016-17) in 2018-19.</w:t>
      </w:r>
    </w:p>
    <w:p w14:paraId="0B72F44E" w14:textId="77777777" w:rsidR="00127F8A" w:rsidRDefault="002B2CCE" w:rsidP="001356A0">
      <w:pPr>
        <w:pStyle w:val="Heading2"/>
      </w:pPr>
      <w:bookmarkStart w:id="32" w:name="_Metric_4:_Ethics"/>
      <w:bookmarkStart w:id="33" w:name="_Toc79679535"/>
      <w:bookmarkEnd w:id="32"/>
      <w:r>
        <w:lastRenderedPageBreak/>
        <w:t>Metric 4: Ethics Approval Timeline</w:t>
      </w:r>
      <w:bookmarkEnd w:id="33"/>
    </w:p>
    <w:p w14:paraId="54131AEB" w14:textId="77777777" w:rsidR="00127F8A" w:rsidRPr="00127F8A" w:rsidRDefault="00127F8A" w:rsidP="00127F8A">
      <w:pPr>
        <w:pStyle w:val="Heading3"/>
      </w:pPr>
      <w:bookmarkStart w:id="34" w:name="_4a_HREC_Approval"/>
      <w:bookmarkStart w:id="35" w:name="_Toc79679536"/>
      <w:bookmarkEnd w:id="34"/>
      <w:r>
        <w:t>4a HREC Approval Timeline – ‘Without Clock’</w:t>
      </w:r>
      <w:bookmarkEnd w:id="35"/>
    </w:p>
    <w:p w14:paraId="7BFC8741" w14:textId="32B28D52" w:rsidR="002B2CCE" w:rsidRPr="002D078B" w:rsidRDefault="002B2CCE" w:rsidP="002B2CCE">
      <w:r w:rsidRPr="002D078B">
        <w:t>The HREC approval timeline ‘Without Clock’/no clock measures time in days from Cut-off Date/Submission Closing Date to the Approval Clock Stop Date 'Without clock’ operating. Th</w:t>
      </w:r>
      <w:r>
        <w:t>is</w:t>
      </w:r>
      <w:r w:rsidRPr="002D078B">
        <w:t xml:space="preserve"> measure is for the full period </w:t>
      </w:r>
      <w:r>
        <w:t xml:space="preserve">for ethics review </w:t>
      </w:r>
      <w:r w:rsidRPr="002D078B">
        <w:t xml:space="preserve">without time interval deductions. </w:t>
      </w:r>
    </w:p>
    <w:p w14:paraId="21DDB94F" w14:textId="77777777" w:rsidR="002B2CCE" w:rsidRPr="002D078B" w:rsidRDefault="002B2CCE" w:rsidP="002B2CCE">
      <w:r w:rsidRPr="002D078B">
        <w:t xml:space="preserve">With no clock operating </w:t>
      </w:r>
      <w:proofErr w:type="gramStart"/>
      <w:r w:rsidRPr="002D078B">
        <w:t>the majority of</w:t>
      </w:r>
      <w:proofErr w:type="gramEnd"/>
      <w:r w:rsidRPr="002D078B">
        <w:t xml:space="preserve"> ethics applications are approved within 121 days. </w:t>
      </w:r>
    </w:p>
    <w:p w14:paraId="521AC65E" w14:textId="77777777" w:rsidR="002B2CCE" w:rsidRDefault="002B2CCE" w:rsidP="002B2CCE">
      <w:r w:rsidRPr="002D078B">
        <w:t xml:space="preserve">Ethics reviews ‘Without Clock’ were completed within a </w:t>
      </w:r>
      <w:proofErr w:type="gramStart"/>
      <w:r w:rsidRPr="002D078B">
        <w:t>60 day</w:t>
      </w:r>
      <w:proofErr w:type="gramEnd"/>
      <w:r w:rsidRPr="002D078B">
        <w:t xml:space="preserve"> period in 41 per cent of trial applications. Sixty days is a commonly used benchmark for the ethics process in Australia and </w:t>
      </w:r>
      <w:proofErr w:type="gramStart"/>
      <w:r w:rsidRPr="002D078B">
        <w:t>a number of</w:t>
      </w:r>
      <w:proofErr w:type="gramEnd"/>
      <w:r w:rsidRPr="002D078B">
        <w:t xml:space="preserve"> other countries.</w:t>
      </w:r>
    </w:p>
    <w:p w14:paraId="6838E69A" w14:textId="1A2E278B" w:rsidR="002B2CCE" w:rsidRPr="00127F8A" w:rsidRDefault="002B2CCE" w:rsidP="00127F8A">
      <w:pPr>
        <w:pStyle w:val="Caption"/>
      </w:pPr>
      <w:r w:rsidRPr="00127F8A">
        <w:t xml:space="preserve">Figure </w:t>
      </w:r>
      <w:r w:rsidR="008F1828">
        <w:fldChar w:fldCharType="begin"/>
      </w:r>
      <w:r w:rsidR="008F1828">
        <w:instrText xml:space="preserve"> SEQ Figure \* ARABIC </w:instrText>
      </w:r>
      <w:r w:rsidR="008F1828">
        <w:fldChar w:fldCharType="separate"/>
      </w:r>
      <w:r w:rsidR="00A73B36">
        <w:rPr>
          <w:noProof/>
        </w:rPr>
        <w:t>4</w:t>
      </w:r>
      <w:r w:rsidR="008F1828">
        <w:rPr>
          <w:noProof/>
        </w:rPr>
        <w:fldChar w:fldCharType="end"/>
      </w:r>
      <w:r w:rsidRPr="00127F8A">
        <w:t>: Ethics timeline (Without Clock)</w:t>
      </w:r>
    </w:p>
    <w:p w14:paraId="69F395B5" w14:textId="77777777" w:rsidR="002B2CCE" w:rsidRPr="007B73BD" w:rsidRDefault="002B2CCE" w:rsidP="002B2CCE">
      <w:pPr>
        <w:rPr>
          <w:rFonts w:cs="Arial"/>
        </w:rPr>
      </w:pPr>
      <w:r w:rsidRPr="007B73BD">
        <w:rPr>
          <w:rFonts w:cs="Arial"/>
          <w:noProof/>
          <w:lang w:eastAsia="en-AU"/>
        </w:rPr>
        <w:drawing>
          <wp:inline distT="0" distB="0" distL="0" distR="0" wp14:anchorId="7641FEEB" wp14:editId="5CDD8477">
            <wp:extent cx="5781943" cy="2205317"/>
            <wp:effectExtent l="0" t="0" r="0" b="5080"/>
            <wp:docPr id="17" name="Picture 17" descr="Figure 4 is a chart presenting Ethics Approval Timeline (No Clock) by days taken" title="Figure 4: Ethics timeline (without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6779" cy="2237675"/>
                    </a:xfrm>
                    <a:prstGeom prst="rect">
                      <a:avLst/>
                    </a:prstGeom>
                    <a:noFill/>
                  </pic:spPr>
                </pic:pic>
              </a:graphicData>
            </a:graphic>
          </wp:inline>
        </w:drawing>
      </w:r>
    </w:p>
    <w:p w14:paraId="40C332F2" w14:textId="77777777" w:rsidR="002B2CCE" w:rsidRPr="002D078B" w:rsidRDefault="002B2CCE" w:rsidP="002B2CCE">
      <w:pPr>
        <w:pStyle w:val="Note"/>
        <w:rPr>
          <w:iCs/>
        </w:rPr>
      </w:pPr>
      <w:r w:rsidRPr="002D078B">
        <w:rPr>
          <w:vertAlign w:val="superscript"/>
        </w:rPr>
        <w:t>#</w:t>
      </w:r>
      <w:r w:rsidRPr="002D078B">
        <w:t>Note:</w:t>
      </w:r>
      <w:r w:rsidRPr="002D078B">
        <w:rPr>
          <w:vertAlign w:val="superscript"/>
        </w:rPr>
        <w:t xml:space="preserve"> </w:t>
      </w:r>
      <w:r w:rsidRPr="002D078B">
        <w:t xml:space="preserve">All Jurisdictions are represented. Some clinical trials did not meet the criteria for this metric as they were approved but an SSA was not yet authorised. No SSAs were processed in Tasmania and Australian Capital Territory.  </w:t>
      </w:r>
      <w:r w:rsidRPr="002D078B">
        <w:rPr>
          <w:iCs/>
        </w:rPr>
        <w:t xml:space="preserve"> </w:t>
      </w:r>
    </w:p>
    <w:p w14:paraId="1B8640DD" w14:textId="77777777" w:rsidR="00127F8A" w:rsidRDefault="00127F8A" w:rsidP="00127F8A">
      <w:r w:rsidRPr="002D078B">
        <w:t>Within 60 days the mean time for ethics approval was 37.8±1.0 days. Overall, the actual mean time for ethics approval for all trials was 88.3±3.1 days, which is an increase from 77.7± 2.2 in 2016-17.</w:t>
      </w:r>
    </w:p>
    <w:p w14:paraId="087314B0" w14:textId="71266E4C" w:rsidR="00127F8A" w:rsidRDefault="00127F8A" w:rsidP="008F1828">
      <w:pPr>
        <w:pStyle w:val="Caption"/>
      </w:pPr>
      <w:r w:rsidRPr="003D71EC">
        <w:t>Table</w:t>
      </w:r>
      <w:r>
        <w:t xml:space="preserve"> </w:t>
      </w:r>
      <w:r w:rsidR="008F1828">
        <w:fldChar w:fldCharType="begin"/>
      </w:r>
      <w:r w:rsidR="008F1828">
        <w:instrText xml:space="preserve"> SEQ Table \* ARABIC </w:instrText>
      </w:r>
      <w:r w:rsidR="008F1828">
        <w:fldChar w:fldCharType="separate"/>
      </w:r>
      <w:r w:rsidR="00A73B36">
        <w:rPr>
          <w:noProof/>
        </w:rPr>
        <w:t>5</w:t>
      </w:r>
      <w:r w:rsidR="008F1828">
        <w:rPr>
          <w:noProof/>
        </w:rPr>
        <w:fldChar w:fldCharType="end"/>
      </w:r>
      <w:r>
        <w:t xml:space="preserve">: </w:t>
      </w:r>
      <w:r w:rsidRPr="00127F8A">
        <w:t>Ethics</w:t>
      </w:r>
      <w:r w:rsidRPr="003F5618">
        <w:t xml:space="preserve"> mean timeline (Without Clock)</w:t>
      </w:r>
    </w:p>
    <w:tbl>
      <w:tblPr>
        <w:tblW w:w="895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Description w:val="Table 5 provides a breakdown by calendar days of Ethics mean timeline - without clock"/>
      </w:tblPr>
      <w:tblGrid>
        <w:gridCol w:w="1307"/>
        <w:gridCol w:w="1556"/>
        <w:gridCol w:w="1559"/>
        <w:gridCol w:w="1701"/>
        <w:gridCol w:w="1494"/>
        <w:gridCol w:w="1341"/>
      </w:tblGrid>
      <w:tr w:rsidR="00127F8A" w:rsidRPr="00616CF6" w14:paraId="36CC134A" w14:textId="77777777" w:rsidTr="003D71EC">
        <w:trPr>
          <w:trHeight w:val="441"/>
          <w:tblHeader/>
        </w:trPr>
        <w:tc>
          <w:tcPr>
            <w:tcW w:w="1307" w:type="dxa"/>
            <w:vMerge w:val="restart"/>
            <w:shd w:val="clear" w:color="auto" w:fill="00B8B4"/>
            <w:noWrap/>
            <w:vAlign w:val="center"/>
            <w:hideMark/>
          </w:tcPr>
          <w:p w14:paraId="41ED5278" w14:textId="77777777" w:rsidR="00127F8A" w:rsidRPr="00616CF6" w:rsidRDefault="00127F8A" w:rsidP="0055365E">
            <w:pPr>
              <w:jc w:val="center"/>
              <w:rPr>
                <w:b/>
                <w:color w:val="FFFFFF" w:themeColor="background1"/>
              </w:rPr>
            </w:pPr>
            <w:r w:rsidRPr="00616CF6">
              <w:rPr>
                <w:b/>
                <w:color w:val="FFFFFF" w:themeColor="background1"/>
              </w:rPr>
              <w:t>Year</w:t>
            </w:r>
          </w:p>
        </w:tc>
        <w:tc>
          <w:tcPr>
            <w:tcW w:w="6310" w:type="dxa"/>
            <w:gridSpan w:val="4"/>
            <w:shd w:val="clear" w:color="auto" w:fill="00B8B4"/>
            <w:vAlign w:val="center"/>
            <w:hideMark/>
          </w:tcPr>
          <w:p w14:paraId="488197B7" w14:textId="77777777" w:rsidR="00127F8A" w:rsidRPr="00616CF6" w:rsidRDefault="00127F8A" w:rsidP="0055365E">
            <w:pPr>
              <w:jc w:val="center"/>
              <w:rPr>
                <w:b/>
                <w:color w:val="FFFFFF" w:themeColor="background1"/>
              </w:rPr>
            </w:pPr>
            <w:r w:rsidRPr="00616CF6">
              <w:rPr>
                <w:b/>
                <w:bCs/>
                <w:color w:val="FFFFFF" w:themeColor="background1"/>
              </w:rPr>
              <w:t>C</w:t>
            </w:r>
            <w:r w:rsidRPr="00616CF6">
              <w:rPr>
                <w:b/>
                <w:color w:val="FFFFFF" w:themeColor="background1"/>
              </w:rPr>
              <w:t xml:space="preserve">alendar </w:t>
            </w:r>
            <w:r w:rsidRPr="00616CF6">
              <w:rPr>
                <w:b/>
                <w:bCs/>
                <w:color w:val="FFFFFF" w:themeColor="background1"/>
              </w:rPr>
              <w:t>D</w:t>
            </w:r>
            <w:r w:rsidRPr="00616CF6">
              <w:rPr>
                <w:b/>
                <w:color w:val="FFFFFF" w:themeColor="background1"/>
              </w:rPr>
              <w:t>ays</w:t>
            </w:r>
          </w:p>
        </w:tc>
        <w:tc>
          <w:tcPr>
            <w:tcW w:w="1341" w:type="dxa"/>
            <w:vMerge w:val="restart"/>
            <w:shd w:val="clear" w:color="auto" w:fill="00B8B4"/>
            <w:vAlign w:val="center"/>
            <w:hideMark/>
          </w:tcPr>
          <w:p w14:paraId="2EA62451" w14:textId="77777777" w:rsidR="00127F8A" w:rsidRPr="00616CF6" w:rsidRDefault="00127F8A" w:rsidP="0055365E">
            <w:pPr>
              <w:jc w:val="center"/>
              <w:rPr>
                <w:b/>
                <w:color w:val="FFFFFF" w:themeColor="background1"/>
              </w:rPr>
            </w:pPr>
            <w:r w:rsidRPr="00616CF6">
              <w:rPr>
                <w:b/>
                <w:color w:val="FFFFFF" w:themeColor="background1"/>
              </w:rPr>
              <w:t>Total</w:t>
            </w:r>
          </w:p>
        </w:tc>
      </w:tr>
      <w:tr w:rsidR="00127F8A" w:rsidRPr="00616CF6" w14:paraId="42A8D0E8" w14:textId="77777777" w:rsidTr="00114393">
        <w:trPr>
          <w:trHeight w:val="491"/>
        </w:trPr>
        <w:tc>
          <w:tcPr>
            <w:tcW w:w="1307" w:type="dxa"/>
            <w:vMerge/>
            <w:shd w:val="clear" w:color="auto" w:fill="5EBAAB"/>
            <w:noWrap/>
            <w:vAlign w:val="bottom"/>
          </w:tcPr>
          <w:p w14:paraId="4E0CCBE2" w14:textId="77777777" w:rsidR="00127F8A" w:rsidRPr="00616CF6" w:rsidRDefault="00127F8A" w:rsidP="0055365E">
            <w:pPr>
              <w:spacing w:before="0"/>
              <w:rPr>
                <w:b/>
                <w:bCs/>
                <w:color w:val="FFFFFF" w:themeColor="background1"/>
              </w:rPr>
            </w:pPr>
          </w:p>
        </w:tc>
        <w:tc>
          <w:tcPr>
            <w:tcW w:w="1556" w:type="dxa"/>
            <w:tcBorders>
              <w:bottom w:val="single" w:sz="4" w:space="0" w:color="F2F2F2" w:themeColor="background1" w:themeShade="F2"/>
            </w:tcBorders>
            <w:shd w:val="clear" w:color="auto" w:fill="00B8B4"/>
            <w:vAlign w:val="center"/>
          </w:tcPr>
          <w:p w14:paraId="5BF67A50" w14:textId="77777777" w:rsidR="00127F8A" w:rsidRPr="00616CF6" w:rsidRDefault="00127F8A" w:rsidP="0055365E">
            <w:pPr>
              <w:spacing w:before="0"/>
              <w:jc w:val="center"/>
              <w:rPr>
                <w:b/>
                <w:bCs/>
                <w:color w:val="FFFFFF" w:themeColor="background1"/>
              </w:rPr>
            </w:pPr>
            <w:r w:rsidRPr="00616CF6">
              <w:rPr>
                <w:b/>
                <w:color w:val="FFFFFF" w:themeColor="background1"/>
              </w:rPr>
              <w:t>0-60</w:t>
            </w:r>
          </w:p>
        </w:tc>
        <w:tc>
          <w:tcPr>
            <w:tcW w:w="1559" w:type="dxa"/>
            <w:tcBorders>
              <w:bottom w:val="single" w:sz="4" w:space="0" w:color="F2F2F2" w:themeColor="background1" w:themeShade="F2"/>
            </w:tcBorders>
            <w:shd w:val="clear" w:color="auto" w:fill="00B8B4"/>
            <w:vAlign w:val="center"/>
          </w:tcPr>
          <w:p w14:paraId="19BF2768" w14:textId="77777777" w:rsidR="00127F8A" w:rsidRPr="00616CF6" w:rsidRDefault="00127F8A" w:rsidP="0055365E">
            <w:pPr>
              <w:spacing w:before="0"/>
              <w:jc w:val="center"/>
              <w:rPr>
                <w:b/>
                <w:bCs/>
                <w:color w:val="FFFFFF" w:themeColor="background1"/>
              </w:rPr>
            </w:pPr>
            <w:r w:rsidRPr="00616CF6">
              <w:rPr>
                <w:b/>
                <w:color w:val="FFFFFF" w:themeColor="background1"/>
              </w:rPr>
              <w:t>61-120</w:t>
            </w:r>
          </w:p>
        </w:tc>
        <w:tc>
          <w:tcPr>
            <w:tcW w:w="1701" w:type="dxa"/>
            <w:tcBorders>
              <w:bottom w:val="single" w:sz="4" w:space="0" w:color="F2F2F2" w:themeColor="background1" w:themeShade="F2"/>
            </w:tcBorders>
            <w:shd w:val="clear" w:color="auto" w:fill="00B8B4"/>
            <w:vAlign w:val="center"/>
          </w:tcPr>
          <w:p w14:paraId="55577A2D" w14:textId="77777777" w:rsidR="00127F8A" w:rsidRPr="00616CF6" w:rsidRDefault="00127F8A" w:rsidP="0055365E">
            <w:pPr>
              <w:spacing w:before="0"/>
              <w:jc w:val="center"/>
              <w:rPr>
                <w:b/>
                <w:bCs/>
                <w:color w:val="FFFFFF" w:themeColor="background1"/>
              </w:rPr>
            </w:pPr>
            <w:r w:rsidRPr="00616CF6">
              <w:rPr>
                <w:b/>
                <w:color w:val="FFFFFF" w:themeColor="background1"/>
              </w:rPr>
              <w:t>121-180</w:t>
            </w:r>
          </w:p>
        </w:tc>
        <w:tc>
          <w:tcPr>
            <w:tcW w:w="1494" w:type="dxa"/>
            <w:tcBorders>
              <w:bottom w:val="single" w:sz="4" w:space="0" w:color="F2F2F2" w:themeColor="background1" w:themeShade="F2"/>
            </w:tcBorders>
            <w:shd w:val="clear" w:color="auto" w:fill="00B8B4"/>
            <w:vAlign w:val="center"/>
          </w:tcPr>
          <w:p w14:paraId="17F6EF6F" w14:textId="77777777" w:rsidR="00127F8A" w:rsidRPr="00616CF6" w:rsidRDefault="00127F8A" w:rsidP="0055365E">
            <w:pPr>
              <w:spacing w:before="0"/>
              <w:jc w:val="center"/>
              <w:rPr>
                <w:b/>
                <w:bCs/>
                <w:color w:val="FFFFFF" w:themeColor="background1"/>
              </w:rPr>
            </w:pPr>
            <w:r w:rsidRPr="00616CF6">
              <w:rPr>
                <w:b/>
                <w:color w:val="FFFFFF" w:themeColor="background1"/>
              </w:rPr>
              <w:t>180+</w:t>
            </w:r>
          </w:p>
        </w:tc>
        <w:tc>
          <w:tcPr>
            <w:tcW w:w="1341" w:type="dxa"/>
            <w:vMerge/>
            <w:tcBorders>
              <w:bottom w:val="single" w:sz="4" w:space="0" w:color="F2F2F2" w:themeColor="background1" w:themeShade="F2"/>
            </w:tcBorders>
            <w:shd w:val="clear" w:color="auto" w:fill="5EBAAB"/>
            <w:vAlign w:val="bottom"/>
          </w:tcPr>
          <w:p w14:paraId="774C3C0E" w14:textId="77777777" w:rsidR="00127F8A" w:rsidRPr="00616CF6" w:rsidRDefault="00127F8A" w:rsidP="0055365E">
            <w:pPr>
              <w:spacing w:before="0"/>
              <w:rPr>
                <w:b/>
                <w:bCs/>
                <w:color w:val="FFFFFF" w:themeColor="background1"/>
              </w:rPr>
            </w:pPr>
          </w:p>
        </w:tc>
      </w:tr>
      <w:tr w:rsidR="00127F8A" w:rsidRPr="00616CF6" w14:paraId="29F9D78C" w14:textId="77777777" w:rsidTr="00114393">
        <w:trPr>
          <w:trHeight w:val="290"/>
        </w:trPr>
        <w:tc>
          <w:tcPr>
            <w:tcW w:w="1307" w:type="dxa"/>
            <w:vMerge w:val="restart"/>
            <w:shd w:val="clear" w:color="auto" w:fill="A9DBD3"/>
            <w:noWrap/>
            <w:vAlign w:val="center"/>
            <w:hideMark/>
          </w:tcPr>
          <w:p w14:paraId="61633CCE" w14:textId="77777777" w:rsidR="00127F8A" w:rsidRPr="006A3363" w:rsidRDefault="00127F8A" w:rsidP="0055365E">
            <w:pPr>
              <w:spacing w:before="0"/>
              <w:jc w:val="center"/>
              <w:rPr>
                <w:rFonts w:cs="Arial"/>
                <w:bCs/>
                <w:lang w:eastAsia="en-AU"/>
              </w:rPr>
            </w:pPr>
            <w:r w:rsidRPr="006A3363">
              <w:rPr>
                <w:rFonts w:cs="Arial"/>
                <w:bCs/>
                <w:lang w:eastAsia="en-AU"/>
              </w:rPr>
              <w:t>2018/19</w:t>
            </w:r>
          </w:p>
        </w:tc>
        <w:tc>
          <w:tcPr>
            <w:tcW w:w="1556"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9DBD3"/>
            <w:noWrap/>
          </w:tcPr>
          <w:p w14:paraId="37209396" w14:textId="77777777" w:rsidR="00127F8A" w:rsidRPr="006A3363" w:rsidRDefault="00127F8A" w:rsidP="0055365E">
            <w:pPr>
              <w:spacing w:before="0"/>
              <w:jc w:val="center"/>
              <w:rPr>
                <w:rFonts w:cs="Arial"/>
                <w:lang w:eastAsia="en-AU"/>
              </w:rPr>
            </w:pPr>
            <w:r w:rsidRPr="006A3363">
              <w:t>37.8 ± 1.0</w:t>
            </w: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77CAB8C8" w14:textId="77777777" w:rsidR="00127F8A" w:rsidRPr="006A3363" w:rsidRDefault="00127F8A" w:rsidP="0055365E">
            <w:pPr>
              <w:spacing w:before="0"/>
              <w:jc w:val="center"/>
              <w:rPr>
                <w:rFonts w:cs="Arial"/>
                <w:lang w:eastAsia="en-AU"/>
              </w:rPr>
            </w:pPr>
            <w:r w:rsidRPr="006A3363">
              <w:t>84.3 ± 1.0</w:t>
            </w:r>
          </w:p>
        </w:tc>
        <w:tc>
          <w:tcPr>
            <w:tcW w:w="170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371FC1F3" w14:textId="77777777" w:rsidR="00127F8A" w:rsidRPr="006A3363" w:rsidRDefault="00127F8A" w:rsidP="0055365E">
            <w:pPr>
              <w:spacing w:before="0"/>
              <w:jc w:val="center"/>
              <w:rPr>
                <w:rFonts w:cs="Arial"/>
                <w:lang w:eastAsia="en-AU"/>
              </w:rPr>
            </w:pPr>
            <w:r w:rsidRPr="006A3363">
              <w:t>145.2 ± 1.9</w:t>
            </w:r>
          </w:p>
        </w:tc>
        <w:tc>
          <w:tcPr>
            <w:tcW w:w="14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58605354" w14:textId="77777777" w:rsidR="00127F8A" w:rsidRPr="006A3363" w:rsidRDefault="00127F8A" w:rsidP="0055365E">
            <w:pPr>
              <w:spacing w:before="0"/>
              <w:jc w:val="center"/>
              <w:rPr>
                <w:rFonts w:cs="Arial"/>
                <w:lang w:eastAsia="en-AU"/>
              </w:rPr>
            </w:pPr>
            <w:r w:rsidRPr="006A3363">
              <w:t>313.8 ± 22.5</w:t>
            </w:r>
          </w:p>
        </w:tc>
        <w:tc>
          <w:tcPr>
            <w:tcW w:w="13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0269A55F" w14:textId="77777777" w:rsidR="00127F8A" w:rsidRPr="006A3363" w:rsidRDefault="00127F8A" w:rsidP="0055365E">
            <w:pPr>
              <w:spacing w:before="0"/>
              <w:jc w:val="center"/>
              <w:rPr>
                <w:rFonts w:cs="Arial"/>
                <w:lang w:eastAsia="en-AU"/>
              </w:rPr>
            </w:pPr>
            <w:r w:rsidRPr="006A3363">
              <w:t>88.3 ± 3.1</w:t>
            </w:r>
          </w:p>
        </w:tc>
      </w:tr>
      <w:tr w:rsidR="00127F8A" w:rsidRPr="00616CF6" w14:paraId="598A83DD" w14:textId="77777777" w:rsidTr="00114393">
        <w:trPr>
          <w:trHeight w:val="290"/>
        </w:trPr>
        <w:tc>
          <w:tcPr>
            <w:tcW w:w="1307" w:type="dxa"/>
            <w:vMerge/>
            <w:shd w:val="clear" w:color="auto" w:fill="A9DBD3"/>
            <w:vAlign w:val="center"/>
            <w:hideMark/>
          </w:tcPr>
          <w:p w14:paraId="70CEEBE0" w14:textId="77777777" w:rsidR="00127F8A" w:rsidRPr="006A3363" w:rsidRDefault="00127F8A" w:rsidP="0055365E">
            <w:pPr>
              <w:spacing w:before="0"/>
              <w:rPr>
                <w:rFonts w:cs="Arial"/>
                <w:bCs/>
                <w:lang w:eastAsia="en-AU"/>
              </w:rPr>
            </w:pPr>
          </w:p>
        </w:tc>
        <w:tc>
          <w:tcPr>
            <w:tcW w:w="1556"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9DBD3"/>
            <w:noWrap/>
          </w:tcPr>
          <w:p w14:paraId="4D3BF54C" w14:textId="77777777" w:rsidR="00127F8A" w:rsidRPr="006A3363" w:rsidRDefault="00127F8A" w:rsidP="0055365E">
            <w:pPr>
              <w:spacing w:before="0"/>
              <w:jc w:val="center"/>
              <w:rPr>
                <w:rFonts w:cs="Arial"/>
                <w:lang w:eastAsia="en-AU"/>
              </w:rPr>
            </w:pPr>
            <w:r w:rsidRPr="006A3363">
              <w:t>(n=288)</w:t>
            </w: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103E4771" w14:textId="77777777" w:rsidR="00127F8A" w:rsidRPr="006A3363" w:rsidRDefault="00127F8A" w:rsidP="0055365E">
            <w:pPr>
              <w:spacing w:before="0"/>
              <w:jc w:val="center"/>
              <w:rPr>
                <w:rFonts w:cs="Arial"/>
                <w:lang w:eastAsia="en-AU"/>
              </w:rPr>
            </w:pPr>
            <w:r w:rsidRPr="006A3363">
              <w:t>(n=294)</w:t>
            </w:r>
          </w:p>
        </w:tc>
        <w:tc>
          <w:tcPr>
            <w:tcW w:w="170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404783EE" w14:textId="77777777" w:rsidR="00127F8A" w:rsidRPr="006A3363" w:rsidRDefault="00127F8A" w:rsidP="0055365E">
            <w:pPr>
              <w:spacing w:before="0"/>
              <w:jc w:val="center"/>
              <w:rPr>
                <w:rFonts w:cs="Arial"/>
                <w:lang w:eastAsia="en-AU"/>
              </w:rPr>
            </w:pPr>
            <w:r w:rsidRPr="006A3363">
              <w:t>(n=78)</w:t>
            </w:r>
          </w:p>
        </w:tc>
        <w:tc>
          <w:tcPr>
            <w:tcW w:w="14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129D1F0D" w14:textId="77777777" w:rsidR="00127F8A" w:rsidRPr="006A3363" w:rsidRDefault="00127F8A" w:rsidP="0055365E">
            <w:pPr>
              <w:spacing w:before="0"/>
              <w:jc w:val="center"/>
              <w:rPr>
                <w:rFonts w:cs="Arial"/>
                <w:lang w:eastAsia="en-AU"/>
              </w:rPr>
            </w:pPr>
            <w:r w:rsidRPr="006A3363">
              <w:t>(n=50)</w:t>
            </w:r>
          </w:p>
        </w:tc>
        <w:tc>
          <w:tcPr>
            <w:tcW w:w="13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30BCE42E" w14:textId="77777777" w:rsidR="00127F8A" w:rsidRPr="006A3363" w:rsidRDefault="00127F8A" w:rsidP="0055365E">
            <w:pPr>
              <w:spacing w:before="0"/>
              <w:jc w:val="center"/>
              <w:rPr>
                <w:rFonts w:cs="Arial"/>
                <w:lang w:eastAsia="en-AU"/>
              </w:rPr>
            </w:pPr>
            <w:r w:rsidRPr="006A3363">
              <w:t>(n=710)</w:t>
            </w:r>
          </w:p>
        </w:tc>
      </w:tr>
    </w:tbl>
    <w:p w14:paraId="31F1963E" w14:textId="77777777" w:rsidR="00127F8A" w:rsidRPr="002D078B" w:rsidRDefault="00127F8A" w:rsidP="00127F8A">
      <w:pPr>
        <w:pStyle w:val="Note"/>
      </w:pPr>
      <w:r w:rsidRPr="002D078B">
        <w:t xml:space="preserve">The mean and standard error for each </w:t>
      </w:r>
      <w:proofErr w:type="gramStart"/>
      <w:r w:rsidRPr="002D078B">
        <w:t>time period</w:t>
      </w:r>
      <w:proofErr w:type="gramEnd"/>
      <w:r w:rsidRPr="002D078B">
        <w:t xml:space="preserve"> is shown and the number of trials is in brackets.</w:t>
      </w:r>
    </w:p>
    <w:p w14:paraId="1C1DA403" w14:textId="77777777" w:rsidR="003C7E11" w:rsidRDefault="00AA7DCC" w:rsidP="00AA7DCC">
      <w:pPr>
        <w:pStyle w:val="Heading3"/>
      </w:pPr>
      <w:bookmarkStart w:id="36" w:name="_4b_HREC_Approval"/>
      <w:bookmarkStart w:id="37" w:name="_Toc79679537"/>
      <w:bookmarkEnd w:id="36"/>
      <w:r>
        <w:t>4b HREC Approval Timeline – ‘With Clock’</w:t>
      </w:r>
      <w:bookmarkEnd w:id="37"/>
    </w:p>
    <w:p w14:paraId="3829D89D" w14:textId="77777777" w:rsidR="00AA7DCC" w:rsidRPr="002D078B" w:rsidRDefault="00AA7DCC" w:rsidP="00AA7DCC">
      <w:r w:rsidRPr="002D078B">
        <w:t xml:space="preserve">Time in days from Cut-off Date/Submission Closing Date to the Approval Clock Stop Date. </w:t>
      </w:r>
    </w:p>
    <w:p w14:paraId="2C0A2E7B" w14:textId="77777777" w:rsidR="00C03797" w:rsidRDefault="00AA7DCC" w:rsidP="00AA7DCC">
      <w:r w:rsidRPr="002D078B">
        <w:t xml:space="preserve">‘With Clock’ allows measurement of the time intervals between request and receipt of further information from investigator/trial coordinator, sponsor/CRO and this interval is deducted from the overall </w:t>
      </w:r>
      <w:proofErr w:type="gramStart"/>
      <w:r w:rsidRPr="002D078B">
        <w:t>time period</w:t>
      </w:r>
      <w:proofErr w:type="gramEnd"/>
      <w:r w:rsidRPr="002D078B">
        <w:t>. This measures the administrating organisations’ timeliness for the ethics process.</w:t>
      </w:r>
    </w:p>
    <w:p w14:paraId="00CFF3E2" w14:textId="01C2DFA3" w:rsidR="00AA7DCC" w:rsidRPr="00AA7DCC" w:rsidRDefault="00AA7DCC" w:rsidP="00AA7DCC">
      <w:proofErr w:type="gramStart"/>
      <w:r w:rsidRPr="002D078B">
        <w:lastRenderedPageBreak/>
        <w:t>Seventy three</w:t>
      </w:r>
      <w:proofErr w:type="gramEnd"/>
      <w:r w:rsidRPr="002D078B">
        <w:t xml:space="preserve"> per cent (94 per cent in 2016-17) of ethics applications were reviewed and approved within a 60 day benchmark, with operation of an administrative clock. This is a high level of performance when complexity of clinical trials is considered. The variation in result compared to previous years is due to the increase in contributors to the data.</w:t>
      </w:r>
    </w:p>
    <w:p w14:paraId="44CBC9BE" w14:textId="5841BDF6" w:rsidR="00AA7DCC" w:rsidRDefault="00AA7DCC" w:rsidP="00AA7DCC">
      <w:pPr>
        <w:pStyle w:val="Caption"/>
      </w:pPr>
      <w:r>
        <w:t xml:space="preserve">Figure </w:t>
      </w:r>
      <w:r w:rsidR="008F1828">
        <w:fldChar w:fldCharType="begin"/>
      </w:r>
      <w:r w:rsidR="008F1828">
        <w:instrText xml:space="preserve"> SEQ</w:instrText>
      </w:r>
      <w:r w:rsidR="008F1828">
        <w:instrText xml:space="preserve"> Figure \* ARABIC </w:instrText>
      </w:r>
      <w:r w:rsidR="008F1828">
        <w:fldChar w:fldCharType="separate"/>
      </w:r>
      <w:r w:rsidR="00A73B36">
        <w:rPr>
          <w:noProof/>
        </w:rPr>
        <w:t>5</w:t>
      </w:r>
      <w:r w:rsidR="008F1828">
        <w:rPr>
          <w:noProof/>
        </w:rPr>
        <w:fldChar w:fldCharType="end"/>
      </w:r>
      <w:r>
        <w:t xml:space="preserve">: </w:t>
      </w:r>
      <w:r w:rsidRPr="00474661">
        <w:t>Ethics timeline (With Clock)</w:t>
      </w:r>
    </w:p>
    <w:p w14:paraId="5907510B" w14:textId="77777777" w:rsidR="00AA7DCC" w:rsidRPr="001356A0" w:rsidRDefault="00AA7DCC" w:rsidP="00AA7DCC">
      <w:r w:rsidRPr="007B73BD">
        <w:rPr>
          <w:rFonts w:cs="Arial"/>
          <w:noProof/>
          <w:color w:val="FF0000"/>
          <w:lang w:eastAsia="en-AU"/>
        </w:rPr>
        <w:drawing>
          <wp:inline distT="0" distB="0" distL="0" distR="0" wp14:anchorId="392FB640" wp14:editId="766F9A1A">
            <wp:extent cx="6395150" cy="2430684"/>
            <wp:effectExtent l="0" t="0" r="5715" b="8255"/>
            <wp:docPr id="18" name="Picture 18" descr="Figure 5 is a chart presenting Ethics Approval Timeline (HREC Clock in Use) by days taken" title="Figure 5: Ethics timeline (With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45369" cy="2449771"/>
                    </a:xfrm>
                    <a:prstGeom prst="rect">
                      <a:avLst/>
                    </a:prstGeom>
                    <a:noFill/>
                  </pic:spPr>
                </pic:pic>
              </a:graphicData>
            </a:graphic>
          </wp:inline>
        </w:drawing>
      </w:r>
    </w:p>
    <w:p w14:paraId="08BD0232" w14:textId="77777777" w:rsidR="00AA7DCC" w:rsidRPr="002D078B" w:rsidRDefault="00AA7DCC" w:rsidP="00AA7DCC">
      <w:pPr>
        <w:pStyle w:val="Note"/>
      </w:pPr>
      <w:r w:rsidRPr="002D078B">
        <w:rPr>
          <w:vertAlign w:val="superscript"/>
        </w:rPr>
        <w:t>#</w:t>
      </w:r>
      <w:r w:rsidRPr="002D078B">
        <w:t>Note:</w:t>
      </w:r>
      <w:r w:rsidRPr="002D078B">
        <w:rPr>
          <w:vertAlign w:val="superscript"/>
        </w:rPr>
        <w:t xml:space="preserve"> </w:t>
      </w:r>
      <w:r w:rsidRPr="002D078B">
        <w:t xml:space="preserve">  All </w:t>
      </w:r>
      <w:r>
        <w:t xml:space="preserve">states and territories </w:t>
      </w:r>
      <w:r w:rsidRPr="002D078B">
        <w:t>are represented. Of the applications meeting the criteria, some clinical trials were eliminated because a ‘with clock’ function was not available and administrative time could not be calculated.</w:t>
      </w:r>
    </w:p>
    <w:p w14:paraId="5609DA8E" w14:textId="77777777" w:rsidR="00282561" w:rsidRDefault="00282561" w:rsidP="00282561">
      <w:r w:rsidRPr="002D078B">
        <w:t xml:space="preserve">The mean time for ethics review within 60 days was 31.6±0.7 days (2018-2019) and indicates timely ethics review and administration. For the total number of trials there was a mean of 56.3±2.6 days for the ethics review process. A small number of trials had considerably longer </w:t>
      </w:r>
      <w:proofErr w:type="gramStart"/>
      <w:r w:rsidRPr="002D078B">
        <w:t>review</w:t>
      </w:r>
      <w:proofErr w:type="gramEnd"/>
      <w:r w:rsidRPr="002D078B">
        <w:t xml:space="preserve"> times and these outliers were likely due to specific circumstances and un-associated with the usual review process. The total number of trials mean of 56.3±2.6 in 2018-19 has increased in comparison with 2016-17 data (31.2 ± 1.2), due to increased number and contributors to the data.</w:t>
      </w:r>
    </w:p>
    <w:p w14:paraId="531261BC" w14:textId="28E48906" w:rsidR="00282561" w:rsidRDefault="00282561" w:rsidP="008F1828">
      <w:pPr>
        <w:pStyle w:val="Caption"/>
      </w:pPr>
      <w:r>
        <w:t xml:space="preserve">Table </w:t>
      </w:r>
      <w:r w:rsidR="008F1828">
        <w:fldChar w:fldCharType="begin"/>
      </w:r>
      <w:r w:rsidR="008F1828">
        <w:instrText xml:space="preserve"> SEQ Table \* ARABIC </w:instrText>
      </w:r>
      <w:r w:rsidR="008F1828">
        <w:fldChar w:fldCharType="separate"/>
      </w:r>
      <w:r w:rsidR="00A73B36">
        <w:rPr>
          <w:noProof/>
        </w:rPr>
        <w:t>6</w:t>
      </w:r>
      <w:r w:rsidR="008F1828">
        <w:rPr>
          <w:noProof/>
        </w:rPr>
        <w:fldChar w:fldCharType="end"/>
      </w:r>
      <w:r>
        <w:t xml:space="preserve">: </w:t>
      </w:r>
      <w:r w:rsidRPr="00E37156">
        <w:t>Ethics mean timeline (With Clock)</w:t>
      </w:r>
    </w:p>
    <w:tbl>
      <w:tblPr>
        <w:tblW w:w="895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Description w:val="Table 6 provides a breakdown by calendar days of ethics mean timeline (with clock)."/>
      </w:tblPr>
      <w:tblGrid>
        <w:gridCol w:w="1307"/>
        <w:gridCol w:w="1556"/>
        <w:gridCol w:w="1559"/>
        <w:gridCol w:w="1701"/>
        <w:gridCol w:w="1494"/>
        <w:gridCol w:w="1341"/>
      </w:tblGrid>
      <w:tr w:rsidR="00282561" w:rsidRPr="00616CF6" w14:paraId="1FFC0C2B" w14:textId="77777777" w:rsidTr="00B67F04">
        <w:trPr>
          <w:trHeight w:val="441"/>
          <w:tblHeader/>
        </w:trPr>
        <w:tc>
          <w:tcPr>
            <w:tcW w:w="1307" w:type="dxa"/>
            <w:vMerge w:val="restart"/>
            <w:shd w:val="clear" w:color="auto" w:fill="00B8B4"/>
            <w:noWrap/>
            <w:vAlign w:val="center"/>
            <w:hideMark/>
          </w:tcPr>
          <w:p w14:paraId="033C5593" w14:textId="77777777" w:rsidR="00282561" w:rsidRPr="00616CF6" w:rsidRDefault="00282561" w:rsidP="0055365E">
            <w:pPr>
              <w:jc w:val="center"/>
              <w:rPr>
                <w:b/>
                <w:color w:val="FFFFFF" w:themeColor="background1"/>
              </w:rPr>
            </w:pPr>
            <w:r w:rsidRPr="00616CF6">
              <w:rPr>
                <w:b/>
                <w:color w:val="FFFFFF" w:themeColor="background1"/>
              </w:rPr>
              <w:t>Year</w:t>
            </w:r>
          </w:p>
        </w:tc>
        <w:tc>
          <w:tcPr>
            <w:tcW w:w="6310" w:type="dxa"/>
            <w:gridSpan w:val="4"/>
            <w:shd w:val="clear" w:color="auto" w:fill="00B8B4"/>
            <w:vAlign w:val="center"/>
            <w:hideMark/>
          </w:tcPr>
          <w:p w14:paraId="3CAB8793" w14:textId="77777777" w:rsidR="00282561" w:rsidRPr="00616CF6" w:rsidRDefault="00282561" w:rsidP="0055365E">
            <w:pPr>
              <w:jc w:val="center"/>
              <w:rPr>
                <w:b/>
                <w:color w:val="FFFFFF" w:themeColor="background1"/>
              </w:rPr>
            </w:pPr>
            <w:r w:rsidRPr="00616CF6">
              <w:rPr>
                <w:b/>
                <w:bCs/>
                <w:color w:val="FFFFFF" w:themeColor="background1"/>
              </w:rPr>
              <w:t>C</w:t>
            </w:r>
            <w:r w:rsidRPr="00616CF6">
              <w:rPr>
                <w:b/>
                <w:color w:val="FFFFFF" w:themeColor="background1"/>
              </w:rPr>
              <w:t xml:space="preserve">alendar </w:t>
            </w:r>
            <w:r w:rsidRPr="00616CF6">
              <w:rPr>
                <w:b/>
                <w:bCs/>
                <w:color w:val="FFFFFF" w:themeColor="background1"/>
              </w:rPr>
              <w:t>D</w:t>
            </w:r>
            <w:r w:rsidRPr="00616CF6">
              <w:rPr>
                <w:b/>
                <w:color w:val="FFFFFF" w:themeColor="background1"/>
              </w:rPr>
              <w:t>ays</w:t>
            </w:r>
          </w:p>
        </w:tc>
        <w:tc>
          <w:tcPr>
            <w:tcW w:w="1341" w:type="dxa"/>
            <w:vMerge w:val="restart"/>
            <w:shd w:val="clear" w:color="auto" w:fill="00B8B4"/>
            <w:vAlign w:val="center"/>
            <w:hideMark/>
          </w:tcPr>
          <w:p w14:paraId="1B7CDB76" w14:textId="77777777" w:rsidR="00282561" w:rsidRPr="00616CF6" w:rsidRDefault="00282561" w:rsidP="0055365E">
            <w:pPr>
              <w:jc w:val="center"/>
              <w:rPr>
                <w:b/>
                <w:color w:val="FFFFFF" w:themeColor="background1"/>
              </w:rPr>
            </w:pPr>
            <w:r w:rsidRPr="00616CF6">
              <w:rPr>
                <w:b/>
                <w:color w:val="FFFFFF" w:themeColor="background1"/>
              </w:rPr>
              <w:t>Total</w:t>
            </w:r>
          </w:p>
        </w:tc>
      </w:tr>
      <w:tr w:rsidR="00282561" w:rsidRPr="00616CF6" w14:paraId="69E2DE43" w14:textId="77777777" w:rsidTr="00114393">
        <w:trPr>
          <w:trHeight w:val="491"/>
        </w:trPr>
        <w:tc>
          <w:tcPr>
            <w:tcW w:w="1307" w:type="dxa"/>
            <w:vMerge/>
            <w:shd w:val="clear" w:color="auto" w:fill="5EBAAB"/>
            <w:noWrap/>
            <w:vAlign w:val="bottom"/>
          </w:tcPr>
          <w:p w14:paraId="236BA058" w14:textId="77777777" w:rsidR="00282561" w:rsidRPr="00616CF6" w:rsidRDefault="00282561" w:rsidP="0055365E">
            <w:pPr>
              <w:spacing w:before="0"/>
              <w:rPr>
                <w:b/>
                <w:bCs/>
                <w:color w:val="FFFFFF" w:themeColor="background1"/>
              </w:rPr>
            </w:pPr>
          </w:p>
        </w:tc>
        <w:tc>
          <w:tcPr>
            <w:tcW w:w="1556" w:type="dxa"/>
            <w:tcBorders>
              <w:bottom w:val="single" w:sz="4" w:space="0" w:color="F2F2F2" w:themeColor="background1" w:themeShade="F2"/>
            </w:tcBorders>
            <w:shd w:val="clear" w:color="auto" w:fill="00B8B4"/>
            <w:vAlign w:val="center"/>
          </w:tcPr>
          <w:p w14:paraId="72F317D2" w14:textId="77777777" w:rsidR="00282561" w:rsidRPr="00616CF6" w:rsidRDefault="00282561" w:rsidP="0055365E">
            <w:pPr>
              <w:spacing w:before="0"/>
              <w:jc w:val="center"/>
              <w:rPr>
                <w:b/>
                <w:bCs/>
                <w:color w:val="FFFFFF" w:themeColor="background1"/>
              </w:rPr>
            </w:pPr>
            <w:r w:rsidRPr="00616CF6">
              <w:rPr>
                <w:b/>
                <w:color w:val="FFFFFF" w:themeColor="background1"/>
              </w:rPr>
              <w:t>0-60</w:t>
            </w:r>
          </w:p>
        </w:tc>
        <w:tc>
          <w:tcPr>
            <w:tcW w:w="1559" w:type="dxa"/>
            <w:tcBorders>
              <w:bottom w:val="single" w:sz="4" w:space="0" w:color="F2F2F2" w:themeColor="background1" w:themeShade="F2"/>
            </w:tcBorders>
            <w:shd w:val="clear" w:color="auto" w:fill="00B8B4"/>
            <w:vAlign w:val="center"/>
          </w:tcPr>
          <w:p w14:paraId="72E5DAE8" w14:textId="77777777" w:rsidR="00282561" w:rsidRPr="00616CF6" w:rsidRDefault="00282561" w:rsidP="0055365E">
            <w:pPr>
              <w:spacing w:before="0"/>
              <w:jc w:val="center"/>
              <w:rPr>
                <w:b/>
                <w:bCs/>
                <w:color w:val="FFFFFF" w:themeColor="background1"/>
              </w:rPr>
            </w:pPr>
            <w:r w:rsidRPr="00616CF6">
              <w:rPr>
                <w:b/>
                <w:color w:val="FFFFFF" w:themeColor="background1"/>
              </w:rPr>
              <w:t>61-120</w:t>
            </w:r>
          </w:p>
        </w:tc>
        <w:tc>
          <w:tcPr>
            <w:tcW w:w="1701" w:type="dxa"/>
            <w:tcBorders>
              <w:bottom w:val="single" w:sz="4" w:space="0" w:color="F2F2F2" w:themeColor="background1" w:themeShade="F2"/>
            </w:tcBorders>
            <w:shd w:val="clear" w:color="auto" w:fill="00B8B4"/>
            <w:vAlign w:val="center"/>
          </w:tcPr>
          <w:p w14:paraId="770BEDCA" w14:textId="77777777" w:rsidR="00282561" w:rsidRPr="00616CF6" w:rsidRDefault="00282561" w:rsidP="0055365E">
            <w:pPr>
              <w:spacing w:before="0"/>
              <w:jc w:val="center"/>
              <w:rPr>
                <w:b/>
                <w:bCs/>
                <w:color w:val="FFFFFF" w:themeColor="background1"/>
              </w:rPr>
            </w:pPr>
            <w:r w:rsidRPr="00616CF6">
              <w:rPr>
                <w:b/>
                <w:color w:val="FFFFFF" w:themeColor="background1"/>
              </w:rPr>
              <w:t>121-180</w:t>
            </w:r>
          </w:p>
        </w:tc>
        <w:tc>
          <w:tcPr>
            <w:tcW w:w="1494" w:type="dxa"/>
            <w:tcBorders>
              <w:bottom w:val="single" w:sz="4" w:space="0" w:color="F2F2F2" w:themeColor="background1" w:themeShade="F2"/>
            </w:tcBorders>
            <w:shd w:val="clear" w:color="auto" w:fill="00B8B4"/>
            <w:vAlign w:val="center"/>
          </w:tcPr>
          <w:p w14:paraId="1FAE53CC" w14:textId="77777777" w:rsidR="00282561" w:rsidRPr="00616CF6" w:rsidRDefault="00282561" w:rsidP="0055365E">
            <w:pPr>
              <w:spacing w:before="0"/>
              <w:jc w:val="center"/>
              <w:rPr>
                <w:b/>
                <w:bCs/>
                <w:color w:val="FFFFFF" w:themeColor="background1"/>
              </w:rPr>
            </w:pPr>
            <w:r w:rsidRPr="00616CF6">
              <w:rPr>
                <w:b/>
                <w:color w:val="FFFFFF" w:themeColor="background1"/>
              </w:rPr>
              <w:t>180+</w:t>
            </w:r>
          </w:p>
        </w:tc>
        <w:tc>
          <w:tcPr>
            <w:tcW w:w="1341" w:type="dxa"/>
            <w:vMerge/>
            <w:tcBorders>
              <w:bottom w:val="single" w:sz="4" w:space="0" w:color="F2F2F2" w:themeColor="background1" w:themeShade="F2"/>
            </w:tcBorders>
            <w:shd w:val="clear" w:color="auto" w:fill="5EBAAB"/>
            <w:vAlign w:val="bottom"/>
          </w:tcPr>
          <w:p w14:paraId="7DD184DC" w14:textId="77777777" w:rsidR="00282561" w:rsidRPr="00616CF6" w:rsidRDefault="00282561" w:rsidP="0055365E">
            <w:pPr>
              <w:spacing w:before="0"/>
              <w:rPr>
                <w:b/>
                <w:bCs/>
                <w:color w:val="FFFFFF" w:themeColor="background1"/>
              </w:rPr>
            </w:pPr>
          </w:p>
        </w:tc>
      </w:tr>
      <w:tr w:rsidR="00282561" w:rsidRPr="00616CF6" w14:paraId="7840F590" w14:textId="77777777" w:rsidTr="00114393">
        <w:trPr>
          <w:trHeight w:val="290"/>
        </w:trPr>
        <w:tc>
          <w:tcPr>
            <w:tcW w:w="1307" w:type="dxa"/>
            <w:vMerge w:val="restart"/>
            <w:shd w:val="clear" w:color="auto" w:fill="A9DBD3"/>
            <w:noWrap/>
            <w:vAlign w:val="center"/>
            <w:hideMark/>
          </w:tcPr>
          <w:p w14:paraId="3F75915F" w14:textId="77777777" w:rsidR="00282561" w:rsidRPr="00282561" w:rsidRDefault="00282561" w:rsidP="0055365E">
            <w:pPr>
              <w:spacing w:before="0"/>
              <w:jc w:val="center"/>
              <w:rPr>
                <w:rFonts w:cs="Arial"/>
                <w:bCs/>
                <w:lang w:eastAsia="en-AU"/>
              </w:rPr>
            </w:pPr>
            <w:r w:rsidRPr="00282561">
              <w:rPr>
                <w:rFonts w:cs="Arial"/>
                <w:bCs/>
                <w:lang w:eastAsia="en-AU"/>
              </w:rPr>
              <w:t>2018/19</w:t>
            </w:r>
          </w:p>
        </w:tc>
        <w:tc>
          <w:tcPr>
            <w:tcW w:w="1556"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9DBD3"/>
            <w:noWrap/>
          </w:tcPr>
          <w:p w14:paraId="1C56CBF8" w14:textId="77777777" w:rsidR="00282561" w:rsidRPr="00282561" w:rsidRDefault="00282561" w:rsidP="0055365E">
            <w:pPr>
              <w:spacing w:before="0"/>
              <w:jc w:val="center"/>
              <w:rPr>
                <w:rFonts w:cs="Arial"/>
                <w:lang w:eastAsia="en-AU"/>
              </w:rPr>
            </w:pPr>
            <w:r w:rsidRPr="00282561">
              <w:t>31.6 ± 0.7</w:t>
            </w: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48DBB67F" w14:textId="77777777" w:rsidR="00282561" w:rsidRPr="00282561" w:rsidRDefault="00282561" w:rsidP="0055365E">
            <w:pPr>
              <w:spacing w:before="0"/>
              <w:jc w:val="center"/>
              <w:rPr>
                <w:rFonts w:cs="Arial"/>
                <w:lang w:eastAsia="en-AU"/>
              </w:rPr>
            </w:pPr>
            <w:r w:rsidRPr="00282561">
              <w:t>86.4 ± 1.6</w:t>
            </w:r>
          </w:p>
        </w:tc>
        <w:tc>
          <w:tcPr>
            <w:tcW w:w="170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2FF4F1F7" w14:textId="77777777" w:rsidR="00282561" w:rsidRPr="00282561" w:rsidRDefault="00282561" w:rsidP="0055365E">
            <w:pPr>
              <w:spacing w:before="0"/>
              <w:jc w:val="center"/>
              <w:rPr>
                <w:rFonts w:cs="Arial"/>
                <w:lang w:eastAsia="en-AU"/>
              </w:rPr>
            </w:pPr>
            <w:r w:rsidRPr="00282561">
              <w:t>146.0 ± 3.2</w:t>
            </w:r>
          </w:p>
        </w:tc>
        <w:tc>
          <w:tcPr>
            <w:tcW w:w="14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62F363AD" w14:textId="77777777" w:rsidR="00282561" w:rsidRPr="00282561" w:rsidRDefault="00282561" w:rsidP="0055365E">
            <w:pPr>
              <w:spacing w:before="0"/>
              <w:jc w:val="center"/>
              <w:rPr>
                <w:rFonts w:cs="Arial"/>
                <w:lang w:eastAsia="en-AU"/>
              </w:rPr>
            </w:pPr>
            <w:r w:rsidRPr="00282561">
              <w:t>329.2 ± 40.6</w:t>
            </w:r>
          </w:p>
        </w:tc>
        <w:tc>
          <w:tcPr>
            <w:tcW w:w="13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2E43C09C" w14:textId="77777777" w:rsidR="00282561" w:rsidRPr="00282561" w:rsidRDefault="00282561" w:rsidP="0055365E">
            <w:pPr>
              <w:spacing w:before="0"/>
              <w:jc w:val="center"/>
              <w:rPr>
                <w:rFonts w:cs="Arial"/>
                <w:lang w:eastAsia="en-AU"/>
              </w:rPr>
            </w:pPr>
            <w:r w:rsidRPr="00282561">
              <w:t>56.3 ± 2.6</w:t>
            </w:r>
          </w:p>
        </w:tc>
      </w:tr>
      <w:tr w:rsidR="00282561" w:rsidRPr="00616CF6" w14:paraId="2DA96999" w14:textId="77777777" w:rsidTr="00114393">
        <w:trPr>
          <w:trHeight w:val="290"/>
        </w:trPr>
        <w:tc>
          <w:tcPr>
            <w:tcW w:w="1307" w:type="dxa"/>
            <w:vMerge/>
            <w:shd w:val="clear" w:color="auto" w:fill="A9DBD3"/>
            <w:vAlign w:val="center"/>
            <w:hideMark/>
          </w:tcPr>
          <w:p w14:paraId="6F198DCB" w14:textId="77777777" w:rsidR="00282561" w:rsidRPr="00282561" w:rsidRDefault="00282561" w:rsidP="0055365E">
            <w:pPr>
              <w:spacing w:before="0"/>
              <w:rPr>
                <w:rFonts w:cs="Arial"/>
                <w:bCs/>
                <w:lang w:eastAsia="en-AU"/>
              </w:rPr>
            </w:pPr>
          </w:p>
        </w:tc>
        <w:tc>
          <w:tcPr>
            <w:tcW w:w="1556"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9DBD3"/>
            <w:noWrap/>
          </w:tcPr>
          <w:p w14:paraId="4261A7F2" w14:textId="77777777" w:rsidR="00282561" w:rsidRPr="00282561" w:rsidRDefault="00282561" w:rsidP="0055365E">
            <w:pPr>
              <w:spacing w:before="0"/>
              <w:jc w:val="center"/>
              <w:rPr>
                <w:rFonts w:cs="Arial"/>
                <w:lang w:eastAsia="en-AU"/>
              </w:rPr>
            </w:pPr>
            <w:r w:rsidRPr="00282561">
              <w:t>(n=487)</w:t>
            </w: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3774CADA" w14:textId="77777777" w:rsidR="00282561" w:rsidRPr="00282561" w:rsidRDefault="00282561" w:rsidP="0055365E">
            <w:pPr>
              <w:spacing w:before="0"/>
              <w:jc w:val="center"/>
              <w:rPr>
                <w:rFonts w:cs="Arial"/>
                <w:lang w:eastAsia="en-AU"/>
              </w:rPr>
            </w:pPr>
            <w:r w:rsidRPr="00282561">
              <w:t>(n=127)</w:t>
            </w:r>
          </w:p>
        </w:tc>
        <w:tc>
          <w:tcPr>
            <w:tcW w:w="170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1696E22B" w14:textId="77777777" w:rsidR="00282561" w:rsidRPr="00282561" w:rsidRDefault="00282561" w:rsidP="0055365E">
            <w:pPr>
              <w:spacing w:before="0"/>
              <w:jc w:val="center"/>
              <w:rPr>
                <w:rFonts w:cs="Arial"/>
                <w:lang w:eastAsia="en-AU"/>
              </w:rPr>
            </w:pPr>
            <w:r w:rsidRPr="00282561">
              <w:t>(n=31)</w:t>
            </w:r>
          </w:p>
        </w:tc>
        <w:tc>
          <w:tcPr>
            <w:tcW w:w="14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356F3E59" w14:textId="77777777" w:rsidR="00282561" w:rsidRPr="00282561" w:rsidRDefault="00282561" w:rsidP="0055365E">
            <w:pPr>
              <w:spacing w:before="0"/>
              <w:jc w:val="center"/>
              <w:rPr>
                <w:rFonts w:cs="Arial"/>
                <w:lang w:eastAsia="en-AU"/>
              </w:rPr>
            </w:pPr>
            <w:r w:rsidRPr="00282561">
              <w:t>(n=20)</w:t>
            </w:r>
          </w:p>
        </w:tc>
        <w:tc>
          <w:tcPr>
            <w:tcW w:w="13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07B7B50D" w14:textId="77777777" w:rsidR="00282561" w:rsidRPr="00282561" w:rsidRDefault="00282561" w:rsidP="0055365E">
            <w:pPr>
              <w:spacing w:before="0"/>
              <w:jc w:val="center"/>
              <w:rPr>
                <w:rFonts w:cs="Arial"/>
                <w:lang w:eastAsia="en-AU"/>
              </w:rPr>
            </w:pPr>
            <w:r w:rsidRPr="00282561">
              <w:t>(n=665)</w:t>
            </w:r>
          </w:p>
        </w:tc>
      </w:tr>
    </w:tbl>
    <w:p w14:paraId="5744DD0F" w14:textId="77777777" w:rsidR="00282561" w:rsidRDefault="00282561" w:rsidP="00282561">
      <w:pPr>
        <w:pStyle w:val="Note"/>
      </w:pPr>
      <w:r w:rsidRPr="007E2B97">
        <w:t xml:space="preserve">The mean and standard error for each </w:t>
      </w:r>
      <w:proofErr w:type="gramStart"/>
      <w:r w:rsidRPr="007E2B97">
        <w:t>time period</w:t>
      </w:r>
      <w:proofErr w:type="gramEnd"/>
      <w:r w:rsidRPr="007E2B97">
        <w:t xml:space="preserve"> is shown and the number of trials is in brackets.</w:t>
      </w:r>
    </w:p>
    <w:p w14:paraId="07E1776C" w14:textId="77777777" w:rsidR="00282561" w:rsidRDefault="00B26527" w:rsidP="001356A0">
      <w:pPr>
        <w:pStyle w:val="Heading2"/>
      </w:pPr>
      <w:bookmarkStart w:id="38" w:name="_Metric_5:_SSA/Site"/>
      <w:bookmarkStart w:id="39" w:name="_Toc79679538"/>
      <w:bookmarkEnd w:id="38"/>
      <w:r>
        <w:t>Metric 5: SSA/Site Assessment Timeline ‘Without Clock’</w:t>
      </w:r>
      <w:bookmarkEnd w:id="39"/>
    </w:p>
    <w:p w14:paraId="6FAF1E15" w14:textId="6BF791CD" w:rsidR="00B26527" w:rsidRDefault="00B26527" w:rsidP="00B26527">
      <w:r w:rsidRPr="002D078B">
        <w:t xml:space="preserve">Improvement in SSA/Site assessment is necessary to position Australian clinical trials to be globally competitive. It is important to note that Metric 5 measures time for authorisation of all trial sites, compared to </w:t>
      </w:r>
      <w:hyperlink w:anchor="_Metric_2:_Overall" w:history="1">
        <w:r w:rsidRPr="00922467">
          <w:rPr>
            <w:rStyle w:val="Hyperlink"/>
          </w:rPr>
          <w:t>Metric 2</w:t>
        </w:r>
      </w:hyperlink>
      <w:r w:rsidRPr="002D078B">
        <w:t xml:space="preserve"> and </w:t>
      </w:r>
      <w:hyperlink w:anchor="_Metric_3:_Ethics" w:history="1">
        <w:r w:rsidRPr="00922467">
          <w:rPr>
            <w:rStyle w:val="Hyperlink"/>
          </w:rPr>
          <w:t>3</w:t>
        </w:r>
      </w:hyperlink>
      <w:r w:rsidRPr="002D078B">
        <w:t xml:space="preserve"> that measure time to authorisation of the first site only. There is inconsistent use of the stop and re-start clock function across jurisdictions and site. For that </w:t>
      </w:r>
      <w:proofErr w:type="gramStart"/>
      <w:r w:rsidRPr="002D078B">
        <w:t>reason</w:t>
      </w:r>
      <w:proofErr w:type="gramEnd"/>
      <w:r w:rsidRPr="002D078B">
        <w:t xml:space="preserve"> a ‘With Clock’ for SSA/Site Assessment timeline has not been included in this report.  </w:t>
      </w:r>
    </w:p>
    <w:p w14:paraId="2C220025" w14:textId="77777777" w:rsidR="00B26527" w:rsidRDefault="00B26527" w:rsidP="00B26527">
      <w:pPr>
        <w:pStyle w:val="Heading3"/>
      </w:pPr>
      <w:bookmarkStart w:id="40" w:name="_5a_SSA/Site_Assessment"/>
      <w:bookmarkStart w:id="41" w:name="_Toc79679539"/>
      <w:bookmarkEnd w:id="40"/>
      <w:r>
        <w:t>5a SSA/Site Assessment Timeline – from HREC Approval Date ‘Without Clock’</w:t>
      </w:r>
      <w:bookmarkEnd w:id="41"/>
    </w:p>
    <w:p w14:paraId="2F6C504D" w14:textId="77777777" w:rsidR="00B26527" w:rsidRPr="002D078B" w:rsidRDefault="00B26527" w:rsidP="00B26527">
      <w:r w:rsidRPr="002D078B">
        <w:t xml:space="preserve">Metric 5a measures the time from Date of ethics approval to Authorisation Clock Stop Date, 'Without clock’ operating. </w:t>
      </w:r>
    </w:p>
    <w:p w14:paraId="6951710A" w14:textId="77777777" w:rsidR="00B26527" w:rsidRPr="00B26527" w:rsidRDefault="00B26527" w:rsidP="00B26527">
      <w:r w:rsidRPr="002D078B">
        <w:lastRenderedPageBreak/>
        <w:t>Metric 5a indicates that approximately 40 per cent of SSAs were authorised within 60 days of ethics approval. This suggests that the investigator/trial coordinator may be delayed in preparing the SSA documentation. However, this result is a significant improvement compared to 2016-17 data, which indicated only 26 per cent of SSAs were authorised within 60 days of ethics approval at that time.</w:t>
      </w:r>
      <w:r>
        <w:t xml:space="preserve"> </w:t>
      </w:r>
      <w:r w:rsidRPr="002D078B">
        <w:t>A proportion of long periods (180+days) may occur when additional trial sites are added later or due to other complexities associated with trials.</w:t>
      </w:r>
    </w:p>
    <w:p w14:paraId="746A6904" w14:textId="6B1FA2BE" w:rsidR="00B26527" w:rsidRDefault="00B26527" w:rsidP="00B26527">
      <w:pPr>
        <w:pStyle w:val="Caption"/>
      </w:pPr>
      <w:r>
        <w:t xml:space="preserve">Figure </w:t>
      </w:r>
      <w:r w:rsidR="008F1828">
        <w:fldChar w:fldCharType="begin"/>
      </w:r>
      <w:r w:rsidR="008F1828">
        <w:instrText xml:space="preserve"> SEQ Figure \* ARABIC </w:instrText>
      </w:r>
      <w:r w:rsidR="008F1828">
        <w:fldChar w:fldCharType="separate"/>
      </w:r>
      <w:r w:rsidR="00A73B36">
        <w:rPr>
          <w:noProof/>
        </w:rPr>
        <w:t>6</w:t>
      </w:r>
      <w:r w:rsidR="008F1828">
        <w:rPr>
          <w:noProof/>
        </w:rPr>
        <w:fldChar w:fldCharType="end"/>
      </w:r>
      <w:r>
        <w:t xml:space="preserve">: </w:t>
      </w:r>
      <w:r w:rsidRPr="002233FD">
        <w:t>SSA/Site Assessment timeline – from Ethics Approval Date (Without Clock)</w:t>
      </w:r>
    </w:p>
    <w:p w14:paraId="314BBD3C" w14:textId="77777777" w:rsidR="00B26527" w:rsidRDefault="00B26527" w:rsidP="00B26527">
      <w:pPr>
        <w:spacing w:before="0"/>
        <w:rPr>
          <w:rFonts w:eastAsia="MS Gothic" w:cstheme="minorHAnsi"/>
          <w:iCs/>
          <w:color w:val="358189"/>
          <w:lang w:val="en-US"/>
        </w:rPr>
      </w:pPr>
      <w:r w:rsidRPr="007B73BD">
        <w:rPr>
          <w:rFonts w:cs="Arial"/>
          <w:noProof/>
          <w:color w:val="FF0000"/>
          <w:lang w:eastAsia="en-AU"/>
        </w:rPr>
        <w:drawing>
          <wp:inline distT="0" distB="0" distL="0" distR="0" wp14:anchorId="3277C404" wp14:editId="37A7AEF0">
            <wp:extent cx="5720143" cy="2123954"/>
            <wp:effectExtent l="0" t="0" r="0" b="0"/>
            <wp:docPr id="15" name="Picture 15" descr="Figure 6 is a chart presenting SSA/Site Assessment Timeline - from HREC Approval Date (Wihtout Clock) by days taken" title="Figure 6: SSA/Site Assessment timeline – from Ethics Approval Date (Without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0143" cy="2123954"/>
                    </a:xfrm>
                    <a:prstGeom prst="rect">
                      <a:avLst/>
                    </a:prstGeom>
                    <a:noFill/>
                  </pic:spPr>
                </pic:pic>
              </a:graphicData>
            </a:graphic>
          </wp:inline>
        </w:drawing>
      </w:r>
    </w:p>
    <w:p w14:paraId="41A76729" w14:textId="5CACD8EC" w:rsidR="00B26527" w:rsidRPr="007E2B97" w:rsidRDefault="00B26527" w:rsidP="00B26527">
      <w:pPr>
        <w:pStyle w:val="Note"/>
      </w:pPr>
      <w:r w:rsidRPr="007E2B97">
        <w:t>Note:  Jurisdictions represented are:  New South Wales, Northern Territory, Queensland, South Australia, Western Australia, and Victoria. The ethics application must be approved before an SSA/</w:t>
      </w:r>
      <w:r w:rsidR="00B751E3">
        <w:t>S</w:t>
      </w:r>
      <w:r w:rsidRPr="007E2B97">
        <w:t xml:space="preserve">ite assessment can be authorised/completed. </w:t>
      </w:r>
    </w:p>
    <w:p w14:paraId="4E2D6ADB" w14:textId="14B2B98E" w:rsidR="003C64DE" w:rsidRPr="003C64DE" w:rsidRDefault="003C64DE" w:rsidP="003C64DE">
      <w:r w:rsidRPr="002D078B">
        <w:t xml:space="preserve">Note that in </w:t>
      </w:r>
      <w:hyperlink w:anchor="_Metric_2:_Overall" w:history="1">
        <w:r w:rsidRPr="00B501DC">
          <w:rPr>
            <w:rStyle w:val="Hyperlink"/>
          </w:rPr>
          <w:t>Metric 2</w:t>
        </w:r>
      </w:hyperlink>
      <w:r w:rsidRPr="002D078B">
        <w:t xml:space="preserve"> (w</w:t>
      </w:r>
      <w:r>
        <w:t>i</w:t>
      </w:r>
      <w:r w:rsidRPr="002D078B">
        <w:t xml:space="preserve">thout clock) 10 per cent of trials fell within a 60 day completion timeline and for SSAs only (Metric 5a) 40 per cent of trial site SSAs were authorised within 60 days. However, </w:t>
      </w:r>
      <w:hyperlink w:anchor="_Metric_2:_Overall" w:history="1">
        <w:r w:rsidRPr="00B501DC">
          <w:rPr>
            <w:rStyle w:val="Hyperlink"/>
          </w:rPr>
          <w:t>Metric 2</w:t>
        </w:r>
      </w:hyperlink>
      <w:r w:rsidRPr="002D078B">
        <w:t xml:space="preserve"> uses the first authorised SSA only and 38.8 ± 2.8 days was the average in the 60 day time period. In Metric 5a all SSA/Site Assessment times were measured and authorisation was 27.9±1.2 days in the </w:t>
      </w:r>
      <w:proofErr w:type="gramStart"/>
      <w:r w:rsidRPr="002D078B">
        <w:t>60 day</w:t>
      </w:r>
      <w:proofErr w:type="gramEnd"/>
      <w:r w:rsidRPr="002D078B">
        <w:t xml:space="preserve"> time period. This metric does not have the ethics approval time included. </w:t>
      </w:r>
      <w:r>
        <w:t xml:space="preserve"> </w:t>
      </w:r>
      <w:r w:rsidR="00B501DC">
        <w:t>SSAs/S</w:t>
      </w:r>
      <w:r w:rsidRPr="002D078B">
        <w:t xml:space="preserve">ite assessments in the case of multi-centre trials may have longer timelines and could be an area of focus for performance improvement at trial sites. </w:t>
      </w:r>
    </w:p>
    <w:p w14:paraId="3F694107" w14:textId="329495B3" w:rsidR="003C64DE" w:rsidRDefault="003C64DE" w:rsidP="00B67F04">
      <w:pPr>
        <w:pStyle w:val="Caption"/>
      </w:pPr>
      <w:r>
        <w:t xml:space="preserve">Table </w:t>
      </w:r>
      <w:r w:rsidR="008F1828">
        <w:fldChar w:fldCharType="begin"/>
      </w:r>
      <w:r w:rsidR="008F1828">
        <w:instrText xml:space="preserve"> SEQ Table \* ARABIC </w:instrText>
      </w:r>
      <w:r w:rsidR="008F1828">
        <w:fldChar w:fldCharType="separate"/>
      </w:r>
      <w:r w:rsidR="00A73B36">
        <w:rPr>
          <w:noProof/>
        </w:rPr>
        <w:t>7</w:t>
      </w:r>
      <w:r w:rsidR="008F1828">
        <w:rPr>
          <w:noProof/>
        </w:rPr>
        <w:fldChar w:fldCharType="end"/>
      </w:r>
      <w:r>
        <w:t xml:space="preserve">: </w:t>
      </w:r>
      <w:r w:rsidRPr="00D32B1E">
        <w:t>SSA/Site Assessment mean timeline – from Ethics Approval Date (Without Clock)</w:t>
      </w:r>
    </w:p>
    <w:tbl>
      <w:tblPr>
        <w:tblW w:w="895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Caption w:val="Table 7: SSA/Site Assessment mean timeline – from Ethics Approval Date (Without Clock)"/>
        <w:tblDescription w:val="Table 7 provides a breakdown by calendar days of the SSA/Site Assessment mean timeline - from Ethics Approval Date (without clock)"/>
      </w:tblPr>
      <w:tblGrid>
        <w:gridCol w:w="1307"/>
        <w:gridCol w:w="1556"/>
        <w:gridCol w:w="1559"/>
        <w:gridCol w:w="1701"/>
        <w:gridCol w:w="1494"/>
        <w:gridCol w:w="1341"/>
      </w:tblGrid>
      <w:tr w:rsidR="003C64DE" w:rsidRPr="00616CF6" w14:paraId="6ED2D3CC" w14:textId="77777777" w:rsidTr="00114393">
        <w:trPr>
          <w:trHeight w:val="441"/>
        </w:trPr>
        <w:tc>
          <w:tcPr>
            <w:tcW w:w="1307" w:type="dxa"/>
            <w:vMerge w:val="restart"/>
            <w:shd w:val="clear" w:color="auto" w:fill="00B8B4"/>
            <w:noWrap/>
            <w:vAlign w:val="center"/>
            <w:hideMark/>
          </w:tcPr>
          <w:p w14:paraId="43F091D8" w14:textId="77777777" w:rsidR="003C64DE" w:rsidRPr="008D4BC2" w:rsidRDefault="003C64DE" w:rsidP="0055365E">
            <w:pPr>
              <w:jc w:val="center"/>
              <w:rPr>
                <w:b/>
                <w:color w:val="FFFFFF" w:themeColor="background1"/>
              </w:rPr>
            </w:pPr>
            <w:r w:rsidRPr="008D4BC2">
              <w:rPr>
                <w:b/>
                <w:color w:val="FFFFFF" w:themeColor="background1"/>
              </w:rPr>
              <w:t>Year</w:t>
            </w:r>
          </w:p>
        </w:tc>
        <w:tc>
          <w:tcPr>
            <w:tcW w:w="6310" w:type="dxa"/>
            <w:gridSpan w:val="4"/>
            <w:shd w:val="clear" w:color="auto" w:fill="00B8B4"/>
            <w:vAlign w:val="center"/>
            <w:hideMark/>
          </w:tcPr>
          <w:p w14:paraId="7F17DF4F" w14:textId="77777777" w:rsidR="003C64DE" w:rsidRPr="008D4BC2" w:rsidRDefault="003C64DE" w:rsidP="0055365E">
            <w:pPr>
              <w:jc w:val="center"/>
              <w:rPr>
                <w:b/>
                <w:color w:val="FFFFFF" w:themeColor="background1"/>
              </w:rPr>
            </w:pPr>
            <w:r w:rsidRPr="008D4BC2">
              <w:rPr>
                <w:b/>
                <w:bCs/>
                <w:color w:val="FFFFFF" w:themeColor="background1"/>
              </w:rPr>
              <w:t>C</w:t>
            </w:r>
            <w:r w:rsidRPr="008D4BC2">
              <w:rPr>
                <w:b/>
                <w:color w:val="FFFFFF" w:themeColor="background1"/>
              </w:rPr>
              <w:t xml:space="preserve">alendar </w:t>
            </w:r>
            <w:r w:rsidRPr="008D4BC2">
              <w:rPr>
                <w:b/>
                <w:bCs/>
                <w:color w:val="FFFFFF" w:themeColor="background1"/>
              </w:rPr>
              <w:t>D</w:t>
            </w:r>
            <w:r w:rsidRPr="008D4BC2">
              <w:rPr>
                <w:b/>
                <w:color w:val="FFFFFF" w:themeColor="background1"/>
              </w:rPr>
              <w:t>ays</w:t>
            </w:r>
          </w:p>
        </w:tc>
        <w:tc>
          <w:tcPr>
            <w:tcW w:w="1341" w:type="dxa"/>
            <w:vMerge w:val="restart"/>
            <w:shd w:val="clear" w:color="auto" w:fill="00B8B4"/>
            <w:vAlign w:val="center"/>
            <w:hideMark/>
          </w:tcPr>
          <w:p w14:paraId="51DEE3B7" w14:textId="77777777" w:rsidR="003C64DE" w:rsidRPr="008D4BC2" w:rsidRDefault="003C64DE" w:rsidP="0055365E">
            <w:pPr>
              <w:jc w:val="center"/>
              <w:rPr>
                <w:b/>
                <w:color w:val="FFFFFF" w:themeColor="background1"/>
              </w:rPr>
            </w:pPr>
            <w:r w:rsidRPr="008D4BC2">
              <w:rPr>
                <w:b/>
                <w:color w:val="FFFFFF" w:themeColor="background1"/>
              </w:rPr>
              <w:t>Total</w:t>
            </w:r>
          </w:p>
        </w:tc>
      </w:tr>
      <w:tr w:rsidR="003C64DE" w:rsidRPr="00616CF6" w14:paraId="4BD12DE0" w14:textId="77777777" w:rsidTr="00114393">
        <w:trPr>
          <w:trHeight w:val="491"/>
        </w:trPr>
        <w:tc>
          <w:tcPr>
            <w:tcW w:w="1307" w:type="dxa"/>
            <w:vMerge/>
            <w:shd w:val="clear" w:color="auto" w:fill="5EBAAB"/>
            <w:noWrap/>
            <w:vAlign w:val="bottom"/>
          </w:tcPr>
          <w:p w14:paraId="29141DAA" w14:textId="77777777" w:rsidR="003C64DE" w:rsidRPr="008D4BC2" w:rsidRDefault="003C64DE" w:rsidP="0055365E">
            <w:pPr>
              <w:spacing w:before="0"/>
              <w:rPr>
                <w:b/>
                <w:bCs/>
                <w:color w:val="FFFFFF" w:themeColor="background1"/>
              </w:rPr>
            </w:pPr>
          </w:p>
        </w:tc>
        <w:tc>
          <w:tcPr>
            <w:tcW w:w="1556" w:type="dxa"/>
            <w:tcBorders>
              <w:bottom w:val="single" w:sz="4" w:space="0" w:color="F2F2F2" w:themeColor="background1" w:themeShade="F2"/>
            </w:tcBorders>
            <w:shd w:val="clear" w:color="auto" w:fill="00B8B4"/>
            <w:vAlign w:val="center"/>
          </w:tcPr>
          <w:p w14:paraId="03C2D39C" w14:textId="77777777" w:rsidR="003C64DE" w:rsidRPr="008D4BC2" w:rsidRDefault="003C64DE" w:rsidP="0055365E">
            <w:pPr>
              <w:spacing w:before="0"/>
              <w:jc w:val="center"/>
              <w:rPr>
                <w:b/>
                <w:bCs/>
                <w:color w:val="FFFFFF" w:themeColor="background1"/>
              </w:rPr>
            </w:pPr>
            <w:r w:rsidRPr="008D4BC2">
              <w:rPr>
                <w:b/>
                <w:color w:val="FFFFFF" w:themeColor="background1"/>
              </w:rPr>
              <w:t>0-60</w:t>
            </w:r>
          </w:p>
        </w:tc>
        <w:tc>
          <w:tcPr>
            <w:tcW w:w="1559" w:type="dxa"/>
            <w:tcBorders>
              <w:bottom w:val="single" w:sz="4" w:space="0" w:color="F2F2F2" w:themeColor="background1" w:themeShade="F2"/>
            </w:tcBorders>
            <w:shd w:val="clear" w:color="auto" w:fill="00B8B4"/>
            <w:vAlign w:val="center"/>
          </w:tcPr>
          <w:p w14:paraId="643CBAC5" w14:textId="77777777" w:rsidR="003C64DE" w:rsidRPr="008D4BC2" w:rsidRDefault="003C64DE" w:rsidP="0055365E">
            <w:pPr>
              <w:spacing w:before="0"/>
              <w:jc w:val="center"/>
              <w:rPr>
                <w:b/>
                <w:bCs/>
                <w:color w:val="FFFFFF" w:themeColor="background1"/>
              </w:rPr>
            </w:pPr>
            <w:r w:rsidRPr="008D4BC2">
              <w:rPr>
                <w:b/>
                <w:color w:val="FFFFFF" w:themeColor="background1"/>
              </w:rPr>
              <w:t>61-120</w:t>
            </w:r>
          </w:p>
        </w:tc>
        <w:tc>
          <w:tcPr>
            <w:tcW w:w="1701" w:type="dxa"/>
            <w:tcBorders>
              <w:bottom w:val="single" w:sz="4" w:space="0" w:color="F2F2F2" w:themeColor="background1" w:themeShade="F2"/>
            </w:tcBorders>
            <w:shd w:val="clear" w:color="auto" w:fill="00B8B4"/>
            <w:vAlign w:val="center"/>
          </w:tcPr>
          <w:p w14:paraId="08D61320" w14:textId="77777777" w:rsidR="003C64DE" w:rsidRPr="008D4BC2" w:rsidRDefault="003C64DE" w:rsidP="0055365E">
            <w:pPr>
              <w:spacing w:before="0"/>
              <w:jc w:val="center"/>
              <w:rPr>
                <w:b/>
                <w:bCs/>
                <w:color w:val="FFFFFF" w:themeColor="background1"/>
              </w:rPr>
            </w:pPr>
            <w:r w:rsidRPr="008D4BC2">
              <w:rPr>
                <w:b/>
                <w:color w:val="FFFFFF" w:themeColor="background1"/>
              </w:rPr>
              <w:t>121-180</w:t>
            </w:r>
          </w:p>
        </w:tc>
        <w:tc>
          <w:tcPr>
            <w:tcW w:w="1494" w:type="dxa"/>
            <w:tcBorders>
              <w:bottom w:val="single" w:sz="4" w:space="0" w:color="F2F2F2" w:themeColor="background1" w:themeShade="F2"/>
            </w:tcBorders>
            <w:shd w:val="clear" w:color="auto" w:fill="00B8B4"/>
            <w:vAlign w:val="center"/>
          </w:tcPr>
          <w:p w14:paraId="17A87A42" w14:textId="77777777" w:rsidR="003C64DE" w:rsidRPr="008D4BC2" w:rsidRDefault="003C64DE" w:rsidP="0055365E">
            <w:pPr>
              <w:spacing w:before="0"/>
              <w:jc w:val="center"/>
              <w:rPr>
                <w:b/>
                <w:bCs/>
                <w:color w:val="FFFFFF" w:themeColor="background1"/>
              </w:rPr>
            </w:pPr>
            <w:r w:rsidRPr="008D4BC2">
              <w:rPr>
                <w:b/>
                <w:color w:val="FFFFFF" w:themeColor="background1"/>
              </w:rPr>
              <w:t>180+</w:t>
            </w:r>
          </w:p>
        </w:tc>
        <w:tc>
          <w:tcPr>
            <w:tcW w:w="1341" w:type="dxa"/>
            <w:vMerge/>
            <w:tcBorders>
              <w:bottom w:val="single" w:sz="4" w:space="0" w:color="F2F2F2" w:themeColor="background1" w:themeShade="F2"/>
            </w:tcBorders>
            <w:shd w:val="clear" w:color="auto" w:fill="5EBAAB"/>
            <w:vAlign w:val="bottom"/>
          </w:tcPr>
          <w:p w14:paraId="35670254" w14:textId="77777777" w:rsidR="003C64DE" w:rsidRPr="008D4BC2" w:rsidRDefault="003C64DE" w:rsidP="0055365E">
            <w:pPr>
              <w:spacing w:before="0"/>
              <w:rPr>
                <w:b/>
                <w:bCs/>
                <w:color w:val="FFFFFF" w:themeColor="background1"/>
              </w:rPr>
            </w:pPr>
          </w:p>
        </w:tc>
      </w:tr>
      <w:tr w:rsidR="003C64DE" w:rsidRPr="00616CF6" w14:paraId="29FDF38E" w14:textId="77777777" w:rsidTr="00114393">
        <w:trPr>
          <w:trHeight w:val="290"/>
        </w:trPr>
        <w:tc>
          <w:tcPr>
            <w:tcW w:w="1307" w:type="dxa"/>
            <w:vMerge w:val="restart"/>
            <w:shd w:val="clear" w:color="auto" w:fill="A9DBD3"/>
            <w:noWrap/>
            <w:vAlign w:val="center"/>
            <w:hideMark/>
          </w:tcPr>
          <w:p w14:paraId="32D9D0A7" w14:textId="77777777" w:rsidR="003C64DE" w:rsidRPr="003C64DE" w:rsidRDefault="003C64DE" w:rsidP="0055365E">
            <w:pPr>
              <w:spacing w:before="0"/>
              <w:jc w:val="center"/>
              <w:rPr>
                <w:rFonts w:cs="Arial"/>
                <w:bCs/>
                <w:lang w:eastAsia="en-AU"/>
              </w:rPr>
            </w:pPr>
            <w:r w:rsidRPr="003C64DE">
              <w:rPr>
                <w:rFonts w:cs="Arial"/>
                <w:bCs/>
                <w:lang w:eastAsia="en-AU"/>
              </w:rPr>
              <w:t>2018/19</w:t>
            </w:r>
          </w:p>
        </w:tc>
        <w:tc>
          <w:tcPr>
            <w:tcW w:w="1556"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9DBD3"/>
            <w:noWrap/>
          </w:tcPr>
          <w:p w14:paraId="69266E2F" w14:textId="77777777" w:rsidR="003C64DE" w:rsidRPr="003C64DE" w:rsidRDefault="003C64DE" w:rsidP="0055365E">
            <w:pPr>
              <w:spacing w:before="0"/>
              <w:jc w:val="center"/>
              <w:rPr>
                <w:rFonts w:cs="Arial"/>
                <w:lang w:eastAsia="en-AU"/>
              </w:rPr>
            </w:pPr>
            <w:r w:rsidRPr="003C64DE">
              <w:t>27.9 ± 1.2</w:t>
            </w: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025DE0E9" w14:textId="77777777" w:rsidR="003C64DE" w:rsidRPr="003C64DE" w:rsidRDefault="003C64DE" w:rsidP="0055365E">
            <w:pPr>
              <w:spacing w:before="0"/>
              <w:jc w:val="center"/>
              <w:rPr>
                <w:rFonts w:cs="Arial"/>
                <w:lang w:eastAsia="en-AU"/>
              </w:rPr>
            </w:pPr>
            <w:r w:rsidRPr="003C64DE">
              <w:t>91.0 ± 1.4</w:t>
            </w:r>
          </w:p>
        </w:tc>
        <w:tc>
          <w:tcPr>
            <w:tcW w:w="170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668A0A55" w14:textId="77777777" w:rsidR="003C64DE" w:rsidRPr="003C64DE" w:rsidRDefault="003C64DE" w:rsidP="0055365E">
            <w:pPr>
              <w:spacing w:before="0"/>
              <w:jc w:val="center"/>
              <w:rPr>
                <w:rFonts w:cs="Arial"/>
                <w:lang w:eastAsia="en-AU"/>
              </w:rPr>
            </w:pPr>
            <w:r w:rsidRPr="003C64DE">
              <w:t>148.1 ± 1.6</w:t>
            </w:r>
          </w:p>
        </w:tc>
        <w:tc>
          <w:tcPr>
            <w:tcW w:w="14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58BB47DB" w14:textId="77777777" w:rsidR="003C64DE" w:rsidRPr="003C64DE" w:rsidRDefault="003C64DE" w:rsidP="0055365E">
            <w:pPr>
              <w:spacing w:before="0"/>
              <w:jc w:val="center"/>
              <w:rPr>
                <w:rFonts w:cs="Arial"/>
                <w:lang w:eastAsia="en-AU"/>
              </w:rPr>
            </w:pPr>
            <w:r w:rsidRPr="003C64DE">
              <w:t>294.8 ± 10.2</w:t>
            </w:r>
          </w:p>
        </w:tc>
        <w:tc>
          <w:tcPr>
            <w:tcW w:w="13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23C07966" w14:textId="77777777" w:rsidR="003C64DE" w:rsidRPr="003C64DE" w:rsidRDefault="003C64DE" w:rsidP="0055365E">
            <w:pPr>
              <w:spacing w:before="0"/>
              <w:jc w:val="center"/>
              <w:rPr>
                <w:rFonts w:cs="Arial"/>
                <w:lang w:eastAsia="en-AU"/>
              </w:rPr>
            </w:pPr>
            <w:r w:rsidRPr="003C64DE">
              <w:t>118.3 ± 4.4</w:t>
            </w:r>
          </w:p>
        </w:tc>
      </w:tr>
      <w:tr w:rsidR="003C64DE" w:rsidRPr="00616CF6" w14:paraId="1FF8125C" w14:textId="77777777" w:rsidTr="00114393">
        <w:trPr>
          <w:trHeight w:val="290"/>
        </w:trPr>
        <w:tc>
          <w:tcPr>
            <w:tcW w:w="1307" w:type="dxa"/>
            <w:vMerge/>
            <w:shd w:val="clear" w:color="auto" w:fill="A9DBD3"/>
            <w:vAlign w:val="center"/>
            <w:hideMark/>
          </w:tcPr>
          <w:p w14:paraId="0E755C97" w14:textId="77777777" w:rsidR="003C64DE" w:rsidRPr="003C64DE" w:rsidRDefault="003C64DE" w:rsidP="0055365E">
            <w:pPr>
              <w:spacing w:before="0"/>
              <w:rPr>
                <w:rFonts w:cs="Arial"/>
                <w:bCs/>
                <w:lang w:eastAsia="en-AU"/>
              </w:rPr>
            </w:pPr>
          </w:p>
        </w:tc>
        <w:tc>
          <w:tcPr>
            <w:tcW w:w="1556"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9DBD3"/>
            <w:noWrap/>
          </w:tcPr>
          <w:p w14:paraId="476DC3B4" w14:textId="77777777" w:rsidR="003C64DE" w:rsidRPr="003C64DE" w:rsidRDefault="003C64DE" w:rsidP="0055365E">
            <w:pPr>
              <w:spacing w:before="0"/>
              <w:jc w:val="center"/>
              <w:rPr>
                <w:rFonts w:cs="Arial"/>
                <w:lang w:eastAsia="en-AU"/>
              </w:rPr>
            </w:pPr>
            <w:r w:rsidRPr="003C64DE">
              <w:t>(n=276)</w:t>
            </w: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58F9A8BB" w14:textId="77777777" w:rsidR="003C64DE" w:rsidRPr="003C64DE" w:rsidRDefault="003C64DE" w:rsidP="0055365E">
            <w:pPr>
              <w:spacing w:before="0"/>
              <w:jc w:val="center"/>
              <w:rPr>
                <w:rFonts w:cs="Arial"/>
                <w:lang w:eastAsia="en-AU"/>
              </w:rPr>
            </w:pPr>
            <w:r w:rsidRPr="003C64DE">
              <w:t>(n=158)</w:t>
            </w:r>
          </w:p>
        </w:tc>
        <w:tc>
          <w:tcPr>
            <w:tcW w:w="170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7CCAEDB0" w14:textId="77777777" w:rsidR="003C64DE" w:rsidRPr="003C64DE" w:rsidRDefault="003C64DE" w:rsidP="0055365E">
            <w:pPr>
              <w:spacing w:before="0"/>
              <w:jc w:val="center"/>
              <w:rPr>
                <w:rFonts w:cs="Arial"/>
                <w:lang w:eastAsia="en-AU"/>
              </w:rPr>
            </w:pPr>
            <w:r w:rsidRPr="003C64DE">
              <w:t>(n=112)</w:t>
            </w:r>
          </w:p>
        </w:tc>
        <w:tc>
          <w:tcPr>
            <w:tcW w:w="14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100D7E63" w14:textId="77777777" w:rsidR="003C64DE" w:rsidRPr="003C64DE" w:rsidRDefault="003C64DE" w:rsidP="0055365E">
            <w:pPr>
              <w:spacing w:before="0"/>
              <w:jc w:val="center"/>
              <w:rPr>
                <w:rFonts w:cs="Arial"/>
                <w:lang w:eastAsia="en-AU"/>
              </w:rPr>
            </w:pPr>
            <w:r w:rsidRPr="003C64DE">
              <w:t>(n=147)</w:t>
            </w:r>
          </w:p>
        </w:tc>
        <w:tc>
          <w:tcPr>
            <w:tcW w:w="13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70B662C5" w14:textId="77777777" w:rsidR="003C64DE" w:rsidRPr="003C64DE" w:rsidRDefault="003C64DE" w:rsidP="0055365E">
            <w:pPr>
              <w:spacing w:before="0"/>
              <w:jc w:val="center"/>
              <w:rPr>
                <w:rFonts w:cs="Arial"/>
                <w:lang w:eastAsia="en-AU"/>
              </w:rPr>
            </w:pPr>
            <w:r w:rsidRPr="003C64DE">
              <w:t>(n=693)</w:t>
            </w:r>
          </w:p>
        </w:tc>
      </w:tr>
    </w:tbl>
    <w:p w14:paraId="0AE51164" w14:textId="77777777" w:rsidR="003C64DE" w:rsidRDefault="003C64DE" w:rsidP="003C64DE">
      <w:pPr>
        <w:pStyle w:val="Note"/>
      </w:pPr>
      <w:r w:rsidRPr="002D078B">
        <w:t xml:space="preserve">The mean and standard error for each </w:t>
      </w:r>
      <w:proofErr w:type="gramStart"/>
      <w:r w:rsidRPr="002D078B">
        <w:t>time period</w:t>
      </w:r>
      <w:proofErr w:type="gramEnd"/>
      <w:r w:rsidRPr="002D078B">
        <w:t xml:space="preserve"> is shown and the number of trials is in brackets.</w:t>
      </w:r>
    </w:p>
    <w:p w14:paraId="10D8E520" w14:textId="77777777" w:rsidR="003C64DE" w:rsidRDefault="00502D76" w:rsidP="00502D76">
      <w:pPr>
        <w:pStyle w:val="Heading3"/>
      </w:pPr>
      <w:bookmarkStart w:id="42" w:name="_Toc79679540"/>
      <w:r>
        <w:t>5b SSA/Site Assessment Timeline – from SSA Validation Date ‘Without Clock’</w:t>
      </w:r>
      <w:bookmarkEnd w:id="42"/>
    </w:p>
    <w:p w14:paraId="6BDAAE26" w14:textId="77777777" w:rsidR="0059655E" w:rsidRPr="002D078B" w:rsidRDefault="0059655E" w:rsidP="0059655E">
      <w:r w:rsidRPr="002D078B">
        <w:t xml:space="preserve">Time from SSA validation Date to Authorisation Clock Stop Date, 'Without Clock’ operating. </w:t>
      </w:r>
    </w:p>
    <w:p w14:paraId="3F57EA7B" w14:textId="075EF5E1" w:rsidR="0059655E" w:rsidRPr="002D078B" w:rsidRDefault="0059655E" w:rsidP="0059655E">
      <w:r w:rsidRPr="002D078B">
        <w:t xml:space="preserve">There is no deduction of time intervals (clock </w:t>
      </w:r>
      <w:r w:rsidR="0074302F">
        <w:t>stop and re-start) for the SSA/S</w:t>
      </w:r>
      <w:r w:rsidRPr="002D078B">
        <w:t>ite assessment process. There is inconsistent use of the stop and re-start clock function across jurisdictions and sites and therefore the clock was not used in the SSA process measure in this report.</w:t>
      </w:r>
      <w:r>
        <w:t xml:space="preserve"> </w:t>
      </w:r>
      <w:r w:rsidR="0074302F">
        <w:t>The action to validate an SSA/S</w:t>
      </w:r>
      <w:r w:rsidRPr="002D078B">
        <w:t xml:space="preserve">ite assessment application has </w:t>
      </w:r>
      <w:proofErr w:type="gramStart"/>
      <w:r w:rsidRPr="002D078B">
        <w:t>no</w:t>
      </w:r>
      <w:proofErr w:type="gramEnd"/>
      <w:r w:rsidRPr="002D078B">
        <w:t xml:space="preserve"> desi</w:t>
      </w:r>
      <w:r w:rsidR="0074302F">
        <w:t>gnated ‘start’ date and an SSA/S</w:t>
      </w:r>
      <w:r w:rsidRPr="002D078B">
        <w:t>ite assessment application may be submitted at any point in time. The process may involve a request for additional documentation before review and sign-off by the authorising organisation.</w:t>
      </w:r>
    </w:p>
    <w:p w14:paraId="2ACB4222" w14:textId="77777777" w:rsidR="0059655E" w:rsidRPr="002D078B" w:rsidRDefault="0059655E" w:rsidP="0059655E">
      <w:r w:rsidRPr="002D078B">
        <w:lastRenderedPageBreak/>
        <w:t xml:space="preserve">Measuring the time to process an SSA/Site assessment application from validation indicates 92 per cent of applications complete the process within 60 days. This is a measure of administrative time only. In comparison, when measured from ethics approval date only 40 per cent of applications completed authorisation within 60 days. This suggests submission of applications is significantly delayed after the ethics approval date and/or the processes were not administered concurrently as the ethics application must be approved before an SSA can be authorised/completed. </w:t>
      </w:r>
    </w:p>
    <w:p w14:paraId="52B4D6D6" w14:textId="77777777" w:rsidR="0059655E" w:rsidRPr="0059655E" w:rsidRDefault="0059655E" w:rsidP="0059655E">
      <w:r w:rsidRPr="002D078B">
        <w:t>Using a measure from SSA validation date (Metric 5b)</w:t>
      </w:r>
      <w:r>
        <w:t>,</w:t>
      </w:r>
      <w:r w:rsidRPr="002D078B">
        <w:t xml:space="preserve"> timely SSA processing by the research governance office was evident.</w:t>
      </w:r>
    </w:p>
    <w:p w14:paraId="7EA2AA54" w14:textId="0A51E25C" w:rsidR="0059655E" w:rsidRDefault="0059655E" w:rsidP="0059655E">
      <w:pPr>
        <w:pStyle w:val="Caption"/>
      </w:pPr>
      <w:r>
        <w:t xml:space="preserve">Figure </w:t>
      </w:r>
      <w:r w:rsidR="008F1828">
        <w:fldChar w:fldCharType="begin"/>
      </w:r>
      <w:r w:rsidR="008F1828">
        <w:instrText xml:space="preserve"> SEQ Figure \* ARABIC </w:instrText>
      </w:r>
      <w:r w:rsidR="008F1828">
        <w:fldChar w:fldCharType="separate"/>
      </w:r>
      <w:r w:rsidR="00A73B36">
        <w:rPr>
          <w:noProof/>
        </w:rPr>
        <w:t>7</w:t>
      </w:r>
      <w:r w:rsidR="008F1828">
        <w:rPr>
          <w:noProof/>
        </w:rPr>
        <w:fldChar w:fldCharType="end"/>
      </w:r>
      <w:r>
        <w:t xml:space="preserve">: </w:t>
      </w:r>
      <w:r w:rsidRPr="00622107">
        <w:t>SSA/Site Assessment timeline – from SSA Validation Date (Without Clock)</w:t>
      </w:r>
    </w:p>
    <w:p w14:paraId="416D4982" w14:textId="77777777" w:rsidR="0059655E" w:rsidRPr="007B73BD" w:rsidRDefault="0059655E" w:rsidP="0059655E">
      <w:pPr>
        <w:rPr>
          <w:rFonts w:cs="Arial"/>
        </w:rPr>
      </w:pPr>
      <w:r w:rsidRPr="007B73BD">
        <w:rPr>
          <w:rFonts w:cs="Arial"/>
          <w:noProof/>
          <w:lang w:eastAsia="en-AU"/>
        </w:rPr>
        <w:drawing>
          <wp:inline distT="0" distB="0" distL="0" distR="0" wp14:anchorId="36EEECBA" wp14:editId="06FC769D">
            <wp:extent cx="5441064" cy="2009724"/>
            <wp:effectExtent l="0" t="0" r="7620" b="0"/>
            <wp:docPr id="24" name="Picture 24" descr="Figure 7 is a chart presenting SSA/Site Assessment timeline - from SSA Validation Date (without clock)" title="Figure 7: SSA/Site Assessment timeline – from SSA Validation Date (Without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3325" cy="2025334"/>
                    </a:xfrm>
                    <a:prstGeom prst="rect">
                      <a:avLst/>
                    </a:prstGeom>
                    <a:noFill/>
                  </pic:spPr>
                </pic:pic>
              </a:graphicData>
            </a:graphic>
          </wp:inline>
        </w:drawing>
      </w:r>
    </w:p>
    <w:p w14:paraId="18A9D6C5" w14:textId="77777777" w:rsidR="0059655E" w:rsidRDefault="0059655E" w:rsidP="00EC1958">
      <w:pPr>
        <w:pStyle w:val="Note"/>
      </w:pPr>
      <w:r w:rsidRPr="002D078B">
        <w:t xml:space="preserve">Note: </w:t>
      </w:r>
      <w:r w:rsidRPr="002D078B">
        <w:rPr>
          <w:vertAlign w:val="superscript"/>
        </w:rPr>
        <w:t xml:space="preserve"> </w:t>
      </w:r>
      <w:r w:rsidRPr="002D078B">
        <w:t xml:space="preserve">Jurisdictions represented are: New South Wales, Northern Territory, Queensland, South Australia, </w:t>
      </w:r>
      <w:proofErr w:type="gramStart"/>
      <w:r w:rsidRPr="002D078B">
        <w:t>Victoria</w:t>
      </w:r>
      <w:proofErr w:type="gramEnd"/>
      <w:r w:rsidRPr="002D078B">
        <w:t xml:space="preserve"> and Western Australia</w:t>
      </w:r>
    </w:p>
    <w:p w14:paraId="46A1158A" w14:textId="77777777" w:rsidR="00EC1958" w:rsidRPr="002D078B" w:rsidRDefault="00EC1958" w:rsidP="00EC1958">
      <w:r w:rsidRPr="002D078B">
        <w:t xml:space="preserve">The time taken to authorise an SSA/Site assessment once validated is less than 60 days in </w:t>
      </w:r>
      <w:proofErr w:type="gramStart"/>
      <w:r w:rsidRPr="002D078B">
        <w:t>the majority of</w:t>
      </w:r>
      <w:proofErr w:type="gramEnd"/>
      <w:r w:rsidRPr="002D078B">
        <w:t xml:space="preserve"> cases with a mean time of 8.3±0.5 days (2018-19). </w:t>
      </w:r>
    </w:p>
    <w:p w14:paraId="2CC41E09" w14:textId="65EE324C" w:rsidR="00EC1958" w:rsidRDefault="00EC1958" w:rsidP="00EC1958">
      <w:r w:rsidRPr="002D078B">
        <w:t xml:space="preserve">These times indicate that the site assessment process is short but as </w:t>
      </w:r>
      <w:hyperlink w:anchor="_5a_SSA/Site_Assessment" w:history="1">
        <w:r w:rsidRPr="0074302F">
          <w:rPr>
            <w:rStyle w:val="Hyperlink"/>
          </w:rPr>
          <w:t>Metric 5a</w:t>
        </w:r>
      </w:hyperlink>
      <w:r w:rsidRPr="002D078B">
        <w:t xml:space="preserve"> shows, large variation and time delays occur when the date of ethics approval is the start point whereas Metric 5b measures administrative time once the SSA application is validated. This indicates that there is a large delay because these two processes (ethics and SSA) are not occurring concurrently. This is reflected in </w:t>
      </w:r>
      <w:hyperlink w:anchor="_Metric_2:_Overall" w:history="1">
        <w:r w:rsidRPr="0074302F">
          <w:rPr>
            <w:rStyle w:val="Hyperlink"/>
          </w:rPr>
          <w:t>Metric 2</w:t>
        </w:r>
      </w:hyperlink>
      <w:r w:rsidRPr="002D078B">
        <w:t xml:space="preserve"> where the two process times are measured together.</w:t>
      </w:r>
    </w:p>
    <w:p w14:paraId="7AC0FD02" w14:textId="57216415" w:rsidR="00EC1958" w:rsidRPr="00B67F04" w:rsidRDefault="00EC1958" w:rsidP="00B67F04">
      <w:pPr>
        <w:pStyle w:val="Caption"/>
      </w:pPr>
      <w:r>
        <w:t xml:space="preserve">Table </w:t>
      </w:r>
      <w:r w:rsidR="008F1828">
        <w:fldChar w:fldCharType="begin"/>
      </w:r>
      <w:r w:rsidR="008F1828">
        <w:instrText xml:space="preserve"> SEQ Table \* ARABIC </w:instrText>
      </w:r>
      <w:r w:rsidR="008F1828">
        <w:fldChar w:fldCharType="separate"/>
      </w:r>
      <w:r w:rsidR="00A73B36">
        <w:rPr>
          <w:noProof/>
        </w:rPr>
        <w:t>8</w:t>
      </w:r>
      <w:r w:rsidR="008F1828">
        <w:rPr>
          <w:noProof/>
        </w:rPr>
        <w:fldChar w:fldCharType="end"/>
      </w:r>
      <w:r>
        <w:t xml:space="preserve">: </w:t>
      </w:r>
      <w:r w:rsidRPr="008D2A21">
        <w:t>SSA/Site Assessment mean timeline – from SSA Validation Date to SSA Authorisation Date (Without Clock).</w:t>
      </w:r>
    </w:p>
    <w:tbl>
      <w:tblPr>
        <w:tblW w:w="895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Description w:val="Table 8 provides a breakdown by calendar days of the SSA/Site Assessment mean timeline – from SSA validation date to SSA authorisation date (without clock)"/>
      </w:tblPr>
      <w:tblGrid>
        <w:gridCol w:w="1307"/>
        <w:gridCol w:w="1556"/>
        <w:gridCol w:w="1559"/>
        <w:gridCol w:w="1701"/>
        <w:gridCol w:w="1494"/>
        <w:gridCol w:w="1341"/>
      </w:tblGrid>
      <w:tr w:rsidR="00EC1958" w:rsidRPr="008D4BC2" w14:paraId="133F0114" w14:textId="77777777" w:rsidTr="00B67F04">
        <w:trPr>
          <w:trHeight w:val="441"/>
          <w:tblHeader/>
        </w:trPr>
        <w:tc>
          <w:tcPr>
            <w:tcW w:w="1307" w:type="dxa"/>
            <w:vMerge w:val="restart"/>
            <w:shd w:val="clear" w:color="auto" w:fill="00B8B4"/>
            <w:noWrap/>
            <w:vAlign w:val="center"/>
            <w:hideMark/>
          </w:tcPr>
          <w:p w14:paraId="58B72957" w14:textId="77777777" w:rsidR="00EC1958" w:rsidRPr="008D4BC2" w:rsidRDefault="00EC1958" w:rsidP="00FC0888">
            <w:pPr>
              <w:jc w:val="center"/>
              <w:rPr>
                <w:b/>
                <w:color w:val="FFFFFF" w:themeColor="background1"/>
              </w:rPr>
            </w:pPr>
            <w:r w:rsidRPr="008D4BC2">
              <w:rPr>
                <w:b/>
                <w:color w:val="FFFFFF" w:themeColor="background1"/>
              </w:rPr>
              <w:t>Year</w:t>
            </w:r>
          </w:p>
        </w:tc>
        <w:tc>
          <w:tcPr>
            <w:tcW w:w="6310" w:type="dxa"/>
            <w:gridSpan w:val="4"/>
            <w:shd w:val="clear" w:color="auto" w:fill="00B8B4"/>
            <w:vAlign w:val="center"/>
            <w:hideMark/>
          </w:tcPr>
          <w:p w14:paraId="05B9D2F0" w14:textId="77777777" w:rsidR="00EC1958" w:rsidRPr="008D4BC2" w:rsidRDefault="00EC1958" w:rsidP="00FC0888">
            <w:pPr>
              <w:jc w:val="center"/>
              <w:rPr>
                <w:b/>
                <w:color w:val="FFFFFF" w:themeColor="background1"/>
              </w:rPr>
            </w:pPr>
            <w:r w:rsidRPr="008D4BC2">
              <w:rPr>
                <w:b/>
                <w:bCs/>
                <w:color w:val="FFFFFF" w:themeColor="background1"/>
              </w:rPr>
              <w:t>C</w:t>
            </w:r>
            <w:r w:rsidRPr="008D4BC2">
              <w:rPr>
                <w:b/>
                <w:color w:val="FFFFFF" w:themeColor="background1"/>
              </w:rPr>
              <w:t xml:space="preserve">alendar </w:t>
            </w:r>
            <w:r w:rsidRPr="008D4BC2">
              <w:rPr>
                <w:b/>
                <w:bCs/>
                <w:color w:val="FFFFFF" w:themeColor="background1"/>
              </w:rPr>
              <w:t>D</w:t>
            </w:r>
            <w:r w:rsidRPr="008D4BC2">
              <w:rPr>
                <w:b/>
                <w:color w:val="FFFFFF" w:themeColor="background1"/>
              </w:rPr>
              <w:t>ays</w:t>
            </w:r>
          </w:p>
        </w:tc>
        <w:tc>
          <w:tcPr>
            <w:tcW w:w="1341" w:type="dxa"/>
            <w:vMerge w:val="restart"/>
            <w:shd w:val="clear" w:color="auto" w:fill="00B8B4"/>
            <w:vAlign w:val="center"/>
            <w:hideMark/>
          </w:tcPr>
          <w:p w14:paraId="44DDFCFB" w14:textId="77777777" w:rsidR="00EC1958" w:rsidRPr="008D4BC2" w:rsidRDefault="00EC1958" w:rsidP="00FC0888">
            <w:pPr>
              <w:jc w:val="center"/>
              <w:rPr>
                <w:b/>
                <w:color w:val="FFFFFF" w:themeColor="background1"/>
              </w:rPr>
            </w:pPr>
            <w:r w:rsidRPr="008D4BC2">
              <w:rPr>
                <w:b/>
                <w:color w:val="FFFFFF" w:themeColor="background1"/>
              </w:rPr>
              <w:t>Total</w:t>
            </w:r>
          </w:p>
        </w:tc>
      </w:tr>
      <w:tr w:rsidR="00EC1958" w:rsidRPr="008D4BC2" w14:paraId="40166E23" w14:textId="77777777" w:rsidTr="00114393">
        <w:trPr>
          <w:trHeight w:val="491"/>
        </w:trPr>
        <w:tc>
          <w:tcPr>
            <w:tcW w:w="1307" w:type="dxa"/>
            <w:vMerge/>
            <w:shd w:val="clear" w:color="auto" w:fill="5EBAAB"/>
            <w:noWrap/>
            <w:vAlign w:val="bottom"/>
          </w:tcPr>
          <w:p w14:paraId="73191236" w14:textId="77777777" w:rsidR="00EC1958" w:rsidRPr="008D4BC2" w:rsidRDefault="00EC1958" w:rsidP="00FC0888">
            <w:pPr>
              <w:spacing w:before="0"/>
              <w:rPr>
                <w:b/>
                <w:bCs/>
                <w:color w:val="FFFFFF" w:themeColor="background1"/>
              </w:rPr>
            </w:pPr>
          </w:p>
        </w:tc>
        <w:tc>
          <w:tcPr>
            <w:tcW w:w="1556" w:type="dxa"/>
            <w:tcBorders>
              <w:bottom w:val="single" w:sz="4" w:space="0" w:color="F2F2F2" w:themeColor="background1" w:themeShade="F2"/>
            </w:tcBorders>
            <w:shd w:val="clear" w:color="auto" w:fill="00B8B4"/>
            <w:vAlign w:val="center"/>
          </w:tcPr>
          <w:p w14:paraId="23DC996E" w14:textId="77777777" w:rsidR="00EC1958" w:rsidRPr="008D4BC2" w:rsidRDefault="00EC1958" w:rsidP="00FC0888">
            <w:pPr>
              <w:spacing w:before="0"/>
              <w:jc w:val="center"/>
              <w:rPr>
                <w:b/>
                <w:bCs/>
                <w:color w:val="FFFFFF" w:themeColor="background1"/>
              </w:rPr>
            </w:pPr>
            <w:r w:rsidRPr="008D4BC2">
              <w:rPr>
                <w:b/>
                <w:color w:val="FFFFFF" w:themeColor="background1"/>
              </w:rPr>
              <w:t>0-60</w:t>
            </w:r>
          </w:p>
        </w:tc>
        <w:tc>
          <w:tcPr>
            <w:tcW w:w="1559" w:type="dxa"/>
            <w:tcBorders>
              <w:bottom w:val="single" w:sz="4" w:space="0" w:color="F2F2F2" w:themeColor="background1" w:themeShade="F2"/>
            </w:tcBorders>
            <w:shd w:val="clear" w:color="auto" w:fill="00B8B4"/>
            <w:vAlign w:val="center"/>
          </w:tcPr>
          <w:p w14:paraId="60F6D585" w14:textId="77777777" w:rsidR="00EC1958" w:rsidRPr="008D4BC2" w:rsidRDefault="00EC1958" w:rsidP="00FC0888">
            <w:pPr>
              <w:spacing w:before="0"/>
              <w:jc w:val="center"/>
              <w:rPr>
                <w:b/>
                <w:bCs/>
                <w:color w:val="FFFFFF" w:themeColor="background1"/>
              </w:rPr>
            </w:pPr>
            <w:r w:rsidRPr="008D4BC2">
              <w:rPr>
                <w:b/>
                <w:color w:val="FFFFFF" w:themeColor="background1"/>
              </w:rPr>
              <w:t>61-120</w:t>
            </w:r>
          </w:p>
        </w:tc>
        <w:tc>
          <w:tcPr>
            <w:tcW w:w="1701" w:type="dxa"/>
            <w:tcBorders>
              <w:bottom w:val="single" w:sz="4" w:space="0" w:color="F2F2F2" w:themeColor="background1" w:themeShade="F2"/>
            </w:tcBorders>
            <w:shd w:val="clear" w:color="auto" w:fill="00B8B4"/>
            <w:vAlign w:val="center"/>
          </w:tcPr>
          <w:p w14:paraId="786A30DF" w14:textId="77777777" w:rsidR="00EC1958" w:rsidRPr="008D4BC2" w:rsidRDefault="00EC1958" w:rsidP="00FC0888">
            <w:pPr>
              <w:spacing w:before="0"/>
              <w:jc w:val="center"/>
              <w:rPr>
                <w:b/>
                <w:bCs/>
                <w:color w:val="FFFFFF" w:themeColor="background1"/>
              </w:rPr>
            </w:pPr>
            <w:r w:rsidRPr="008D4BC2">
              <w:rPr>
                <w:b/>
                <w:color w:val="FFFFFF" w:themeColor="background1"/>
              </w:rPr>
              <w:t>121-180</w:t>
            </w:r>
          </w:p>
        </w:tc>
        <w:tc>
          <w:tcPr>
            <w:tcW w:w="1494" w:type="dxa"/>
            <w:tcBorders>
              <w:bottom w:val="single" w:sz="4" w:space="0" w:color="F2F2F2" w:themeColor="background1" w:themeShade="F2"/>
            </w:tcBorders>
            <w:shd w:val="clear" w:color="auto" w:fill="00B8B4"/>
            <w:vAlign w:val="center"/>
          </w:tcPr>
          <w:p w14:paraId="1CE1C7E3" w14:textId="77777777" w:rsidR="00EC1958" w:rsidRPr="008D4BC2" w:rsidRDefault="00EC1958" w:rsidP="00FC0888">
            <w:pPr>
              <w:spacing w:before="0"/>
              <w:jc w:val="center"/>
              <w:rPr>
                <w:b/>
                <w:bCs/>
                <w:color w:val="FFFFFF" w:themeColor="background1"/>
              </w:rPr>
            </w:pPr>
            <w:r w:rsidRPr="008D4BC2">
              <w:rPr>
                <w:b/>
                <w:color w:val="FFFFFF" w:themeColor="background1"/>
              </w:rPr>
              <w:t>180+</w:t>
            </w:r>
          </w:p>
        </w:tc>
        <w:tc>
          <w:tcPr>
            <w:tcW w:w="1341" w:type="dxa"/>
            <w:vMerge/>
            <w:tcBorders>
              <w:bottom w:val="single" w:sz="4" w:space="0" w:color="F2F2F2" w:themeColor="background1" w:themeShade="F2"/>
            </w:tcBorders>
            <w:shd w:val="clear" w:color="auto" w:fill="5EBAAB"/>
            <w:vAlign w:val="bottom"/>
          </w:tcPr>
          <w:p w14:paraId="1CBE0019" w14:textId="77777777" w:rsidR="00EC1958" w:rsidRPr="008D4BC2" w:rsidRDefault="00EC1958" w:rsidP="00FC0888">
            <w:pPr>
              <w:spacing w:before="0"/>
              <w:rPr>
                <w:b/>
                <w:bCs/>
                <w:color w:val="FFFFFF" w:themeColor="background1"/>
              </w:rPr>
            </w:pPr>
          </w:p>
        </w:tc>
      </w:tr>
      <w:tr w:rsidR="00EC1958" w:rsidRPr="008D4BC2" w14:paraId="6B07B98B" w14:textId="77777777" w:rsidTr="00114393">
        <w:trPr>
          <w:trHeight w:val="290"/>
        </w:trPr>
        <w:tc>
          <w:tcPr>
            <w:tcW w:w="1307" w:type="dxa"/>
            <w:vMerge w:val="restart"/>
            <w:shd w:val="clear" w:color="auto" w:fill="A9DBD3"/>
            <w:noWrap/>
            <w:vAlign w:val="center"/>
            <w:hideMark/>
          </w:tcPr>
          <w:p w14:paraId="378C1141" w14:textId="77777777" w:rsidR="00EC1958" w:rsidRPr="00EC1958" w:rsidRDefault="00EC1958" w:rsidP="00FC0888">
            <w:pPr>
              <w:spacing w:before="0"/>
              <w:jc w:val="center"/>
              <w:rPr>
                <w:rFonts w:cs="Arial"/>
                <w:bCs/>
                <w:lang w:eastAsia="en-AU"/>
              </w:rPr>
            </w:pPr>
            <w:r w:rsidRPr="00EC1958">
              <w:rPr>
                <w:rFonts w:cs="Arial"/>
                <w:bCs/>
                <w:lang w:eastAsia="en-AU"/>
              </w:rPr>
              <w:t>2018/19</w:t>
            </w:r>
          </w:p>
        </w:tc>
        <w:tc>
          <w:tcPr>
            <w:tcW w:w="1556"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9DBD3"/>
            <w:noWrap/>
          </w:tcPr>
          <w:p w14:paraId="137EAA9B" w14:textId="77777777" w:rsidR="00EC1958" w:rsidRPr="00EC1958" w:rsidRDefault="00EC1958" w:rsidP="00FC0888">
            <w:pPr>
              <w:spacing w:before="0"/>
              <w:jc w:val="center"/>
              <w:rPr>
                <w:rFonts w:cs="Arial"/>
                <w:lang w:eastAsia="en-AU"/>
              </w:rPr>
            </w:pPr>
            <w:r w:rsidRPr="00EC1958">
              <w:t>8.3 ± 0.5</w:t>
            </w: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7D63B46D" w14:textId="77777777" w:rsidR="00EC1958" w:rsidRPr="00EC1958" w:rsidRDefault="00EC1958" w:rsidP="00FC0888">
            <w:pPr>
              <w:spacing w:before="0"/>
              <w:jc w:val="center"/>
              <w:rPr>
                <w:rFonts w:cs="Arial"/>
                <w:lang w:eastAsia="en-AU"/>
              </w:rPr>
            </w:pPr>
            <w:r w:rsidRPr="00EC1958">
              <w:t>89.1 ± 2.7</w:t>
            </w:r>
          </w:p>
        </w:tc>
        <w:tc>
          <w:tcPr>
            <w:tcW w:w="170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750DBBAC" w14:textId="77777777" w:rsidR="00EC1958" w:rsidRPr="00EC1958" w:rsidRDefault="00EC1958" w:rsidP="00FC0888">
            <w:pPr>
              <w:spacing w:before="0"/>
              <w:jc w:val="center"/>
              <w:rPr>
                <w:rFonts w:cs="Arial"/>
                <w:lang w:eastAsia="en-AU"/>
              </w:rPr>
            </w:pPr>
            <w:r w:rsidRPr="00EC1958">
              <w:t>144.5 ± 5.0</w:t>
            </w:r>
          </w:p>
        </w:tc>
        <w:tc>
          <w:tcPr>
            <w:tcW w:w="14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2AE59BEA" w14:textId="77777777" w:rsidR="00EC1958" w:rsidRPr="00EC1958" w:rsidRDefault="00EC1958" w:rsidP="00FC0888">
            <w:pPr>
              <w:spacing w:before="0"/>
              <w:jc w:val="center"/>
              <w:rPr>
                <w:rFonts w:cs="Arial"/>
                <w:lang w:eastAsia="en-AU"/>
              </w:rPr>
            </w:pPr>
            <w:r w:rsidRPr="00EC1958">
              <w:t>247.4 ± 25.7</w:t>
            </w:r>
          </w:p>
        </w:tc>
        <w:tc>
          <w:tcPr>
            <w:tcW w:w="13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459B1F2C" w14:textId="77777777" w:rsidR="00EC1958" w:rsidRPr="00EC1958" w:rsidRDefault="00EC1958" w:rsidP="00FC0888">
            <w:pPr>
              <w:spacing w:before="0"/>
              <w:jc w:val="center"/>
              <w:rPr>
                <w:rFonts w:cs="Arial"/>
                <w:lang w:eastAsia="en-AU"/>
              </w:rPr>
            </w:pPr>
            <w:r w:rsidRPr="00EC1958">
              <w:t>17.9 ± 1.5</w:t>
            </w:r>
          </w:p>
        </w:tc>
      </w:tr>
      <w:tr w:rsidR="00EC1958" w:rsidRPr="008D4BC2" w14:paraId="7826B097" w14:textId="77777777" w:rsidTr="00114393">
        <w:trPr>
          <w:trHeight w:val="290"/>
        </w:trPr>
        <w:tc>
          <w:tcPr>
            <w:tcW w:w="1307" w:type="dxa"/>
            <w:vMerge/>
            <w:shd w:val="clear" w:color="auto" w:fill="A9DBD3"/>
            <w:vAlign w:val="center"/>
            <w:hideMark/>
          </w:tcPr>
          <w:p w14:paraId="2265EC2E" w14:textId="77777777" w:rsidR="00EC1958" w:rsidRPr="00EC1958" w:rsidRDefault="00EC1958" w:rsidP="00FC0888">
            <w:pPr>
              <w:spacing w:before="0"/>
              <w:rPr>
                <w:rFonts w:cs="Arial"/>
                <w:bCs/>
                <w:lang w:eastAsia="en-AU"/>
              </w:rPr>
            </w:pPr>
          </w:p>
        </w:tc>
        <w:tc>
          <w:tcPr>
            <w:tcW w:w="1556"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9DBD3"/>
            <w:noWrap/>
          </w:tcPr>
          <w:p w14:paraId="3B225CBB" w14:textId="77777777" w:rsidR="00EC1958" w:rsidRPr="00EC1958" w:rsidRDefault="00EC1958" w:rsidP="00FC0888">
            <w:pPr>
              <w:spacing w:before="0"/>
              <w:jc w:val="center"/>
              <w:rPr>
                <w:rFonts w:cs="Arial"/>
                <w:lang w:eastAsia="en-AU"/>
              </w:rPr>
            </w:pPr>
            <w:r w:rsidRPr="00EC1958">
              <w:t>(n=643)</w:t>
            </w:r>
          </w:p>
        </w:tc>
        <w:tc>
          <w:tcPr>
            <w:tcW w:w="155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304C385E" w14:textId="77777777" w:rsidR="00EC1958" w:rsidRPr="00EC1958" w:rsidRDefault="00EC1958" w:rsidP="00FC0888">
            <w:pPr>
              <w:spacing w:before="0"/>
              <w:jc w:val="center"/>
              <w:rPr>
                <w:rFonts w:cs="Arial"/>
                <w:lang w:eastAsia="en-AU"/>
              </w:rPr>
            </w:pPr>
            <w:r w:rsidRPr="00EC1958">
              <w:t>(n=35)</w:t>
            </w:r>
          </w:p>
        </w:tc>
        <w:tc>
          <w:tcPr>
            <w:tcW w:w="170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771B3E18" w14:textId="77777777" w:rsidR="00EC1958" w:rsidRPr="00EC1958" w:rsidRDefault="00EC1958" w:rsidP="00FC0888">
            <w:pPr>
              <w:spacing w:before="0"/>
              <w:jc w:val="center"/>
              <w:rPr>
                <w:rFonts w:cs="Arial"/>
                <w:lang w:eastAsia="en-AU"/>
              </w:rPr>
            </w:pPr>
            <w:r w:rsidRPr="00EC1958">
              <w:t>(n=13)</w:t>
            </w:r>
          </w:p>
        </w:tc>
        <w:tc>
          <w:tcPr>
            <w:tcW w:w="14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6B2A17A7" w14:textId="77777777" w:rsidR="00EC1958" w:rsidRPr="00EC1958" w:rsidRDefault="00EC1958" w:rsidP="00FC0888">
            <w:pPr>
              <w:spacing w:before="0"/>
              <w:jc w:val="center"/>
              <w:rPr>
                <w:rFonts w:cs="Arial"/>
                <w:lang w:eastAsia="en-AU"/>
              </w:rPr>
            </w:pPr>
            <w:r w:rsidRPr="00EC1958">
              <w:t>(n=9)</w:t>
            </w:r>
          </w:p>
        </w:tc>
        <w:tc>
          <w:tcPr>
            <w:tcW w:w="13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9DBD3"/>
            <w:noWrap/>
          </w:tcPr>
          <w:p w14:paraId="48DA421A" w14:textId="77777777" w:rsidR="00EC1958" w:rsidRPr="00EC1958" w:rsidRDefault="00EC1958" w:rsidP="00FC0888">
            <w:pPr>
              <w:spacing w:before="0"/>
              <w:jc w:val="center"/>
              <w:rPr>
                <w:rFonts w:cs="Arial"/>
                <w:lang w:eastAsia="en-AU"/>
              </w:rPr>
            </w:pPr>
            <w:r w:rsidRPr="00EC1958">
              <w:t>(n=700)</w:t>
            </w:r>
          </w:p>
        </w:tc>
      </w:tr>
    </w:tbl>
    <w:p w14:paraId="7F518631" w14:textId="77777777" w:rsidR="00EC1958" w:rsidRDefault="00EC1958" w:rsidP="00A73B36">
      <w:pPr>
        <w:pStyle w:val="Note"/>
      </w:pPr>
      <w:r w:rsidRPr="002D078B">
        <w:t xml:space="preserve">The mean and standard error for each </w:t>
      </w:r>
      <w:proofErr w:type="gramStart"/>
      <w:r w:rsidRPr="002D078B">
        <w:t>time period</w:t>
      </w:r>
      <w:proofErr w:type="gramEnd"/>
      <w:r w:rsidRPr="002D078B">
        <w:t xml:space="preserve"> is shown and the number of trials is in brackets.</w:t>
      </w:r>
    </w:p>
    <w:p w14:paraId="7595F105" w14:textId="77777777" w:rsidR="00232F7D" w:rsidRDefault="00232F7D" w:rsidP="00B67F04">
      <w:pPr>
        <w:pStyle w:val="Heading1"/>
        <w:keepNext w:val="0"/>
        <w:keepLines w:val="0"/>
        <w:pageBreakBefore/>
      </w:pPr>
      <w:bookmarkStart w:id="43" w:name="_Explanatory_Notes"/>
      <w:bookmarkStart w:id="44" w:name="_Ref71191745"/>
      <w:bookmarkStart w:id="45" w:name="_Toc79679541"/>
      <w:bookmarkEnd w:id="43"/>
      <w:r>
        <w:lastRenderedPageBreak/>
        <w:t>Explanatory Notes</w:t>
      </w:r>
      <w:bookmarkEnd w:id="44"/>
      <w:bookmarkEnd w:id="45"/>
    </w:p>
    <w:p w14:paraId="144C4A53" w14:textId="77777777" w:rsidR="00232F7D" w:rsidRDefault="00232F7D" w:rsidP="00232F7D">
      <w:pPr>
        <w:pStyle w:val="Heading2"/>
      </w:pPr>
      <w:bookmarkStart w:id="46" w:name="_A1._Glossary"/>
      <w:bookmarkStart w:id="47" w:name="_Toc79679542"/>
      <w:bookmarkEnd w:id="46"/>
      <w:r>
        <w:t>A1. Glossary</w:t>
      </w:r>
      <w:bookmarkEnd w:id="47"/>
    </w:p>
    <w:tbl>
      <w:tblPr>
        <w:tblStyle w:val="TableGrid"/>
        <w:tblW w:w="9322" w:type="dxa"/>
        <w:tblLook w:val="04A0" w:firstRow="1" w:lastRow="0" w:firstColumn="1" w:lastColumn="0" w:noHBand="0" w:noVBand="1"/>
        <w:tblDescription w:val="A list of glossary terms and definitions"/>
      </w:tblPr>
      <w:tblGrid>
        <w:gridCol w:w="1951"/>
        <w:gridCol w:w="7371"/>
      </w:tblGrid>
      <w:tr w:rsidR="00232F7D" w:rsidRPr="00033356" w14:paraId="0680C74B" w14:textId="77777777" w:rsidTr="00FC0888">
        <w:trPr>
          <w:tblHeader/>
        </w:trPr>
        <w:tc>
          <w:tcPr>
            <w:tcW w:w="1951" w:type="dxa"/>
            <w:shd w:val="clear" w:color="auto" w:fill="5EBAAB"/>
          </w:tcPr>
          <w:p w14:paraId="4DCC0F38" w14:textId="77777777" w:rsidR="00232F7D" w:rsidRPr="00033356" w:rsidRDefault="00232F7D" w:rsidP="00FC0888">
            <w:pPr>
              <w:rPr>
                <w:rStyle w:val="Strong"/>
                <w:color w:val="FFFFFF" w:themeColor="background1"/>
              </w:rPr>
            </w:pPr>
            <w:r w:rsidRPr="00033356">
              <w:rPr>
                <w:rStyle w:val="Strong"/>
                <w:color w:val="FFFFFF" w:themeColor="background1"/>
              </w:rPr>
              <w:t>GLOSSARY TERMS</w:t>
            </w:r>
          </w:p>
        </w:tc>
        <w:tc>
          <w:tcPr>
            <w:tcW w:w="7371" w:type="dxa"/>
            <w:shd w:val="clear" w:color="auto" w:fill="5EBAAB"/>
          </w:tcPr>
          <w:p w14:paraId="2870B29C" w14:textId="77777777" w:rsidR="00232F7D" w:rsidRPr="00033356" w:rsidRDefault="00232F7D" w:rsidP="00FC0888">
            <w:pPr>
              <w:rPr>
                <w:rStyle w:val="Strong"/>
                <w:color w:val="FFFFFF" w:themeColor="background1"/>
              </w:rPr>
            </w:pPr>
            <w:r w:rsidRPr="00033356">
              <w:rPr>
                <w:rStyle w:val="Strong"/>
                <w:color w:val="FFFFFF" w:themeColor="background1"/>
              </w:rPr>
              <w:t xml:space="preserve">DEFINITIONS  </w:t>
            </w:r>
          </w:p>
        </w:tc>
      </w:tr>
      <w:tr w:rsidR="00232F7D" w:rsidRPr="002D078B" w14:paraId="1EEEDB15" w14:textId="77777777" w:rsidTr="00FC0888">
        <w:tc>
          <w:tcPr>
            <w:tcW w:w="1951" w:type="dxa"/>
          </w:tcPr>
          <w:p w14:paraId="156A39B4" w14:textId="77777777" w:rsidR="00232F7D" w:rsidRPr="002D078B" w:rsidRDefault="00232F7D" w:rsidP="00FC0888">
            <w:pPr>
              <w:rPr>
                <w:rStyle w:val="Strong"/>
              </w:rPr>
            </w:pPr>
            <w:r w:rsidRPr="002D078B">
              <w:rPr>
                <w:rStyle w:val="Strong"/>
              </w:rPr>
              <w:t>Administrative clock</w:t>
            </w:r>
          </w:p>
        </w:tc>
        <w:tc>
          <w:tcPr>
            <w:tcW w:w="7371" w:type="dxa"/>
          </w:tcPr>
          <w:p w14:paraId="27345D5F" w14:textId="77777777" w:rsidR="00232F7D" w:rsidRPr="002D078B" w:rsidRDefault="00232F7D" w:rsidP="00232F7D">
            <w:r w:rsidRPr="002D078B">
              <w:t xml:space="preserve">A number of NAS metrics include the concept of an ‘administrative clock’, which allows distinction of responsibility for time between the administering organisation and the investigator/trial coordinator/sponsor/CRO (see also ‘With Clock’/’Without Clock’ below). </w:t>
            </w:r>
          </w:p>
        </w:tc>
      </w:tr>
      <w:tr w:rsidR="00232F7D" w:rsidRPr="002D078B" w14:paraId="22860CCD" w14:textId="77777777" w:rsidTr="00FC0888">
        <w:tc>
          <w:tcPr>
            <w:tcW w:w="1951" w:type="dxa"/>
          </w:tcPr>
          <w:p w14:paraId="4C5778BD" w14:textId="77777777" w:rsidR="00232F7D" w:rsidRPr="002D078B" w:rsidRDefault="00232F7D" w:rsidP="00FC0888">
            <w:pPr>
              <w:rPr>
                <w:rStyle w:val="Strong"/>
              </w:rPr>
            </w:pPr>
            <w:r w:rsidRPr="002D078B">
              <w:rPr>
                <w:rStyle w:val="Strong"/>
              </w:rPr>
              <w:t>Authorisation date (SSA)</w:t>
            </w:r>
          </w:p>
        </w:tc>
        <w:tc>
          <w:tcPr>
            <w:tcW w:w="7371" w:type="dxa"/>
          </w:tcPr>
          <w:p w14:paraId="52BFC8C5" w14:textId="78AA6990" w:rsidR="00232F7D" w:rsidRPr="002D078B" w:rsidRDefault="00232F7D" w:rsidP="00232F7D">
            <w:r w:rsidRPr="002D078B">
              <w:t>Authori</w:t>
            </w:r>
            <w:r w:rsidR="00B751E3">
              <w:t xml:space="preserve">sation decision date for </w:t>
            </w:r>
            <w:proofErr w:type="gramStart"/>
            <w:r w:rsidR="00B751E3">
              <w:t>a</w:t>
            </w:r>
            <w:proofErr w:type="gramEnd"/>
            <w:r w:rsidR="00B751E3">
              <w:t xml:space="preserve"> SSA/S</w:t>
            </w:r>
            <w:r w:rsidRPr="002D078B">
              <w:t>ite application given by the site organisation's CEO/delegate and recorded in the jurisdiction’s electronic information platform, such as Ethics Review Manager (ERM).</w:t>
            </w:r>
          </w:p>
        </w:tc>
      </w:tr>
      <w:tr w:rsidR="00232F7D" w:rsidRPr="002D078B" w14:paraId="20C32F3C" w14:textId="77777777" w:rsidTr="00FC0888">
        <w:tc>
          <w:tcPr>
            <w:tcW w:w="1951" w:type="dxa"/>
          </w:tcPr>
          <w:p w14:paraId="0BA5E925" w14:textId="77777777" w:rsidR="00232F7D" w:rsidRPr="002D078B" w:rsidRDefault="00232F7D" w:rsidP="00FC0888">
            <w:pPr>
              <w:rPr>
                <w:rStyle w:val="Strong"/>
              </w:rPr>
            </w:pPr>
            <w:r w:rsidRPr="002D078B">
              <w:rPr>
                <w:rStyle w:val="Strong"/>
              </w:rPr>
              <w:t>Clinical trial governance</w:t>
            </w:r>
          </w:p>
        </w:tc>
        <w:tc>
          <w:tcPr>
            <w:tcW w:w="7371" w:type="dxa"/>
          </w:tcPr>
          <w:p w14:paraId="76EDEDA8" w14:textId="77777777" w:rsidR="00232F7D" w:rsidRPr="002D078B" w:rsidRDefault="00232F7D" w:rsidP="00232F7D">
            <w:pPr>
              <w:rPr>
                <w:szCs w:val="24"/>
              </w:rPr>
            </w:pPr>
            <w:r w:rsidRPr="002D078B">
              <w:t xml:space="preserve">Clinical trial ‘governance’ is the term used for institutional review or site-specific assessment (SSA). From a broader perspective, ethics-approval form parts of the overall governance framework that ensures the compliance, </w:t>
            </w:r>
            <w:proofErr w:type="gramStart"/>
            <w:r w:rsidRPr="002D078B">
              <w:t>accountability</w:t>
            </w:r>
            <w:proofErr w:type="gramEnd"/>
            <w:r w:rsidRPr="002D078B">
              <w:t xml:space="preserve"> and transparency of research activity at a site.</w:t>
            </w:r>
          </w:p>
        </w:tc>
      </w:tr>
      <w:tr w:rsidR="00232F7D" w:rsidRPr="002D078B" w14:paraId="47CC4CAC" w14:textId="77777777" w:rsidTr="00FC0888">
        <w:tc>
          <w:tcPr>
            <w:tcW w:w="1951" w:type="dxa"/>
          </w:tcPr>
          <w:p w14:paraId="7AF7C52B" w14:textId="77777777" w:rsidR="00232F7D" w:rsidRPr="002D078B" w:rsidRDefault="00232F7D" w:rsidP="00FC0888">
            <w:pPr>
              <w:rPr>
                <w:rStyle w:val="Strong"/>
              </w:rPr>
            </w:pPr>
            <w:r w:rsidRPr="002D078B">
              <w:rPr>
                <w:rStyle w:val="Strong"/>
              </w:rPr>
              <w:t>Clinical trial</w:t>
            </w:r>
          </w:p>
        </w:tc>
        <w:tc>
          <w:tcPr>
            <w:tcW w:w="7371" w:type="dxa"/>
          </w:tcPr>
          <w:p w14:paraId="0E54018E" w14:textId="77777777" w:rsidR="00232F7D" w:rsidRPr="002D078B" w:rsidRDefault="00232F7D" w:rsidP="00232F7D">
            <w:r w:rsidRPr="002D078B">
              <w:t>Interventional research involving a drug/device trial, radiation therapy, surgery, treatment or diagnostic procedure and studies associated with ongoing activities relating to trials that have been conducted. This may include post-trial activities such as observational research and evaluation of a trial, developing a registry and other post-marketing surveillance activities.</w:t>
            </w:r>
          </w:p>
        </w:tc>
      </w:tr>
      <w:tr w:rsidR="00232F7D" w:rsidRPr="002D078B" w14:paraId="41D7D518" w14:textId="77777777" w:rsidTr="00FC0888">
        <w:tc>
          <w:tcPr>
            <w:tcW w:w="1951" w:type="dxa"/>
          </w:tcPr>
          <w:p w14:paraId="03A64325" w14:textId="77777777" w:rsidR="00232F7D" w:rsidRPr="002D078B" w:rsidRDefault="00232F7D" w:rsidP="00FC0888">
            <w:pPr>
              <w:rPr>
                <w:rStyle w:val="Strong"/>
              </w:rPr>
            </w:pPr>
            <w:r w:rsidRPr="002D078B">
              <w:rPr>
                <w:rStyle w:val="Strong"/>
              </w:rPr>
              <w:t xml:space="preserve">Collaborative group </w:t>
            </w:r>
          </w:p>
        </w:tc>
        <w:tc>
          <w:tcPr>
            <w:tcW w:w="7371" w:type="dxa"/>
          </w:tcPr>
          <w:p w14:paraId="1C6AA20F" w14:textId="77777777" w:rsidR="00232F7D" w:rsidRPr="002D078B" w:rsidRDefault="00232F7D" w:rsidP="00232F7D">
            <w:r w:rsidRPr="002D078B">
              <w:t xml:space="preserve">A ‘collaborative group’ is an academic and/or non-commercial collaborative research group responsible for sponsoring, initiating, managing, </w:t>
            </w:r>
            <w:proofErr w:type="gramStart"/>
            <w:r w:rsidRPr="002D078B">
              <w:t>developing</w:t>
            </w:r>
            <w:proofErr w:type="gramEnd"/>
            <w:r w:rsidRPr="002D078B">
              <w:t xml:space="preserve"> and coordinating a research study.</w:t>
            </w:r>
          </w:p>
        </w:tc>
      </w:tr>
      <w:tr w:rsidR="00232F7D" w:rsidRPr="002D078B" w14:paraId="22528A55" w14:textId="77777777" w:rsidTr="00FC0888">
        <w:tc>
          <w:tcPr>
            <w:tcW w:w="1951" w:type="dxa"/>
          </w:tcPr>
          <w:p w14:paraId="1016C3AD" w14:textId="77777777" w:rsidR="00232F7D" w:rsidRPr="002D078B" w:rsidRDefault="00232F7D" w:rsidP="00FC0888">
            <w:pPr>
              <w:rPr>
                <w:rStyle w:val="Strong"/>
              </w:rPr>
            </w:pPr>
            <w:r w:rsidRPr="002D078B">
              <w:rPr>
                <w:rStyle w:val="Strong"/>
              </w:rPr>
              <w:t>Commercial trial</w:t>
            </w:r>
          </w:p>
        </w:tc>
        <w:tc>
          <w:tcPr>
            <w:tcW w:w="7371" w:type="dxa"/>
          </w:tcPr>
          <w:p w14:paraId="545D820A" w14:textId="77777777" w:rsidR="00232F7D" w:rsidRPr="002D078B" w:rsidRDefault="00232F7D" w:rsidP="00232F7D">
            <w:r w:rsidRPr="002D078B">
              <w:t>Commercial trials are conducted by organisations that typically own or have a financial interest in the intellectual property related to the intervention being tested.  Commercial organisations such as pharmaceutical companies or clinical research organisations use the information obtained from the trial to support the application to obtain licences or subsidies to sell their product.</w:t>
            </w:r>
          </w:p>
        </w:tc>
      </w:tr>
      <w:tr w:rsidR="00232F7D" w:rsidRPr="002D078B" w14:paraId="2B5D6C3A" w14:textId="77777777" w:rsidTr="00FC0888">
        <w:tc>
          <w:tcPr>
            <w:tcW w:w="1951" w:type="dxa"/>
          </w:tcPr>
          <w:p w14:paraId="5391AA68" w14:textId="77777777" w:rsidR="00232F7D" w:rsidRPr="002D078B" w:rsidRDefault="00232F7D" w:rsidP="00FC0888">
            <w:pPr>
              <w:rPr>
                <w:rStyle w:val="Strong"/>
              </w:rPr>
            </w:pPr>
            <w:r w:rsidRPr="002D078B">
              <w:rPr>
                <w:rStyle w:val="Strong"/>
              </w:rPr>
              <w:t xml:space="preserve">First Time </w:t>
            </w:r>
            <w:proofErr w:type="gramStart"/>
            <w:r w:rsidRPr="002D078B">
              <w:rPr>
                <w:rStyle w:val="Strong"/>
              </w:rPr>
              <w:t>In</w:t>
            </w:r>
            <w:proofErr w:type="gramEnd"/>
            <w:r w:rsidRPr="002D078B">
              <w:rPr>
                <w:rStyle w:val="Strong"/>
              </w:rPr>
              <w:t xml:space="preserve"> Human (FTIH)</w:t>
            </w:r>
          </w:p>
        </w:tc>
        <w:tc>
          <w:tcPr>
            <w:tcW w:w="7371" w:type="dxa"/>
          </w:tcPr>
          <w:p w14:paraId="16433538" w14:textId="77777777" w:rsidR="00232F7D" w:rsidRPr="002D078B" w:rsidRDefault="00232F7D" w:rsidP="00232F7D">
            <w:r w:rsidRPr="002D078B">
              <w:t>First time an unapproved product is administered to a healthy human.</w:t>
            </w:r>
          </w:p>
        </w:tc>
      </w:tr>
      <w:tr w:rsidR="00232F7D" w:rsidRPr="002D078B" w14:paraId="7FAF2C37" w14:textId="77777777" w:rsidTr="00FC0888">
        <w:tc>
          <w:tcPr>
            <w:tcW w:w="1951" w:type="dxa"/>
          </w:tcPr>
          <w:p w14:paraId="3A0DC077" w14:textId="77777777" w:rsidR="00232F7D" w:rsidRPr="002D078B" w:rsidRDefault="00232F7D" w:rsidP="00FC0888">
            <w:pPr>
              <w:rPr>
                <w:rStyle w:val="Strong"/>
              </w:rPr>
            </w:pPr>
            <w:r w:rsidRPr="002D078B">
              <w:rPr>
                <w:rStyle w:val="Strong"/>
              </w:rPr>
              <w:t xml:space="preserve">First Time </w:t>
            </w:r>
            <w:proofErr w:type="gramStart"/>
            <w:r w:rsidRPr="002D078B">
              <w:rPr>
                <w:rStyle w:val="Strong"/>
              </w:rPr>
              <w:t>In</w:t>
            </w:r>
            <w:proofErr w:type="gramEnd"/>
            <w:r w:rsidRPr="002D078B">
              <w:rPr>
                <w:rStyle w:val="Strong"/>
              </w:rPr>
              <w:t xml:space="preserve"> Patient (FTIP)</w:t>
            </w:r>
          </w:p>
        </w:tc>
        <w:tc>
          <w:tcPr>
            <w:tcW w:w="7371" w:type="dxa"/>
          </w:tcPr>
          <w:p w14:paraId="3C9D7570" w14:textId="77777777" w:rsidR="00232F7D" w:rsidRPr="002D078B" w:rsidRDefault="00232F7D" w:rsidP="00232F7D">
            <w:r w:rsidRPr="002D078B">
              <w:t>First time an unapproved product is administered to a human with a medical condition.</w:t>
            </w:r>
          </w:p>
        </w:tc>
      </w:tr>
      <w:tr w:rsidR="00232F7D" w:rsidRPr="002D078B" w14:paraId="43397C93" w14:textId="77777777" w:rsidTr="00FC0888">
        <w:tc>
          <w:tcPr>
            <w:tcW w:w="1951" w:type="dxa"/>
          </w:tcPr>
          <w:p w14:paraId="7E4034B6" w14:textId="77777777" w:rsidR="00232F7D" w:rsidRPr="002D078B" w:rsidRDefault="00232F7D" w:rsidP="00FC0888">
            <w:pPr>
              <w:rPr>
                <w:rStyle w:val="Strong"/>
              </w:rPr>
            </w:pPr>
            <w:r w:rsidRPr="002D078B">
              <w:rPr>
                <w:rStyle w:val="Strong"/>
              </w:rPr>
              <w:t>Investigator - initiated clinical trial</w:t>
            </w:r>
          </w:p>
        </w:tc>
        <w:tc>
          <w:tcPr>
            <w:tcW w:w="7371" w:type="dxa"/>
          </w:tcPr>
          <w:p w14:paraId="00331857" w14:textId="77777777" w:rsidR="00232F7D" w:rsidRPr="002D078B" w:rsidRDefault="00232F7D" w:rsidP="00232F7D">
            <w:r w:rsidRPr="002D078B">
              <w:t>Investigator - initiated clinical trials are trials that are developed and conducted by individual independent clinicians and/or academic researchers.  The Institution, through the Principal Investigator, is responsible for the initiation and conduct of the Study at the Study Site(s) which is/are under the control of the Institution.</w:t>
            </w:r>
          </w:p>
        </w:tc>
      </w:tr>
      <w:tr w:rsidR="00232F7D" w:rsidRPr="002D078B" w14:paraId="520B2875" w14:textId="77777777" w:rsidTr="00FC0888">
        <w:tc>
          <w:tcPr>
            <w:tcW w:w="1951" w:type="dxa"/>
          </w:tcPr>
          <w:p w14:paraId="0F6CEB5F" w14:textId="77777777" w:rsidR="00232F7D" w:rsidRPr="002D078B" w:rsidRDefault="00232F7D" w:rsidP="00FC0888">
            <w:pPr>
              <w:rPr>
                <w:rStyle w:val="Strong"/>
              </w:rPr>
            </w:pPr>
            <w:r w:rsidRPr="002D078B">
              <w:rPr>
                <w:rStyle w:val="Strong"/>
              </w:rPr>
              <w:t>Metrics</w:t>
            </w:r>
          </w:p>
        </w:tc>
        <w:tc>
          <w:tcPr>
            <w:tcW w:w="7371" w:type="dxa"/>
          </w:tcPr>
          <w:p w14:paraId="608E66D0" w14:textId="77777777" w:rsidR="00232F7D" w:rsidRPr="002D078B" w:rsidRDefault="00232F7D" w:rsidP="00232F7D">
            <w:r w:rsidRPr="002D078B">
              <w:t>Any type of measurement used to gauge some quantifiable component of an entity’s performance.</w:t>
            </w:r>
          </w:p>
        </w:tc>
      </w:tr>
      <w:tr w:rsidR="00232F7D" w:rsidRPr="002D078B" w14:paraId="08361D98" w14:textId="77777777" w:rsidTr="00FC0888">
        <w:tc>
          <w:tcPr>
            <w:tcW w:w="1951" w:type="dxa"/>
          </w:tcPr>
          <w:p w14:paraId="111BE3C1" w14:textId="77777777" w:rsidR="00232F7D" w:rsidRPr="002D078B" w:rsidRDefault="00232F7D" w:rsidP="00FC0888">
            <w:pPr>
              <w:rPr>
                <w:rStyle w:val="Strong"/>
              </w:rPr>
            </w:pPr>
            <w:r w:rsidRPr="002D078B">
              <w:rPr>
                <w:rStyle w:val="Strong"/>
              </w:rPr>
              <w:lastRenderedPageBreak/>
              <w:t>National Mutual Acceptance (NMA)</w:t>
            </w:r>
          </w:p>
        </w:tc>
        <w:tc>
          <w:tcPr>
            <w:tcW w:w="7371" w:type="dxa"/>
          </w:tcPr>
          <w:p w14:paraId="75FD0F05" w14:textId="77777777" w:rsidR="00232F7D" w:rsidRPr="002D078B" w:rsidRDefault="00232F7D" w:rsidP="00232F7D">
            <w:r w:rsidRPr="002D078B">
              <w:t xml:space="preserve">A single ethical review framework for multi-jurisdictional research projects. To participate, jurisdictions are required to co-sign a Memorandum of Understanding. </w:t>
            </w:r>
          </w:p>
        </w:tc>
      </w:tr>
      <w:tr w:rsidR="00232F7D" w:rsidRPr="002D078B" w14:paraId="5F3BF298" w14:textId="77777777" w:rsidTr="00FC0888">
        <w:tc>
          <w:tcPr>
            <w:tcW w:w="1951" w:type="dxa"/>
          </w:tcPr>
          <w:p w14:paraId="1F19FD8D" w14:textId="77777777" w:rsidR="00232F7D" w:rsidRPr="002D078B" w:rsidRDefault="00232F7D" w:rsidP="00FC0888">
            <w:pPr>
              <w:rPr>
                <w:rStyle w:val="Strong"/>
              </w:rPr>
            </w:pPr>
            <w:r w:rsidRPr="002D078B">
              <w:rPr>
                <w:rStyle w:val="Strong"/>
              </w:rPr>
              <w:t>Phase 1</w:t>
            </w:r>
          </w:p>
        </w:tc>
        <w:tc>
          <w:tcPr>
            <w:tcW w:w="7371" w:type="dxa"/>
          </w:tcPr>
          <w:p w14:paraId="4320DFF1" w14:textId="469D6E5D" w:rsidR="00232F7D" w:rsidRPr="002D078B" w:rsidRDefault="00107127" w:rsidP="00164EEA">
            <w:r>
              <w:t>Phase 1</w:t>
            </w:r>
            <w:r w:rsidR="00232F7D" w:rsidRPr="002D078B">
              <w:t xml:space="preserve"> clinical trials involve the first administration of the medicine to humans, usually to small number</w:t>
            </w:r>
            <w:r w:rsidR="00164EEA">
              <w:t>s of healthy volunteers. Phase 1</w:t>
            </w:r>
            <w:r w:rsidR="00232F7D" w:rsidRPr="002D078B">
              <w:t xml:space="preserve"> clinical trials determine the safety of the medicine, how it works and how well it is tolerated. These clinical trials also identify preferred routes of administration (e.g. tablet, </w:t>
            </w:r>
            <w:proofErr w:type="gramStart"/>
            <w:r w:rsidR="00232F7D" w:rsidRPr="002D078B">
              <w:t>liquid</w:t>
            </w:r>
            <w:proofErr w:type="gramEnd"/>
            <w:r w:rsidR="00232F7D" w:rsidRPr="002D078B">
              <w:t xml:space="preserve"> or injection) and help determine the appropriate </w:t>
            </w:r>
            <w:r w:rsidR="00164EEA">
              <w:t>doses for later studies. Phase 1</w:t>
            </w:r>
            <w:r w:rsidR="00232F7D" w:rsidRPr="002D078B">
              <w:t xml:space="preserve"> clinical trials are usually undertaken in centres appropriately equipped for the specialised monitoring and the high degree of surveillance needed.</w:t>
            </w:r>
          </w:p>
        </w:tc>
      </w:tr>
      <w:tr w:rsidR="00232F7D" w:rsidRPr="002D078B" w14:paraId="4762AA77" w14:textId="77777777" w:rsidTr="00FC0888">
        <w:tc>
          <w:tcPr>
            <w:tcW w:w="1951" w:type="dxa"/>
          </w:tcPr>
          <w:p w14:paraId="19D6AD74" w14:textId="77777777" w:rsidR="00232F7D" w:rsidRPr="002D078B" w:rsidRDefault="00232F7D" w:rsidP="00FC0888">
            <w:pPr>
              <w:rPr>
                <w:rStyle w:val="Strong"/>
              </w:rPr>
            </w:pPr>
            <w:r w:rsidRPr="002D078B">
              <w:rPr>
                <w:rStyle w:val="Strong"/>
              </w:rPr>
              <w:t>Phase 2</w:t>
            </w:r>
          </w:p>
        </w:tc>
        <w:tc>
          <w:tcPr>
            <w:tcW w:w="7371" w:type="dxa"/>
          </w:tcPr>
          <w:p w14:paraId="5BC8F4C2" w14:textId="77777777" w:rsidR="00232F7D" w:rsidRPr="002D078B" w:rsidRDefault="00232F7D" w:rsidP="00232F7D">
            <w:r w:rsidRPr="002D078B">
              <w:t xml:space="preserve">Phase 2 clinical trials are normally the first trials of the medicine in patients suffering from the condition for which the medicine is intended. The principal aim of these clinical trials is to determine effectiveness and safety. These clinical trials are undertaken in a small number of closely supervised patients and conducted by researchers regarded as specialists in the </w:t>
            </w:r>
            <w:proofErr w:type="gramStart"/>
            <w:r w:rsidRPr="002D078B">
              <w:t>particular disease</w:t>
            </w:r>
            <w:proofErr w:type="gramEnd"/>
            <w:r w:rsidRPr="002D078B">
              <w:t xml:space="preserve"> or condition and its treatment. </w:t>
            </w:r>
          </w:p>
        </w:tc>
      </w:tr>
      <w:tr w:rsidR="00232F7D" w:rsidRPr="002D078B" w14:paraId="79A5ABF2" w14:textId="77777777" w:rsidTr="00FC0888">
        <w:tc>
          <w:tcPr>
            <w:tcW w:w="1951" w:type="dxa"/>
          </w:tcPr>
          <w:p w14:paraId="2F3277F7" w14:textId="77777777" w:rsidR="00232F7D" w:rsidRPr="002D078B" w:rsidRDefault="00232F7D" w:rsidP="00FC0888">
            <w:pPr>
              <w:rPr>
                <w:rStyle w:val="Strong"/>
              </w:rPr>
            </w:pPr>
            <w:r w:rsidRPr="002D078B">
              <w:rPr>
                <w:rStyle w:val="Strong"/>
              </w:rPr>
              <w:t>Phase 3</w:t>
            </w:r>
          </w:p>
        </w:tc>
        <w:tc>
          <w:tcPr>
            <w:tcW w:w="7371" w:type="dxa"/>
          </w:tcPr>
          <w:p w14:paraId="3E310550" w14:textId="77777777" w:rsidR="00232F7D" w:rsidRPr="002D078B" w:rsidRDefault="00232F7D" w:rsidP="00232F7D">
            <w:r w:rsidRPr="002D078B">
              <w:t>Phase 3 clinical trials involve greater numbers of patients and are undertaken for the purpose of determining whether the medicine confers clinical benefit in the disease/s for which effectiveness was demonstrated in Phase 2 clinical trials. They also determine the nature and likelihood of any side effects. Phase 3 clinical trials are undertaken if the Phase 2 clinical trials indicate the medicine has potential benefit that outweighs the hazards.</w:t>
            </w:r>
          </w:p>
        </w:tc>
      </w:tr>
      <w:tr w:rsidR="00232F7D" w:rsidRPr="002D078B" w14:paraId="2E9A26CF" w14:textId="77777777" w:rsidTr="00FC0888">
        <w:tc>
          <w:tcPr>
            <w:tcW w:w="1951" w:type="dxa"/>
          </w:tcPr>
          <w:p w14:paraId="63C2539B" w14:textId="77777777" w:rsidR="00232F7D" w:rsidRPr="002D078B" w:rsidRDefault="00232F7D" w:rsidP="00FC0888">
            <w:pPr>
              <w:rPr>
                <w:rStyle w:val="Strong"/>
              </w:rPr>
            </w:pPr>
            <w:r w:rsidRPr="002D078B">
              <w:rPr>
                <w:rStyle w:val="Strong"/>
              </w:rPr>
              <w:t>Phase 4</w:t>
            </w:r>
          </w:p>
        </w:tc>
        <w:tc>
          <w:tcPr>
            <w:tcW w:w="7371" w:type="dxa"/>
          </w:tcPr>
          <w:p w14:paraId="310E4258" w14:textId="77777777" w:rsidR="00232F7D" w:rsidRPr="002D078B" w:rsidRDefault="00232F7D" w:rsidP="00232F7D">
            <w:pPr>
              <w:rPr>
                <w:szCs w:val="24"/>
              </w:rPr>
            </w:pPr>
            <w:r w:rsidRPr="002D078B">
              <w:rPr>
                <w:lang w:val="en-GB"/>
              </w:rPr>
              <w:t xml:space="preserve">Phase 4 clinical trials are those clinical trials undertaken in Australia after the medicine has been approved (either in, or external to Australia) for the treatment of a particular disease. Phase 4 clinical trials may relate to a product that is registered in another country at the time the trial is being conducted in Australia. </w:t>
            </w:r>
          </w:p>
          <w:p w14:paraId="0B13E611" w14:textId="77777777" w:rsidR="00232F7D" w:rsidRPr="002D078B" w:rsidRDefault="00232F7D" w:rsidP="00232F7D">
            <w:pPr>
              <w:rPr>
                <w:szCs w:val="24"/>
              </w:rPr>
            </w:pPr>
            <w:r w:rsidRPr="002D078B">
              <w:rPr>
                <w:lang w:val="en-GB"/>
              </w:rPr>
              <w:t xml:space="preserve">Phase 4 trials may be a follow-on study from a previous trial and the rationale is that the data from the trial is being used to support a post marketing study. </w:t>
            </w:r>
          </w:p>
          <w:p w14:paraId="156DC137" w14:textId="77777777" w:rsidR="00232F7D" w:rsidRPr="002D078B" w:rsidRDefault="00232F7D" w:rsidP="00232F7D">
            <w:pPr>
              <w:rPr>
                <w:szCs w:val="24"/>
              </w:rPr>
            </w:pPr>
            <w:r w:rsidRPr="002D078B">
              <w:rPr>
                <w:lang w:val="en-GB"/>
              </w:rPr>
              <w:t xml:space="preserve">Phase 4 clinical trials are also undertaken to further investigate the use of the medicine in the normal clinical setting of the disease, as this may differ quite markedly from the conditions under which the other clinical trials were conducted. This includes post marketing surveillance studies. </w:t>
            </w:r>
          </w:p>
        </w:tc>
      </w:tr>
      <w:tr w:rsidR="00232F7D" w:rsidRPr="002D078B" w14:paraId="30CBBDEF" w14:textId="77777777" w:rsidTr="00FC0888">
        <w:tc>
          <w:tcPr>
            <w:tcW w:w="1951" w:type="dxa"/>
          </w:tcPr>
          <w:p w14:paraId="6ACFA624" w14:textId="77777777" w:rsidR="00232F7D" w:rsidRPr="002D078B" w:rsidRDefault="00232F7D" w:rsidP="00FC0888">
            <w:pPr>
              <w:rPr>
                <w:rStyle w:val="Strong"/>
              </w:rPr>
            </w:pPr>
            <w:r w:rsidRPr="002D078B">
              <w:rPr>
                <w:rStyle w:val="Strong"/>
              </w:rPr>
              <w:t>Public Health Organisation/ Institutions</w:t>
            </w:r>
          </w:p>
        </w:tc>
        <w:tc>
          <w:tcPr>
            <w:tcW w:w="7371" w:type="dxa"/>
          </w:tcPr>
          <w:p w14:paraId="3B25B634" w14:textId="77777777" w:rsidR="00232F7D" w:rsidRPr="002D078B" w:rsidRDefault="00232F7D" w:rsidP="00232F7D">
            <w:r w:rsidRPr="002D078B">
              <w:rPr>
                <w:lang w:val="en-GB"/>
              </w:rPr>
              <w:t xml:space="preserve">A statutory health corporation or affiliated health organisation in respect of its recognised establishments and recognised services. </w:t>
            </w:r>
          </w:p>
        </w:tc>
      </w:tr>
      <w:tr w:rsidR="00232F7D" w:rsidRPr="002D078B" w14:paraId="6B571446" w14:textId="77777777" w:rsidTr="00FC0888">
        <w:tc>
          <w:tcPr>
            <w:tcW w:w="1951" w:type="dxa"/>
          </w:tcPr>
          <w:p w14:paraId="134259E3" w14:textId="77777777" w:rsidR="00232F7D" w:rsidRPr="002D078B" w:rsidRDefault="00232F7D" w:rsidP="00FC0888">
            <w:pPr>
              <w:rPr>
                <w:rStyle w:val="Strong"/>
              </w:rPr>
            </w:pPr>
            <w:r w:rsidRPr="002D078B">
              <w:rPr>
                <w:rStyle w:val="Strong"/>
              </w:rPr>
              <w:t>Regulatory timeline</w:t>
            </w:r>
          </w:p>
        </w:tc>
        <w:tc>
          <w:tcPr>
            <w:tcW w:w="7371" w:type="dxa"/>
          </w:tcPr>
          <w:p w14:paraId="737F07B1" w14:textId="7E0D9DB1" w:rsidR="00232F7D" w:rsidRPr="002D078B" w:rsidRDefault="00232F7D" w:rsidP="00232F7D">
            <w:r w:rsidRPr="002D078B">
              <w:t>Refers to ethical review and approval of a h</w:t>
            </w:r>
            <w:r w:rsidR="00B751E3">
              <w:t>uman research project and SSA/S</w:t>
            </w:r>
            <w:r w:rsidRPr="002D078B">
              <w:t>ite assessment authorisation. These steps must comply with legislative requirements, adherence to national guidance and other jurisdictional policy. On completion the research may start at the study site.</w:t>
            </w:r>
          </w:p>
        </w:tc>
      </w:tr>
      <w:tr w:rsidR="00232F7D" w:rsidRPr="002D078B" w14:paraId="67EAD27E" w14:textId="77777777" w:rsidTr="00FC0888">
        <w:tc>
          <w:tcPr>
            <w:tcW w:w="1951" w:type="dxa"/>
          </w:tcPr>
          <w:p w14:paraId="06B1AEC1" w14:textId="77777777" w:rsidR="00232F7D" w:rsidRPr="002D078B" w:rsidRDefault="00232F7D" w:rsidP="00FC0888">
            <w:pPr>
              <w:rPr>
                <w:rStyle w:val="Strong"/>
              </w:rPr>
            </w:pPr>
            <w:r w:rsidRPr="002D078B">
              <w:rPr>
                <w:rStyle w:val="Strong"/>
              </w:rPr>
              <w:lastRenderedPageBreak/>
              <w:t xml:space="preserve">Site Specific Assessment (SSA) </w:t>
            </w:r>
          </w:p>
        </w:tc>
        <w:tc>
          <w:tcPr>
            <w:tcW w:w="7371" w:type="dxa"/>
          </w:tcPr>
          <w:p w14:paraId="6989D630" w14:textId="77777777" w:rsidR="00232F7D" w:rsidRPr="002D078B" w:rsidRDefault="00232F7D" w:rsidP="00232F7D">
            <w:r w:rsidRPr="002D078B">
              <w:t xml:space="preserve">Refers to the </w:t>
            </w:r>
            <w:proofErr w:type="gramStart"/>
            <w:r w:rsidRPr="002D078B">
              <w:t>Site Specific</w:t>
            </w:r>
            <w:proofErr w:type="gramEnd"/>
            <w:r w:rsidRPr="002D078B">
              <w:t xml:space="preserve"> Assessment Form. The SSA Form is linked through coding to the trial HREC/ethics application form.  </w:t>
            </w:r>
          </w:p>
        </w:tc>
      </w:tr>
      <w:tr w:rsidR="00232F7D" w:rsidRPr="002D078B" w14:paraId="1A322AEE" w14:textId="77777777" w:rsidTr="00FC0888">
        <w:tc>
          <w:tcPr>
            <w:tcW w:w="1951" w:type="dxa"/>
          </w:tcPr>
          <w:p w14:paraId="369A0A8F" w14:textId="77777777" w:rsidR="00232F7D" w:rsidRPr="002D078B" w:rsidRDefault="00232F7D" w:rsidP="00FC0888">
            <w:pPr>
              <w:rPr>
                <w:rStyle w:val="Strong"/>
              </w:rPr>
            </w:pPr>
            <w:r w:rsidRPr="002D078B">
              <w:rPr>
                <w:rStyle w:val="Strong"/>
              </w:rPr>
              <w:t xml:space="preserve">Sponsor </w:t>
            </w:r>
          </w:p>
        </w:tc>
        <w:tc>
          <w:tcPr>
            <w:tcW w:w="7371" w:type="dxa"/>
          </w:tcPr>
          <w:p w14:paraId="4E93E12C" w14:textId="77777777" w:rsidR="00232F7D" w:rsidRPr="002D078B" w:rsidRDefault="00232F7D" w:rsidP="00232F7D">
            <w:r w:rsidRPr="002D078B">
              <w:t xml:space="preserve">An individual, company, institution, or organisation which takes responsibility for the initiation, management, and/or financing of a clinical trial. In this report, major sponsor type refers to either ‘Commercially sponsored’, ‘Collaborative Group’, ‘Investigator Initiated/Institution’, or ‘Other’. In line with the Good Clinical Practice guidelines, the sponsor type relates to the risk-owner, not the provision of funding. </w:t>
            </w:r>
          </w:p>
        </w:tc>
      </w:tr>
      <w:tr w:rsidR="00232F7D" w:rsidRPr="002D078B" w14:paraId="5E25B32D" w14:textId="77777777" w:rsidTr="00FC0888">
        <w:tc>
          <w:tcPr>
            <w:tcW w:w="1951" w:type="dxa"/>
          </w:tcPr>
          <w:p w14:paraId="11A5AD0D" w14:textId="6B578110" w:rsidR="00232F7D" w:rsidRPr="002D078B" w:rsidRDefault="00164EEA" w:rsidP="00FC0888">
            <w:pPr>
              <w:rPr>
                <w:rStyle w:val="Strong"/>
              </w:rPr>
            </w:pPr>
            <w:r>
              <w:rPr>
                <w:rStyle w:val="Strong"/>
              </w:rPr>
              <w:t>SSA/S</w:t>
            </w:r>
            <w:r w:rsidR="00232F7D" w:rsidRPr="002D078B">
              <w:rPr>
                <w:rStyle w:val="Strong"/>
              </w:rPr>
              <w:t>ite assessment</w:t>
            </w:r>
          </w:p>
        </w:tc>
        <w:tc>
          <w:tcPr>
            <w:tcW w:w="7371" w:type="dxa"/>
          </w:tcPr>
          <w:p w14:paraId="1BEC953B" w14:textId="77777777" w:rsidR="00232F7D" w:rsidRPr="002D078B" w:rsidRDefault="00232F7D" w:rsidP="00232F7D">
            <w:r w:rsidRPr="002D078B">
              <w:t xml:space="preserve">The process conducted by a research governance officer to assess the SSA form and documentation for authorisation by the chief executive or delegate for an organisation to participate as a trial site. </w:t>
            </w:r>
          </w:p>
        </w:tc>
      </w:tr>
      <w:tr w:rsidR="00232F7D" w:rsidRPr="002D078B" w14:paraId="782D02D1" w14:textId="77777777" w:rsidTr="00FC0888">
        <w:tc>
          <w:tcPr>
            <w:tcW w:w="1951" w:type="dxa"/>
          </w:tcPr>
          <w:p w14:paraId="6757AEC5" w14:textId="77777777" w:rsidR="00232F7D" w:rsidRPr="002D078B" w:rsidRDefault="00232F7D" w:rsidP="00FC0888">
            <w:pPr>
              <w:rPr>
                <w:rStyle w:val="Strong"/>
              </w:rPr>
            </w:pPr>
            <w:r w:rsidRPr="002D078B">
              <w:rPr>
                <w:rStyle w:val="Strong"/>
              </w:rPr>
              <w:t>‘Unapproved’ Therapeutic good</w:t>
            </w:r>
          </w:p>
        </w:tc>
        <w:tc>
          <w:tcPr>
            <w:tcW w:w="7371" w:type="dxa"/>
          </w:tcPr>
          <w:p w14:paraId="29D8AB36" w14:textId="77777777" w:rsidR="00232F7D" w:rsidRPr="002D078B" w:rsidRDefault="00232F7D" w:rsidP="00232F7D">
            <w:r w:rsidRPr="002D078B">
              <w:t>An ‘unapproved’ therapeutic good is one not included in the Australian Register of Therapeutic Goods.</w:t>
            </w:r>
          </w:p>
        </w:tc>
      </w:tr>
      <w:tr w:rsidR="00232F7D" w:rsidRPr="002D078B" w14:paraId="1817F10F" w14:textId="77777777" w:rsidTr="00FC0888">
        <w:tc>
          <w:tcPr>
            <w:tcW w:w="1951" w:type="dxa"/>
          </w:tcPr>
          <w:p w14:paraId="71D201B6" w14:textId="77777777" w:rsidR="00232F7D" w:rsidRPr="002D078B" w:rsidDel="0071720C" w:rsidRDefault="00232F7D" w:rsidP="00FC0888">
            <w:pPr>
              <w:rPr>
                <w:rStyle w:val="Strong"/>
              </w:rPr>
            </w:pPr>
            <w:r w:rsidRPr="002D078B">
              <w:rPr>
                <w:rStyle w:val="Strong"/>
              </w:rPr>
              <w:t xml:space="preserve">With Clock </w:t>
            </w:r>
          </w:p>
        </w:tc>
        <w:tc>
          <w:tcPr>
            <w:tcW w:w="7371" w:type="dxa"/>
          </w:tcPr>
          <w:p w14:paraId="209891A3" w14:textId="77777777" w:rsidR="00232F7D" w:rsidRPr="002D078B" w:rsidRDefault="00232F7D" w:rsidP="00232F7D">
            <w:r w:rsidRPr="002D078B">
              <w:t>Metrics provided ‘With Clock’ (such as Metric 3) are a measure of the time taken for processing of the application by the administering body only. The clock stops when the application leaves the administrator and is the responsibility of the investigator, trial coordinator, sponsor or CRO to provide further information about the application.  The clock re-starts when a response is received from the investigator/trial coordinator/sponsor/CRO.</w:t>
            </w:r>
          </w:p>
        </w:tc>
      </w:tr>
      <w:tr w:rsidR="00232F7D" w:rsidRPr="002D078B" w14:paraId="3EB2895E" w14:textId="77777777" w:rsidTr="00FC0888">
        <w:tc>
          <w:tcPr>
            <w:tcW w:w="1951" w:type="dxa"/>
          </w:tcPr>
          <w:p w14:paraId="1142F63E" w14:textId="2A9B8402" w:rsidR="00232F7D" w:rsidRPr="002D078B" w:rsidRDefault="00232F7D" w:rsidP="00FC0888">
            <w:pPr>
              <w:rPr>
                <w:rStyle w:val="Strong"/>
              </w:rPr>
            </w:pPr>
            <w:r w:rsidRPr="002D078B">
              <w:rPr>
                <w:rStyle w:val="Strong"/>
              </w:rPr>
              <w:t>Without Clock</w:t>
            </w:r>
          </w:p>
        </w:tc>
        <w:tc>
          <w:tcPr>
            <w:tcW w:w="7371" w:type="dxa"/>
          </w:tcPr>
          <w:p w14:paraId="50ED67C3" w14:textId="77777777" w:rsidR="00232F7D" w:rsidRPr="002D078B" w:rsidRDefault="00232F7D" w:rsidP="00232F7D">
            <w:r w:rsidRPr="002D078B">
              <w:t>Metrics provided ‘Without clock’ are a measure of the total timeline – including both the time taken to process the application by the administering body, and the time to respond to queries by the investigator/trial coordinator/sponsor/CRO.</w:t>
            </w:r>
          </w:p>
        </w:tc>
      </w:tr>
    </w:tbl>
    <w:p w14:paraId="624CB9B5" w14:textId="77777777" w:rsidR="00232F7D" w:rsidRDefault="00FA430A" w:rsidP="00FA430A">
      <w:pPr>
        <w:pStyle w:val="Heading2"/>
        <w:keepNext w:val="0"/>
        <w:keepLines w:val="0"/>
        <w:pageBreakBefore/>
      </w:pPr>
      <w:bookmarkStart w:id="48" w:name="_Toc79679543"/>
      <w:r>
        <w:lastRenderedPageBreak/>
        <w:t>A2. NAS Metric Definition</w:t>
      </w:r>
      <w:bookmarkEnd w:id="48"/>
      <w:r>
        <w:t xml:space="preserve"> </w:t>
      </w:r>
    </w:p>
    <w:p w14:paraId="347D376F" w14:textId="77777777" w:rsidR="00FA430A" w:rsidRPr="00FA430A" w:rsidRDefault="00FA430A" w:rsidP="001F100F">
      <w:pPr>
        <w:pStyle w:val="Heading3"/>
      </w:pPr>
      <w:bookmarkStart w:id="49" w:name="_Toc532900359"/>
      <w:bookmarkStart w:id="50" w:name="_Toc79679544"/>
      <w:r w:rsidRPr="00FA430A">
        <w:t>National clinical trial activity</w:t>
      </w:r>
      <w:bookmarkEnd w:id="50"/>
    </w:p>
    <w:p w14:paraId="42C47FA1" w14:textId="16C55D6F" w:rsidR="00FA430A" w:rsidRPr="002D078B" w:rsidRDefault="008F1828" w:rsidP="00FA430A">
      <w:hyperlink w:anchor="_Metric_1:_Number" w:history="1">
        <w:r w:rsidR="00FA430A" w:rsidRPr="00B751E3">
          <w:rPr>
            <w:rStyle w:val="Hyperlink"/>
          </w:rPr>
          <w:t>Metric 1</w:t>
        </w:r>
      </w:hyperlink>
      <w:r w:rsidR="00FA430A" w:rsidRPr="002D078B">
        <w:t xml:space="preserve"> provides the total number of new clinical trials, by trial phase. In addition, </w:t>
      </w:r>
      <w:hyperlink w:anchor="_1a:_Number_of" w:history="1">
        <w:r w:rsidR="00FA430A" w:rsidRPr="00B751E3">
          <w:rPr>
            <w:rStyle w:val="Hyperlink"/>
          </w:rPr>
          <w:t>Metric 1a</w:t>
        </w:r>
      </w:hyperlink>
      <w:r w:rsidR="00FA430A" w:rsidRPr="002D078B">
        <w:t xml:space="preserve"> provides the number of new clinical trials by major sponsor type (see </w:t>
      </w:r>
      <w:hyperlink w:anchor="_A1._Glossary" w:history="1">
        <w:r w:rsidR="00FA430A" w:rsidRPr="00B751E3">
          <w:rPr>
            <w:rStyle w:val="Hyperlink"/>
          </w:rPr>
          <w:t>Glossary above</w:t>
        </w:r>
      </w:hyperlink>
      <w:r w:rsidR="00FA430A" w:rsidRPr="002D078B">
        <w:t xml:space="preserve">). </w:t>
      </w:r>
    </w:p>
    <w:p w14:paraId="07612952" w14:textId="77777777" w:rsidR="00FA430A" w:rsidRPr="00FA430A" w:rsidRDefault="00FA430A" w:rsidP="001F100F">
      <w:pPr>
        <w:pStyle w:val="Heading3"/>
      </w:pPr>
      <w:bookmarkStart w:id="51" w:name="_Toc79679545"/>
      <w:r w:rsidRPr="00FA430A">
        <w:t>Regulatory Timelines</w:t>
      </w:r>
      <w:bookmarkEnd w:id="49"/>
      <w:r w:rsidRPr="00FA430A">
        <w:t xml:space="preserve"> – total</w:t>
      </w:r>
      <w:bookmarkEnd w:id="51"/>
      <w:r w:rsidRPr="00FA430A">
        <w:t xml:space="preserve"> </w:t>
      </w:r>
    </w:p>
    <w:p w14:paraId="357ADC7F" w14:textId="77777777" w:rsidR="00FA430A" w:rsidRPr="002D078B" w:rsidRDefault="00FA430A" w:rsidP="00FA430A">
      <w:r w:rsidRPr="002D078B">
        <w:t xml:space="preserve">Sponsors have emphasised that clinical trial site selection globally depends on timelines, for both the regulatory approval, site authorisation, study start up and first patient recruited. Time to first patient recruited is the most widely accepted international indicator for efficiency of trial start-up. </w:t>
      </w:r>
    </w:p>
    <w:p w14:paraId="4569C655" w14:textId="500B5A3B" w:rsidR="00FA430A" w:rsidRPr="002D078B" w:rsidRDefault="00FA430A" w:rsidP="00FA430A">
      <w:r w:rsidRPr="002D078B">
        <w:t xml:space="preserve">While ‘time to first patient recruited’ is the long-term goal for inclusion in NAS, data is not currently available to measure this in Australia. As an interim – </w:t>
      </w:r>
      <w:hyperlink w:anchor="_Metric_2:_Overall" w:history="1">
        <w:r w:rsidRPr="00B751E3">
          <w:rPr>
            <w:rStyle w:val="Hyperlink"/>
          </w:rPr>
          <w:t>Metric 2</w:t>
        </w:r>
      </w:hyperlink>
      <w:r w:rsidRPr="002D078B">
        <w:t xml:space="preserve"> provides a proxy for study start up timeline by measuring the timeline for the two mandatory approval/regulatory processes for all clinical trials in Australia: from </w:t>
      </w:r>
      <w:r w:rsidRPr="0037244C">
        <w:rPr>
          <w:u w:val="single"/>
        </w:rPr>
        <w:t>ethics application submission closing date</w:t>
      </w:r>
      <w:r w:rsidRPr="002D078B">
        <w:t xml:space="preserve"> to </w:t>
      </w:r>
      <w:r w:rsidR="00B751E3">
        <w:rPr>
          <w:u w:val="single"/>
        </w:rPr>
        <w:t>date of first SSA/S</w:t>
      </w:r>
      <w:r w:rsidRPr="0037244C">
        <w:rPr>
          <w:u w:val="single"/>
        </w:rPr>
        <w:t>ite authorisation</w:t>
      </w:r>
      <w:r w:rsidRPr="002D078B">
        <w:t xml:space="preserve">, noting these processes are sometimes completed in parallel (see </w:t>
      </w:r>
      <w:r w:rsidR="00B751E3">
        <w:fldChar w:fldCharType="begin"/>
      </w:r>
      <w:r w:rsidR="00B751E3">
        <w:instrText xml:space="preserve"> REF _Ref71193629 \h </w:instrText>
      </w:r>
      <w:r w:rsidR="00B751E3">
        <w:fldChar w:fldCharType="separate"/>
      </w:r>
      <w:r w:rsidR="00A73B36">
        <w:t xml:space="preserve">Diagram </w:t>
      </w:r>
      <w:r w:rsidR="00A73B36">
        <w:rPr>
          <w:noProof/>
        </w:rPr>
        <w:t>1</w:t>
      </w:r>
      <w:r w:rsidR="00B751E3">
        <w:fldChar w:fldCharType="end"/>
      </w:r>
      <w:r w:rsidR="00B751E3">
        <w:t>). SSA/S</w:t>
      </w:r>
      <w:r w:rsidRPr="002D078B">
        <w:t xml:space="preserve">ite assessment occurs at each trial site where authorisation to conduct the trial must be provided. </w:t>
      </w:r>
    </w:p>
    <w:p w14:paraId="05EA8EB0" w14:textId="77777777" w:rsidR="00FA430A" w:rsidRPr="002D078B" w:rsidRDefault="00FA430A" w:rsidP="00FA430A">
      <w:r w:rsidRPr="002D078B">
        <w:t>It is important to note that as the NAS metric proxy is likely to be an under-estimate of the time to first patient recruited (as it excludes the time from approval to patient recruitment), these proportions are likely to be over-estimates.</w:t>
      </w:r>
    </w:p>
    <w:p w14:paraId="1270A751" w14:textId="77777777" w:rsidR="00FA430A" w:rsidRPr="002D078B" w:rsidRDefault="00FA430A" w:rsidP="00FA430A">
      <w:r w:rsidRPr="002D078B">
        <w:t xml:space="preserve">Timelines for compliance with a regulatory body such as the Therapeutic Goods Administration are not captured in the NAS metrics, as the date of Clinical Trial Notification (CTN) or Clinical Trial Approval (CTA) is not considered an end point. Mechanisms to collect data on first patient recruited are being considered and actively progressed. </w:t>
      </w:r>
    </w:p>
    <w:p w14:paraId="06CF9CCE" w14:textId="7B083BCE" w:rsidR="00FA430A" w:rsidRPr="002D078B" w:rsidRDefault="00FA430A" w:rsidP="00FA430A">
      <w:r w:rsidRPr="002D078B">
        <w:t>Metric 3 also measures the timeline for the entire re</w:t>
      </w:r>
      <w:r w:rsidR="00B751E3">
        <w:t>gulatory process (ethics + SSA/S</w:t>
      </w:r>
      <w:r w:rsidRPr="002D078B">
        <w:t xml:space="preserve">ite assessment), however differs from </w:t>
      </w:r>
      <w:hyperlink w:anchor="_Metric_2:_Overall" w:history="1">
        <w:r w:rsidRPr="00B751E3">
          <w:rPr>
            <w:rStyle w:val="Hyperlink"/>
          </w:rPr>
          <w:t>Metric 2</w:t>
        </w:r>
      </w:hyperlink>
      <w:r w:rsidRPr="002D078B">
        <w:t xml:space="preserve"> as it introduces the use of an administrative clock. </w:t>
      </w:r>
    </w:p>
    <w:p w14:paraId="65BF3E29" w14:textId="77777777" w:rsidR="00FA430A" w:rsidRPr="00FA430A" w:rsidRDefault="00FA430A" w:rsidP="001F100F">
      <w:pPr>
        <w:pStyle w:val="Heading3"/>
      </w:pPr>
      <w:bookmarkStart w:id="52" w:name="_Toc532900360"/>
      <w:bookmarkStart w:id="53" w:name="_Toc79679546"/>
      <w:r w:rsidRPr="00FA430A">
        <w:t>Regulator Timelines – components</w:t>
      </w:r>
      <w:bookmarkEnd w:id="52"/>
      <w:bookmarkEnd w:id="53"/>
      <w:r w:rsidRPr="00FA430A">
        <w:t xml:space="preserve"> </w:t>
      </w:r>
    </w:p>
    <w:p w14:paraId="74C094FD" w14:textId="17296187" w:rsidR="00FA430A" w:rsidRPr="002D078B" w:rsidRDefault="008F1828" w:rsidP="00FA430A">
      <w:hyperlink w:anchor="_Metric_4:_Ethics" w:history="1">
        <w:r w:rsidR="00FA430A" w:rsidRPr="00B751E3">
          <w:rPr>
            <w:rStyle w:val="Hyperlink"/>
          </w:rPr>
          <w:t>Metric 4</w:t>
        </w:r>
      </w:hyperlink>
      <w:r w:rsidR="00FA430A" w:rsidRPr="002D078B">
        <w:t xml:space="preserve"> and </w:t>
      </w:r>
      <w:hyperlink w:anchor="_Metric_5:_SSA/Site" w:history="1">
        <w:r w:rsidR="00FA430A" w:rsidRPr="00B751E3">
          <w:rPr>
            <w:rStyle w:val="Hyperlink"/>
          </w:rPr>
          <w:t>Metric 5</w:t>
        </w:r>
      </w:hyperlink>
      <w:r w:rsidR="00FA430A" w:rsidRPr="002D078B">
        <w:t xml:space="preserve"> each analyse timelines for one of the two components of the regul</w:t>
      </w:r>
      <w:r w:rsidR="00B751E3">
        <w:t>atory process – ethics and SSA/S</w:t>
      </w:r>
      <w:r w:rsidR="00FA430A" w:rsidRPr="002D078B">
        <w:t xml:space="preserve">ite assessment (see </w:t>
      </w:r>
      <w:r w:rsidR="00B751E3">
        <w:fldChar w:fldCharType="begin"/>
      </w:r>
      <w:r w:rsidR="00B751E3">
        <w:instrText xml:space="preserve"> REF _Ref71193629 \h </w:instrText>
      </w:r>
      <w:r w:rsidR="00B751E3">
        <w:fldChar w:fldCharType="separate"/>
      </w:r>
      <w:r w:rsidR="00A73B36">
        <w:t xml:space="preserve">Diagram </w:t>
      </w:r>
      <w:r w:rsidR="00A73B36">
        <w:rPr>
          <w:noProof/>
        </w:rPr>
        <w:t>1</w:t>
      </w:r>
      <w:r w:rsidR="00B751E3">
        <w:fldChar w:fldCharType="end"/>
      </w:r>
      <w:r w:rsidR="00FA430A" w:rsidRPr="002D078B">
        <w:t xml:space="preserve">). </w:t>
      </w:r>
    </w:p>
    <w:p w14:paraId="1B20B5E8" w14:textId="6FE92991" w:rsidR="00FA430A" w:rsidRPr="002D078B" w:rsidRDefault="008F1828" w:rsidP="00FA430A">
      <w:hyperlink w:anchor="_Metric_4:_Ethics" w:history="1">
        <w:r w:rsidR="00FA430A" w:rsidRPr="00B751E3">
          <w:rPr>
            <w:rStyle w:val="Hyperlink"/>
          </w:rPr>
          <w:t>Metric 4</w:t>
        </w:r>
      </w:hyperlink>
      <w:r w:rsidR="00FA430A" w:rsidRPr="002D078B">
        <w:t xml:space="preserve"> measures the time taken for ethics/HREC approval alone, both ‘Without Clock’ (</w:t>
      </w:r>
      <w:hyperlink w:anchor="_4a_HREC_Approval" w:history="1">
        <w:r w:rsidR="00FA430A" w:rsidRPr="00B751E3">
          <w:rPr>
            <w:rStyle w:val="Hyperlink"/>
          </w:rPr>
          <w:t>Metric 4a</w:t>
        </w:r>
      </w:hyperlink>
      <w:r w:rsidR="00FA430A" w:rsidRPr="002D078B">
        <w:t>), and ‘With Clock’ (</w:t>
      </w:r>
      <w:hyperlink w:anchor="_4b_HREC_Approval" w:history="1">
        <w:r w:rsidR="00FA430A" w:rsidRPr="00B751E3">
          <w:rPr>
            <w:rStyle w:val="Hyperlink"/>
          </w:rPr>
          <w:t>Metric 4b</w:t>
        </w:r>
      </w:hyperlink>
      <w:r w:rsidR="00FA430A" w:rsidRPr="002D078B">
        <w:t xml:space="preserve">).  This includes submission closing date, validation, HREC review, request for further information, responses from applicants, and final ethics approval. </w:t>
      </w:r>
      <w:r w:rsidR="00FA430A" w:rsidRPr="002D078B">
        <w:br/>
        <w:t xml:space="preserve">The ethics process is discrete and measured between submission of the ethics application to approval.  A common benchmark for process of ethics applications is 60 days.  </w:t>
      </w:r>
    </w:p>
    <w:p w14:paraId="50EF52D5" w14:textId="58083163" w:rsidR="00FA430A" w:rsidRPr="002D078B" w:rsidRDefault="008F1828" w:rsidP="00FA430A">
      <w:hyperlink w:anchor="_Metric_5:_SSA/Site" w:history="1">
        <w:r w:rsidR="00FA430A" w:rsidRPr="00B751E3">
          <w:rPr>
            <w:rStyle w:val="Hyperlink"/>
          </w:rPr>
          <w:t>Metric 5</w:t>
        </w:r>
      </w:hyperlink>
      <w:r w:rsidR="00FA430A" w:rsidRPr="002D078B">
        <w:t xml:space="preserve"> </w:t>
      </w:r>
      <w:r w:rsidR="00B751E3">
        <w:t>measures the time take for SSA/S</w:t>
      </w:r>
      <w:r w:rsidR="00FA430A" w:rsidRPr="002D078B">
        <w:t>ite assessment alone. This includes submission, validation, Research Governance Officer (RGO) review, request for further information, responses from applicants, CE</w:t>
      </w:r>
      <w:r w:rsidR="00B751E3">
        <w:t>O/delegation decision, and SSA/S</w:t>
      </w:r>
      <w:r w:rsidR="00FA430A" w:rsidRPr="002D078B">
        <w:t>ite assessment/research governance authorisation.</w:t>
      </w:r>
      <w:bookmarkStart w:id="54" w:name="Diagram"/>
      <w:bookmarkEnd w:id="54"/>
      <w:r w:rsidR="00FA430A" w:rsidRPr="002D078B">
        <w:t xml:space="preserve"> The metric measures the total timeline (i.e. ‘Without Clock’ only), as there is no prescribed submission date for SSA processes, and therefore no defined start </w:t>
      </w:r>
      <w:proofErr w:type="gramStart"/>
      <w:r w:rsidR="00FA430A" w:rsidRPr="002D078B">
        <w:t>point</w:t>
      </w:r>
      <w:proofErr w:type="gramEnd"/>
      <w:r w:rsidR="00FA430A" w:rsidRPr="002D078B">
        <w:t>. A SSA application can be submitted at any time before or after the ethics submission closing date and submission is dependent on the readiness to provide relevant documentation by the sponsor</w:t>
      </w:r>
      <w:r w:rsidR="00FA430A">
        <w:rPr>
          <w:rStyle w:val="FootnoteReference"/>
        </w:rPr>
        <w:footnoteReference w:id="6"/>
      </w:r>
      <w:r w:rsidR="00FA430A" w:rsidRPr="002D078B">
        <w:t xml:space="preserve">/CRO. In addition, </w:t>
      </w:r>
      <w:r w:rsidR="00FA430A" w:rsidRPr="002D078B">
        <w:lastRenderedPageBreak/>
        <w:t>research governance officers do not uniformly stop and re-set the clock in processing SSA applications.</w:t>
      </w:r>
    </w:p>
    <w:p w14:paraId="08498F26" w14:textId="77777777" w:rsidR="00FA430A" w:rsidRPr="00FA430A" w:rsidRDefault="00FA430A" w:rsidP="00FA430A">
      <w:r w:rsidRPr="002D078B">
        <w:t>Given the lack of a prescribed submission date/formal start date, the following two process steps are used as proxy starting points for NAS analysis:</w:t>
      </w:r>
    </w:p>
    <w:p w14:paraId="09054926" w14:textId="6EA2197D" w:rsidR="001F100F" w:rsidRPr="00303B10" w:rsidRDefault="001F100F" w:rsidP="001356A0">
      <w:pPr>
        <w:pStyle w:val="Boxtext"/>
      </w:pPr>
      <w:r w:rsidRPr="001356A0">
        <w:t>Metric 5a. The ethics/HREC approval (date)</w:t>
      </w:r>
      <w:r w:rsidRPr="00303B10">
        <w:t xml:space="preserve"> is a c</w:t>
      </w:r>
      <w:r w:rsidR="00B751E3">
        <w:t>ritical requirement before SSA/S</w:t>
      </w:r>
      <w:r w:rsidRPr="00303B10">
        <w:t xml:space="preserve">ite assessment can be finally authorised by the organisation that will conduct the trial. It also allows continuity of the overall regulatory timeline in that the SSA assessment should be occurring in parallel and be completed as soon after ethics/HREC approval as possible. </w:t>
      </w:r>
    </w:p>
    <w:p w14:paraId="2AD3EDF4" w14:textId="77777777" w:rsidR="001F100F" w:rsidRPr="00303B10" w:rsidRDefault="001F100F" w:rsidP="001356A0">
      <w:pPr>
        <w:pStyle w:val="Boxtext"/>
      </w:pPr>
      <w:r w:rsidRPr="001356A0">
        <w:t>Metric 5b. SSA validation date</w:t>
      </w:r>
      <w:r w:rsidRPr="00303B10">
        <w:t xml:space="preserve"> is the first date that may appear in electronic information systems for SSA applications. This is not related to the ethics/HREC process. Validation date can be an extremely variable decision-making step i.e. a SSA application may be complete or incomplete with additional documents to be submitted </w:t>
      </w:r>
      <w:proofErr w:type="gramStart"/>
      <w:r w:rsidRPr="00303B10">
        <w:t>at a later date</w:t>
      </w:r>
      <w:proofErr w:type="gramEnd"/>
      <w:r w:rsidRPr="00303B10">
        <w:t xml:space="preserve"> but the SSA form can be considered valid. </w:t>
      </w:r>
    </w:p>
    <w:p w14:paraId="1F5C777E" w14:textId="77777777" w:rsidR="001F100F" w:rsidRPr="001F100F" w:rsidRDefault="001F100F" w:rsidP="001F100F">
      <w:pPr>
        <w:pStyle w:val="Heading3"/>
      </w:pPr>
      <w:bookmarkStart w:id="55" w:name="_Toc79679547"/>
      <w:r w:rsidRPr="001F100F">
        <w:t>Recruitment/Investment</w:t>
      </w:r>
      <w:bookmarkEnd w:id="55"/>
    </w:p>
    <w:p w14:paraId="3960EC0C" w14:textId="77777777" w:rsidR="001F100F" w:rsidRPr="002D078B" w:rsidRDefault="001F100F" w:rsidP="001F100F">
      <w:r w:rsidRPr="002D078B">
        <w:t>The CTPRG identified capacity to track changes in trial recruitment and investment as important metrics in measuring improvements in Australia’s competitiveness as a preferred destination for clinical trials, and therefore included the following three metrics in the NAS Framework:</w:t>
      </w:r>
    </w:p>
    <w:p w14:paraId="564C68F1" w14:textId="77777777" w:rsidR="001F100F" w:rsidRPr="00303B10" w:rsidRDefault="001F100F" w:rsidP="001F100F">
      <w:r w:rsidRPr="00303B10">
        <w:t>Metric 6:  Trial Recruitment Actual/Planned</w:t>
      </w:r>
    </w:p>
    <w:p w14:paraId="4C62C48F" w14:textId="77777777" w:rsidR="001F100F" w:rsidRPr="00303B10" w:rsidRDefault="001F100F" w:rsidP="001F100F">
      <w:r w:rsidRPr="00303B10">
        <w:t>Metric 7:  Site Recruitment: Actual/Planned</w:t>
      </w:r>
    </w:p>
    <w:p w14:paraId="041B8815" w14:textId="77777777" w:rsidR="001F100F" w:rsidRPr="00303B10" w:rsidRDefault="001F100F" w:rsidP="001F100F">
      <w:r w:rsidRPr="00303B10">
        <w:t>Metric 8:  Total investment annually (FY) Actual/Planned</w:t>
      </w:r>
    </w:p>
    <w:p w14:paraId="2F4030D9" w14:textId="49DB3BFD" w:rsidR="001F100F" w:rsidRDefault="001F100F" w:rsidP="001F100F">
      <w:r w:rsidRPr="002D078B">
        <w:t xml:space="preserve">These metrics have not been provided to date through annual NAS reporting, due to the lack of reliable and accessible data at jurisdiction level. However, CTPRG members have committed to provision of these metrics through the </w:t>
      </w:r>
      <w:r w:rsidRPr="00B751E3">
        <w:rPr>
          <w:i/>
        </w:rPr>
        <w:t>Encouraging More Clinical Trials in Australia</w:t>
      </w:r>
      <w:r w:rsidRPr="002D078B">
        <w:t xml:space="preserve"> Budget Measure (</w:t>
      </w:r>
      <w:hyperlink w:anchor="_NAS_Metrics" w:history="1">
        <w:r w:rsidRPr="00B751E3">
          <w:rPr>
            <w:rStyle w:val="Hyperlink"/>
          </w:rPr>
          <w:t>see above</w:t>
        </w:r>
      </w:hyperlink>
      <w:r w:rsidRPr="002D078B">
        <w:t xml:space="preserve">), which in turn will be enabled for a number of jurisdictions through upgrades to electronic information platforms. </w:t>
      </w:r>
    </w:p>
    <w:p w14:paraId="4C9EB68B" w14:textId="77777777" w:rsidR="001F100F" w:rsidRDefault="001F100F" w:rsidP="001356A0">
      <w:pPr>
        <w:pStyle w:val="Heading2"/>
        <w:keepNext w:val="0"/>
        <w:keepLines w:val="0"/>
      </w:pPr>
      <w:bookmarkStart w:id="56" w:name="_Toc79679548"/>
      <w:r>
        <w:t>A3. NAS Reporting</w:t>
      </w:r>
      <w:bookmarkEnd w:id="56"/>
    </w:p>
    <w:p w14:paraId="7FCDD7CC" w14:textId="77777777" w:rsidR="001F100F" w:rsidRPr="002D078B" w:rsidRDefault="001F100F" w:rsidP="001F100F">
      <w:r w:rsidRPr="002D078B">
        <w:t xml:space="preserve">As identified above, annual NAS reporting is a key deliverable of the CTPRG. Development of annual reports, data definitions, data collection templates and analysis has been led by Victoria, in collaboration with contributing jurisdictions, and as agreed by CTPRG. </w:t>
      </w:r>
    </w:p>
    <w:p w14:paraId="16DC9D21" w14:textId="68845519" w:rsidR="001F100F" w:rsidRPr="002D078B" w:rsidRDefault="001F100F" w:rsidP="001F100F">
      <w:r w:rsidRPr="002D078B">
        <w:t>In May 2016, AHMAC endorsed the First National Activity Report on Commercially Sponsored Clinical Trials in Australian Public Health Organisations (NAS 1 Report). It provided data on total clinical trial activity, an</w:t>
      </w:r>
      <w:r w:rsidR="00B751E3">
        <w:t>d timelines for ethics and SSA/S</w:t>
      </w:r>
      <w:r w:rsidRPr="002D078B">
        <w:t>ite assessment (NAS Metrics 1 – 5) for all commercially sponsored clinical trials in public health organisations, in six jurisdictions</w:t>
      </w:r>
      <w:r w:rsidR="00A51EF4">
        <w:rPr>
          <w:rStyle w:val="FootnoteReference"/>
        </w:rPr>
        <w:footnoteReference w:id="7"/>
      </w:r>
      <w:r w:rsidRPr="002D078B">
        <w:t xml:space="preserve"> for the year 2014-15. The NAS 1 Report represented the first attempt to measure national clinical trial activity, an important step in understanding Australia’s performance in the clinical trials </w:t>
      </w:r>
      <w:proofErr w:type="gramStart"/>
      <w:r w:rsidRPr="002D078B">
        <w:t>sector, and</w:t>
      </w:r>
      <w:proofErr w:type="gramEnd"/>
      <w:r w:rsidRPr="002D078B">
        <w:t xml:space="preserve"> reflected the committed cooperation of all jurisdictions. As the NAS 1 Report reflected a new process and data collection methodology, it was not intended for publication. In the current NAS 3 Report, the 2014-15 result reflect all clinical trials (including non-commercial).</w:t>
      </w:r>
    </w:p>
    <w:p w14:paraId="2884C3BF" w14:textId="7549600B" w:rsidR="001F100F" w:rsidRPr="002D078B" w:rsidRDefault="001F100F" w:rsidP="001F100F">
      <w:r w:rsidRPr="002D078B">
        <w:lastRenderedPageBreak/>
        <w:t>The Second National Aggregate Statistics Report on Clinical Trials in Australia (NAS 2 Report) was</w:t>
      </w:r>
      <w:r w:rsidRPr="00303B10">
        <w:t xml:space="preserve"> </w:t>
      </w:r>
      <w:r w:rsidRPr="002D078B">
        <w:t xml:space="preserve">approved for publication by </w:t>
      </w:r>
      <w:proofErr w:type="gramStart"/>
      <w:r w:rsidRPr="002D078B">
        <w:t>AHMAC, and</w:t>
      </w:r>
      <w:proofErr w:type="gramEnd"/>
      <w:r w:rsidRPr="002D078B">
        <w:t xml:space="preserve"> published in June 2017. It included data from five jurisdictions</w:t>
      </w:r>
      <w:r w:rsidR="00A51EF4">
        <w:rPr>
          <w:rStyle w:val="FootnoteReference"/>
        </w:rPr>
        <w:footnoteReference w:id="8"/>
      </w:r>
      <w:r w:rsidRPr="002D078B">
        <w:t xml:space="preserve">  for the year 2015-16. Like the NAS 1 Report, the NAS 2 Report included data for clinical trials conducted in public health </w:t>
      </w:r>
      <w:proofErr w:type="gramStart"/>
      <w:r w:rsidRPr="002D078B">
        <w:t>organisations, but</w:t>
      </w:r>
      <w:proofErr w:type="gramEnd"/>
      <w:r w:rsidRPr="002D078B">
        <w:t xml:space="preserve"> was expanded to include trials from all sponsor types (not just commercially sponsored trials). In addition to the metrics provided in the NAS</w:t>
      </w:r>
      <w:r w:rsidR="00B751E3">
        <w:t> </w:t>
      </w:r>
      <w:r w:rsidRPr="002D078B">
        <w:t>1</w:t>
      </w:r>
      <w:r w:rsidR="00B751E3">
        <w:t> </w:t>
      </w:r>
      <w:r w:rsidRPr="002D078B">
        <w:t>Report (data on total clinical trial activity, an</w:t>
      </w:r>
      <w:r w:rsidR="00B751E3">
        <w:t>d timelines for ethics and SSA/S</w:t>
      </w:r>
      <w:r w:rsidRPr="002D078B">
        <w:t>it</w:t>
      </w:r>
      <w:r w:rsidR="00A51EF4">
        <w:t>e assessment (NAS Metrics 1 – 5</w:t>
      </w:r>
      <w:r w:rsidRPr="002D078B">
        <w:t xml:space="preserve">), the NAS 2 Report also disaggregated trials by sponsor type (NAS Metric 1a). </w:t>
      </w:r>
    </w:p>
    <w:p w14:paraId="0856382D" w14:textId="77777777" w:rsidR="001F100F" w:rsidRPr="002D078B" w:rsidRDefault="001F100F" w:rsidP="001F100F">
      <w:r w:rsidRPr="002D078B">
        <w:t xml:space="preserve">It is important to note that the published NAS 2 Report represented interim 2015-16 data, and therefore may differ slightly from the final (revised) 2015-16 data presented in the Third National Aggregate Statistics Report on Clinical Trials in Australia (NAS 3 Report). Interim NAS data is produced immediately after a reporting period (FY), and therefore may miss timelines for the small number of trials that commenced, but did not complete, the approval process in the reporting period. Final NAS data is collated up to a year later, </w:t>
      </w:r>
      <w:proofErr w:type="gramStart"/>
      <w:r w:rsidRPr="002D078B">
        <w:t>in order to</w:t>
      </w:r>
      <w:proofErr w:type="gramEnd"/>
      <w:r w:rsidRPr="002D078B">
        <w:t xml:space="preserve"> also capture all timelines for those trials. To minimise potential confusion from two data sets being circulated for the same reporting period, only final data will be reported </w:t>
      </w:r>
      <w:proofErr w:type="spellStart"/>
      <w:r w:rsidRPr="002D078B">
        <w:t>publically</w:t>
      </w:r>
      <w:proofErr w:type="spellEnd"/>
      <w:r w:rsidRPr="002D078B">
        <w:t xml:space="preserve"> from NAS 3 onwards. </w:t>
      </w:r>
    </w:p>
    <w:p w14:paraId="6EB5DC41" w14:textId="27B1BB68" w:rsidR="001F100F" w:rsidRPr="002D078B" w:rsidRDefault="001F100F" w:rsidP="001F100F">
      <w:r w:rsidRPr="002D078B">
        <w:t xml:space="preserve">The NAS 3 Report was approved for publication by AHMAC in 2019. It included data for all clinical trials in public health organisations from 6 </w:t>
      </w:r>
      <w:proofErr w:type="gramStart"/>
      <w:r w:rsidRPr="002D078B">
        <w:t>jurisdictions, and</w:t>
      </w:r>
      <w:proofErr w:type="gramEnd"/>
      <w:r w:rsidRPr="002D078B">
        <w:t xml:space="preserve"> represented final 2016-17 data. Like the NAS 2 Report, it provided data on total clinical trial activity (including number and sponsor type), and timelines for e</w:t>
      </w:r>
      <w:r w:rsidR="00B751E3">
        <w:t>thics and SSA/S</w:t>
      </w:r>
      <w:r w:rsidRPr="002D078B">
        <w:t xml:space="preserve">ite assessment. In addition, the NAS 3 report included, where available, time-series analysis between NAS 1, NAS </w:t>
      </w:r>
      <w:proofErr w:type="gramStart"/>
      <w:r w:rsidRPr="002D078B">
        <w:t>2</w:t>
      </w:r>
      <w:proofErr w:type="gramEnd"/>
      <w:r w:rsidRPr="002D078B">
        <w:t xml:space="preserve"> and NAS 3 Reports. Time-series analysis was not included in NAS 1 or NAS 2 Reports. </w:t>
      </w:r>
    </w:p>
    <w:p w14:paraId="51CF9582" w14:textId="77777777" w:rsidR="001F100F" w:rsidRPr="001F100F" w:rsidRDefault="001F100F" w:rsidP="001F100F">
      <w:r w:rsidRPr="002D078B">
        <w:t>This current report, the Fourth National Aggregate Statistics Report on Clinical Trials in Australia (NAS 4) uses only single year data and analysis due to complexities associated with data collections as new systems have come online.</w:t>
      </w:r>
    </w:p>
    <w:p w14:paraId="4BFB4D8F" w14:textId="77777777" w:rsidR="0055365E" w:rsidRDefault="001F100F" w:rsidP="001F100F">
      <w:pPr>
        <w:pStyle w:val="Heading2"/>
      </w:pPr>
      <w:bookmarkStart w:id="57" w:name="_Toc79679549"/>
      <w:r>
        <w:t>A4. NAS Data Collection Methodology</w:t>
      </w:r>
      <w:bookmarkEnd w:id="57"/>
    </w:p>
    <w:p w14:paraId="02DB467D" w14:textId="77777777" w:rsidR="001F100F" w:rsidRPr="002D078B" w:rsidRDefault="001F100F" w:rsidP="001F100F">
      <w:pPr>
        <w:pStyle w:val="Heading3"/>
      </w:pPr>
      <w:bookmarkStart w:id="58" w:name="_Toc79679550"/>
      <w:r w:rsidRPr="002D078B">
        <w:t>Data Sources</w:t>
      </w:r>
      <w:bookmarkEnd w:id="58"/>
      <w:r w:rsidRPr="002D078B">
        <w:t xml:space="preserve"> </w:t>
      </w:r>
    </w:p>
    <w:p w14:paraId="312BCD3A" w14:textId="77777777" w:rsidR="001F100F" w:rsidRPr="002D078B" w:rsidRDefault="001F100F" w:rsidP="001F100F">
      <w:r w:rsidRPr="002D078B">
        <w:t xml:space="preserve">NAS is currently sourced from jurisdictional public health information platforms – both electronic and manual. Based on an initial scan of available sources, these systems were identified and agreed by CTPRG as the most current and reliable source of data for NAS. </w:t>
      </w:r>
    </w:p>
    <w:p w14:paraId="786CFD2A" w14:textId="489E7C5B" w:rsidR="001F100F" w:rsidRPr="002D078B" w:rsidRDefault="001F100F" w:rsidP="001F100F">
      <w:r w:rsidRPr="002D078B">
        <w:t>The HREA ethics form system provides a national identifier for an ethics/HREC application, but due to programming the HREA form into jurisdiction information management platforms this identifier is not useful. Each jurisdiction system has a unique and different identification coding system.</w:t>
      </w:r>
    </w:p>
    <w:p w14:paraId="083935F6" w14:textId="77777777" w:rsidR="001F100F" w:rsidRPr="002D078B" w:rsidRDefault="001F100F" w:rsidP="001F100F">
      <w:r w:rsidRPr="002D078B">
        <w:t>There are four different information management platforms used by jurisdictions and institutions in Australia to manage the ‘research governance’ of each individual research project. In general, these platforms enable (to varying degrees) the three mandatory processes for human research governance of clinical trials and other health research involving humans:</w:t>
      </w:r>
    </w:p>
    <w:p w14:paraId="15D7E208" w14:textId="77777777" w:rsidR="001F100F" w:rsidRPr="001F100F" w:rsidRDefault="001F100F" w:rsidP="001F100F">
      <w:pPr>
        <w:pStyle w:val="ListParagraph"/>
        <w:numPr>
          <w:ilvl w:val="0"/>
          <w:numId w:val="5"/>
        </w:numPr>
        <w:rPr>
          <w:rFonts w:cs="Arial"/>
        </w:rPr>
      </w:pPr>
      <w:r w:rsidRPr="001F100F">
        <w:rPr>
          <w:rFonts w:cs="Arial"/>
        </w:rPr>
        <w:t xml:space="preserve">ethics application, submission, review, and response/approval by a </w:t>
      </w:r>
      <w:proofErr w:type="gramStart"/>
      <w:r w:rsidRPr="001F100F">
        <w:rPr>
          <w:rFonts w:cs="Arial"/>
        </w:rPr>
        <w:t>HREC;</w:t>
      </w:r>
      <w:proofErr w:type="gramEnd"/>
    </w:p>
    <w:p w14:paraId="16070136" w14:textId="77777777" w:rsidR="001F100F" w:rsidRPr="001F100F" w:rsidRDefault="001F100F" w:rsidP="001F100F">
      <w:pPr>
        <w:pStyle w:val="ListParagraph"/>
        <w:numPr>
          <w:ilvl w:val="0"/>
          <w:numId w:val="5"/>
        </w:numPr>
        <w:rPr>
          <w:rFonts w:cs="Arial"/>
        </w:rPr>
      </w:pPr>
      <w:r w:rsidRPr="001F100F">
        <w:rPr>
          <w:rFonts w:cs="Arial"/>
        </w:rPr>
        <w:t>SSA application, submission, review, and response by an authorising site; and</w:t>
      </w:r>
    </w:p>
    <w:p w14:paraId="25C61FDA" w14:textId="77777777" w:rsidR="001F100F" w:rsidRPr="001F100F" w:rsidRDefault="001F100F" w:rsidP="001F100F">
      <w:pPr>
        <w:pStyle w:val="ListParagraph"/>
        <w:numPr>
          <w:ilvl w:val="0"/>
          <w:numId w:val="5"/>
        </w:numPr>
        <w:rPr>
          <w:rFonts w:cs="Arial"/>
        </w:rPr>
      </w:pPr>
      <w:r w:rsidRPr="001F100F">
        <w:rPr>
          <w:rFonts w:cs="Arial"/>
        </w:rPr>
        <w:t>post approval monitoring and reporting.</w:t>
      </w:r>
    </w:p>
    <w:p w14:paraId="3CC0C09E" w14:textId="77777777" w:rsidR="001F100F" w:rsidRPr="002D078B" w:rsidRDefault="001F100F" w:rsidP="001F100F">
      <w:r w:rsidRPr="002D078B">
        <w:lastRenderedPageBreak/>
        <w:t xml:space="preserve">The platforms are predominantly used (and therefore data input is provided) by researchers/sponsors and reviewing/approving entities (such as HRECs and RGOs/sites). It is important to note that these platforms do not contain participant data, or trial results. </w:t>
      </w:r>
    </w:p>
    <w:p w14:paraId="49AA3FBF" w14:textId="77777777" w:rsidR="001F100F" w:rsidRPr="002D078B" w:rsidRDefault="001F100F" w:rsidP="001F100F">
      <w:r w:rsidRPr="002D078B">
        <w:t xml:space="preserve">Each jurisdiction sourced NAS data for this report from their own platform, the majority of which were electronic and allowed measurement of the metrics with ‘administrative clock’, which as noted elsewhere, provides capacity to measure timelines and also time intervals when applications are or are not the responsibility of administering organisations. </w:t>
      </w:r>
    </w:p>
    <w:p w14:paraId="235C4DC4" w14:textId="77777777" w:rsidR="001F100F" w:rsidRPr="002D078B" w:rsidRDefault="001F100F" w:rsidP="001F100F">
      <w:pPr>
        <w:pStyle w:val="Heading3"/>
      </w:pPr>
      <w:bookmarkStart w:id="59" w:name="_Toc79679551"/>
      <w:r w:rsidRPr="002D078B">
        <w:t>Data aggregation process</w:t>
      </w:r>
      <w:bookmarkEnd w:id="59"/>
    </w:p>
    <w:p w14:paraId="272027B4" w14:textId="77777777" w:rsidR="001F100F" w:rsidRPr="002D078B" w:rsidRDefault="001F100F" w:rsidP="001F100F">
      <w:r w:rsidRPr="002D078B">
        <w:t xml:space="preserve">Data contained in this report is based on a template developed by the NMA and expanded for state-only records for the CTPRG and in accordance with agreed data definitions, sourced from jurisdictional information platforms as noted above. The NMA framework operating between six participating jurisdictions has provided the infrastructure for NAS data collection and analysis and has been established since 2013. NMA involves linking cross-jurisdictional applications so each jurisdiction hosting a trial site has a record of ethical review in another jurisdiction. Bringing together NMA and state-only records in this report is an important step and has relied on cooperative relations between jurisdictions. </w:t>
      </w:r>
    </w:p>
    <w:p w14:paraId="179FF385" w14:textId="77777777" w:rsidR="001F100F" w:rsidRPr="002D078B" w:rsidRDefault="001F100F" w:rsidP="001F100F">
      <w:pPr>
        <w:pStyle w:val="Heading3"/>
      </w:pPr>
      <w:bookmarkStart w:id="60" w:name="_Toc79679552"/>
      <w:r w:rsidRPr="002D078B">
        <w:t>Limitations</w:t>
      </w:r>
      <w:bookmarkEnd w:id="60"/>
    </w:p>
    <w:p w14:paraId="6E4DE199" w14:textId="77777777" w:rsidR="001F100F" w:rsidRPr="002D078B" w:rsidRDefault="001F100F" w:rsidP="001F100F">
      <w:r w:rsidRPr="002D078B">
        <w:t xml:space="preserve">The data presented in this report has some limitations and these should be </w:t>
      </w:r>
      <w:proofErr w:type="gramStart"/>
      <w:r w:rsidRPr="002D078B">
        <w:t>taken into account</w:t>
      </w:r>
      <w:proofErr w:type="gramEnd"/>
      <w:r w:rsidRPr="002D078B">
        <w:t xml:space="preserve"> when interpreting the information provided in this report, including:</w:t>
      </w:r>
    </w:p>
    <w:p w14:paraId="3CD491D5" w14:textId="77777777" w:rsidR="001F100F" w:rsidRPr="001F100F" w:rsidRDefault="001F100F" w:rsidP="001F100F">
      <w:pPr>
        <w:pStyle w:val="ListParagraph"/>
        <w:numPr>
          <w:ilvl w:val="0"/>
          <w:numId w:val="6"/>
        </w:numPr>
        <w:rPr>
          <w:rFonts w:cs="Arial"/>
        </w:rPr>
      </w:pPr>
      <w:r w:rsidRPr="001F100F">
        <w:rPr>
          <w:rFonts w:cs="Arial"/>
        </w:rPr>
        <w:t>there are now five different information management platform that capture ethics and site assessment/SSA application data. These are: New South Wales (REGIS), Queensland (ERM), South Australia (AU RED), Victoria (ERM) and Western Australia (RGS). This has led to difficulty in linking an SSA application to its ‘parent’ ethics approval in a different jurisdiction. The result is Metrics 2 and 3 aggregate report numbers are low (460 and 442 respectively) compared to the total 857 approved ethics applications. This has been termed an ‘orphan SSA’ issue where the SSA cannot be linked to the ethics ‘parent’ application.</w:t>
      </w:r>
    </w:p>
    <w:p w14:paraId="41EB7DE8" w14:textId="77777777" w:rsidR="001F100F" w:rsidRPr="001F100F" w:rsidRDefault="001F100F" w:rsidP="001F100F">
      <w:pPr>
        <w:pStyle w:val="ListParagraph"/>
        <w:numPr>
          <w:ilvl w:val="0"/>
          <w:numId w:val="6"/>
        </w:numPr>
        <w:rPr>
          <w:rFonts w:cs="Arial"/>
        </w:rPr>
      </w:pPr>
      <w:r w:rsidRPr="001F100F">
        <w:rPr>
          <w:rFonts w:cs="Arial"/>
        </w:rPr>
        <w:t>an under-representation of clinical trials as some jurisdictions currently have limited capacity to report in the NAS format due to lack of an information management platform, others have an incomplete data set for single-site clinical trials and some jurisdictions do not conduct an SSA process; and</w:t>
      </w:r>
    </w:p>
    <w:p w14:paraId="024A0BD8" w14:textId="77777777" w:rsidR="001F100F" w:rsidRPr="001F100F" w:rsidRDefault="001F100F" w:rsidP="001F100F">
      <w:pPr>
        <w:pStyle w:val="ListParagraph"/>
        <w:numPr>
          <w:ilvl w:val="0"/>
          <w:numId w:val="6"/>
        </w:numPr>
        <w:rPr>
          <w:rFonts w:cs="Arial"/>
        </w:rPr>
      </w:pPr>
      <w:r w:rsidRPr="001F100F">
        <w:rPr>
          <w:rFonts w:cs="Arial"/>
        </w:rPr>
        <w:t xml:space="preserve">incomplete records (and therefore missing metrics) for some clinical trials included in this report. Results therefore reflect the proportion of the trials reporting that </w:t>
      </w:r>
      <w:proofErr w:type="gramStart"/>
      <w:r w:rsidRPr="001F100F">
        <w:rPr>
          <w:rFonts w:cs="Arial"/>
        </w:rPr>
        <w:t>particular data</w:t>
      </w:r>
      <w:proofErr w:type="gramEnd"/>
      <w:r w:rsidRPr="001F100F">
        <w:rPr>
          <w:rFonts w:cs="Arial"/>
        </w:rPr>
        <w:t xml:space="preserve"> element/NAS metric. These limitations particularly apply for analysis of metrics with low response rates – for example, only 48 per cent of all trials reported a trial phase in 2018-2019.</w:t>
      </w:r>
    </w:p>
    <w:p w14:paraId="59846B0E" w14:textId="41F7CA57" w:rsidR="001E3BF0" w:rsidRDefault="001F100F" w:rsidP="003C64DE">
      <w:r w:rsidRPr="002D078B">
        <w:t xml:space="preserve">For successive reports jurisdictions will be actively working to report more comprehensively regarding additional data and </w:t>
      </w:r>
      <w:r w:rsidR="00A73B36">
        <w:t>current gaps in some data sets.</w:t>
      </w:r>
      <w:r w:rsidR="001E3BF0">
        <w:br w:type="page"/>
      </w:r>
    </w:p>
    <w:p w14:paraId="6FA80AB8" w14:textId="5332571A" w:rsidR="001E3BF0" w:rsidRDefault="001E3BF0" w:rsidP="001E3BF0">
      <w:pPr>
        <w:spacing w:before="1320"/>
        <w:jc w:val="center"/>
      </w:pPr>
      <w:r>
        <w:rPr>
          <w:noProof/>
          <w:lang w:eastAsia="en-AU"/>
        </w:rPr>
        <w:lastRenderedPageBreak/>
        <w:drawing>
          <wp:anchor distT="0" distB="0" distL="114300" distR="114300" simplePos="0" relativeHeight="251663360" behindDoc="1" locked="0" layoutInCell="1" allowOverlap="1" wp14:anchorId="1CE3C9FF" wp14:editId="36A7ECAB">
            <wp:simplePos x="0" y="0"/>
            <wp:positionH relativeFrom="page">
              <wp:align>left</wp:align>
            </wp:positionH>
            <wp:positionV relativeFrom="margin">
              <wp:posOffset>-864870</wp:posOffset>
            </wp:positionV>
            <wp:extent cx="7559040" cy="9374611"/>
            <wp:effectExtent l="0" t="0" r="381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670"/>
                    <a:stretch/>
                  </pic:blipFill>
                  <pic:spPr bwMode="auto">
                    <a:xfrm>
                      <a:off x="0" y="0"/>
                      <a:ext cx="7559040" cy="9374611"/>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05F10D5" w14:textId="7ACE30C8" w:rsidR="001356A0" w:rsidRPr="001356A0" w:rsidRDefault="001356A0" w:rsidP="001E3BF0">
      <w:pPr>
        <w:spacing w:before="3840"/>
        <w:jc w:val="center"/>
        <w:rPr>
          <w:rStyle w:val="FootnoteReference"/>
          <w:szCs w:val="40"/>
        </w:rPr>
      </w:pPr>
      <w:r w:rsidRPr="001356A0">
        <w:rPr>
          <w:rStyle w:val="FootnoteReference"/>
        </w:rPr>
        <w:t>H</w:t>
      </w:r>
      <w:r w:rsidRPr="001356A0">
        <w:rPr>
          <w:rStyle w:val="FootnoteReference"/>
          <w:szCs w:val="40"/>
        </w:rPr>
        <w:t>ealth.gov.au</w:t>
      </w:r>
    </w:p>
    <w:p w14:paraId="2A1C748D" w14:textId="674F4F2B" w:rsidR="00432C26" w:rsidRPr="00025872" w:rsidRDefault="001356A0" w:rsidP="001356A0">
      <w:pPr>
        <w:jc w:val="center"/>
      </w:pPr>
      <w:r w:rsidRPr="001356A0">
        <w:rPr>
          <w:rStyle w:val="FootnoteReference"/>
        </w:rPr>
        <w:t>All information in this publication is correct as at April 2021</w:t>
      </w:r>
    </w:p>
    <w:sectPr w:rsidR="00432C26" w:rsidRPr="00025872" w:rsidSect="003E4EC8">
      <w:footerReference w:type="default" r:id="rId19"/>
      <w:headerReference w:type="first" r:id="rId20"/>
      <w:pgSz w:w="11906" w:h="16838"/>
      <w:pgMar w:top="1440" w:right="1440" w:bottom="1440" w:left="1440"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9C88E" w14:textId="77777777" w:rsidR="00831783" w:rsidRDefault="00831783" w:rsidP="00C36D64">
      <w:pPr>
        <w:spacing w:after="0"/>
      </w:pPr>
      <w:r>
        <w:separator/>
      </w:r>
    </w:p>
  </w:endnote>
  <w:endnote w:type="continuationSeparator" w:id="0">
    <w:p w14:paraId="3E331B9A" w14:textId="77777777" w:rsidR="00831783" w:rsidRDefault="00831783" w:rsidP="00C36D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5A885" w14:textId="6075DD1B" w:rsidR="00831783" w:rsidRPr="003E4EC8" w:rsidRDefault="00831783" w:rsidP="00A55FAA">
    <w:pPr>
      <w:tabs>
        <w:tab w:val="center" w:pos="4550"/>
        <w:tab w:val="left" w:pos="5818"/>
      </w:tabs>
      <w:ind w:right="260"/>
      <w:rPr>
        <w:color w:val="0F243E" w:themeColor="text2" w:themeShade="80"/>
        <w:sz w:val="18"/>
        <w:szCs w:val="18"/>
      </w:rPr>
    </w:pPr>
    <w:r w:rsidRPr="003E4EC8">
      <w:rPr>
        <w:color w:val="37818A"/>
        <w:spacing w:val="60"/>
        <w:sz w:val="18"/>
        <w:szCs w:val="18"/>
      </w:rPr>
      <w:t>Clinical Trials Project Reference Group</w:t>
    </w:r>
    <w:r>
      <w:rPr>
        <w:color w:val="37818A"/>
        <w:spacing w:val="60"/>
        <w:sz w:val="18"/>
        <w:szCs w:val="18"/>
      </w:rPr>
      <w:tab/>
    </w:r>
    <w:r>
      <w:rPr>
        <w:color w:val="37818A"/>
        <w:spacing w:val="60"/>
        <w:sz w:val="18"/>
        <w:szCs w:val="18"/>
      </w:rPr>
      <w:tab/>
    </w:r>
    <w:r>
      <w:rPr>
        <w:color w:val="37818A"/>
        <w:spacing w:val="60"/>
        <w:sz w:val="18"/>
        <w:szCs w:val="18"/>
      </w:rPr>
      <w:tab/>
    </w:r>
    <w:r w:rsidRPr="003E4EC8">
      <w:rPr>
        <w:color w:val="548DD4" w:themeColor="text2" w:themeTint="99"/>
        <w:spacing w:val="60"/>
        <w:sz w:val="18"/>
        <w:szCs w:val="18"/>
      </w:rPr>
      <w:t>Page</w:t>
    </w:r>
    <w:r w:rsidRPr="003E4EC8">
      <w:rPr>
        <w:color w:val="548DD4" w:themeColor="text2" w:themeTint="99"/>
        <w:sz w:val="18"/>
        <w:szCs w:val="18"/>
      </w:rPr>
      <w:t xml:space="preserve"> </w:t>
    </w:r>
    <w:r w:rsidRPr="003E4EC8">
      <w:rPr>
        <w:color w:val="17365D" w:themeColor="text2" w:themeShade="BF"/>
        <w:sz w:val="18"/>
        <w:szCs w:val="18"/>
      </w:rPr>
      <w:fldChar w:fldCharType="begin"/>
    </w:r>
    <w:r w:rsidRPr="003E4EC8">
      <w:rPr>
        <w:color w:val="17365D" w:themeColor="text2" w:themeShade="BF"/>
        <w:sz w:val="18"/>
        <w:szCs w:val="18"/>
      </w:rPr>
      <w:instrText xml:space="preserve"> PAGE   \* MERGEFORMAT </w:instrText>
    </w:r>
    <w:r w:rsidRPr="003E4EC8">
      <w:rPr>
        <w:color w:val="17365D" w:themeColor="text2" w:themeShade="BF"/>
        <w:sz w:val="18"/>
        <w:szCs w:val="18"/>
      </w:rPr>
      <w:fldChar w:fldCharType="separate"/>
    </w:r>
    <w:r>
      <w:rPr>
        <w:noProof/>
        <w:color w:val="17365D" w:themeColor="text2" w:themeShade="BF"/>
        <w:sz w:val="18"/>
        <w:szCs w:val="18"/>
      </w:rPr>
      <w:t>27</w:t>
    </w:r>
    <w:r w:rsidRPr="003E4EC8">
      <w:rPr>
        <w:color w:val="17365D" w:themeColor="text2" w:themeShade="BF"/>
        <w:sz w:val="18"/>
        <w:szCs w:val="18"/>
      </w:rPr>
      <w:fldChar w:fldCharType="end"/>
    </w:r>
    <w:r w:rsidRPr="003E4EC8">
      <w:rPr>
        <w:color w:val="17365D" w:themeColor="text2" w:themeShade="BF"/>
        <w:sz w:val="18"/>
        <w:szCs w:val="18"/>
      </w:rPr>
      <w:t xml:space="preserve"> | </w:t>
    </w:r>
    <w:r w:rsidRPr="003E4EC8">
      <w:rPr>
        <w:color w:val="17365D" w:themeColor="text2" w:themeShade="BF"/>
        <w:sz w:val="18"/>
        <w:szCs w:val="18"/>
      </w:rPr>
      <w:fldChar w:fldCharType="begin"/>
    </w:r>
    <w:r w:rsidRPr="003E4EC8">
      <w:rPr>
        <w:color w:val="17365D" w:themeColor="text2" w:themeShade="BF"/>
        <w:sz w:val="18"/>
        <w:szCs w:val="18"/>
      </w:rPr>
      <w:instrText xml:space="preserve"> NUMPAGES  \* Arabic  \* MERGEFORMAT </w:instrText>
    </w:r>
    <w:r w:rsidRPr="003E4EC8">
      <w:rPr>
        <w:color w:val="17365D" w:themeColor="text2" w:themeShade="BF"/>
        <w:sz w:val="18"/>
        <w:szCs w:val="18"/>
      </w:rPr>
      <w:fldChar w:fldCharType="separate"/>
    </w:r>
    <w:r>
      <w:rPr>
        <w:noProof/>
        <w:color w:val="17365D" w:themeColor="text2" w:themeShade="BF"/>
        <w:sz w:val="18"/>
        <w:szCs w:val="18"/>
      </w:rPr>
      <w:t>27</w:t>
    </w:r>
    <w:r w:rsidRPr="003E4EC8">
      <w:rPr>
        <w:color w:val="17365D"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FF1B7" w14:textId="77777777" w:rsidR="00831783" w:rsidRDefault="00831783" w:rsidP="00C36D64">
      <w:pPr>
        <w:spacing w:after="0"/>
      </w:pPr>
      <w:r>
        <w:separator/>
      </w:r>
    </w:p>
  </w:footnote>
  <w:footnote w:type="continuationSeparator" w:id="0">
    <w:p w14:paraId="0B5C04CB" w14:textId="77777777" w:rsidR="00831783" w:rsidRDefault="00831783" w:rsidP="00C36D64">
      <w:pPr>
        <w:spacing w:after="0"/>
      </w:pPr>
      <w:r>
        <w:continuationSeparator/>
      </w:r>
    </w:p>
  </w:footnote>
  <w:footnote w:id="1">
    <w:p w14:paraId="4ABE1F4C" w14:textId="77777777" w:rsidR="00831783" w:rsidRPr="00D30E84" w:rsidRDefault="00831783" w:rsidP="003B779A">
      <w:pPr>
        <w:pStyle w:val="FootnoteText"/>
        <w:spacing w:before="0"/>
        <w:contextualSpacing/>
        <w:rPr>
          <w:rFonts w:cs="Arial"/>
          <w:szCs w:val="16"/>
        </w:rPr>
      </w:pPr>
      <w:r w:rsidRPr="00D30E84">
        <w:rPr>
          <w:rStyle w:val="FootnoteReference"/>
          <w:rFonts w:cs="Arial"/>
          <w:szCs w:val="16"/>
        </w:rPr>
        <w:footnoteRef/>
      </w:r>
      <w:r w:rsidRPr="00D30E84">
        <w:rPr>
          <w:rFonts w:cs="Arial"/>
          <w:szCs w:val="16"/>
        </w:rPr>
        <w:t xml:space="preserve"> </w:t>
      </w:r>
      <w:r>
        <w:rPr>
          <w:rFonts w:asciiTheme="minorHAnsi" w:hAnsiTheme="minorHAnsi" w:cstheme="minorHAnsi"/>
          <w:szCs w:val="16"/>
        </w:rPr>
        <w:t>Noting that not all metrics include data from all jurisdictions during this transition phase</w:t>
      </w:r>
      <w:r w:rsidRPr="002D078B">
        <w:rPr>
          <w:rFonts w:asciiTheme="minorHAnsi" w:hAnsiTheme="minorHAnsi" w:cstheme="minorHAnsi"/>
          <w:szCs w:val="16"/>
          <w:lang w:eastAsia="en-AU"/>
        </w:rPr>
        <w:t>.</w:t>
      </w:r>
      <w:r w:rsidRPr="00D30E84">
        <w:rPr>
          <w:rFonts w:cs="Arial"/>
          <w:szCs w:val="16"/>
          <w:lang w:eastAsia="en-AU"/>
        </w:rPr>
        <w:t xml:space="preserve"> </w:t>
      </w:r>
      <w:r w:rsidRPr="00D30E84">
        <w:rPr>
          <w:rFonts w:cs="Arial"/>
          <w:szCs w:val="16"/>
        </w:rPr>
        <w:t xml:space="preserve"> </w:t>
      </w:r>
    </w:p>
  </w:footnote>
  <w:footnote w:id="2">
    <w:p w14:paraId="7AC374FB" w14:textId="77777777" w:rsidR="00831783" w:rsidRPr="00E46749" w:rsidRDefault="00831783" w:rsidP="003B779A">
      <w:pPr>
        <w:pStyle w:val="FootnoteText"/>
        <w:rPr>
          <w:lang w:val="en-AU"/>
        </w:rPr>
      </w:pPr>
      <w:r>
        <w:rPr>
          <w:rStyle w:val="FootnoteReference"/>
        </w:rPr>
        <w:footnoteRef/>
      </w:r>
      <w:r>
        <w:t xml:space="preserve"> </w:t>
      </w:r>
      <w:r w:rsidRPr="00E46749">
        <w:t>NAS Metric 2 provides a proxy for</w:t>
      </w:r>
      <w:r>
        <w:t xml:space="preserve"> this benchmark</w:t>
      </w:r>
    </w:p>
  </w:footnote>
  <w:footnote w:id="3">
    <w:p w14:paraId="376BC13D" w14:textId="77777777" w:rsidR="00831783" w:rsidRPr="00D30E84" w:rsidRDefault="00831783" w:rsidP="002A1A81">
      <w:pPr>
        <w:pStyle w:val="FootnoteText"/>
        <w:spacing w:before="0"/>
        <w:rPr>
          <w:rFonts w:cs="Arial"/>
          <w:szCs w:val="16"/>
        </w:rPr>
      </w:pPr>
      <w:r w:rsidRPr="00D30E84">
        <w:rPr>
          <w:rStyle w:val="FootnoteReference"/>
          <w:rFonts w:cs="Arial"/>
          <w:szCs w:val="16"/>
        </w:rPr>
        <w:footnoteRef/>
      </w:r>
      <w:r w:rsidRPr="00D30E84">
        <w:rPr>
          <w:rFonts w:cs="Arial"/>
          <w:szCs w:val="16"/>
        </w:rPr>
        <w:t xml:space="preserve"> </w:t>
      </w:r>
      <w:hyperlink r:id="rId1" w:history="1">
        <w:r w:rsidRPr="002D078B">
          <w:rPr>
            <w:rStyle w:val="Hyperlink"/>
            <w:rFonts w:asciiTheme="minorHAnsi" w:hAnsiTheme="minorHAnsi" w:cstheme="minorHAnsi"/>
            <w:szCs w:val="16"/>
          </w:rPr>
          <w:t>http://www.clinicaltrialsalliance.org.au/wp-content/uploads/2018/08/Economic-evaluation-of-investigator-initiated-clinical-trials-conducted-by-networks.pdf</w:t>
        </w:r>
      </w:hyperlink>
      <w:r w:rsidRPr="00D30E84">
        <w:rPr>
          <w:rFonts w:cs="Arial"/>
          <w:color w:val="222222"/>
          <w:szCs w:val="16"/>
        </w:rPr>
        <w:t xml:space="preserve"> </w:t>
      </w:r>
    </w:p>
  </w:footnote>
  <w:footnote w:id="4">
    <w:p w14:paraId="3BE104F9" w14:textId="77777777" w:rsidR="00831783" w:rsidRPr="00520B8F" w:rsidRDefault="00831783" w:rsidP="002B5AC0">
      <w:pPr>
        <w:pStyle w:val="FootnoteText"/>
        <w:rPr>
          <w:b/>
          <w:sz w:val="18"/>
          <w:szCs w:val="18"/>
        </w:rPr>
      </w:pPr>
      <w:r w:rsidRPr="00520B8F">
        <w:rPr>
          <w:rStyle w:val="FootnoteReference"/>
          <w:sz w:val="18"/>
          <w:szCs w:val="18"/>
        </w:rPr>
        <w:footnoteRef/>
      </w:r>
      <w:r w:rsidRPr="00520B8F">
        <w:rPr>
          <w:b/>
          <w:sz w:val="18"/>
          <w:szCs w:val="18"/>
        </w:rPr>
        <w:t xml:space="preserve"> </w:t>
      </w:r>
      <w:r w:rsidRPr="002D078B">
        <w:rPr>
          <w:rFonts w:asciiTheme="minorHAnsi" w:hAnsiTheme="minorHAnsi" w:cstheme="minorHAnsi"/>
          <w:sz w:val="18"/>
          <w:szCs w:val="18"/>
        </w:rPr>
        <w:t>As researchers will either have both clinical and university appointments or are required to seek ethics review through the public health institution.</w:t>
      </w:r>
    </w:p>
  </w:footnote>
  <w:footnote w:id="5">
    <w:p w14:paraId="0AA42406" w14:textId="0EA56C45" w:rsidR="00831783" w:rsidRPr="001356A0" w:rsidRDefault="00831783" w:rsidP="001356A0">
      <w:pPr>
        <w:rPr>
          <w:sz w:val="16"/>
          <w:szCs w:val="16"/>
        </w:rPr>
      </w:pPr>
      <w:r w:rsidRPr="00E34CB6">
        <w:rPr>
          <w:rStyle w:val="FootnoteReference"/>
          <w:sz w:val="16"/>
          <w:szCs w:val="16"/>
        </w:rPr>
        <w:footnoteRef/>
      </w:r>
      <w:r w:rsidRPr="00E34CB6">
        <w:rPr>
          <w:sz w:val="16"/>
          <w:szCs w:val="16"/>
        </w:rPr>
        <w:t xml:space="preserve"> Refer to the Glossary and Definitions for an explanation of trial phase. </w:t>
      </w:r>
    </w:p>
  </w:footnote>
  <w:footnote w:id="6">
    <w:p w14:paraId="5606A6FC" w14:textId="77777777" w:rsidR="00831783" w:rsidRPr="00FA430A" w:rsidRDefault="00831783">
      <w:pPr>
        <w:pStyle w:val="FootnoteText"/>
        <w:rPr>
          <w:lang w:val="en-AU"/>
        </w:rPr>
      </w:pPr>
      <w:r>
        <w:rPr>
          <w:rStyle w:val="FootnoteReference"/>
        </w:rPr>
        <w:footnoteRef/>
      </w:r>
      <w:r>
        <w:t xml:space="preserve"> </w:t>
      </w:r>
      <w:r w:rsidRPr="00A10406">
        <w:rPr>
          <w:rFonts w:cs="Arial"/>
          <w:szCs w:val="16"/>
        </w:rPr>
        <w:t>A sponsor may be an institution, investigator or a commercial industry company which has overall responsibility for the trial</w:t>
      </w:r>
    </w:p>
  </w:footnote>
  <w:footnote w:id="7">
    <w:p w14:paraId="58410336" w14:textId="77777777" w:rsidR="00831783" w:rsidRPr="00A51EF4" w:rsidRDefault="00831783">
      <w:pPr>
        <w:pStyle w:val="FootnoteText"/>
        <w:rPr>
          <w:lang w:val="en-AU"/>
        </w:rPr>
      </w:pPr>
      <w:r>
        <w:rPr>
          <w:rStyle w:val="FootnoteReference"/>
        </w:rPr>
        <w:footnoteRef/>
      </w:r>
      <w:r>
        <w:t xml:space="preserve"> </w:t>
      </w:r>
      <w:r w:rsidRPr="00A10406">
        <w:rPr>
          <w:rFonts w:cs="Arial"/>
          <w:szCs w:val="16"/>
        </w:rPr>
        <w:t xml:space="preserve">Australian Capital Territory, New South Wales, Northern Territory, Queensland, South </w:t>
      </w:r>
      <w:proofErr w:type="gramStart"/>
      <w:r w:rsidRPr="00A10406">
        <w:rPr>
          <w:rFonts w:cs="Arial"/>
          <w:szCs w:val="16"/>
        </w:rPr>
        <w:t>Australia</w:t>
      </w:r>
      <w:proofErr w:type="gramEnd"/>
      <w:r w:rsidRPr="00A10406">
        <w:rPr>
          <w:rFonts w:cs="Arial"/>
          <w:szCs w:val="16"/>
        </w:rPr>
        <w:t xml:space="preserve"> and Victoria</w:t>
      </w:r>
    </w:p>
  </w:footnote>
  <w:footnote w:id="8">
    <w:p w14:paraId="51251D83" w14:textId="77777777" w:rsidR="00831783" w:rsidRPr="00A51EF4" w:rsidRDefault="00831783">
      <w:pPr>
        <w:pStyle w:val="FootnoteText"/>
        <w:rPr>
          <w:lang w:val="en-AU"/>
        </w:rPr>
      </w:pPr>
      <w:r>
        <w:rPr>
          <w:rStyle w:val="FootnoteReference"/>
        </w:rPr>
        <w:footnoteRef/>
      </w:r>
      <w:r>
        <w:t xml:space="preserve"> </w:t>
      </w:r>
      <w:r w:rsidRPr="00A10406">
        <w:rPr>
          <w:rFonts w:cs="Arial"/>
          <w:szCs w:val="16"/>
        </w:rPr>
        <w:t xml:space="preserve">New South Wales, Northern Territory, Queensland, South </w:t>
      </w:r>
      <w:proofErr w:type="gramStart"/>
      <w:r w:rsidRPr="00A10406">
        <w:rPr>
          <w:rFonts w:cs="Arial"/>
          <w:szCs w:val="16"/>
        </w:rPr>
        <w:t>Australia</w:t>
      </w:r>
      <w:proofErr w:type="gramEnd"/>
      <w:r w:rsidRPr="00A10406">
        <w:rPr>
          <w:rFonts w:cs="Arial"/>
          <w:szCs w:val="16"/>
        </w:rPr>
        <w:t xml:space="preserve"> and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7D329" w14:textId="77777777" w:rsidR="00831783" w:rsidRDefault="00831783">
    <w:pPr>
      <w:pStyle w:val="Header"/>
    </w:pPr>
    <w:r>
      <w:rPr>
        <w:noProof/>
        <w:lang w:eastAsia="en-AU"/>
      </w:rPr>
      <w:drawing>
        <wp:inline distT="0" distB="0" distL="0" distR="0" wp14:anchorId="1920DFF9" wp14:editId="1D3D10E7">
          <wp:extent cx="5731510" cy="937568"/>
          <wp:effectExtent l="0" t="0" r="2540" b="0"/>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731510" cy="93756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2427"/>
    <w:multiLevelType w:val="hybridMultilevel"/>
    <w:tmpl w:val="A4E0C008"/>
    <w:lvl w:ilvl="0" w:tplc="64AE04B4">
      <w:start w:val="1"/>
      <w:numFmt w:val="bullet"/>
      <w:pStyle w:val="BulletPoint1"/>
      <w:lvlText w:val=""/>
      <w:lvlJc w:val="left"/>
      <w:pPr>
        <w:ind w:left="360" w:hanging="360"/>
      </w:pPr>
      <w:rPr>
        <w:rFonts w:ascii="Symbol" w:hAnsi="Symbol" w:hint="default"/>
        <w:color w:val="35818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C34BD"/>
    <w:multiLevelType w:val="hybridMultilevel"/>
    <w:tmpl w:val="0762B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F04D12"/>
    <w:multiLevelType w:val="hybridMultilevel"/>
    <w:tmpl w:val="CD54951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 w15:restartNumberingAfterBreak="0">
    <w:nsid w:val="4C400B44"/>
    <w:multiLevelType w:val="hybridMultilevel"/>
    <w:tmpl w:val="1D6AC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D27E3C"/>
    <w:multiLevelType w:val="hybridMultilevel"/>
    <w:tmpl w:val="0E66B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A52931"/>
    <w:multiLevelType w:val="hybridMultilevel"/>
    <w:tmpl w:val="DA685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293B4E"/>
    <w:multiLevelType w:val="hybridMultilevel"/>
    <w:tmpl w:val="ACACE14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D64"/>
    <w:rsid w:val="00017727"/>
    <w:rsid w:val="00025872"/>
    <w:rsid w:val="00073F9D"/>
    <w:rsid w:val="000F1F16"/>
    <w:rsid w:val="00107127"/>
    <w:rsid w:val="001127EA"/>
    <w:rsid w:val="00114393"/>
    <w:rsid w:val="0012169C"/>
    <w:rsid w:val="00127F8A"/>
    <w:rsid w:val="0013311F"/>
    <w:rsid w:val="001356A0"/>
    <w:rsid w:val="00164EEA"/>
    <w:rsid w:val="00184B79"/>
    <w:rsid w:val="0019029C"/>
    <w:rsid w:val="001A263C"/>
    <w:rsid w:val="001A7A66"/>
    <w:rsid w:val="001E3BF0"/>
    <w:rsid w:val="001F100F"/>
    <w:rsid w:val="00232F7D"/>
    <w:rsid w:val="002629D4"/>
    <w:rsid w:val="00282561"/>
    <w:rsid w:val="002A1A81"/>
    <w:rsid w:val="002B2CCE"/>
    <w:rsid w:val="002B5AC0"/>
    <w:rsid w:val="002E0697"/>
    <w:rsid w:val="002E2191"/>
    <w:rsid w:val="003012D5"/>
    <w:rsid w:val="0034147D"/>
    <w:rsid w:val="00346729"/>
    <w:rsid w:val="003852D4"/>
    <w:rsid w:val="003A3796"/>
    <w:rsid w:val="003B779A"/>
    <w:rsid w:val="003C64DE"/>
    <w:rsid w:val="003C7E11"/>
    <w:rsid w:val="003D71EC"/>
    <w:rsid w:val="003E4EC8"/>
    <w:rsid w:val="0040572D"/>
    <w:rsid w:val="0041244D"/>
    <w:rsid w:val="00432C26"/>
    <w:rsid w:val="004C0B93"/>
    <w:rsid w:val="004E4085"/>
    <w:rsid w:val="00502D76"/>
    <w:rsid w:val="0055365E"/>
    <w:rsid w:val="00553D0C"/>
    <w:rsid w:val="0059655E"/>
    <w:rsid w:val="005C768B"/>
    <w:rsid w:val="00635C98"/>
    <w:rsid w:val="006A3363"/>
    <w:rsid w:val="006A4494"/>
    <w:rsid w:val="006C6C59"/>
    <w:rsid w:val="007120B4"/>
    <w:rsid w:val="00713E77"/>
    <w:rsid w:val="00715820"/>
    <w:rsid w:val="00736CCB"/>
    <w:rsid w:val="0074302F"/>
    <w:rsid w:val="00771026"/>
    <w:rsid w:val="00831783"/>
    <w:rsid w:val="008538B8"/>
    <w:rsid w:val="008A648E"/>
    <w:rsid w:val="008E3543"/>
    <w:rsid w:val="008F0534"/>
    <w:rsid w:val="008F1828"/>
    <w:rsid w:val="00922467"/>
    <w:rsid w:val="009251BB"/>
    <w:rsid w:val="00930EB1"/>
    <w:rsid w:val="00963E90"/>
    <w:rsid w:val="009B553C"/>
    <w:rsid w:val="009E64BF"/>
    <w:rsid w:val="00A1169F"/>
    <w:rsid w:val="00A13861"/>
    <w:rsid w:val="00A321F1"/>
    <w:rsid w:val="00A34F21"/>
    <w:rsid w:val="00A51EF4"/>
    <w:rsid w:val="00A55FAA"/>
    <w:rsid w:val="00A56178"/>
    <w:rsid w:val="00A73B36"/>
    <w:rsid w:val="00A744D9"/>
    <w:rsid w:val="00AA7DCC"/>
    <w:rsid w:val="00AC7E23"/>
    <w:rsid w:val="00B26527"/>
    <w:rsid w:val="00B46E2B"/>
    <w:rsid w:val="00B501DC"/>
    <w:rsid w:val="00B67361"/>
    <w:rsid w:val="00B67F04"/>
    <w:rsid w:val="00B751E3"/>
    <w:rsid w:val="00B80881"/>
    <w:rsid w:val="00BA01D8"/>
    <w:rsid w:val="00BF7561"/>
    <w:rsid w:val="00C03797"/>
    <w:rsid w:val="00C36D64"/>
    <w:rsid w:val="00CD1B61"/>
    <w:rsid w:val="00E03131"/>
    <w:rsid w:val="00E421D6"/>
    <w:rsid w:val="00E6461D"/>
    <w:rsid w:val="00E966DC"/>
    <w:rsid w:val="00EA700B"/>
    <w:rsid w:val="00EC1958"/>
    <w:rsid w:val="00EC7C56"/>
    <w:rsid w:val="00F24639"/>
    <w:rsid w:val="00F34F54"/>
    <w:rsid w:val="00FA430A"/>
    <w:rsid w:val="00FC0488"/>
    <w:rsid w:val="00FC0888"/>
    <w:rsid w:val="00FC2183"/>
    <w:rsid w:val="00FD3660"/>
    <w:rsid w:val="00FE1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7293E0"/>
  <w15:chartTrackingRefBased/>
  <w15:docId w15:val="{067F6237-60DD-4AF0-AB3C-615F6DC3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D0C"/>
    <w:pPr>
      <w:spacing w:before="120" w:after="120" w:line="240" w:lineRule="auto"/>
    </w:pPr>
  </w:style>
  <w:style w:type="paragraph" w:styleId="Heading1">
    <w:name w:val="heading 1"/>
    <w:basedOn w:val="Normal"/>
    <w:next w:val="Normal"/>
    <w:link w:val="Heading1Char"/>
    <w:uiPriority w:val="9"/>
    <w:qFormat/>
    <w:rsid w:val="002E0697"/>
    <w:pPr>
      <w:keepNext/>
      <w:keepLines/>
      <w:outlineLvl w:val="0"/>
    </w:pPr>
    <w:rPr>
      <w:rFonts w:eastAsiaTheme="majorEastAsia" w:cstheme="majorBidi"/>
      <w:b/>
      <w:color w:val="378189"/>
      <w:sz w:val="32"/>
      <w:szCs w:val="32"/>
    </w:rPr>
  </w:style>
  <w:style w:type="paragraph" w:styleId="Heading2">
    <w:name w:val="heading 2"/>
    <w:basedOn w:val="Normal"/>
    <w:next w:val="Normal"/>
    <w:link w:val="Heading2Char"/>
    <w:uiPriority w:val="9"/>
    <w:unhideWhenUsed/>
    <w:qFormat/>
    <w:rsid w:val="006A3363"/>
    <w:pPr>
      <w:keepNext/>
      <w:keepLines/>
      <w:spacing w:before="240" w:after="240"/>
      <w:outlineLvl w:val="1"/>
    </w:pPr>
    <w:rPr>
      <w:rFonts w:eastAsiaTheme="majorEastAsia" w:cstheme="majorBidi"/>
      <w:b/>
      <w:color w:val="48ADB8"/>
      <w:sz w:val="28"/>
      <w:szCs w:val="26"/>
    </w:rPr>
  </w:style>
  <w:style w:type="paragraph" w:styleId="Heading3">
    <w:name w:val="heading 3"/>
    <w:basedOn w:val="Normal"/>
    <w:next w:val="Normal"/>
    <w:link w:val="Heading3Char"/>
    <w:uiPriority w:val="9"/>
    <w:unhideWhenUsed/>
    <w:qFormat/>
    <w:rsid w:val="00114393"/>
    <w:pPr>
      <w:keepNext/>
      <w:keepLines/>
      <w:spacing w:before="240" w:after="240"/>
      <w:outlineLvl w:val="2"/>
    </w:pPr>
    <w:rPr>
      <w:rFonts w:eastAsiaTheme="majorEastAsia" w:cstheme="majorBidi"/>
      <w:b/>
      <w:color w:val="48ADB8"/>
      <w:sz w:val="24"/>
      <w:szCs w:val="24"/>
    </w:rPr>
  </w:style>
  <w:style w:type="paragraph" w:styleId="Heading4">
    <w:name w:val="heading 4"/>
    <w:basedOn w:val="Normal"/>
    <w:next w:val="Normal"/>
    <w:link w:val="Heading4Char"/>
    <w:uiPriority w:val="9"/>
    <w:semiHidden/>
    <w:unhideWhenUsed/>
    <w:qFormat/>
    <w:rsid w:val="00432C2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Title"/>
    <w:next w:val="Normal"/>
    <w:link w:val="SubtitleChar"/>
    <w:uiPriority w:val="11"/>
    <w:qFormat/>
    <w:rsid w:val="001356A0"/>
    <w:pPr>
      <w:spacing w:before="120" w:after="120"/>
      <w:contextualSpacing w:val="0"/>
    </w:pPr>
    <w:rPr>
      <w:b w:val="0"/>
      <w:iCs w:val="0"/>
      <w:sz w:val="28"/>
      <w:szCs w:val="24"/>
    </w:rPr>
  </w:style>
  <w:style w:type="character" w:customStyle="1" w:styleId="SubtitleChar">
    <w:name w:val="Subtitle Char"/>
    <w:basedOn w:val="DefaultParagraphFont"/>
    <w:link w:val="Subtitle"/>
    <w:uiPriority w:val="11"/>
    <w:rsid w:val="001356A0"/>
    <w:rPr>
      <w:rFonts w:eastAsiaTheme="majorEastAsia" w:cs="Arial"/>
      <w:color w:val="FFFFFF" w:themeColor="background1"/>
      <w:spacing w:val="15"/>
      <w:kern w:val="28"/>
      <w:sz w:val="28"/>
      <w:szCs w:val="24"/>
      <w:lang w:val="en-GB"/>
    </w:rPr>
  </w:style>
  <w:style w:type="paragraph" w:styleId="Title">
    <w:name w:val="Title"/>
    <w:basedOn w:val="Normal"/>
    <w:next w:val="Normal"/>
    <w:link w:val="TitleChar"/>
    <w:uiPriority w:val="10"/>
    <w:qFormat/>
    <w:rsid w:val="0012169C"/>
    <w:pPr>
      <w:numPr>
        <w:ilvl w:val="1"/>
      </w:numPr>
      <w:spacing w:before="400" w:after="300"/>
      <w:contextualSpacing/>
    </w:pPr>
    <w:rPr>
      <w:rFonts w:eastAsiaTheme="majorEastAsia" w:cs="Arial"/>
      <w:b/>
      <w:iCs/>
      <w:color w:val="FFFFFF" w:themeColor="background1"/>
      <w:spacing w:val="15"/>
      <w:kern w:val="28"/>
      <w:sz w:val="68"/>
      <w:szCs w:val="68"/>
      <w:lang w:val="en-GB"/>
    </w:rPr>
  </w:style>
  <w:style w:type="character" w:customStyle="1" w:styleId="TitleChar">
    <w:name w:val="Title Char"/>
    <w:basedOn w:val="DefaultParagraphFont"/>
    <w:link w:val="Title"/>
    <w:uiPriority w:val="10"/>
    <w:rsid w:val="0012169C"/>
    <w:rPr>
      <w:rFonts w:eastAsiaTheme="majorEastAsia" w:cs="Arial"/>
      <w:b/>
      <w:iCs/>
      <w:color w:val="FFFFFF" w:themeColor="background1"/>
      <w:spacing w:val="15"/>
      <w:kern w:val="28"/>
      <w:sz w:val="68"/>
      <w:szCs w:val="68"/>
      <w:lang w:val="en-GB"/>
    </w:rPr>
  </w:style>
  <w:style w:type="character" w:styleId="PlaceholderText">
    <w:name w:val="Placeholder Text"/>
    <w:basedOn w:val="DefaultParagraphFont"/>
    <w:uiPriority w:val="99"/>
    <w:semiHidden/>
    <w:rsid w:val="00C36D64"/>
    <w:rPr>
      <w:color w:val="808080"/>
    </w:rPr>
  </w:style>
  <w:style w:type="paragraph" w:styleId="Header">
    <w:name w:val="header"/>
    <w:basedOn w:val="Normal"/>
    <w:link w:val="HeaderChar"/>
    <w:uiPriority w:val="99"/>
    <w:unhideWhenUsed/>
    <w:rsid w:val="00C36D64"/>
    <w:pPr>
      <w:tabs>
        <w:tab w:val="center" w:pos="4513"/>
        <w:tab w:val="right" w:pos="9026"/>
      </w:tabs>
      <w:spacing w:after="0"/>
    </w:pPr>
  </w:style>
  <w:style w:type="character" w:customStyle="1" w:styleId="HeaderChar">
    <w:name w:val="Header Char"/>
    <w:basedOn w:val="DefaultParagraphFont"/>
    <w:link w:val="Header"/>
    <w:uiPriority w:val="99"/>
    <w:rsid w:val="00C36D64"/>
  </w:style>
  <w:style w:type="paragraph" w:styleId="Footer">
    <w:name w:val="footer"/>
    <w:basedOn w:val="Normal"/>
    <w:link w:val="FooterChar"/>
    <w:uiPriority w:val="99"/>
    <w:unhideWhenUsed/>
    <w:rsid w:val="00C36D64"/>
    <w:pPr>
      <w:tabs>
        <w:tab w:val="center" w:pos="4513"/>
        <w:tab w:val="right" w:pos="9026"/>
      </w:tabs>
      <w:spacing w:after="0"/>
    </w:pPr>
  </w:style>
  <w:style w:type="character" w:customStyle="1" w:styleId="FooterChar">
    <w:name w:val="Footer Char"/>
    <w:basedOn w:val="DefaultParagraphFont"/>
    <w:link w:val="Footer"/>
    <w:uiPriority w:val="99"/>
    <w:rsid w:val="00C36D64"/>
  </w:style>
  <w:style w:type="paragraph" w:customStyle="1" w:styleId="Copyright">
    <w:name w:val="Copyright"/>
    <w:basedOn w:val="Normal"/>
    <w:qFormat/>
    <w:rsid w:val="009B553C"/>
    <w:pPr>
      <w:spacing w:before="240" w:after="240"/>
    </w:pPr>
    <w:rPr>
      <w:b/>
      <w:color w:val="37818A"/>
    </w:rPr>
  </w:style>
  <w:style w:type="paragraph" w:styleId="NoSpacing">
    <w:name w:val="No Spacing"/>
    <w:uiPriority w:val="1"/>
    <w:qFormat/>
    <w:rsid w:val="00A56178"/>
    <w:pPr>
      <w:spacing w:after="0" w:line="240" w:lineRule="auto"/>
    </w:pPr>
  </w:style>
  <w:style w:type="character" w:styleId="Hyperlink">
    <w:name w:val="Hyperlink"/>
    <w:basedOn w:val="DefaultParagraphFont"/>
    <w:uiPriority w:val="99"/>
    <w:unhideWhenUsed/>
    <w:rsid w:val="0019029C"/>
    <w:rPr>
      <w:color w:val="0000FF" w:themeColor="hyperlink"/>
      <w:u w:val="single"/>
    </w:rPr>
  </w:style>
  <w:style w:type="character" w:customStyle="1" w:styleId="Heading1Char">
    <w:name w:val="Heading 1 Char"/>
    <w:basedOn w:val="DefaultParagraphFont"/>
    <w:link w:val="Heading1"/>
    <w:uiPriority w:val="9"/>
    <w:rsid w:val="002E0697"/>
    <w:rPr>
      <w:rFonts w:eastAsiaTheme="majorEastAsia" w:cstheme="majorBidi"/>
      <w:b/>
      <w:color w:val="378189"/>
      <w:sz w:val="32"/>
      <w:szCs w:val="32"/>
    </w:rPr>
  </w:style>
  <w:style w:type="table" w:styleId="TableGrid">
    <w:name w:val="Table Grid"/>
    <w:basedOn w:val="TableNormal"/>
    <w:uiPriority w:val="59"/>
    <w:rsid w:val="00017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7727"/>
    <w:rPr>
      <w:b/>
      <w:bCs/>
    </w:rPr>
  </w:style>
  <w:style w:type="paragraph" w:styleId="TOCHeading">
    <w:name w:val="TOC Heading"/>
    <w:basedOn w:val="Heading1"/>
    <w:next w:val="Normal"/>
    <w:uiPriority w:val="39"/>
    <w:unhideWhenUsed/>
    <w:qFormat/>
    <w:rsid w:val="003B779A"/>
    <w:pPr>
      <w:spacing w:before="240" w:after="0" w:line="259" w:lineRule="auto"/>
      <w:outlineLvl w:val="9"/>
    </w:pPr>
    <w:rPr>
      <w:rFonts w:asciiTheme="majorHAnsi" w:hAnsiTheme="majorHAnsi"/>
      <w:b w:val="0"/>
      <w:color w:val="365F91" w:themeColor="accent1" w:themeShade="BF"/>
      <w:lang w:val="en-US"/>
    </w:rPr>
  </w:style>
  <w:style w:type="paragraph" w:styleId="TOC1">
    <w:name w:val="toc 1"/>
    <w:basedOn w:val="Normal"/>
    <w:next w:val="Normal"/>
    <w:autoRedefine/>
    <w:uiPriority w:val="39"/>
    <w:unhideWhenUsed/>
    <w:rsid w:val="003B779A"/>
    <w:pPr>
      <w:spacing w:after="100"/>
    </w:pPr>
  </w:style>
  <w:style w:type="paragraph" w:styleId="FootnoteText">
    <w:name w:val="footnote text"/>
    <w:aliases w:val="(NECG) Footnote Text"/>
    <w:basedOn w:val="Normal"/>
    <w:link w:val="FootnoteTextChar"/>
    <w:uiPriority w:val="99"/>
    <w:unhideWhenUsed/>
    <w:rsid w:val="003B779A"/>
    <w:pPr>
      <w:spacing w:after="0"/>
    </w:pPr>
    <w:rPr>
      <w:rFonts w:ascii="Arial" w:hAnsi="Arial"/>
      <w:sz w:val="16"/>
      <w:szCs w:val="20"/>
      <w:lang w:val="en-GB"/>
    </w:rPr>
  </w:style>
  <w:style w:type="character" w:customStyle="1" w:styleId="FootnoteTextChar">
    <w:name w:val="Footnote Text Char"/>
    <w:aliases w:val="(NECG) Footnote Text Char"/>
    <w:basedOn w:val="DefaultParagraphFont"/>
    <w:link w:val="FootnoteText"/>
    <w:uiPriority w:val="99"/>
    <w:rsid w:val="003B779A"/>
    <w:rPr>
      <w:rFonts w:ascii="Arial" w:hAnsi="Arial"/>
      <w:sz w:val="16"/>
      <w:szCs w:val="20"/>
      <w:lang w:val="en-GB"/>
    </w:rPr>
  </w:style>
  <w:style w:type="character" w:styleId="FootnoteReference">
    <w:name w:val="footnote reference"/>
    <w:basedOn w:val="DefaultParagraphFont"/>
    <w:uiPriority w:val="99"/>
    <w:unhideWhenUsed/>
    <w:rsid w:val="001356A0"/>
    <w:rPr>
      <w:b/>
      <w:color w:val="FFFFFF" w:themeColor="background1"/>
      <w:sz w:val="40"/>
      <w:vertAlign w:val="superscript"/>
    </w:rPr>
  </w:style>
  <w:style w:type="paragraph" w:styleId="ListParagraph">
    <w:name w:val="List Paragraph"/>
    <w:basedOn w:val="Normal"/>
    <w:uiPriority w:val="34"/>
    <w:qFormat/>
    <w:rsid w:val="003B779A"/>
    <w:pPr>
      <w:ind w:left="720"/>
      <w:contextualSpacing/>
    </w:pPr>
  </w:style>
  <w:style w:type="paragraph" w:styleId="ListBullet">
    <w:name w:val="List Bullet"/>
    <w:basedOn w:val="Normal"/>
    <w:uiPriority w:val="99"/>
    <w:unhideWhenUsed/>
    <w:qFormat/>
    <w:rsid w:val="003B779A"/>
    <w:pPr>
      <w:spacing w:before="240" w:line="271" w:lineRule="auto"/>
      <w:ind w:left="357" w:hanging="357"/>
    </w:pPr>
    <w:rPr>
      <w:rFonts w:ascii="Arial" w:hAnsi="Arial" w:cs="Times New Roman"/>
      <w:sz w:val="21"/>
      <w:szCs w:val="21"/>
      <w:lang w:val="en-GB"/>
    </w:rPr>
  </w:style>
  <w:style w:type="paragraph" w:customStyle="1" w:styleId="BulletPoint1">
    <w:name w:val="Bullet Point 1"/>
    <w:basedOn w:val="Normal"/>
    <w:qFormat/>
    <w:rsid w:val="003B779A"/>
    <w:pPr>
      <w:numPr>
        <w:numId w:val="2"/>
      </w:numPr>
      <w:spacing w:after="0" w:line="260" w:lineRule="auto"/>
    </w:pPr>
    <w:rPr>
      <w:rFonts w:ascii="Arial" w:hAnsi="Arial" w:cs="Times New Roman"/>
      <w:sz w:val="21"/>
      <w:lang w:val="en-US"/>
    </w:rPr>
  </w:style>
  <w:style w:type="character" w:customStyle="1" w:styleId="Heading2Char">
    <w:name w:val="Heading 2 Char"/>
    <w:basedOn w:val="DefaultParagraphFont"/>
    <w:link w:val="Heading2"/>
    <w:uiPriority w:val="9"/>
    <w:rsid w:val="006A3363"/>
    <w:rPr>
      <w:rFonts w:eastAsiaTheme="majorEastAsia" w:cstheme="majorBidi"/>
      <w:b/>
      <w:color w:val="48ADB8"/>
      <w:sz w:val="28"/>
      <w:szCs w:val="26"/>
    </w:rPr>
  </w:style>
  <w:style w:type="paragraph" w:styleId="TOC2">
    <w:name w:val="toc 2"/>
    <w:basedOn w:val="Normal"/>
    <w:next w:val="Normal"/>
    <w:autoRedefine/>
    <w:uiPriority w:val="39"/>
    <w:unhideWhenUsed/>
    <w:rsid w:val="00EC7C56"/>
    <w:pPr>
      <w:spacing w:after="100"/>
      <w:ind w:left="220"/>
    </w:pPr>
  </w:style>
  <w:style w:type="paragraph" w:customStyle="1" w:styleId="Diagram">
    <w:name w:val="Diagram"/>
    <w:basedOn w:val="Normal"/>
    <w:qFormat/>
    <w:rsid w:val="002A1A81"/>
    <w:rPr>
      <w:i/>
      <w:color w:val="37818A"/>
    </w:rPr>
  </w:style>
  <w:style w:type="table" w:styleId="ListTable5Dark-Accent5">
    <w:name w:val="List Table 5 Dark Accent 5"/>
    <w:basedOn w:val="TableNormal"/>
    <w:uiPriority w:val="50"/>
    <w:rsid w:val="00FC2183"/>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5">
    <w:name w:val="Grid Table 5 Dark Accent 5"/>
    <w:basedOn w:val="TableNormal"/>
    <w:uiPriority w:val="50"/>
    <w:rsid w:val="00FC21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Note">
    <w:name w:val="Note"/>
    <w:basedOn w:val="Diagram"/>
    <w:qFormat/>
    <w:rsid w:val="00114393"/>
    <w:rPr>
      <w:i w:val="0"/>
      <w:color w:val="auto"/>
      <w:sz w:val="18"/>
    </w:rPr>
  </w:style>
  <w:style w:type="character" w:customStyle="1" w:styleId="Heading3Char">
    <w:name w:val="Heading 3 Char"/>
    <w:basedOn w:val="DefaultParagraphFont"/>
    <w:link w:val="Heading3"/>
    <w:uiPriority w:val="9"/>
    <w:rsid w:val="00114393"/>
    <w:rPr>
      <w:rFonts w:eastAsiaTheme="majorEastAsia" w:cstheme="majorBidi"/>
      <w:b/>
      <w:color w:val="48ADB8"/>
      <w:sz w:val="24"/>
      <w:szCs w:val="24"/>
    </w:rPr>
  </w:style>
  <w:style w:type="paragraph" w:styleId="TOC3">
    <w:name w:val="toc 3"/>
    <w:basedOn w:val="Normal"/>
    <w:next w:val="Normal"/>
    <w:autoRedefine/>
    <w:uiPriority w:val="39"/>
    <w:unhideWhenUsed/>
    <w:rsid w:val="008F0534"/>
    <w:pPr>
      <w:spacing w:after="100"/>
      <w:ind w:left="440"/>
    </w:pPr>
  </w:style>
  <w:style w:type="paragraph" w:styleId="Caption">
    <w:name w:val="caption"/>
    <w:basedOn w:val="Normal"/>
    <w:next w:val="Normal"/>
    <w:uiPriority w:val="35"/>
    <w:unhideWhenUsed/>
    <w:qFormat/>
    <w:rsid w:val="003D71EC"/>
    <w:pPr>
      <w:keepNext/>
      <w:spacing w:before="160" w:after="0"/>
    </w:pPr>
    <w:rPr>
      <w:iCs/>
      <w:szCs w:val="18"/>
    </w:rPr>
  </w:style>
  <w:style w:type="character" w:customStyle="1" w:styleId="Heading4Char">
    <w:name w:val="Heading 4 Char"/>
    <w:basedOn w:val="DefaultParagraphFont"/>
    <w:link w:val="Heading4"/>
    <w:uiPriority w:val="9"/>
    <w:semiHidden/>
    <w:rsid w:val="00432C26"/>
    <w:rPr>
      <w:rFonts w:asciiTheme="majorHAnsi" w:eastAsiaTheme="majorEastAsia" w:hAnsiTheme="majorHAnsi" w:cstheme="majorBidi"/>
      <w:i/>
      <w:iCs/>
      <w:color w:val="365F91" w:themeColor="accent1" w:themeShade="BF"/>
    </w:rPr>
  </w:style>
  <w:style w:type="paragraph" w:customStyle="1" w:styleId="Footertextitalics">
    <w:name w:val="Footer text italics"/>
    <w:next w:val="Normal"/>
    <w:qFormat/>
    <w:rsid w:val="00432C26"/>
    <w:pPr>
      <w:spacing w:before="60" w:after="60" w:line="240" w:lineRule="auto"/>
    </w:pPr>
    <w:rPr>
      <w:rFonts w:ascii="Cambria" w:hAnsi="Cambria" w:cs="Times New Roman"/>
      <w:i/>
      <w:sz w:val="18"/>
      <w:szCs w:val="20"/>
    </w:rPr>
  </w:style>
  <w:style w:type="paragraph" w:customStyle="1" w:styleId="Footertext">
    <w:name w:val="Footer text"/>
    <w:basedOn w:val="Normal"/>
    <w:qFormat/>
    <w:rsid w:val="002B2CCE"/>
    <w:pPr>
      <w:tabs>
        <w:tab w:val="left" w:pos="1843"/>
        <w:tab w:val="left" w:pos="2268"/>
      </w:tabs>
      <w:spacing w:before="60" w:after="60"/>
    </w:pPr>
    <w:rPr>
      <w:rFonts w:ascii="Cambria" w:hAnsi="Cambria"/>
      <w:sz w:val="18"/>
      <w:szCs w:val="18"/>
      <w:lang w:val="en-GB"/>
    </w:rPr>
  </w:style>
  <w:style w:type="paragraph" w:customStyle="1" w:styleId="Policystylebullet">
    <w:name w:val="Policy style bullet"/>
    <w:basedOn w:val="Normal"/>
    <w:qFormat/>
    <w:rsid w:val="001F100F"/>
    <w:pPr>
      <w:numPr>
        <w:numId w:val="3"/>
      </w:num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after="0" w:line="260" w:lineRule="auto"/>
      <w:ind w:right="227"/>
    </w:pPr>
    <w:rPr>
      <w:rFonts w:ascii="Arial" w:hAnsi="Arial" w:cs="Times New Roman"/>
      <w:sz w:val="21"/>
      <w:szCs w:val="24"/>
      <w:lang w:val="en-GB"/>
    </w:rPr>
  </w:style>
  <w:style w:type="character" w:styleId="CommentReference">
    <w:name w:val="annotation reference"/>
    <w:basedOn w:val="DefaultParagraphFont"/>
    <w:uiPriority w:val="99"/>
    <w:semiHidden/>
    <w:unhideWhenUsed/>
    <w:rsid w:val="001127EA"/>
    <w:rPr>
      <w:sz w:val="16"/>
      <w:szCs w:val="16"/>
    </w:rPr>
  </w:style>
  <w:style w:type="paragraph" w:styleId="CommentText">
    <w:name w:val="annotation text"/>
    <w:basedOn w:val="Normal"/>
    <w:link w:val="CommentTextChar"/>
    <w:uiPriority w:val="99"/>
    <w:semiHidden/>
    <w:unhideWhenUsed/>
    <w:rsid w:val="001127EA"/>
    <w:rPr>
      <w:sz w:val="20"/>
      <w:szCs w:val="20"/>
    </w:rPr>
  </w:style>
  <w:style w:type="character" w:customStyle="1" w:styleId="CommentTextChar">
    <w:name w:val="Comment Text Char"/>
    <w:basedOn w:val="DefaultParagraphFont"/>
    <w:link w:val="CommentText"/>
    <w:uiPriority w:val="99"/>
    <w:semiHidden/>
    <w:rsid w:val="001127EA"/>
    <w:rPr>
      <w:sz w:val="20"/>
      <w:szCs w:val="20"/>
    </w:rPr>
  </w:style>
  <w:style w:type="paragraph" w:styleId="CommentSubject">
    <w:name w:val="annotation subject"/>
    <w:basedOn w:val="CommentText"/>
    <w:next w:val="CommentText"/>
    <w:link w:val="CommentSubjectChar"/>
    <w:uiPriority w:val="99"/>
    <w:semiHidden/>
    <w:unhideWhenUsed/>
    <w:rsid w:val="001127EA"/>
    <w:rPr>
      <w:b/>
      <w:bCs/>
    </w:rPr>
  </w:style>
  <w:style w:type="character" w:customStyle="1" w:styleId="CommentSubjectChar">
    <w:name w:val="Comment Subject Char"/>
    <w:basedOn w:val="CommentTextChar"/>
    <w:link w:val="CommentSubject"/>
    <w:uiPriority w:val="99"/>
    <w:semiHidden/>
    <w:rsid w:val="001127EA"/>
    <w:rPr>
      <w:b/>
      <w:bCs/>
      <w:sz w:val="20"/>
      <w:szCs w:val="20"/>
    </w:rPr>
  </w:style>
  <w:style w:type="paragraph" w:styleId="BalloonText">
    <w:name w:val="Balloon Text"/>
    <w:basedOn w:val="Normal"/>
    <w:link w:val="BalloonTextChar"/>
    <w:uiPriority w:val="99"/>
    <w:semiHidden/>
    <w:unhideWhenUsed/>
    <w:rsid w:val="001127E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7EA"/>
    <w:rPr>
      <w:rFonts w:ascii="Segoe UI" w:hAnsi="Segoe UI" w:cs="Segoe UI"/>
      <w:sz w:val="18"/>
      <w:szCs w:val="18"/>
    </w:rPr>
  </w:style>
  <w:style w:type="character" w:styleId="FollowedHyperlink">
    <w:name w:val="FollowedHyperlink"/>
    <w:basedOn w:val="DefaultParagraphFont"/>
    <w:uiPriority w:val="99"/>
    <w:semiHidden/>
    <w:unhideWhenUsed/>
    <w:rsid w:val="00715820"/>
    <w:rPr>
      <w:color w:val="800080" w:themeColor="followedHyperlink"/>
      <w:u w:val="single"/>
    </w:rPr>
  </w:style>
  <w:style w:type="paragraph" w:customStyle="1" w:styleId="Boxtext">
    <w:name w:val="Box text"/>
    <w:basedOn w:val="Normal"/>
    <w:link w:val="BoxtextChar"/>
    <w:qFormat/>
    <w:rsid w:val="001356A0"/>
    <w:pPr>
      <w:shd w:val="clear" w:color="auto" w:fill="5EBAAB"/>
      <w:spacing w:before="0" w:line="276" w:lineRule="auto"/>
    </w:pPr>
    <w:rPr>
      <w:rFonts w:cstheme="minorHAnsi"/>
      <w:b/>
      <w:color w:val="FFFFFF" w:themeColor="background1"/>
    </w:rPr>
  </w:style>
  <w:style w:type="character" w:customStyle="1" w:styleId="BoxtextChar">
    <w:name w:val="Box text Char"/>
    <w:basedOn w:val="DefaultParagraphFont"/>
    <w:link w:val="Boxtext"/>
    <w:rsid w:val="001356A0"/>
    <w:rPr>
      <w:rFonts w:cstheme="minorHAnsi"/>
      <w:b/>
      <w:color w:val="FFFFFF" w:themeColor="background1"/>
      <w:shd w:val="clear" w:color="auto" w:fill="5EBAA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69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rporatecomms@health.gov.au"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linicaltrialsalliance.org.au/wp-content/uploads/2018/08/Economic-evaluation-of-investigator-initiated-clinical-trials-conducted-by-network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charts/_rels/chart1.xml.rels><?xml version="1.0" encoding="UTF-8" standalone="yes"?>
<Relationships xmlns="http://schemas.openxmlformats.org/package/2006/relationships"><Relationship Id="rId3" Type="http://schemas.openxmlformats.org/officeDocument/2006/relationships/oleObject" Target="file:///\\Internal.vic.gov.au\Groupdata\Multi-site-Ethics\National%20ethics\2019%2020%20CTPRG\NAS%204%20report%202020\NAS%204%20Report%202018-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AU">
                <a:solidFill>
                  <a:schemeClr val="tx1"/>
                </a:solidFill>
              </a:rPr>
              <a:t>Number or Trials by Trial Phase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2"/>
          <c:order val="0"/>
          <c:tx>
            <c:v>2018/19</c:v>
          </c:tx>
          <c:spPr>
            <a:solidFill>
              <a:schemeClr val="accent3"/>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E1C2-4F5A-B05B-8511A77F0C92}"/>
              </c:ext>
            </c:extLst>
          </c:dPt>
          <c:dPt>
            <c:idx val="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E1C2-4F5A-B05B-8511A77F0C92}"/>
              </c:ext>
            </c:extLst>
          </c:dPt>
          <c:dPt>
            <c:idx val="3"/>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5-E1C2-4F5A-B05B-8511A77F0C92}"/>
              </c:ext>
            </c:extLst>
          </c:dPt>
          <c:dPt>
            <c:idx val="4"/>
            <c:invertIfNegative val="0"/>
            <c:bubble3D val="0"/>
            <c:spPr>
              <a:solidFill>
                <a:srgbClr val="7030A0"/>
              </a:solidFill>
              <a:ln>
                <a:noFill/>
              </a:ln>
              <a:effectLst/>
            </c:spPr>
            <c:extLst>
              <c:ext xmlns:c16="http://schemas.microsoft.com/office/drawing/2014/chart" uri="{C3380CC4-5D6E-409C-BE32-E72D297353CC}">
                <c16:uniqueId val="{00000007-E1C2-4F5A-B05B-8511A77F0C92}"/>
              </c:ext>
            </c:extLst>
          </c:dPt>
          <c:cat>
            <c:strRef>
              <c:f>'Metric 1'!$C$16:$C$20</c:f>
              <c:strCache>
                <c:ptCount val="5"/>
                <c:pt idx="0">
                  <c:v>FTIH / FTIP</c:v>
                </c:pt>
                <c:pt idx="1">
                  <c:v>Phase 1</c:v>
                </c:pt>
                <c:pt idx="2">
                  <c:v>Phase 2</c:v>
                </c:pt>
                <c:pt idx="3">
                  <c:v>Phase 3</c:v>
                </c:pt>
                <c:pt idx="4">
                  <c:v>Phase 4</c:v>
                </c:pt>
              </c:strCache>
            </c:strRef>
          </c:cat>
          <c:val>
            <c:numRef>
              <c:f>'Metric 1'!$F$16:$F$20</c:f>
              <c:numCache>
                <c:formatCode>0%</c:formatCode>
                <c:ptCount val="5"/>
                <c:pt idx="0">
                  <c:v>2.8761061946902654E-2</c:v>
                </c:pt>
                <c:pt idx="1">
                  <c:v>0.20575221238938052</c:v>
                </c:pt>
                <c:pt idx="2">
                  <c:v>0.28097345132743362</c:v>
                </c:pt>
                <c:pt idx="3">
                  <c:v>0.36504424778761063</c:v>
                </c:pt>
                <c:pt idx="4">
                  <c:v>0.11946902654867257</c:v>
                </c:pt>
              </c:numCache>
            </c:numRef>
          </c:val>
          <c:extLst>
            <c:ext xmlns:c16="http://schemas.microsoft.com/office/drawing/2014/chart" uri="{C3380CC4-5D6E-409C-BE32-E72D297353CC}">
              <c16:uniqueId val="{00000008-E1C2-4F5A-B05B-8511A77F0C92}"/>
            </c:ext>
          </c:extLst>
        </c:ser>
        <c:dLbls>
          <c:showLegendKey val="0"/>
          <c:showVal val="0"/>
          <c:showCatName val="0"/>
          <c:showSerName val="0"/>
          <c:showPercent val="0"/>
          <c:showBubbleSize val="0"/>
        </c:dLbls>
        <c:gapWidth val="219"/>
        <c:overlap val="-27"/>
        <c:axId val="689472432"/>
        <c:axId val="782023264"/>
      </c:barChart>
      <c:catAx>
        <c:axId val="689472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82023264"/>
        <c:crosses val="autoZero"/>
        <c:auto val="1"/>
        <c:lblAlgn val="ctr"/>
        <c:lblOffset val="100"/>
        <c:noMultiLvlLbl val="0"/>
      </c:catAx>
      <c:valAx>
        <c:axId val="782023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solidFill>
                      <a:schemeClr val="tx1"/>
                    </a:solidFill>
                  </a:rPr>
                  <a:t>Per cent</a:t>
                </a:r>
              </a:p>
            </c:rich>
          </c:tx>
          <c:layout>
            <c:manualLayout>
              <c:xMode val="edge"/>
              <c:yMode val="edge"/>
              <c:x val="1.3888888888888888E-2"/>
              <c:y val="0.387318460192475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8947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86BA1-DE5B-4A08-A1A8-D9160CBA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Pages>
  <Words>8240</Words>
  <Characters>46968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Clinical Trials in Australian Public Health Institutions 2018-19 (NAS 4 report)</vt:lpstr>
    </vt:vector>
  </TitlesOfParts>
  <Company/>
  <LinksUpToDate>false</LinksUpToDate>
  <CharactersWithSpaces>55098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Trials in Australian Public Health Institutions 2018-19 (NAS 4 report)</dc:title>
  <dc:subject>Medical research</dc:subject>
  <dc:creator>Australian Government Department of Health </dc:creator>
  <cp:keywords>Medical research; Clinical Trials; National Aggregate Statistics (NAS)</cp:keywords>
  <dc:description/>
  <cp:lastModifiedBy>MASCHKE, Elvia</cp:lastModifiedBy>
  <cp:revision>8</cp:revision>
  <dcterms:created xsi:type="dcterms:W3CDTF">2021-08-12T06:31:00Z</dcterms:created>
  <dcterms:modified xsi:type="dcterms:W3CDTF">2021-08-12T06:53:00Z</dcterms:modified>
</cp:coreProperties>
</file>