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D3054" w14:textId="77777777" w:rsidR="0066705A" w:rsidRPr="00FB5425" w:rsidRDefault="006D0BE5" w:rsidP="003518A3">
      <w:pPr>
        <w:rPr>
          <w:rStyle w:val="BookTitle"/>
          <w:b/>
          <w:i w:val="0"/>
          <w:iCs w:val="0"/>
          <w:smallCaps w:val="0"/>
          <w:spacing w:val="0"/>
        </w:rPr>
      </w:pPr>
      <w:r>
        <w:rPr>
          <w:b/>
          <w:noProof/>
          <w:lang w:eastAsia="en-AU"/>
        </w:rPr>
        <w:drawing>
          <wp:inline distT="0" distB="0" distL="0" distR="0" wp14:anchorId="66A0CA03" wp14:editId="4172AFAE">
            <wp:extent cx="1688465" cy="1122045"/>
            <wp:effectExtent l="0" t="0" r="6985" b="1905"/>
            <wp:docPr id="3" name="Picture 3" descr="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1C60">
        <w:rPr>
          <w:rStyle w:val="BookTitle"/>
          <w:b/>
          <w:i w:val="0"/>
          <w:iCs w:val="0"/>
          <w:smallCaps w:val="0"/>
          <w:spacing w:val="0"/>
        </w:rPr>
        <w:br w:type="textWrapping" w:clear="all"/>
      </w:r>
    </w:p>
    <w:p w14:paraId="08C3AAEF" w14:textId="77777777" w:rsidR="00020C3C" w:rsidRPr="00EC5FD9" w:rsidRDefault="00020C3C" w:rsidP="00EC5FD9">
      <w:pPr>
        <w:pStyle w:val="Heading1"/>
        <w:rPr>
          <w:rStyle w:val="BookTitle"/>
          <w:i w:val="0"/>
          <w:iCs w:val="0"/>
          <w:smallCaps w:val="0"/>
          <w:spacing w:val="0"/>
        </w:rPr>
      </w:pPr>
      <w:r w:rsidRPr="00EC5FD9">
        <w:rPr>
          <w:rStyle w:val="BookTitle"/>
          <w:i w:val="0"/>
          <w:iCs w:val="0"/>
          <w:smallCaps w:val="0"/>
          <w:spacing w:val="0"/>
        </w:rPr>
        <w:t xml:space="preserve">ACFI Monitoring Report – </w:t>
      </w:r>
      <w:r w:rsidR="009C1A6D">
        <w:rPr>
          <w:rFonts w:cs="Arial"/>
        </w:rPr>
        <w:t>February</w:t>
      </w:r>
      <w:r w:rsidR="009C1A6D">
        <w:rPr>
          <w:rStyle w:val="BookTitle"/>
          <w:i w:val="0"/>
          <w:iCs w:val="0"/>
          <w:smallCaps w:val="0"/>
          <w:spacing w:val="0"/>
        </w:rPr>
        <w:t xml:space="preserve"> </w:t>
      </w:r>
      <w:r w:rsidR="006A6F33">
        <w:rPr>
          <w:rStyle w:val="BookTitle"/>
          <w:i w:val="0"/>
          <w:iCs w:val="0"/>
          <w:smallCaps w:val="0"/>
          <w:spacing w:val="0"/>
        </w:rPr>
        <w:t>2020</w:t>
      </w:r>
    </w:p>
    <w:p w14:paraId="558150F0" w14:textId="77777777" w:rsidR="009D6D31" w:rsidRPr="00EC5FD9" w:rsidRDefault="00D316C6" w:rsidP="00EC5FD9">
      <w:pPr>
        <w:pStyle w:val="Heading2"/>
      </w:pPr>
      <w:r w:rsidRPr="00EC5FD9">
        <w:t>Summary</w:t>
      </w:r>
    </w:p>
    <w:p w14:paraId="5D0AF747" w14:textId="77777777" w:rsidR="005406D4" w:rsidRDefault="00CF74AE" w:rsidP="006557E3">
      <w:pPr>
        <w:pStyle w:val="ListParagraph"/>
        <w:numPr>
          <w:ilvl w:val="0"/>
          <w:numId w:val="1"/>
        </w:numPr>
        <w:spacing w:before="120" w:after="240"/>
        <w:ind w:hanging="357"/>
        <w:rPr>
          <w:rFonts w:cs="Arial"/>
        </w:rPr>
      </w:pPr>
      <w:r>
        <w:rPr>
          <w:rFonts w:cs="Arial"/>
        </w:rPr>
        <w:t>A</w:t>
      </w:r>
      <w:r w:rsidR="00943EFD">
        <w:rPr>
          <w:rFonts w:cs="Arial"/>
        </w:rPr>
        <w:t xml:space="preserve">verage ACFI claims </w:t>
      </w:r>
      <w:r w:rsidR="005E6E99">
        <w:rPr>
          <w:rFonts w:cs="Arial"/>
        </w:rPr>
        <w:t>in</w:t>
      </w:r>
      <w:r w:rsidR="00D8388F">
        <w:rPr>
          <w:rFonts w:cs="Arial"/>
        </w:rPr>
        <w:t>c</w:t>
      </w:r>
      <w:r w:rsidR="00AC4F5D">
        <w:rPr>
          <w:rFonts w:cs="Arial"/>
        </w:rPr>
        <w:t>reased</w:t>
      </w:r>
      <w:r w:rsidR="00DD2D67">
        <w:rPr>
          <w:rFonts w:cs="Arial"/>
        </w:rPr>
        <w:t xml:space="preserve"> </w:t>
      </w:r>
      <w:r w:rsidR="00AC4F5D">
        <w:rPr>
          <w:rFonts w:cs="Arial"/>
        </w:rPr>
        <w:t xml:space="preserve">in </w:t>
      </w:r>
      <w:r w:rsidR="00FD4C8C">
        <w:rPr>
          <w:rFonts w:cs="Arial"/>
        </w:rPr>
        <w:t>February</w:t>
      </w:r>
      <w:r w:rsidR="005406D4">
        <w:rPr>
          <w:rFonts w:cs="Arial"/>
        </w:rPr>
        <w:t>.</w:t>
      </w:r>
    </w:p>
    <w:p w14:paraId="08BD54CF" w14:textId="77777777" w:rsidR="0083104E" w:rsidRPr="00DD2D67" w:rsidRDefault="0083104E" w:rsidP="007F058C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 w:rsidRPr="00DD2D67">
        <w:rPr>
          <w:rFonts w:cs="Arial"/>
        </w:rPr>
        <w:t xml:space="preserve">The impact of the temporary increase </w:t>
      </w:r>
      <w:r w:rsidR="00DD2D67" w:rsidRPr="00DD2D67">
        <w:rPr>
          <w:rFonts w:cs="Arial"/>
        </w:rPr>
        <w:t xml:space="preserve">in subsidies in the March </w:t>
      </w:r>
      <w:r w:rsidR="002973B4">
        <w:rPr>
          <w:rFonts w:cs="Arial"/>
        </w:rPr>
        <w:t xml:space="preserve">2019 </w:t>
      </w:r>
      <w:r w:rsidR="00DD2D67" w:rsidRPr="00DD2D67">
        <w:rPr>
          <w:rFonts w:cs="Arial"/>
        </w:rPr>
        <w:t xml:space="preserve">quarter </w:t>
      </w:r>
      <w:r w:rsidRPr="00DD2D67">
        <w:rPr>
          <w:rFonts w:cs="Arial"/>
        </w:rPr>
        <w:t>is highlighted in Figure 1 in the dashed line, with the solid line representing the average daily claim rate without the impact of the temporary increase.</w:t>
      </w:r>
      <w:r w:rsidR="00DD2D67">
        <w:rPr>
          <w:rFonts w:cs="Arial"/>
        </w:rPr>
        <w:t xml:space="preserve"> </w:t>
      </w:r>
      <w:r w:rsidRPr="00DD2D67">
        <w:rPr>
          <w:rFonts w:cs="Arial"/>
        </w:rPr>
        <w:t>The remainder of this report provides analysis based on the changes in claim rates without the temporary increase incorporated.</w:t>
      </w:r>
    </w:p>
    <w:p w14:paraId="626B3FE5" w14:textId="77777777" w:rsidR="00A85390" w:rsidRDefault="005357C9" w:rsidP="00EC5FD9">
      <w:pPr>
        <w:pStyle w:val="Heading2"/>
      </w:pP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 xml:space="preserve">Figure 1. 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Average daily </w:t>
      </w: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>ACFI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 claim per month</w:t>
      </w:r>
      <w:r w:rsidRPr="005357C9">
        <w:rPr>
          <w:rStyle w:val="FootnoteReference"/>
          <w:rFonts w:cs="Arial"/>
        </w:rPr>
        <w:t xml:space="preserve"> </w:t>
      </w:r>
      <w:r>
        <w:rPr>
          <w:rStyle w:val="FootnoteReference"/>
          <w:rFonts w:cs="Arial"/>
        </w:rPr>
        <w:footnoteReference w:id="1"/>
      </w:r>
    </w:p>
    <w:p w14:paraId="477F24F5" w14:textId="77777777" w:rsidR="00CD6553" w:rsidRDefault="00722F9F" w:rsidP="005406D4">
      <w:r>
        <w:rPr>
          <w:noProof/>
          <w:lang w:eastAsia="en-AU"/>
        </w:rPr>
        <w:drawing>
          <wp:inline distT="0" distB="0" distL="0" distR="0" wp14:anchorId="67CA70D6" wp14:editId="5C57BEA5">
            <wp:extent cx="5731510" cy="2518410"/>
            <wp:effectExtent l="0" t="0" r="2540" b="0"/>
            <wp:docPr id="1" name="Chart 1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Oct-19: ADL $96.51, BEH $28.49, CHC $53.25, Monthly ACFI, $178.26, ACFI Rate for claim month $178.26&#10;Nov-19: ADL $96.57, BEH $28.46, CHC $53.25, Monthly ACFI, $178.27, ACFI Rate for claim month $178.27&#10;Dec-19: ADL $96.63, BEH $28.43, CHC $53.25, Monthly ACFI, $178.32, ACFI Rate for claim month $178.32&#10;Jan-20: ADL $96.78, BEH $28.46, CHC $53.35, Monthly ACFI, $178.59, ACFI Rate for claim month $178.59&#10;Feb-20: ADL $96.92, BEH $28.47, CHC $53.42, Monthly ACFI, $178.81, ACFI Rate for claim month $178.81&#10;" title="Monthly ACFI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B9B300" w14:textId="77777777" w:rsidR="00CD6553" w:rsidRDefault="00CD6553" w:rsidP="00EC5FD9">
      <w:pPr>
        <w:pStyle w:val="Heading2"/>
      </w:pPr>
    </w:p>
    <w:p w14:paraId="36150BB3" w14:textId="77777777" w:rsidR="00D316C6" w:rsidRPr="00EC5FD9" w:rsidRDefault="00D316C6" w:rsidP="00EC5FD9">
      <w:pPr>
        <w:pStyle w:val="Heading2"/>
      </w:pPr>
      <w:r w:rsidRPr="00EC5FD9">
        <w:t xml:space="preserve">Table </w:t>
      </w:r>
      <w:r w:rsidR="006051BA" w:rsidRPr="00EC5FD9">
        <w:t>1</w:t>
      </w:r>
      <w:r w:rsidRPr="00EC5FD9">
        <w:t>: Cumulative Daily Average ACFI Subsidies and Growth Rates by ACFI Category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5: Cumulative Daily Average ACFI Subsidies and Growth Rates by ACFI Category"/>
        <w:tblDescription w:val="Table 5: Cumulative Daily Average ACFI Subsidies and Growth Rates by ACFI Category"/>
      </w:tblPr>
      <w:tblGrid>
        <w:gridCol w:w="2672"/>
        <w:gridCol w:w="1251"/>
        <w:gridCol w:w="1251"/>
        <w:gridCol w:w="1819"/>
        <w:gridCol w:w="1819"/>
      </w:tblGrid>
      <w:tr w:rsidR="00CD6553" w:rsidRPr="00E040DD" w14:paraId="5902487F" w14:textId="77777777" w:rsidTr="000C4D76">
        <w:trPr>
          <w:trHeight w:hRule="exact" w:val="1077"/>
          <w:tblHeader/>
        </w:trPr>
        <w:tc>
          <w:tcPr>
            <w:tcW w:w="2672" w:type="dxa"/>
            <w:vAlign w:val="bottom"/>
          </w:tcPr>
          <w:p w14:paraId="606E9FE0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Average ACFI Category Subsidy</w:t>
            </w:r>
          </w:p>
        </w:tc>
        <w:tc>
          <w:tcPr>
            <w:tcW w:w="1251" w:type="dxa"/>
            <w:vAlign w:val="bottom"/>
          </w:tcPr>
          <w:p w14:paraId="0EF84A04" w14:textId="77777777" w:rsidR="00CD6553" w:rsidRDefault="00722F9F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</w:t>
            </w:r>
            <w:r w:rsidR="008464B7">
              <w:rPr>
                <w:rFonts w:ascii="Calibri" w:hAnsi="Calibri" w:cs="Calibri"/>
                <w:b/>
                <w:bCs/>
                <w:color w:val="000000"/>
              </w:rPr>
              <w:t xml:space="preserve"> 2019</w:t>
            </w:r>
          </w:p>
        </w:tc>
        <w:tc>
          <w:tcPr>
            <w:tcW w:w="1251" w:type="dxa"/>
            <w:vAlign w:val="bottom"/>
          </w:tcPr>
          <w:p w14:paraId="663C35AC" w14:textId="77777777" w:rsidR="00CD6553" w:rsidRDefault="00CD6553" w:rsidP="008464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722F9F">
              <w:rPr>
                <w:rFonts w:ascii="Calibri" w:hAnsi="Calibri" w:cs="Calibri"/>
                <w:b/>
                <w:bCs/>
                <w:color w:val="000000"/>
              </w:rPr>
              <w:t>Feb</w:t>
            </w:r>
            <w:r w:rsidR="008464B7">
              <w:rPr>
                <w:rFonts w:ascii="Calibri" w:hAnsi="Calibri" w:cs="Calibri"/>
                <w:b/>
                <w:bCs/>
                <w:color w:val="000000"/>
              </w:rPr>
              <w:t xml:space="preserve"> 2020</w:t>
            </w:r>
          </w:p>
        </w:tc>
        <w:tc>
          <w:tcPr>
            <w:tcW w:w="1819" w:type="dxa"/>
            <w:vAlign w:val="bottom"/>
          </w:tcPr>
          <w:p w14:paraId="2EE3E67F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</w:tcPr>
          <w:p w14:paraId="780E55E6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722F9F" w:rsidRPr="00E040DD" w14:paraId="24716161" w14:textId="77777777" w:rsidTr="00722F9F">
        <w:tc>
          <w:tcPr>
            <w:tcW w:w="2672" w:type="dxa"/>
            <w:vAlign w:val="bottom"/>
          </w:tcPr>
          <w:p w14:paraId="47A4185D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ADL</w:t>
            </w:r>
          </w:p>
        </w:tc>
        <w:tc>
          <w:tcPr>
            <w:tcW w:w="1251" w:type="dxa"/>
          </w:tcPr>
          <w:p w14:paraId="7D4774A8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$94.55</w:t>
            </w:r>
          </w:p>
        </w:tc>
        <w:tc>
          <w:tcPr>
            <w:tcW w:w="1251" w:type="dxa"/>
          </w:tcPr>
          <w:p w14:paraId="39535F2C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$96.58</w:t>
            </w:r>
          </w:p>
        </w:tc>
        <w:tc>
          <w:tcPr>
            <w:tcW w:w="1819" w:type="dxa"/>
          </w:tcPr>
          <w:p w14:paraId="4E76E47D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2.1%</w:t>
            </w:r>
          </w:p>
        </w:tc>
        <w:tc>
          <w:tcPr>
            <w:tcW w:w="1819" w:type="dxa"/>
          </w:tcPr>
          <w:p w14:paraId="42287084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0.7%</w:t>
            </w:r>
          </w:p>
        </w:tc>
      </w:tr>
      <w:tr w:rsidR="00722F9F" w:rsidRPr="00E040DD" w14:paraId="10AC1534" w14:textId="77777777" w:rsidTr="00722F9F">
        <w:tc>
          <w:tcPr>
            <w:tcW w:w="2672" w:type="dxa"/>
            <w:vAlign w:val="bottom"/>
          </w:tcPr>
          <w:p w14:paraId="2CB18F85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BEH</w:t>
            </w:r>
          </w:p>
        </w:tc>
        <w:tc>
          <w:tcPr>
            <w:tcW w:w="1251" w:type="dxa"/>
          </w:tcPr>
          <w:p w14:paraId="32DBAD85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$28.28</w:t>
            </w:r>
          </w:p>
        </w:tc>
        <w:tc>
          <w:tcPr>
            <w:tcW w:w="1251" w:type="dxa"/>
          </w:tcPr>
          <w:p w14:paraId="309C96BE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$28.50</w:t>
            </w:r>
          </w:p>
        </w:tc>
        <w:tc>
          <w:tcPr>
            <w:tcW w:w="1819" w:type="dxa"/>
          </w:tcPr>
          <w:p w14:paraId="024FBF2F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0.8%</w:t>
            </w:r>
          </w:p>
        </w:tc>
        <w:tc>
          <w:tcPr>
            <w:tcW w:w="1819" w:type="dxa"/>
          </w:tcPr>
          <w:p w14:paraId="48661E7A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-0.6%</w:t>
            </w:r>
          </w:p>
        </w:tc>
      </w:tr>
      <w:tr w:rsidR="00722F9F" w:rsidRPr="00E040DD" w14:paraId="774AFB66" w14:textId="77777777" w:rsidTr="00722F9F">
        <w:tc>
          <w:tcPr>
            <w:tcW w:w="2672" w:type="dxa"/>
            <w:vAlign w:val="bottom"/>
          </w:tcPr>
          <w:p w14:paraId="34B61F11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CHC</w:t>
            </w:r>
          </w:p>
        </w:tc>
        <w:tc>
          <w:tcPr>
            <w:tcW w:w="1251" w:type="dxa"/>
          </w:tcPr>
          <w:p w14:paraId="49D2AB56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$52.59</w:t>
            </w:r>
          </w:p>
        </w:tc>
        <w:tc>
          <w:tcPr>
            <w:tcW w:w="1251" w:type="dxa"/>
          </w:tcPr>
          <w:p w14:paraId="3203EC1E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$53.28</w:t>
            </w:r>
          </w:p>
        </w:tc>
        <w:tc>
          <w:tcPr>
            <w:tcW w:w="1819" w:type="dxa"/>
          </w:tcPr>
          <w:p w14:paraId="5B8607A0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1.3%</w:t>
            </w:r>
          </w:p>
        </w:tc>
        <w:tc>
          <w:tcPr>
            <w:tcW w:w="1819" w:type="dxa"/>
          </w:tcPr>
          <w:p w14:paraId="3FDF5EF7" w14:textId="77777777" w:rsidR="00722F9F" w:rsidRPr="00722F9F" w:rsidRDefault="00722F9F" w:rsidP="00722F9F">
            <w:pPr>
              <w:jc w:val="right"/>
              <w:rPr>
                <w:rFonts w:asciiTheme="minorHAnsi" w:hAnsiTheme="minorHAnsi" w:cstheme="minorHAnsi"/>
              </w:rPr>
            </w:pPr>
            <w:r w:rsidRPr="00722F9F">
              <w:rPr>
                <w:rFonts w:asciiTheme="minorHAnsi" w:hAnsiTheme="minorHAnsi" w:cstheme="minorHAnsi"/>
              </w:rPr>
              <w:t>-0.1%</w:t>
            </w:r>
          </w:p>
        </w:tc>
      </w:tr>
    </w:tbl>
    <w:p w14:paraId="129B77CF" w14:textId="77777777" w:rsidR="00EC5FD9" w:rsidRDefault="00EC5FD9">
      <w:pPr>
        <w:rPr>
          <w:rStyle w:val="BookTitle"/>
          <w:rFonts w:eastAsia="Times New Roman" w:cs="Arial"/>
          <w:b/>
          <w:bCs/>
          <w:i w:val="0"/>
          <w:iCs w:val="0"/>
          <w:smallCaps w:val="0"/>
          <w:spacing w:val="0"/>
          <w:szCs w:val="26"/>
          <w:lang w:eastAsia="en-AU"/>
        </w:rPr>
      </w:pPr>
    </w:p>
    <w:p w14:paraId="71500E7F" w14:textId="77777777" w:rsidR="0057509E" w:rsidRPr="00EC5FD9" w:rsidRDefault="00D410AD" w:rsidP="00EC5FD9">
      <w:pPr>
        <w:pStyle w:val="Heading2"/>
      </w:pPr>
      <w:r w:rsidRPr="00EC5FD9">
        <w:lastRenderedPageBreak/>
        <w:t xml:space="preserve">Figure </w:t>
      </w:r>
      <w:r w:rsidR="0046314D" w:rsidRPr="00EC5FD9">
        <w:t>2</w:t>
      </w:r>
      <w:r w:rsidRPr="00EC5FD9">
        <w:t>. Daily Average $/Day Trend by Month – 201</w:t>
      </w:r>
      <w:r w:rsidR="00FE3C58" w:rsidRPr="00EC5FD9">
        <w:t>9</w:t>
      </w:r>
      <w:r w:rsidR="00CD7391" w:rsidRPr="00EC5FD9">
        <w:t>/</w:t>
      </w:r>
      <w:r w:rsidR="00FE3C58" w:rsidRPr="00EC5FD9">
        <w:t>20</w:t>
      </w:r>
      <w:r w:rsidRPr="00EC5FD9">
        <w:t xml:space="preserve"> Dollars</w:t>
      </w:r>
    </w:p>
    <w:p w14:paraId="27491739" w14:textId="77777777" w:rsidR="00604D06" w:rsidRPr="00604D06" w:rsidRDefault="00722F9F" w:rsidP="00604D06">
      <w:r>
        <w:rPr>
          <w:noProof/>
          <w:lang w:eastAsia="en-AU"/>
        </w:rPr>
        <w:drawing>
          <wp:inline distT="0" distB="0" distL="0" distR="0" wp14:anchorId="2D39B847" wp14:editId="1A5F4AB2">
            <wp:extent cx="5731510" cy="3423285"/>
            <wp:effectExtent l="0" t="0" r="2540" b="5715"/>
            <wp:docPr id="4" name="Picture 4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Oct-19: ADL $96.51, BEH $28.49, CHC $53.25, Monthly ACFI, $178.26, ACFI Rate for claim month $178.26&#10;Nov-19: ADL $96.57, BEH $28.46, CHC $53.25, Monthly ACFI, $178.27, ACFI Rate for claim month $178.27&#10;Dec-19: ADL $96.63, BEH $28.43, CHC $53.25, Monthly ACFI, $178.32, ACFI Rate for claim month $178.32&#10;Jan-20: ADL $96.78, BEH $28.46, CHC $53.35, Monthly ACFI, $178.59, ACFI Rate for claim month $178.59&#10;Feb-20: ADL $96.92, BEH $28.47, CHC $53.42, Monthly ACFI, $178.81, ACFI Rate for claim month $178.81&#10;" title="Daily Average $/Day trend by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AD90" w14:textId="77777777" w:rsidR="00CD6553" w:rsidRDefault="00CD6553" w:rsidP="00EC5FD9">
      <w:pPr>
        <w:pStyle w:val="Heading2"/>
      </w:pPr>
    </w:p>
    <w:p w14:paraId="136B4E93" w14:textId="77777777" w:rsidR="007F2864" w:rsidRPr="00EC5FD9" w:rsidRDefault="007F2864" w:rsidP="00EC5FD9">
      <w:pPr>
        <w:pStyle w:val="Heading2"/>
      </w:pPr>
      <w:r w:rsidRPr="00EC5FD9">
        <w:t xml:space="preserve">Table </w:t>
      </w:r>
      <w:r w:rsidR="006051BA" w:rsidRPr="00EC5FD9">
        <w:t>2</w:t>
      </w:r>
      <w:r w:rsidRPr="00EC5FD9">
        <w:t>: Cumulative Daily Average ACFI Subsidies and Growth Rates by State</w:t>
      </w:r>
    </w:p>
    <w:tbl>
      <w:tblPr>
        <w:tblStyle w:val="TableGrid"/>
        <w:tblpPr w:leftFromText="180" w:rightFromText="180" w:vertAnchor="text" w:tblpY="1"/>
        <w:tblOverlap w:val="never"/>
        <w:tblW w:w="8788" w:type="dxa"/>
        <w:tblLook w:val="04A0" w:firstRow="1" w:lastRow="0" w:firstColumn="1" w:lastColumn="0" w:noHBand="0" w:noVBand="1"/>
        <w:tblCaption w:val="Table 1: Cumulative Daily Average ACFI Subsidies and Growth Rates by State"/>
        <w:tblDescription w:val="Table 1: Cumulative Daily Average ACFI Subsidies and Growth Rates by State"/>
      </w:tblPr>
      <w:tblGrid>
        <w:gridCol w:w="2665"/>
        <w:gridCol w:w="1247"/>
        <w:gridCol w:w="1248"/>
        <w:gridCol w:w="1814"/>
        <w:gridCol w:w="1814"/>
      </w:tblGrid>
      <w:tr w:rsidR="00F44D6D" w:rsidRPr="00FB5425" w14:paraId="5F65FA58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16B2080A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State</w:t>
            </w:r>
          </w:p>
        </w:tc>
        <w:tc>
          <w:tcPr>
            <w:tcW w:w="1247" w:type="dxa"/>
            <w:vAlign w:val="bottom"/>
          </w:tcPr>
          <w:p w14:paraId="46EB28AC" w14:textId="77777777" w:rsidR="00F44D6D" w:rsidRDefault="00722F9F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</w:t>
            </w:r>
            <w:r w:rsidR="00185B82">
              <w:rPr>
                <w:rFonts w:ascii="Calibri" w:hAnsi="Calibri" w:cs="Calibri"/>
                <w:b/>
                <w:bCs/>
                <w:color w:val="000000"/>
              </w:rPr>
              <w:t xml:space="preserve"> 2019</w:t>
            </w:r>
          </w:p>
        </w:tc>
        <w:tc>
          <w:tcPr>
            <w:tcW w:w="1248" w:type="dxa"/>
            <w:vAlign w:val="bottom"/>
          </w:tcPr>
          <w:p w14:paraId="46841B70" w14:textId="77777777" w:rsidR="00F44D6D" w:rsidRDefault="00F44D6D" w:rsidP="00185B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722F9F">
              <w:rPr>
                <w:rFonts w:ascii="Calibri" w:hAnsi="Calibri" w:cs="Calibri"/>
                <w:b/>
                <w:bCs/>
                <w:color w:val="000000"/>
              </w:rPr>
              <w:t>Feb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20</w:t>
            </w:r>
            <w:r w:rsidR="00185B8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14" w:type="dxa"/>
            <w:vAlign w:val="bottom"/>
          </w:tcPr>
          <w:p w14:paraId="551D6011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62FB57D9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722F9F" w:rsidRPr="00FB5425" w14:paraId="71BAEB81" w14:textId="77777777" w:rsidTr="00722F9F">
        <w:trPr>
          <w:trHeight w:val="327"/>
        </w:trPr>
        <w:tc>
          <w:tcPr>
            <w:tcW w:w="2665" w:type="dxa"/>
            <w:vAlign w:val="bottom"/>
          </w:tcPr>
          <w:p w14:paraId="6641EBFE" w14:textId="77777777" w:rsidR="00722F9F" w:rsidRDefault="00722F9F" w:rsidP="00722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Projected National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0749F1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AC4DC9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30EA70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9EC365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722F9F" w:rsidRPr="00FB5425" w14:paraId="018F7C3C" w14:textId="77777777" w:rsidTr="00722F9F">
        <w:tc>
          <w:tcPr>
            <w:tcW w:w="2665" w:type="dxa"/>
            <w:vAlign w:val="bottom"/>
          </w:tcPr>
          <w:p w14:paraId="2AE9B0C5" w14:textId="77777777" w:rsidR="00722F9F" w:rsidRDefault="00722F9F" w:rsidP="00722F9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Actual National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F479C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27E7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A8E6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738B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722F9F" w:rsidRPr="00FB5425" w14:paraId="1A82FB49" w14:textId="77777777" w:rsidTr="00722F9F">
        <w:tc>
          <w:tcPr>
            <w:tcW w:w="2665" w:type="dxa"/>
            <w:vAlign w:val="bottom"/>
          </w:tcPr>
          <w:p w14:paraId="789DAA03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NSW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3957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$171.05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948C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$174.16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A5CF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E612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722F9F" w:rsidRPr="00FB5425" w14:paraId="41D0EB9E" w14:textId="77777777" w:rsidTr="00722F9F">
        <w:tc>
          <w:tcPr>
            <w:tcW w:w="2665" w:type="dxa"/>
            <w:vAlign w:val="bottom"/>
          </w:tcPr>
          <w:p w14:paraId="2DEEE295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773769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$181.81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958359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$184.80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DCBCC1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4226A1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722F9F" w:rsidRPr="00FB5425" w14:paraId="32CC6133" w14:textId="77777777" w:rsidTr="00722F9F">
        <w:tc>
          <w:tcPr>
            <w:tcW w:w="2665" w:type="dxa"/>
            <w:vAlign w:val="bottom"/>
          </w:tcPr>
          <w:p w14:paraId="06EBF347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E0AD55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6654BE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CDE613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0033B4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722F9F" w:rsidRPr="00FB5425" w14:paraId="4648965F" w14:textId="77777777" w:rsidTr="00722F9F">
        <w:tc>
          <w:tcPr>
            <w:tcW w:w="2665" w:type="dxa"/>
            <w:vAlign w:val="bottom"/>
          </w:tcPr>
          <w:p w14:paraId="65B9AF13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6C08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399C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F32F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F1FEE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722F9F" w:rsidRPr="00FB5425" w14:paraId="1DEFE9E8" w14:textId="77777777" w:rsidTr="00722F9F">
        <w:tc>
          <w:tcPr>
            <w:tcW w:w="2665" w:type="dxa"/>
            <w:vAlign w:val="bottom"/>
          </w:tcPr>
          <w:p w14:paraId="69BD9B18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C6BB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$174.23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B3B4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$176.09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A39C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5963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722F9F" w:rsidRPr="00FB5425" w14:paraId="2C8CC115" w14:textId="77777777" w:rsidTr="00722F9F">
        <w:tc>
          <w:tcPr>
            <w:tcW w:w="2665" w:type="dxa"/>
            <w:vAlign w:val="bottom"/>
          </w:tcPr>
          <w:p w14:paraId="17ED32F0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E9DF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$168.58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CAD4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$170.92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176A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F361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-0.0%</w:t>
            </w:r>
          </w:p>
        </w:tc>
      </w:tr>
      <w:tr w:rsidR="00722F9F" w:rsidRPr="00FB5425" w14:paraId="3606539E" w14:textId="77777777" w:rsidTr="00722F9F">
        <w:tc>
          <w:tcPr>
            <w:tcW w:w="2665" w:type="dxa"/>
            <w:vAlign w:val="bottom"/>
          </w:tcPr>
          <w:p w14:paraId="2ED80B3C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D703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$167.45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C5C3E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$171.25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7B4F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55CC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</w:tr>
      <w:tr w:rsidR="00722F9F" w14:paraId="796BC9CB" w14:textId="77777777" w:rsidTr="00722F9F">
        <w:tc>
          <w:tcPr>
            <w:tcW w:w="2665" w:type="dxa"/>
            <w:vAlign w:val="bottom"/>
          </w:tcPr>
          <w:p w14:paraId="2BC2AC71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NT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2EEF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$165.96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B7664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$170.80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C5EC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2.9%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E8A5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</w:tr>
    </w:tbl>
    <w:p w14:paraId="3729785E" w14:textId="77777777" w:rsidR="009170E3" w:rsidRPr="00EC5FD9" w:rsidRDefault="009170E3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4CFB7F4C" w14:textId="77777777" w:rsidR="00845319" w:rsidRPr="00EC5FD9" w:rsidRDefault="00845319" w:rsidP="00EC5FD9">
      <w:pPr>
        <w:pStyle w:val="Heading2"/>
      </w:pPr>
      <w:r w:rsidRPr="00EC5FD9">
        <w:lastRenderedPageBreak/>
        <w:t>Ta</w:t>
      </w:r>
      <w:r w:rsidR="0057509E" w:rsidRPr="00EC5FD9">
        <w:t>b</w:t>
      </w:r>
      <w:r w:rsidRPr="00EC5FD9">
        <w:t xml:space="preserve">le </w:t>
      </w:r>
      <w:r w:rsidR="006051BA" w:rsidRPr="00EC5FD9">
        <w:t>3</w:t>
      </w:r>
      <w:r w:rsidRPr="00EC5FD9">
        <w:t>: Cumulative Daily Average ACFI Subsidies and Growth Rates by Remoteness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2: Cumulative Daily Average ACFI Subsidies and Growth Rates by Remoteness"/>
        <w:tblDescription w:val="Table 2: Cumulative Daily Average ACFI Subsidies and Growth Rates by Remoteness"/>
      </w:tblPr>
      <w:tblGrid>
        <w:gridCol w:w="2665"/>
        <w:gridCol w:w="1247"/>
        <w:gridCol w:w="1247"/>
        <w:gridCol w:w="1814"/>
        <w:gridCol w:w="1814"/>
      </w:tblGrid>
      <w:tr w:rsidR="00F44D6D" w:rsidRPr="00E040DD" w14:paraId="0BEACE0A" w14:textId="77777777" w:rsidTr="00722F9F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674F5595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Remoteness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69932033" w14:textId="77777777" w:rsidR="00F44D6D" w:rsidRDefault="00722F9F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</w:t>
            </w:r>
            <w:r w:rsidR="005F4A9C">
              <w:rPr>
                <w:rFonts w:ascii="Calibri" w:hAnsi="Calibri" w:cs="Calibri"/>
                <w:b/>
                <w:bCs/>
                <w:color w:val="000000"/>
              </w:rPr>
              <w:t xml:space="preserve"> 2019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4C473405" w14:textId="77777777" w:rsidR="00F44D6D" w:rsidRDefault="00F44D6D" w:rsidP="005F4A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722F9F">
              <w:rPr>
                <w:rFonts w:ascii="Calibri" w:hAnsi="Calibri" w:cs="Calibri"/>
                <w:b/>
                <w:bCs/>
                <w:color w:val="000000"/>
              </w:rPr>
              <w:t>Feb</w:t>
            </w:r>
            <w:r w:rsidR="005F4A9C">
              <w:rPr>
                <w:rFonts w:ascii="Calibri" w:hAnsi="Calibri" w:cs="Calibri"/>
                <w:b/>
                <w:bCs/>
                <w:color w:val="000000"/>
              </w:rPr>
              <w:t xml:space="preserve"> 2020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62A38871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6B65515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722F9F" w:rsidRPr="00E040DD" w14:paraId="0118A1C1" w14:textId="77777777" w:rsidTr="00722F9F">
        <w:tc>
          <w:tcPr>
            <w:tcW w:w="2665" w:type="dxa"/>
            <w:vAlign w:val="bottom"/>
          </w:tcPr>
          <w:p w14:paraId="49EF0D14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 Cities of Australia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A1FD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4C11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E40C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58DB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722F9F" w:rsidRPr="00E040DD" w14:paraId="67523BFC" w14:textId="77777777" w:rsidTr="00722F9F">
        <w:tc>
          <w:tcPr>
            <w:tcW w:w="2665" w:type="dxa"/>
            <w:vAlign w:val="bottom"/>
          </w:tcPr>
          <w:p w14:paraId="29021493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Inner Regional Australia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C0C5E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43A2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78F8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70C6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</w:tr>
      <w:tr w:rsidR="00722F9F" w:rsidRPr="00E040DD" w14:paraId="619DA54D" w14:textId="77777777" w:rsidTr="00722F9F">
        <w:tc>
          <w:tcPr>
            <w:tcW w:w="2665" w:type="dxa"/>
            <w:vAlign w:val="bottom"/>
          </w:tcPr>
          <w:p w14:paraId="58D42D81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Outer Regional Australia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8A79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$163.67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3147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$165.69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4B28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199E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722F9F" w:rsidRPr="00E040DD" w14:paraId="3E414D4C" w14:textId="77777777" w:rsidTr="00722F9F">
        <w:tc>
          <w:tcPr>
            <w:tcW w:w="2665" w:type="dxa"/>
            <w:vAlign w:val="bottom"/>
          </w:tcPr>
          <w:p w14:paraId="77DB722E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Remote Australia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4E8A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$141.36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D97B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$142.84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F2E4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D8F0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722F9F" w:rsidRPr="00E040DD" w14:paraId="37CAA2CF" w14:textId="77777777" w:rsidTr="00722F9F">
        <w:tc>
          <w:tcPr>
            <w:tcW w:w="2665" w:type="dxa"/>
            <w:vAlign w:val="bottom"/>
          </w:tcPr>
          <w:p w14:paraId="6A3F3BD7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Very Remote Australia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A224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$152.57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FC4B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$148.98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B271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-2.4%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9A26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-3.7%</w:t>
            </w:r>
          </w:p>
        </w:tc>
      </w:tr>
    </w:tbl>
    <w:p w14:paraId="73D4B48A" w14:textId="77777777" w:rsidR="00E27BCF" w:rsidRPr="00EC5FD9" w:rsidRDefault="00E27BCF" w:rsidP="00EC5FD9"/>
    <w:p w14:paraId="421F0E10" w14:textId="77777777" w:rsidR="00845319" w:rsidRPr="00EC5FD9" w:rsidRDefault="00845319" w:rsidP="00EC5FD9">
      <w:pPr>
        <w:pStyle w:val="Heading2"/>
      </w:pPr>
      <w:r w:rsidRPr="00EC5FD9">
        <w:t xml:space="preserve">Table </w:t>
      </w:r>
      <w:r w:rsidR="006051BA" w:rsidRPr="00EC5FD9">
        <w:t>4</w:t>
      </w:r>
      <w:r w:rsidRPr="00EC5FD9">
        <w:t>: Cumulative Daily Average ACFI Subsidies and Growth Rates by Organi</w:t>
      </w:r>
      <w:r w:rsidR="00040441" w:rsidRPr="00EC5FD9">
        <w:t>s</w:t>
      </w:r>
      <w:r w:rsidRPr="00EC5FD9">
        <w:t>ation Type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3: Cumulative Daily Average ACFI Subsidies and Growth Rates by Organization Type"/>
        <w:tblDescription w:val="Table 3: Cumulative Daily Average ACFI Subsidies and Growth Rates by Organization Type"/>
      </w:tblPr>
      <w:tblGrid>
        <w:gridCol w:w="2672"/>
        <w:gridCol w:w="1251"/>
        <w:gridCol w:w="1251"/>
        <w:gridCol w:w="1819"/>
        <w:gridCol w:w="1819"/>
      </w:tblGrid>
      <w:tr w:rsidR="00F44D6D" w:rsidRPr="00E040DD" w14:paraId="05E3D98C" w14:textId="77777777" w:rsidTr="00722F9F">
        <w:trPr>
          <w:trHeight w:hRule="exact" w:val="1077"/>
          <w:tblHeader/>
        </w:trPr>
        <w:tc>
          <w:tcPr>
            <w:tcW w:w="2672" w:type="dxa"/>
            <w:noWrap/>
            <w:vAlign w:val="bottom"/>
            <w:hideMark/>
          </w:tcPr>
          <w:p w14:paraId="3C6B6670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Organisation Type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bottom"/>
          </w:tcPr>
          <w:p w14:paraId="7F459C5E" w14:textId="77777777" w:rsidR="00F44D6D" w:rsidRDefault="00722F9F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</w:t>
            </w:r>
            <w:r w:rsidR="005F4A9C" w:rsidRPr="005F4A9C">
              <w:rPr>
                <w:rFonts w:ascii="Calibri" w:hAnsi="Calibri" w:cs="Calibri"/>
                <w:b/>
                <w:bCs/>
                <w:color w:val="000000"/>
              </w:rPr>
              <w:t xml:space="preserve"> 2019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bottom"/>
          </w:tcPr>
          <w:p w14:paraId="2C8CBF81" w14:textId="77777777" w:rsidR="00F44D6D" w:rsidRDefault="00722F9F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Feb</w:t>
            </w:r>
            <w:r w:rsidR="005F4A9C" w:rsidRPr="005F4A9C">
              <w:rPr>
                <w:rFonts w:ascii="Calibri" w:hAnsi="Calibri" w:cs="Calibri"/>
                <w:b/>
                <w:bCs/>
                <w:color w:val="000000"/>
              </w:rPr>
              <w:t xml:space="preserve"> 2020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14:paraId="2E9B8D5C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  <w:hideMark/>
          </w:tcPr>
          <w:p w14:paraId="208ABF91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722F9F" w:rsidRPr="00E040DD" w14:paraId="6F59365A" w14:textId="77777777" w:rsidTr="00722F9F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111D885C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Not-For-Profit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E340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E013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$174.17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F9DD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7FA1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</w:tr>
      <w:tr w:rsidR="00722F9F" w:rsidRPr="00E040DD" w14:paraId="119EACD2" w14:textId="77777777" w:rsidTr="00722F9F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4C8705FE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For-Profit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BF4E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11F8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$186.85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09AC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D644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722F9F" w:rsidRPr="00E040DD" w14:paraId="777ED4AB" w14:textId="77777777" w:rsidTr="00722F9F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0F58BE06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Government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9577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$152.83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D34B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$153.91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AEA7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FE4E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</w:tr>
    </w:tbl>
    <w:p w14:paraId="57B19842" w14:textId="77777777" w:rsidR="001B449A" w:rsidRPr="00EC5FD9" w:rsidRDefault="001B449A" w:rsidP="00EC5FD9"/>
    <w:p w14:paraId="532B0ACB" w14:textId="77777777" w:rsidR="00BA50C2" w:rsidRPr="00EC5FD9" w:rsidRDefault="00BA50C2" w:rsidP="00EC5FD9">
      <w:pPr>
        <w:pStyle w:val="Heading2"/>
      </w:pPr>
      <w:r w:rsidRPr="00EC5FD9">
        <w:t xml:space="preserve">Table </w:t>
      </w:r>
      <w:r w:rsidR="006051BA" w:rsidRPr="00EC5FD9">
        <w:t>5</w:t>
      </w:r>
      <w:r w:rsidRPr="00EC5FD9">
        <w:t>: Cumulative Daily Average ACFI Subsidies and Growth Rates by Provider Size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4: Cumulative Daily Average ACFI Subsidies and Growth Rates by Provider Size"/>
        <w:tblDescription w:val="Table 4: Cumulative Daily Average ACFI Subsidies and Growth Rates by Provider Size"/>
      </w:tblPr>
      <w:tblGrid>
        <w:gridCol w:w="2665"/>
        <w:gridCol w:w="1247"/>
        <w:gridCol w:w="1247"/>
        <w:gridCol w:w="1814"/>
        <w:gridCol w:w="1814"/>
      </w:tblGrid>
      <w:tr w:rsidR="00F44D6D" w:rsidRPr="00E040DD" w14:paraId="130604E8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354A0063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Provider Size*</w:t>
            </w:r>
          </w:p>
        </w:tc>
        <w:tc>
          <w:tcPr>
            <w:tcW w:w="1247" w:type="dxa"/>
            <w:vAlign w:val="bottom"/>
          </w:tcPr>
          <w:p w14:paraId="72FDAC5B" w14:textId="77777777" w:rsidR="00F44D6D" w:rsidRDefault="00722F9F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</w:t>
            </w:r>
            <w:r w:rsidR="005F4A9C" w:rsidRPr="005F4A9C">
              <w:rPr>
                <w:rFonts w:ascii="Calibri" w:hAnsi="Calibri" w:cs="Calibri"/>
                <w:b/>
                <w:bCs/>
                <w:color w:val="000000"/>
              </w:rPr>
              <w:t xml:space="preserve"> 2019</w:t>
            </w:r>
          </w:p>
        </w:tc>
        <w:tc>
          <w:tcPr>
            <w:tcW w:w="1247" w:type="dxa"/>
            <w:vAlign w:val="bottom"/>
          </w:tcPr>
          <w:p w14:paraId="08CA0976" w14:textId="77777777" w:rsidR="00F44D6D" w:rsidRDefault="00722F9F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Feb</w:t>
            </w:r>
            <w:r w:rsidR="005F4A9C">
              <w:rPr>
                <w:rFonts w:ascii="Calibri" w:hAnsi="Calibri" w:cs="Calibri"/>
                <w:b/>
                <w:bCs/>
                <w:color w:val="000000"/>
              </w:rPr>
              <w:t xml:space="preserve"> 2020</w:t>
            </w:r>
          </w:p>
        </w:tc>
        <w:tc>
          <w:tcPr>
            <w:tcW w:w="1814" w:type="dxa"/>
            <w:vAlign w:val="bottom"/>
          </w:tcPr>
          <w:p w14:paraId="49D9A4A5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3D8E314C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722F9F" w:rsidRPr="00E040DD" w14:paraId="6DA9D1FD" w14:textId="77777777" w:rsidTr="00722F9F">
        <w:tc>
          <w:tcPr>
            <w:tcW w:w="2665" w:type="dxa"/>
            <w:vAlign w:val="bottom"/>
          </w:tcPr>
          <w:p w14:paraId="68F6F904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0-39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5BC0C41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$150.13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A2F18D7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$149.30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7BD8DA47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-0.6%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493ABE78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-1.9%</w:t>
            </w:r>
          </w:p>
        </w:tc>
      </w:tr>
      <w:tr w:rsidR="00722F9F" w:rsidRPr="00E040DD" w14:paraId="20B4E668" w14:textId="77777777" w:rsidTr="00722F9F">
        <w:tc>
          <w:tcPr>
            <w:tcW w:w="2665" w:type="dxa"/>
            <w:vAlign w:val="bottom"/>
          </w:tcPr>
          <w:p w14:paraId="26E9D34B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40-74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35BABCD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$160.31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EDAC339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$163.64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49801CFA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52E4704C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</w:tr>
      <w:tr w:rsidR="00722F9F" w:rsidRPr="00E040DD" w14:paraId="2F43E62C" w14:textId="77777777" w:rsidTr="00722F9F">
        <w:tc>
          <w:tcPr>
            <w:tcW w:w="2665" w:type="dxa"/>
            <w:vAlign w:val="bottom"/>
          </w:tcPr>
          <w:p w14:paraId="56F7F29B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75-129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1230173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$168.40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6FB43C9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$170.56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606459E6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04D9B6BB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  <w:tr w:rsidR="00722F9F" w:rsidRPr="00E040DD" w14:paraId="34FD3FEE" w14:textId="77777777" w:rsidTr="00722F9F">
        <w:tc>
          <w:tcPr>
            <w:tcW w:w="2665" w:type="dxa"/>
            <w:vAlign w:val="bottom"/>
          </w:tcPr>
          <w:p w14:paraId="5AE1EF56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130-499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8A7AFC7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40F3099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$176.35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15C8261E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3A6AF9C8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722F9F" w:rsidRPr="00E040DD" w14:paraId="6C71640C" w14:textId="77777777" w:rsidTr="00722F9F">
        <w:tc>
          <w:tcPr>
            <w:tcW w:w="2665" w:type="dxa"/>
            <w:vAlign w:val="bottom"/>
          </w:tcPr>
          <w:p w14:paraId="728A51DE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500-999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F73ABA2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$179.44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38C349A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$182.86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44CACE1D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33520408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722F9F" w:rsidRPr="00E040DD" w14:paraId="7554271B" w14:textId="77777777" w:rsidTr="00722F9F">
        <w:tc>
          <w:tcPr>
            <w:tcW w:w="2665" w:type="dxa"/>
            <w:vAlign w:val="bottom"/>
          </w:tcPr>
          <w:p w14:paraId="55180297" w14:textId="77777777" w:rsidR="00722F9F" w:rsidRDefault="00722F9F" w:rsidP="00722F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1000+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52839CB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$181.57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33DD98B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$184.02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36CF7733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501CA0DD" w14:textId="77777777" w:rsidR="00722F9F" w:rsidRDefault="00722F9F" w:rsidP="00722F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386D3B6F" w14:textId="77777777" w:rsidR="00BA50C2" w:rsidRPr="00EC5FD9" w:rsidRDefault="00D44A6B" w:rsidP="00EC5FD9"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*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Based on full time equivalent residents per year for 201</w:t>
      </w:r>
      <w:r w:rsidR="0061508B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8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-19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 Only includes providers active during July 201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</w:t>
      </w:r>
    </w:p>
    <w:p w14:paraId="518DD848" w14:textId="77777777" w:rsidR="001B449A" w:rsidRPr="00EC5FD9" w:rsidRDefault="001B449A" w:rsidP="00EC5FD9"/>
    <w:p w14:paraId="49AF1C85" w14:textId="77777777" w:rsidR="004E786B" w:rsidRPr="00EC5FD9" w:rsidRDefault="00A743AF" w:rsidP="00EC5FD9">
      <w:pPr>
        <w:pStyle w:val="Heading2"/>
      </w:pPr>
      <w:r w:rsidRPr="00EC5FD9">
        <w:t xml:space="preserve">Table </w:t>
      </w:r>
      <w:r w:rsidR="006051BA" w:rsidRPr="00EC5FD9">
        <w:t>6</w:t>
      </w:r>
      <w:r w:rsidRPr="00EC5FD9">
        <w:t xml:space="preserve">: Cumulative proportion of </w:t>
      </w:r>
      <w:r w:rsidR="00285793" w:rsidRPr="00EC5FD9">
        <w:t>total d</w:t>
      </w:r>
      <w:r w:rsidRPr="00EC5FD9">
        <w:t>ays by ACFI Level and ACFI Category</w:t>
      </w:r>
    </w:p>
    <w:tbl>
      <w:tblPr>
        <w:tblW w:w="5370" w:type="pct"/>
        <w:tblInd w:w="-284" w:type="dxa"/>
        <w:tblLayout w:type="fixed"/>
        <w:tblLook w:val="04A0" w:firstRow="1" w:lastRow="0" w:firstColumn="1" w:lastColumn="0" w:noHBand="0" w:noVBand="1"/>
        <w:tblCaption w:val="Table 6: Cumulative proportion of total days by ACFI Level and ACFI Category"/>
        <w:tblDescription w:val="Table 6: Cumulative proportion of total days by ACFI Level and ACFI Category"/>
      </w:tblPr>
      <w:tblGrid>
        <w:gridCol w:w="859"/>
        <w:gridCol w:w="983"/>
        <w:gridCol w:w="983"/>
        <w:gridCol w:w="1047"/>
        <w:gridCol w:w="982"/>
        <w:gridCol w:w="982"/>
        <w:gridCol w:w="982"/>
        <w:gridCol w:w="982"/>
        <w:gridCol w:w="982"/>
        <w:gridCol w:w="907"/>
      </w:tblGrid>
      <w:tr w:rsidR="00DB1D13" w:rsidRPr="00E040DD" w14:paraId="6E25F86C" w14:textId="77777777" w:rsidTr="00D96551">
        <w:trPr>
          <w:trHeight w:val="321"/>
          <w:tblHeader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667" w14:textId="77777777" w:rsidR="00A743AF" w:rsidRPr="00E040DD" w:rsidRDefault="00A743AF" w:rsidP="00A743A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052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ADL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3100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BEH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A677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CHC</w:t>
            </w:r>
          </w:p>
        </w:tc>
      </w:tr>
      <w:tr w:rsidR="00F44D6D" w:rsidRPr="00E040DD" w14:paraId="01CA6B49" w14:textId="77777777" w:rsidTr="00D96551">
        <w:trPr>
          <w:trHeight w:hRule="exact" w:val="96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53B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 Level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EE4C9" w14:textId="77777777" w:rsidR="00F44D6D" w:rsidRDefault="00D96551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</w:t>
            </w:r>
            <w:r w:rsidR="008D5D84">
              <w:rPr>
                <w:rFonts w:ascii="Calibri" w:hAnsi="Calibri" w:cs="Calibri"/>
                <w:b/>
                <w:bCs/>
                <w:color w:val="000000"/>
              </w:rPr>
              <w:t xml:space="preserve">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BD061" w14:textId="77777777" w:rsidR="00F44D6D" w:rsidRDefault="00D96551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Feb</w:t>
            </w:r>
            <w:r w:rsidR="008D5D84">
              <w:rPr>
                <w:rFonts w:ascii="Calibri" w:hAnsi="Calibri" w:cs="Calibri"/>
                <w:b/>
                <w:bCs/>
                <w:color w:val="000000"/>
              </w:rPr>
              <w:t xml:space="preserve"> 2020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FF85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ADL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84278" w14:textId="77777777" w:rsidR="00F44D6D" w:rsidRDefault="00D96551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</w:t>
            </w:r>
            <w:r w:rsidR="008D5D84">
              <w:rPr>
                <w:rFonts w:ascii="Calibri" w:hAnsi="Calibri" w:cs="Calibri"/>
                <w:b/>
                <w:bCs/>
                <w:color w:val="000000"/>
              </w:rPr>
              <w:t xml:space="preserve">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AD56D" w14:textId="77777777" w:rsidR="00F44D6D" w:rsidRDefault="00D96551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Feb</w:t>
            </w:r>
            <w:r w:rsidR="008D5D84">
              <w:rPr>
                <w:rFonts w:ascii="Calibri" w:hAnsi="Calibri" w:cs="Calibri"/>
                <w:b/>
                <w:bCs/>
                <w:color w:val="000000"/>
              </w:rPr>
              <w:t xml:space="preserve"> 2020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9CA6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BEH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87548" w14:textId="77777777" w:rsidR="00F44D6D" w:rsidRDefault="00D96551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</w:t>
            </w:r>
            <w:r w:rsidR="008D5D84">
              <w:rPr>
                <w:rFonts w:ascii="Calibri" w:hAnsi="Calibri" w:cs="Calibri"/>
                <w:b/>
                <w:bCs/>
                <w:color w:val="000000"/>
              </w:rPr>
              <w:t xml:space="preserve">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810FE" w14:textId="77777777" w:rsidR="00F44D6D" w:rsidRDefault="00D96551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Feb</w:t>
            </w:r>
            <w:r w:rsidR="008D5D84">
              <w:rPr>
                <w:rFonts w:ascii="Calibri" w:hAnsi="Calibri" w:cs="Calibri"/>
                <w:b/>
                <w:bCs/>
                <w:color w:val="000000"/>
              </w:rPr>
              <w:t xml:space="preserve"> 2020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9ED7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CHC</w:t>
            </w:r>
          </w:p>
        </w:tc>
      </w:tr>
      <w:tr w:rsidR="00D96551" w:rsidRPr="00E040DD" w14:paraId="5C8CA4A4" w14:textId="77777777" w:rsidTr="00D96551">
        <w:trPr>
          <w:trHeight w:hRule="exact" w:val="31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8671" w14:textId="77777777" w:rsidR="00D96551" w:rsidRDefault="00D96551" w:rsidP="00D965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6C7C5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59.6%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EBC81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60.7%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6E43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4D894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64.2%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98B30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63.6%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8D08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04EC1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52.6%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E108E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FD07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-0.9%</w:t>
            </w:r>
          </w:p>
        </w:tc>
      </w:tr>
      <w:tr w:rsidR="00D96551" w:rsidRPr="00E040DD" w14:paraId="6A5B3C0F" w14:textId="77777777" w:rsidTr="00D96551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1C1" w14:textId="77777777" w:rsidR="00D96551" w:rsidRDefault="00D96551" w:rsidP="00D965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D6DB5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A9D50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F26E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63EA7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21.8%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27D2A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22.2%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9BD5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72916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30.4%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41A0A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CAD9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</w:tr>
      <w:tr w:rsidR="00D96551" w:rsidRPr="00E040DD" w14:paraId="545413D8" w14:textId="77777777" w:rsidTr="00D96551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7FB" w14:textId="77777777" w:rsidR="00D96551" w:rsidRDefault="00D96551" w:rsidP="00D965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6AFDA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92B95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D93E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-0.8%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80C9F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D0945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7D3B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E265A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16.3%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62A4C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7B8A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D96551" w:rsidRPr="00E040DD" w14:paraId="777F09D5" w14:textId="77777777" w:rsidTr="00D96551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2740" w14:textId="77777777" w:rsidR="00D96551" w:rsidRDefault="00D96551" w:rsidP="00D965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109DA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7D4D5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BC5A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A9D44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42A93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2D75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EBB9C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44238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49AA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5FA91DB3" w14:textId="77777777" w:rsidR="00D316C6" w:rsidRPr="00EC5FD9" w:rsidRDefault="00D316C6" w:rsidP="00EC5FD9"/>
    <w:p w14:paraId="75E53676" w14:textId="77777777" w:rsidR="00D316C6" w:rsidRDefault="00D316C6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p w14:paraId="75675648" w14:textId="77777777" w:rsidR="00A743AF" w:rsidRPr="00EC5FD9" w:rsidRDefault="006051BA" w:rsidP="00EC5FD9">
      <w:pPr>
        <w:pStyle w:val="Heading2"/>
      </w:pPr>
      <w:r w:rsidRPr="00EC5FD9">
        <w:lastRenderedPageBreak/>
        <w:t>Table 7</w:t>
      </w:r>
      <w:r w:rsidR="00285793" w:rsidRPr="00EC5FD9">
        <w:t>: Cumulative proportion of total days by ADL Scores and ADL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7: Cumulative proportion of total days by ADL Scores and ADL Question"/>
        <w:tblDescription w:val="Table 7: Cumulative proportion of total days by ADL Scores and ADL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F44D6D" w:rsidRPr="00E040DD" w14:paraId="0912FD14" w14:textId="77777777" w:rsidTr="00EC5FD9">
        <w:trPr>
          <w:trHeight w:hRule="exact" w:val="318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0D75" w14:textId="77777777" w:rsidR="00F44D6D" w:rsidRPr="00E040DD" w:rsidRDefault="00F44D6D" w:rsidP="00F44D6D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FA60" w14:textId="77777777" w:rsidR="00F44D6D" w:rsidRDefault="00D96551" w:rsidP="008D5D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</w:t>
            </w:r>
            <w:r w:rsidR="00F44D6D">
              <w:rPr>
                <w:rFonts w:ascii="Calibri" w:hAnsi="Calibri" w:cs="Calibri"/>
                <w:b/>
                <w:bCs/>
                <w:color w:val="000000"/>
              </w:rPr>
              <w:t xml:space="preserve"> 201</w:t>
            </w:r>
            <w:r w:rsidR="008D5D84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098C" w14:textId="77777777" w:rsidR="00F44D6D" w:rsidRDefault="00F44D6D" w:rsidP="008D5D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</w:t>
            </w:r>
            <w:r w:rsidR="00D96551">
              <w:rPr>
                <w:rFonts w:ascii="Calibri" w:hAnsi="Calibri" w:cs="Calibri"/>
                <w:b/>
                <w:bCs/>
                <w:color w:val="000000"/>
              </w:rPr>
              <w:t>ul 2019 To Feb</w:t>
            </w:r>
            <w:r w:rsidR="008D5D84">
              <w:rPr>
                <w:rFonts w:ascii="Calibri" w:hAnsi="Calibri" w:cs="Calibri"/>
                <w:b/>
                <w:bCs/>
                <w:color w:val="000000"/>
              </w:rPr>
              <w:t xml:space="preserve"> 2020</w:t>
            </w:r>
          </w:p>
        </w:tc>
      </w:tr>
      <w:tr w:rsidR="005B58B8" w:rsidRPr="00E040DD" w14:paraId="6F86F968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AB1A" w14:textId="77777777" w:rsidR="005B58B8" w:rsidRDefault="005B58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ADL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7DF2F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9E6A4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1EFE1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5D76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A3FB9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B7D78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90F3B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0B79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D96551" w:rsidRPr="00E040DD" w14:paraId="39D146EC" w14:textId="77777777" w:rsidTr="00EA6091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F12C" w14:textId="77777777" w:rsidR="00D96551" w:rsidRDefault="00D96551" w:rsidP="00D965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Nutrition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A2F3E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73093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13.69%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350382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4501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12811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2.74%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EF224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12.89%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03C0B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69.9%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5C13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14.5%</w:t>
            </w:r>
          </w:p>
        </w:tc>
      </w:tr>
      <w:tr w:rsidR="00D96551" w:rsidRPr="00E040DD" w14:paraId="68D96878" w14:textId="77777777" w:rsidTr="00EA6091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892" w14:textId="77777777" w:rsidR="00D96551" w:rsidRDefault="00D96551" w:rsidP="00D965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Mobility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41C4E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2B9FE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2.57%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A2D79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5477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03A65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11A9C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AB246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33.5%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FD5C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62.9%</w:t>
            </w:r>
          </w:p>
        </w:tc>
      </w:tr>
      <w:tr w:rsidR="00D96551" w:rsidRPr="00E040DD" w14:paraId="186AB4AD" w14:textId="77777777" w:rsidTr="00EA6091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A55F" w14:textId="77777777" w:rsidR="00D96551" w:rsidRDefault="00D96551" w:rsidP="00D965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Personal Hygiene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9A2F4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14F47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5.23%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F23C5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18C4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85.4%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7056B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0.39%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BC8FA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5.07%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E0420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1D52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85.9%</w:t>
            </w:r>
          </w:p>
        </w:tc>
      </w:tr>
      <w:tr w:rsidR="00D96551" w:rsidRPr="00E040DD" w14:paraId="2BF62610" w14:textId="77777777" w:rsidTr="00EA6091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0839" w14:textId="77777777" w:rsidR="00D96551" w:rsidRDefault="00D96551" w:rsidP="00D965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Toileting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22461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E833A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10.04%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12703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14.7%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728E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98C74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2.19%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2128B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24948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1FB6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73.1%</w:t>
            </w:r>
          </w:p>
        </w:tc>
      </w:tr>
      <w:tr w:rsidR="00D96551" w:rsidRPr="00E040DD" w14:paraId="7308DC3E" w14:textId="77777777" w:rsidTr="00EA6091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B85" w14:textId="77777777" w:rsidR="00D96551" w:rsidRDefault="00D96551" w:rsidP="00D965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Continence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A3F0A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11.56%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53767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F426C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0DB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F8FD4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10.96%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18682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1.98%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615DB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5076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83.3%</w:t>
            </w:r>
          </w:p>
        </w:tc>
      </w:tr>
    </w:tbl>
    <w:p w14:paraId="35F625B8" w14:textId="77777777" w:rsidR="003C6148" w:rsidRPr="00EC5FD9" w:rsidRDefault="003C6148" w:rsidP="00EC5FD9"/>
    <w:p w14:paraId="3F11CC99" w14:textId="77777777" w:rsidR="00285793" w:rsidRPr="00EC5FD9" w:rsidRDefault="00285793" w:rsidP="00EC5FD9">
      <w:pPr>
        <w:pStyle w:val="Heading2"/>
      </w:pPr>
      <w:r w:rsidRPr="00EC5FD9">
        <w:t xml:space="preserve">Table </w:t>
      </w:r>
      <w:r w:rsidR="006051BA" w:rsidRPr="00EC5FD9">
        <w:t>8</w:t>
      </w:r>
      <w:r w:rsidRPr="00EC5FD9">
        <w:t>: Cumulative proportion of total days by BEH Scores and BEH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8: Cumulative proportion of total days by BEH Scores and BEH Question"/>
        <w:tblDescription w:val="Table 8: Cumulative proportion of total days by BEH Scores and BEH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F44D6D" w:rsidRPr="00E040DD" w14:paraId="5C3BE370" w14:textId="77777777" w:rsidTr="00EC5FD9">
        <w:trPr>
          <w:trHeight w:hRule="exact" w:val="323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F1BC" w14:textId="77777777" w:rsidR="00F44D6D" w:rsidRPr="00E040DD" w:rsidRDefault="00F44D6D" w:rsidP="00F44D6D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7F35" w14:textId="77777777" w:rsidR="00F44D6D" w:rsidRDefault="00D96551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Feb 2019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D9CB" w14:textId="77777777" w:rsidR="00F44D6D" w:rsidRDefault="00D96551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Feb 2020</w:t>
            </w:r>
          </w:p>
        </w:tc>
      </w:tr>
      <w:tr w:rsidR="001B449A" w:rsidRPr="00E040DD" w14:paraId="6206CA24" w14:textId="77777777" w:rsidTr="00D70A4B">
        <w:trPr>
          <w:trHeight w:hRule="exact" w:val="32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1D5B" w14:textId="77777777" w:rsidR="001B449A" w:rsidRPr="00E040DD" w:rsidRDefault="001B449A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E040DD">
              <w:rPr>
                <w:rFonts w:asciiTheme="minorHAnsi" w:hAnsiTheme="minorHAnsi"/>
                <w:b/>
                <w:bCs/>
                <w:color w:val="000000"/>
              </w:rPr>
              <w:t>BEH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FD21F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CD398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E3579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5931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89EEA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56959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75C36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7E81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D96551" w:rsidRPr="00E040DD" w14:paraId="711D4C14" w14:textId="77777777" w:rsidTr="0018501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B885" w14:textId="77777777" w:rsidR="00D96551" w:rsidRPr="00E040DD" w:rsidRDefault="00D96551" w:rsidP="00D96551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Cognitive Skills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04A04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7.8%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86AFF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8A81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36.81%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43CD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CFB5F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8489B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A4FCA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38.01%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DD9E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26.8%</w:t>
            </w:r>
          </w:p>
        </w:tc>
      </w:tr>
      <w:tr w:rsidR="00D96551" w:rsidRPr="00E040DD" w14:paraId="0D8F015B" w14:textId="77777777" w:rsidTr="0018501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151" w14:textId="77777777" w:rsidR="00D96551" w:rsidRPr="00E040DD" w:rsidRDefault="00D96551" w:rsidP="00D96551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Wandering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C5524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83.5%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F1597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00DEA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3.58%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A72A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BD3D2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E085F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81464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1E5F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6.9%</w:t>
            </w:r>
          </w:p>
        </w:tc>
      </w:tr>
      <w:tr w:rsidR="00D96551" w:rsidRPr="00E040DD" w14:paraId="06327B06" w14:textId="77777777" w:rsidTr="0018501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B961" w14:textId="77777777" w:rsidR="00D96551" w:rsidRPr="00E040DD" w:rsidRDefault="00D96551" w:rsidP="00D96551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Verbal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5B965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A3EBE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9E351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19.17%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9F5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58299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11.8%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414C8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22488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19.70%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59A0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57.3%</w:t>
            </w:r>
          </w:p>
        </w:tc>
      </w:tr>
      <w:tr w:rsidR="00D96551" w:rsidRPr="00E040DD" w14:paraId="6727DB61" w14:textId="77777777" w:rsidTr="0018501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5A6A" w14:textId="77777777" w:rsidR="00D96551" w:rsidRPr="00E040DD" w:rsidRDefault="00D96551" w:rsidP="00D96551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Physical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E7680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FA8D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4E26F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19.04%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89A4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39.7%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84895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27.3%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96854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15.5%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8311F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19.45%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4F42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37.7%</w:t>
            </w:r>
          </w:p>
        </w:tc>
      </w:tr>
      <w:tr w:rsidR="00D96551" w:rsidRPr="00E040DD" w14:paraId="5DB00383" w14:textId="77777777" w:rsidTr="0018501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F632" w14:textId="77777777" w:rsidR="00D96551" w:rsidRPr="00E040DD" w:rsidRDefault="00D96551" w:rsidP="00D96551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Depression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4CD3D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6722A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29.8%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A8B10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17.73%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BAC3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2A719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540C1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29.8%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5F9EB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9020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</w:tr>
    </w:tbl>
    <w:p w14:paraId="4483962D" w14:textId="77777777" w:rsidR="00C26992" w:rsidRPr="00EC5FD9" w:rsidRDefault="00C26992" w:rsidP="00EC5FD9"/>
    <w:p w14:paraId="0725112C" w14:textId="77777777" w:rsidR="004F2821" w:rsidRPr="00EC5FD9" w:rsidRDefault="004F2821" w:rsidP="00EC5FD9">
      <w:pPr>
        <w:pStyle w:val="Heading2"/>
      </w:pPr>
      <w:r w:rsidRPr="00EC5FD9">
        <w:t xml:space="preserve">Table </w:t>
      </w:r>
      <w:r w:rsidR="006051BA" w:rsidRPr="00EC5FD9">
        <w:t>9</w:t>
      </w:r>
      <w:r w:rsidRPr="00EC5FD9">
        <w:t>: Distribution of claim days for the CHC</w:t>
      </w:r>
    </w:p>
    <w:tbl>
      <w:tblPr>
        <w:tblpPr w:leftFromText="180" w:rightFromText="180" w:vertAnchor="text" w:horzAnchor="margin" w:tblpXSpec="right" w:tblpY="656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1FD32CF4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69C6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B1E2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D96551" w14:paraId="7F415279" w14:textId="77777777" w:rsidTr="00864E79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3705E3E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C1C9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</w:tr>
      <w:tr w:rsidR="00D96551" w14:paraId="5E5C28E8" w14:textId="77777777" w:rsidTr="00864E79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05DDB4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EBA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8.2%</w:t>
            </w:r>
          </w:p>
        </w:tc>
      </w:tr>
      <w:tr w:rsidR="00D96551" w14:paraId="094CF0C3" w14:textId="77777777" w:rsidTr="00864E79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09A3D0D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DD5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19.5%</w:t>
            </w:r>
          </w:p>
        </w:tc>
      </w:tr>
      <w:tr w:rsidR="00D96551" w14:paraId="425DFD13" w14:textId="77777777" w:rsidTr="00864E79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7BD1040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55E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71.0%</w:t>
            </w:r>
          </w:p>
        </w:tc>
      </w:tr>
    </w:tbl>
    <w:p w14:paraId="2AC2A08A" w14:textId="77777777" w:rsidR="00F96A7D" w:rsidRDefault="00AB0072" w:rsidP="00F96A7D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 xml:space="preserve">Jul </w:t>
      </w:r>
      <w:r w:rsidR="003E08FD">
        <w:rPr>
          <w:rFonts w:ascii="Calibri" w:hAnsi="Calibri" w:cs="Calibri"/>
          <w:b/>
          <w:bCs/>
          <w:color w:val="000000"/>
        </w:rPr>
        <w:t>2018</w:t>
      </w:r>
      <w:r w:rsidR="00B75689">
        <w:rPr>
          <w:rFonts w:ascii="Calibri" w:hAnsi="Calibri" w:cs="Calibri"/>
          <w:b/>
          <w:bCs/>
          <w:color w:val="000000"/>
        </w:rPr>
        <w:t xml:space="preserve"> to </w:t>
      </w:r>
      <w:r w:rsidR="00D96551">
        <w:rPr>
          <w:rFonts w:ascii="Calibri" w:hAnsi="Calibri" w:cs="Calibri"/>
          <w:b/>
          <w:bCs/>
          <w:color w:val="000000"/>
        </w:rPr>
        <w:t>Feb</w:t>
      </w:r>
      <w:r w:rsidR="00D86AC1">
        <w:rPr>
          <w:rFonts w:ascii="Calibri" w:hAnsi="Calibri" w:cs="Calibri"/>
          <w:b/>
          <w:bCs/>
          <w:color w:val="000000"/>
        </w:rPr>
        <w:t xml:space="preserve"> 2019</w:t>
      </w:r>
      <w:r w:rsidR="00F96A7D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br/>
      </w:r>
      <w:r w:rsidR="00F96A7D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96A7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0E44A7B0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795916C" w14:textId="77777777" w:rsidR="00461D24" w:rsidRPr="004F2821" w:rsidRDefault="00461D24" w:rsidP="00F96A7D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940F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C34A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BE6F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65EB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D96551" w:rsidRPr="004F2821" w14:paraId="2CFE790C" w14:textId="77777777" w:rsidTr="007F153F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D111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41E79F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03A4EF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7F3A60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19354E0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D96551" w:rsidRPr="004F2821" w14:paraId="0068BB3A" w14:textId="77777777" w:rsidTr="007F153F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7E6D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1DCF6D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4F738E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B4ECDB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9377AA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2.9%</w:t>
            </w:r>
          </w:p>
        </w:tc>
      </w:tr>
      <w:tr w:rsidR="00D96551" w:rsidRPr="004F2821" w14:paraId="14DDC7FB" w14:textId="77777777" w:rsidTr="007F153F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4C9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D2AD0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E4413B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4B56C8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F12874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3.7%</w:t>
            </w:r>
          </w:p>
        </w:tc>
      </w:tr>
      <w:tr w:rsidR="00D96551" w:rsidRPr="004F2821" w14:paraId="1401125D" w14:textId="77777777" w:rsidTr="007F153F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9957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B00581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73FB6F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525A979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8774E3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2.6%</w:t>
            </w:r>
          </w:p>
        </w:tc>
      </w:tr>
    </w:tbl>
    <w:p w14:paraId="082A470A" w14:textId="77777777" w:rsidR="00461D24" w:rsidRPr="00EC5FD9" w:rsidRDefault="00461D24" w:rsidP="00EC5FD9"/>
    <w:tbl>
      <w:tblPr>
        <w:tblpPr w:leftFromText="180" w:rightFromText="180" w:vertAnchor="text" w:horzAnchor="margin" w:tblpXSpec="right" w:tblpY="304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53213BA9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0886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7DF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D96551" w14:paraId="086918ED" w14:textId="77777777" w:rsidTr="00E24A7F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CFA9E55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F7D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  <w:tr w:rsidR="00D96551" w14:paraId="225863D3" w14:textId="77777777" w:rsidTr="00E24A7F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2EDEE86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46DE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9.6%</w:t>
            </w:r>
          </w:p>
        </w:tc>
      </w:tr>
      <w:tr w:rsidR="00D96551" w14:paraId="42E50B68" w14:textId="77777777" w:rsidTr="00E24A7F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3FA5EA2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438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29.9%</w:t>
            </w:r>
          </w:p>
        </w:tc>
      </w:tr>
      <w:tr w:rsidR="00D96551" w14:paraId="09D8E6B5" w14:textId="77777777" w:rsidTr="00E24A7F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7F35B70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BC8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59.4%</w:t>
            </w:r>
          </w:p>
        </w:tc>
      </w:tr>
    </w:tbl>
    <w:p w14:paraId="611768DF" w14:textId="77777777" w:rsidR="001709E6" w:rsidRDefault="001709E6" w:rsidP="001709E6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1709E6" w:rsidRPr="004F2821" w14:paraId="1493DA8C" w14:textId="77777777" w:rsidTr="003E62BB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A1F18EA" w14:textId="77777777" w:rsidR="001709E6" w:rsidRPr="004F2821" w:rsidRDefault="001709E6" w:rsidP="003E62BB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A40B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2E6F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3CA7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B4D3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D96551" w:rsidRPr="004F2821" w14:paraId="23514051" w14:textId="77777777" w:rsidTr="00711E59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2D0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C90F0A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F6CD4C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2C241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017291D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D96551" w:rsidRPr="004F2821" w14:paraId="4D14644A" w14:textId="77777777" w:rsidTr="00711E59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3625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EB3232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58CBE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E9398B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F55791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</w:tr>
      <w:tr w:rsidR="00D96551" w:rsidRPr="004F2821" w14:paraId="688F1E31" w14:textId="77777777" w:rsidTr="00711E59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668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1F7A05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3CFB55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26C0B1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5F163D2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</w:tr>
      <w:tr w:rsidR="00D96551" w:rsidRPr="004F2821" w14:paraId="19EEE3F8" w14:textId="77777777" w:rsidTr="00711E59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2C3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856517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27EED0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A593B3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C41232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</w:tr>
    </w:tbl>
    <w:p w14:paraId="7CAC4F2C" w14:textId="77777777" w:rsidR="009C7597" w:rsidRDefault="009C7597" w:rsidP="005732EA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</w:p>
    <w:tbl>
      <w:tblPr>
        <w:tblpPr w:leftFromText="180" w:rightFromText="180" w:vertAnchor="text" w:horzAnchor="margin" w:tblpXSpec="right" w:tblpY="2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068223AC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4005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F587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D96551" w14:paraId="17EFDE53" w14:textId="77777777" w:rsidTr="00B87150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99F38FA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9B13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D96551" w14:paraId="6DA2E7BC" w14:textId="77777777" w:rsidTr="00B87150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830E619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460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20.1%</w:t>
            </w:r>
          </w:p>
        </w:tc>
      </w:tr>
      <w:tr w:rsidR="00D96551" w14:paraId="0AD22B82" w14:textId="77777777" w:rsidTr="00B87150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DA100CC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625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</w:tr>
      <w:tr w:rsidR="00D96551" w14:paraId="60B785DA" w14:textId="77777777" w:rsidTr="00B87150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BDBC3AA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E156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45.1%</w:t>
            </w:r>
          </w:p>
        </w:tc>
      </w:tr>
    </w:tbl>
    <w:p w14:paraId="7B96E504" w14:textId="77777777" w:rsidR="009C7597" w:rsidRDefault="009C7597" w:rsidP="009C7597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D4DEB" w:rsidRPr="00FD4DEB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9C7597" w:rsidRPr="00E963C3" w14:paraId="5F9A1B23" w14:textId="77777777" w:rsidTr="005732EA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6DCCF13" w14:textId="77777777" w:rsidR="009C7597" w:rsidRPr="00E963C3" w:rsidRDefault="009C7597" w:rsidP="005732EA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0F939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DA13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C0A0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9D08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D96551" w:rsidRPr="00E963C3" w14:paraId="519B6305" w14:textId="77777777" w:rsidTr="00F671EF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8BF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02C6AF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3106EE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7C7B3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A8F2C1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D96551" w:rsidRPr="00E963C3" w14:paraId="47A46C6D" w14:textId="77777777" w:rsidTr="00F671EF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8989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AD33AF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48ADD2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E538B9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62013C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27.4%</w:t>
            </w:r>
          </w:p>
        </w:tc>
      </w:tr>
      <w:tr w:rsidR="00D96551" w:rsidRPr="00E963C3" w14:paraId="18BF734B" w14:textId="77777777" w:rsidTr="00F671EF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A0F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EEB975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F1AA12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BA625D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005C76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2.9%</w:t>
            </w:r>
          </w:p>
        </w:tc>
      </w:tr>
      <w:tr w:rsidR="00D96551" w:rsidRPr="00E963C3" w14:paraId="519DDEBB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B28E" w14:textId="77777777" w:rsidR="00D96551" w:rsidRPr="00E963C3" w:rsidRDefault="00D96551" w:rsidP="00D9655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AECE" w14:textId="77777777" w:rsidR="00D96551" w:rsidRDefault="00D96551" w:rsidP="00D9655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D7AD" w14:textId="77777777" w:rsidR="00D96551" w:rsidRDefault="00D96551" w:rsidP="00D9655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BC39" w14:textId="77777777" w:rsidR="00D96551" w:rsidRDefault="00D96551" w:rsidP="00D9655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F47" w14:textId="77777777" w:rsidR="00D96551" w:rsidRDefault="00D96551" w:rsidP="00D96551">
            <w:pPr>
              <w:rPr>
                <w:rFonts w:ascii="Calibri" w:hAnsi="Calibri"/>
                <w:color w:val="000000"/>
              </w:rPr>
            </w:pPr>
          </w:p>
        </w:tc>
      </w:tr>
    </w:tbl>
    <w:p w14:paraId="30767EA8" w14:textId="77777777" w:rsidR="00D316C6" w:rsidRPr="00EC5FD9" w:rsidRDefault="00D316C6" w:rsidP="00EC5FD9"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tbl>
      <w:tblPr>
        <w:tblpPr w:leftFromText="180" w:rightFromText="180" w:vertAnchor="text" w:horzAnchor="margin" w:tblpXSpec="right" w:tblpY="623"/>
        <w:tblW w:w="2179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992"/>
        <w:gridCol w:w="1187"/>
      </w:tblGrid>
      <w:tr w:rsidR="00D70A4B" w:rsidRPr="004F2821" w14:paraId="31E0C535" w14:textId="77777777" w:rsidTr="00665977">
        <w:trPr>
          <w:trHeight w:val="60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BAE3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Rating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7B9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D96551" w14:paraId="4F41A9E8" w14:textId="77777777" w:rsidTr="009B5A11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6FA434B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613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D96551" w14:paraId="12DC5532" w14:textId="77777777" w:rsidTr="009B5A11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52014F5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AF2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7.0%</w:t>
            </w:r>
          </w:p>
        </w:tc>
      </w:tr>
      <w:tr w:rsidR="00D96551" w14:paraId="0B6DD071" w14:textId="77777777" w:rsidTr="009B5A11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9BD1377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8DD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18.0%</w:t>
            </w:r>
          </w:p>
        </w:tc>
      </w:tr>
      <w:tr w:rsidR="00D96551" w14:paraId="46F386CE" w14:textId="77777777" w:rsidTr="009B5A11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EE22B09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C3A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73.8%</w:t>
            </w:r>
          </w:p>
        </w:tc>
      </w:tr>
    </w:tbl>
    <w:p w14:paraId="07875BF7" w14:textId="77777777" w:rsidR="00E963C3" w:rsidRDefault="00AB0072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Jul </w:t>
      </w:r>
      <w:r w:rsidR="003E08F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2019</w:t>
      </w:r>
      <w:r w:rsidR="00D96551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to Feb</w:t>
      </w:r>
      <w:r w:rsidR="00D86AC1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2020</w:t>
      </w:r>
      <w:r w:rsidR="00E963C3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vertAlign w:val="superscript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655AE988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EDFBF03" w14:textId="77777777" w:rsidR="00461D24" w:rsidRPr="004F2821" w:rsidRDefault="00461D24" w:rsidP="00461D24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BD58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9823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2EE9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8353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D96551" w:rsidRPr="004F2821" w14:paraId="7547ACC0" w14:textId="77777777" w:rsidTr="00E22BD1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F333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127E1D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20FC7C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26EF81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062FDD4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D96551" w:rsidRPr="004F2821" w14:paraId="31191CC8" w14:textId="77777777" w:rsidTr="00E22BD1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2D0C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CBC036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DB11F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64CBCF2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8F95AB2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</w:tr>
      <w:tr w:rsidR="00D96551" w:rsidRPr="004F2821" w14:paraId="3839A3B2" w14:textId="77777777" w:rsidTr="00E22BD1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EE63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D31B9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D7331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FD0107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C154D0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</w:tr>
      <w:tr w:rsidR="00D96551" w:rsidRPr="004F2821" w14:paraId="2D290D7F" w14:textId="77777777" w:rsidTr="00E22BD1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B171" w14:textId="77777777" w:rsidR="00D96551" w:rsidRPr="004F2821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29045C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498FBC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BFF467A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B3F799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</w:tr>
    </w:tbl>
    <w:p w14:paraId="1AF780FA" w14:textId="77777777" w:rsidR="00E963C3" w:rsidRPr="00AC232F" w:rsidRDefault="00EC5FD9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  <w:vertAlign w:val="superscript"/>
        </w:rPr>
      </w:pP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2580"/>
        <w:gridCol w:w="960"/>
        <w:gridCol w:w="960"/>
        <w:gridCol w:w="960"/>
        <w:gridCol w:w="960"/>
      </w:tblGrid>
      <w:tr w:rsidR="006F653F" w:rsidRPr="00E963C3" w14:paraId="62ADD510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41BC75F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C451A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DC1F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07DC3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55EA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D96551" w:rsidRPr="00E963C3" w14:paraId="6967FD53" w14:textId="77777777" w:rsidTr="00425EFD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A599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F84AFC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05947C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23845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49980E4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D96551" w:rsidRPr="00E963C3" w14:paraId="48FF7982" w14:textId="77777777" w:rsidTr="00425EFD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42F3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20B506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18370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70365C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8636AA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</w:tr>
      <w:tr w:rsidR="00D96551" w:rsidRPr="00E963C3" w14:paraId="1A802041" w14:textId="77777777" w:rsidTr="00425EFD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5F33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981DB6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C9E66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D984F3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722BB81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  <w:tr w:rsidR="00D96551" w:rsidRPr="00E963C3" w14:paraId="11BDB414" w14:textId="77777777" w:rsidTr="00425EFD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20FAA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CFFD37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D611702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0BC953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DB4877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</w:tbl>
    <w:tbl>
      <w:tblPr>
        <w:tblpPr w:leftFromText="180" w:rightFromText="180" w:vertAnchor="text" w:horzAnchor="margin" w:tblpXSpec="right" w:tblpY="-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960"/>
        <w:gridCol w:w="1200"/>
      </w:tblGrid>
      <w:tr w:rsidR="00D70A4B" w14:paraId="038347A0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20A2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7A1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D96551" w14:paraId="63CD0A8D" w14:textId="77777777" w:rsidTr="0095785D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E5F7813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5E8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</w:tr>
      <w:tr w:rsidR="00D96551" w14:paraId="702FDF3A" w14:textId="77777777" w:rsidTr="0095785D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1AB530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D6D8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7.5%</w:t>
            </w:r>
          </w:p>
        </w:tc>
      </w:tr>
      <w:tr w:rsidR="00D96551" w14:paraId="3EDD0482" w14:textId="77777777" w:rsidTr="0095785D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793AE33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DDB9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27.6%</w:t>
            </w:r>
          </w:p>
        </w:tc>
      </w:tr>
      <w:tr w:rsidR="00D96551" w14:paraId="6D8A7F37" w14:textId="77777777" w:rsidTr="0095785D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002C445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6B2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63.9%</w:t>
            </w:r>
          </w:p>
        </w:tc>
      </w:tr>
    </w:tbl>
    <w:p w14:paraId="753F63F4" w14:textId="77777777" w:rsidR="00D70A4B" w:rsidRPr="00EC5FD9" w:rsidRDefault="00D70A4B" w:rsidP="00EC5FD9"/>
    <w:p w14:paraId="1BEA74F7" w14:textId="77777777" w:rsidR="00E963C3" w:rsidRDefault="00E963C3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6F653F" w:rsidRPr="00E963C3" w14:paraId="35915237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C95DBCF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50E4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199C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6D54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32CA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D96551" w:rsidRPr="00E963C3" w14:paraId="1ADB7138" w14:textId="77777777" w:rsidTr="0061603E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D1DD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77EC28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4F8CA0B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6BF984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544FF79F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D96551" w:rsidRPr="00E963C3" w14:paraId="58D81AF0" w14:textId="77777777" w:rsidTr="0061603E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EBE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EDAF13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0649DED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F0B69F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3EBD1B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34.1%</w:t>
            </w:r>
          </w:p>
        </w:tc>
      </w:tr>
      <w:tr w:rsidR="00D96551" w:rsidRPr="00E963C3" w14:paraId="2C97A385" w14:textId="77777777" w:rsidTr="0061603E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4665" w14:textId="77777777" w:rsidR="00D96551" w:rsidRPr="00E963C3" w:rsidRDefault="00D96551" w:rsidP="00D96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2F8F6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19CF58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D83FBCE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B5FFDC7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3.6%</w:t>
            </w:r>
          </w:p>
        </w:tc>
      </w:tr>
      <w:tr w:rsidR="00D96551" w:rsidRPr="00E963C3" w14:paraId="5A6C9920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F244" w14:textId="77777777" w:rsidR="00D96551" w:rsidRPr="00E963C3" w:rsidRDefault="00D96551" w:rsidP="00D9655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972" w14:textId="77777777" w:rsidR="00D96551" w:rsidRDefault="00D96551" w:rsidP="00D9655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4617" w14:textId="77777777" w:rsidR="00D96551" w:rsidRDefault="00D96551" w:rsidP="00D9655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481" w14:textId="77777777" w:rsidR="00D96551" w:rsidRDefault="00D96551" w:rsidP="00D9655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2E3" w14:textId="77777777" w:rsidR="00D96551" w:rsidRDefault="00D96551" w:rsidP="00D96551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-76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45DA975B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5897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4E9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D96551" w14:paraId="4E9789A3" w14:textId="77777777" w:rsidTr="00AC619F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DED496F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1D30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D96551" w14:paraId="012B1C33" w14:textId="77777777" w:rsidTr="00AC619F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6880BD5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A725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18.2%</w:t>
            </w:r>
          </w:p>
        </w:tc>
      </w:tr>
      <w:tr w:rsidR="00D96551" w14:paraId="587AA8C9" w14:textId="77777777" w:rsidTr="00AC619F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DE57743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4206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</w:tr>
      <w:tr w:rsidR="00D96551" w14:paraId="0975B724" w14:textId="77777777" w:rsidTr="00AC619F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4AA013B" w14:textId="77777777" w:rsidR="00D96551" w:rsidRDefault="00D96551" w:rsidP="00D965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28F3" w14:textId="77777777" w:rsidR="00D96551" w:rsidRDefault="00D96551" w:rsidP="00D965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46.8%</w:t>
            </w:r>
          </w:p>
        </w:tc>
      </w:tr>
    </w:tbl>
    <w:p w14:paraId="03FF90C9" w14:textId="77777777" w:rsidR="00E963C3" w:rsidRPr="00E73BF7" w:rsidRDefault="00E963C3" w:rsidP="00E73BF7">
      <w:pPr>
        <w:rPr>
          <w:rFonts w:asciiTheme="minorHAnsi" w:hAnsiTheme="minorHAnsi"/>
          <w:sz w:val="16"/>
        </w:rPr>
      </w:pPr>
    </w:p>
    <w:p w14:paraId="7E62250A" w14:textId="77777777" w:rsidR="00D70A4B" w:rsidRPr="00EC5FD9" w:rsidRDefault="00D70A4B" w:rsidP="00EC5FD9"/>
    <w:p w14:paraId="1633EF6A" w14:textId="77777777" w:rsidR="004D5633" w:rsidRPr="00EC5FD9" w:rsidRDefault="00AE386B" w:rsidP="00EC5FD9">
      <w:pPr>
        <w:pStyle w:val="Heading2"/>
      </w:pPr>
      <w:r w:rsidRPr="00EC5FD9">
        <w:t xml:space="preserve">Table </w:t>
      </w:r>
      <w:r w:rsidR="002056D4" w:rsidRPr="00EC5FD9">
        <w:t>1</w:t>
      </w:r>
      <w:r w:rsidR="006051BA" w:rsidRPr="00EC5FD9">
        <w:t>0</w:t>
      </w:r>
      <w:r w:rsidRPr="00EC5FD9">
        <w:t xml:space="preserve">: </w:t>
      </w:r>
      <w:r w:rsidR="00752BC8" w:rsidRPr="00EC5FD9">
        <w:t>Actual Average ACFI per day – Monthly and Cumulative</w:t>
      </w:r>
    </w:p>
    <w:tbl>
      <w:tblPr>
        <w:tblW w:w="9210" w:type="dxa"/>
        <w:tblLayout w:type="fixed"/>
        <w:tblLook w:val="04A0" w:firstRow="1" w:lastRow="0" w:firstColumn="1" w:lastColumn="0" w:noHBand="0" w:noVBand="1"/>
        <w:tblCaption w:val="Table 10: Actual Average ACFI per day – Monthly and Cumulative"/>
        <w:tblDescription w:val="Table 10: Actual Average ACFI per day – Monthly and Cumulative"/>
      </w:tblPr>
      <w:tblGrid>
        <w:gridCol w:w="2406"/>
        <w:gridCol w:w="1134"/>
        <w:gridCol w:w="1134"/>
        <w:gridCol w:w="1134"/>
        <w:gridCol w:w="1134"/>
        <w:gridCol w:w="1134"/>
        <w:gridCol w:w="1134"/>
      </w:tblGrid>
      <w:tr w:rsidR="00B9642B" w:rsidRPr="0031083F" w14:paraId="0D6ABCDB" w14:textId="77777777" w:rsidTr="00665977">
        <w:trPr>
          <w:trHeight w:hRule="exact" w:val="318"/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75DF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C6F9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02BEE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Aug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0B66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Sep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1BE6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Oct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72A36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236C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C51A18" w:rsidRPr="0031083F" w14:paraId="6C3DFF24" w14:textId="77777777" w:rsidTr="00487EB9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D022" w14:textId="77777777" w:rsidR="00C51A18" w:rsidRDefault="00C51A18" w:rsidP="00C51A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C997E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295B41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E9658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A7D9E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1F375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C045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$178.32</w:t>
            </w:r>
          </w:p>
        </w:tc>
      </w:tr>
      <w:tr w:rsidR="00C51A18" w:rsidRPr="0031083F" w14:paraId="31E073DD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1ED62" w14:textId="77777777" w:rsidR="00C51A18" w:rsidRDefault="00C51A18" w:rsidP="00C51A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C9242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3B6A8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32C37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340402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AAC3F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DFE7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$178.25</w:t>
            </w:r>
          </w:p>
        </w:tc>
      </w:tr>
      <w:tr w:rsidR="00B9642B" w:rsidRPr="0031083F" w14:paraId="1DDB1309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C20D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1B40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Jan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5EBC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Feb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F2F22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0738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Apr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96FC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May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F865" w14:textId="77777777" w:rsidR="00B9642B" w:rsidRDefault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Jun 20</w:t>
            </w:r>
          </w:p>
        </w:tc>
      </w:tr>
      <w:tr w:rsidR="007118D0" w:rsidRPr="0031083F" w14:paraId="0A91BCE9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5F9A9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F7CDD7" w14:textId="77777777" w:rsidR="007118D0" w:rsidRDefault="00D86AC1" w:rsidP="007118D0">
            <w:pPr>
              <w:jc w:val="right"/>
              <w:rPr>
                <w:rFonts w:ascii="Calibri" w:hAnsi="Calibri" w:cs="Calibri"/>
              </w:rPr>
            </w:pPr>
            <w:r w:rsidRPr="00D86AC1">
              <w:rPr>
                <w:rFonts w:ascii="Calibri" w:hAnsi="Calibri" w:cs="Calibri"/>
              </w:rPr>
              <w:t>$178.59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09E47" w14:textId="77777777" w:rsidR="007118D0" w:rsidRDefault="00D96551" w:rsidP="007118D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E4D639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B06AD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BD6A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2979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  <w:tr w:rsidR="007118D0" w:rsidRPr="0031083F" w14:paraId="6E8F4B8F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E1BB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8876B" w14:textId="77777777" w:rsidR="007118D0" w:rsidRDefault="00D86AC1" w:rsidP="007118D0">
            <w:pPr>
              <w:jc w:val="right"/>
              <w:rPr>
                <w:rFonts w:ascii="Calibri" w:hAnsi="Calibri" w:cs="Calibri"/>
              </w:rPr>
            </w:pPr>
            <w:r w:rsidRPr="00D86AC1">
              <w:rPr>
                <w:rFonts w:ascii="Calibri" w:hAnsi="Calibri" w:cs="Calibri"/>
              </w:rPr>
              <w:t>$178.30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FEE76" w14:textId="77777777" w:rsidR="007118D0" w:rsidRDefault="00D96551" w:rsidP="007118D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6BEF7F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FB1AD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0322F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03F9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0A52A091" w14:textId="77777777" w:rsidR="0024092E" w:rsidRPr="00EC5FD9" w:rsidRDefault="0024092E" w:rsidP="00EC5FD9"/>
    <w:p w14:paraId="1EE698A5" w14:textId="77777777" w:rsidR="00D316C6" w:rsidRPr="00EC5FD9" w:rsidRDefault="00D316C6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0F7AADBD" w14:textId="77777777" w:rsidR="008B2752" w:rsidRDefault="00DB1D13" w:rsidP="00EC5FD9">
      <w:pPr>
        <w:pStyle w:val="Heading2"/>
      </w:pPr>
      <w:r>
        <w:rPr>
          <w:rStyle w:val="BookTitle"/>
          <w:rFonts w:cs="Arial"/>
          <w:i w:val="0"/>
          <w:iCs w:val="0"/>
          <w:smallCaps w:val="0"/>
          <w:spacing w:val="0"/>
        </w:rPr>
        <w:lastRenderedPageBreak/>
        <w:t xml:space="preserve">Figure </w:t>
      </w:r>
      <w:r w:rsidR="0046314D">
        <w:rPr>
          <w:rStyle w:val="BookTitle"/>
          <w:rFonts w:cs="Arial"/>
          <w:i w:val="0"/>
          <w:iCs w:val="0"/>
          <w:smallCaps w:val="0"/>
          <w:spacing w:val="0"/>
        </w:rPr>
        <w:t>3</w:t>
      </w:r>
      <w:r w:rsidRPr="004D5633">
        <w:rPr>
          <w:rStyle w:val="BookTitle"/>
          <w:rFonts w:cs="Arial"/>
          <w:i w:val="0"/>
          <w:iCs w:val="0"/>
          <w:smallCaps w:val="0"/>
          <w:spacing w:val="0"/>
        </w:rPr>
        <w:t xml:space="preserve">. </w:t>
      </w:r>
      <w:r w:rsidR="00387B89" w:rsidRPr="008B2752">
        <w:t>ACFI Category - Change in Proportion</w:t>
      </w:r>
      <w:r w:rsidR="00387B89">
        <w:t xml:space="preserve"> of Total Care Days Year to Date – Year on Year*</w:t>
      </w:r>
    </w:p>
    <w:p w14:paraId="7067DD2F" w14:textId="77777777" w:rsidR="00041DE6" w:rsidRPr="00EC5FD9" w:rsidRDefault="00041DE6" w:rsidP="00EC5FD9"/>
    <w:p w14:paraId="5B9D56BF" w14:textId="77777777" w:rsidR="00010EA4" w:rsidRDefault="00F30C67" w:rsidP="00A31C2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noProof/>
          <w:spacing w:val="0"/>
          <w:sz w:val="18"/>
          <w:szCs w:val="18"/>
          <w:lang w:eastAsia="en-AU"/>
        </w:rPr>
        <w:drawing>
          <wp:inline distT="0" distB="0" distL="0" distR="0" wp14:anchorId="54C14C67" wp14:editId="169CFF09">
            <wp:extent cx="5742940" cy="2420620"/>
            <wp:effectExtent l="0" t="0" r="0" b="0"/>
            <wp:docPr id="6" name="Picture 6" descr="H: ADL 1.1%, BEH -0.7%, CHC -0.9%&#10;M: ADL -0.3%, BEH 0.4%, CHC 1.3%&#10;L: ADL -0.8%, BEH 0.1%, CHC -0.3%&#10;N: ADL 0%, BEH 0.1%, CHC -0.1%&#10;" title="Figure 3. ACFI Category - Change in Proportion of Total Care Days Year to Date – Year on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5D533" w14:textId="77777777" w:rsidR="00387B89" w:rsidRPr="00097F2B" w:rsidRDefault="00387B89" w:rsidP="00A31C2E">
      <w:pPr>
        <w:rPr>
          <w:rStyle w:val="BookTitle"/>
          <w:i w:val="0"/>
          <w:iCs w:val="0"/>
          <w:smallCaps w:val="0"/>
          <w:spacing w:val="0"/>
        </w:rPr>
      </w:pPr>
      <w:r w:rsidRPr="00E16C9A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*Compares change in proportion of care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days for 1 Ju</w:t>
      </w:r>
      <w:r w:rsidR="0001757A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ly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to</w:t>
      </w:r>
      <w:r w:rsidR="00411191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="009C1A6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28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="009C1A6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February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between 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2018/19 and</w:t>
      </w:r>
      <w:r w:rsidR="009C1A6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1 July to 29 February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20</w:t>
      </w:r>
      <w:r w:rsidR="005750F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19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/20</w:t>
      </w:r>
    </w:p>
    <w:sectPr w:rsidR="00387B89" w:rsidRPr="00097F2B" w:rsidSect="00EA0B51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E92EC" w14:textId="77777777" w:rsidR="00722F9F" w:rsidRDefault="00722F9F" w:rsidP="00EE3BBC">
      <w:pPr>
        <w:spacing w:after="0" w:line="240" w:lineRule="auto"/>
      </w:pPr>
      <w:r>
        <w:separator/>
      </w:r>
    </w:p>
  </w:endnote>
  <w:endnote w:type="continuationSeparator" w:id="0">
    <w:p w14:paraId="2F9EB75E" w14:textId="77777777" w:rsidR="00722F9F" w:rsidRDefault="00722F9F" w:rsidP="00EE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0BA2A" w14:textId="77777777" w:rsidR="00722F9F" w:rsidRDefault="00722F9F" w:rsidP="00EE3BBC">
      <w:pPr>
        <w:spacing w:after="0" w:line="240" w:lineRule="auto"/>
      </w:pPr>
      <w:r>
        <w:separator/>
      </w:r>
    </w:p>
  </w:footnote>
  <w:footnote w:type="continuationSeparator" w:id="0">
    <w:p w14:paraId="564B0BA4" w14:textId="77777777" w:rsidR="00722F9F" w:rsidRDefault="00722F9F" w:rsidP="00EE3BBC">
      <w:pPr>
        <w:spacing w:after="0" w:line="240" w:lineRule="auto"/>
      </w:pPr>
      <w:r>
        <w:continuationSeparator/>
      </w:r>
    </w:p>
  </w:footnote>
  <w:footnote w:id="1">
    <w:p w14:paraId="0ACA932C" w14:textId="77777777" w:rsidR="00722F9F" w:rsidRPr="006E6EC6" w:rsidRDefault="00722F9F" w:rsidP="005357C9">
      <w:pPr>
        <w:pStyle w:val="FootnoteText"/>
        <w:rPr>
          <w:sz w:val="14"/>
          <w:szCs w:val="14"/>
        </w:rPr>
      </w:pPr>
      <w:r>
        <w:rPr>
          <w:sz w:val="14"/>
          <w:szCs w:val="14"/>
        </w:rPr>
        <w:t xml:space="preserve">1. </w:t>
      </w:r>
      <w:r w:rsidRPr="00CF74AE">
        <w:rPr>
          <w:sz w:val="14"/>
          <w:szCs w:val="14"/>
        </w:rPr>
        <w:t>All $ values are based on ACFI Question Responses and calculated at 201</w:t>
      </w:r>
      <w:r>
        <w:rPr>
          <w:sz w:val="14"/>
          <w:szCs w:val="14"/>
        </w:rPr>
        <w:t>9/20</w:t>
      </w:r>
      <w:r w:rsidRPr="00CF74AE">
        <w:rPr>
          <w:sz w:val="14"/>
          <w:szCs w:val="14"/>
        </w:rPr>
        <w:t xml:space="preserve"> ACFI rates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3BA"/>
    <w:multiLevelType w:val="hybridMultilevel"/>
    <w:tmpl w:val="A0CE75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CAD"/>
    <w:multiLevelType w:val="hybridMultilevel"/>
    <w:tmpl w:val="638A031E"/>
    <w:lvl w:ilvl="0" w:tplc="1FF0AE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464"/>
    <w:multiLevelType w:val="hybridMultilevel"/>
    <w:tmpl w:val="983CD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5BD"/>
    <w:multiLevelType w:val="hybridMultilevel"/>
    <w:tmpl w:val="162A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59D2"/>
    <w:multiLevelType w:val="hybridMultilevel"/>
    <w:tmpl w:val="235A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38C5"/>
    <w:multiLevelType w:val="hybridMultilevel"/>
    <w:tmpl w:val="30BACFFE"/>
    <w:lvl w:ilvl="0" w:tplc="812E4D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C"/>
    <w:rsid w:val="00002581"/>
    <w:rsid w:val="00003F2F"/>
    <w:rsid w:val="00006679"/>
    <w:rsid w:val="0001018F"/>
    <w:rsid w:val="000103C9"/>
    <w:rsid w:val="00010EA4"/>
    <w:rsid w:val="00014318"/>
    <w:rsid w:val="000154E1"/>
    <w:rsid w:val="0001757A"/>
    <w:rsid w:val="00020C3C"/>
    <w:rsid w:val="000265FB"/>
    <w:rsid w:val="00027C49"/>
    <w:rsid w:val="00040441"/>
    <w:rsid w:val="00041DE6"/>
    <w:rsid w:val="0004457C"/>
    <w:rsid w:val="00044B23"/>
    <w:rsid w:val="000458B8"/>
    <w:rsid w:val="00045A60"/>
    <w:rsid w:val="00050828"/>
    <w:rsid w:val="00051C98"/>
    <w:rsid w:val="000542F9"/>
    <w:rsid w:val="000575CD"/>
    <w:rsid w:val="0006262E"/>
    <w:rsid w:val="000661CC"/>
    <w:rsid w:val="00067C5D"/>
    <w:rsid w:val="00070ADE"/>
    <w:rsid w:val="00074CD5"/>
    <w:rsid w:val="00075F91"/>
    <w:rsid w:val="00077FAD"/>
    <w:rsid w:val="000824F9"/>
    <w:rsid w:val="000840A8"/>
    <w:rsid w:val="0008433A"/>
    <w:rsid w:val="00085FD9"/>
    <w:rsid w:val="00097F2B"/>
    <w:rsid w:val="000A59D3"/>
    <w:rsid w:val="000A75CD"/>
    <w:rsid w:val="000B369E"/>
    <w:rsid w:val="000B722B"/>
    <w:rsid w:val="000C1216"/>
    <w:rsid w:val="000C4D76"/>
    <w:rsid w:val="000C57EB"/>
    <w:rsid w:val="000D15EF"/>
    <w:rsid w:val="000D1C14"/>
    <w:rsid w:val="000F181B"/>
    <w:rsid w:val="000F5BF5"/>
    <w:rsid w:val="00101C76"/>
    <w:rsid w:val="001079CE"/>
    <w:rsid w:val="00112407"/>
    <w:rsid w:val="0011588A"/>
    <w:rsid w:val="001225F2"/>
    <w:rsid w:val="001242F8"/>
    <w:rsid w:val="00126451"/>
    <w:rsid w:val="00127BA4"/>
    <w:rsid w:val="00134B42"/>
    <w:rsid w:val="00136CE1"/>
    <w:rsid w:val="00140AF2"/>
    <w:rsid w:val="00140D14"/>
    <w:rsid w:val="00142ABA"/>
    <w:rsid w:val="00143AE6"/>
    <w:rsid w:val="001462E4"/>
    <w:rsid w:val="00147C68"/>
    <w:rsid w:val="0015157D"/>
    <w:rsid w:val="00152FAC"/>
    <w:rsid w:val="00162295"/>
    <w:rsid w:val="001629DF"/>
    <w:rsid w:val="001709E6"/>
    <w:rsid w:val="00170A4F"/>
    <w:rsid w:val="00171ED1"/>
    <w:rsid w:val="00183696"/>
    <w:rsid w:val="00185B82"/>
    <w:rsid w:val="00196E47"/>
    <w:rsid w:val="001B449A"/>
    <w:rsid w:val="001C1EDC"/>
    <w:rsid w:val="001C5670"/>
    <w:rsid w:val="001C7C61"/>
    <w:rsid w:val="001D78C3"/>
    <w:rsid w:val="001E1CF7"/>
    <w:rsid w:val="001E630D"/>
    <w:rsid w:val="001E632C"/>
    <w:rsid w:val="001F3916"/>
    <w:rsid w:val="002006E6"/>
    <w:rsid w:val="002056D4"/>
    <w:rsid w:val="00206B2C"/>
    <w:rsid w:val="00214C4B"/>
    <w:rsid w:val="00215C17"/>
    <w:rsid w:val="00216947"/>
    <w:rsid w:val="00221DC2"/>
    <w:rsid w:val="00230D3E"/>
    <w:rsid w:val="0024092E"/>
    <w:rsid w:val="00241B6E"/>
    <w:rsid w:val="00242DF6"/>
    <w:rsid w:val="002443BD"/>
    <w:rsid w:val="00245F24"/>
    <w:rsid w:val="002478CE"/>
    <w:rsid w:val="00251711"/>
    <w:rsid w:val="00263484"/>
    <w:rsid w:val="00266A55"/>
    <w:rsid w:val="002679A1"/>
    <w:rsid w:val="0027233D"/>
    <w:rsid w:val="00272D41"/>
    <w:rsid w:val="00273692"/>
    <w:rsid w:val="00274629"/>
    <w:rsid w:val="00276286"/>
    <w:rsid w:val="0027799F"/>
    <w:rsid w:val="00283BDB"/>
    <w:rsid w:val="00285793"/>
    <w:rsid w:val="00290D7C"/>
    <w:rsid w:val="002970AC"/>
    <w:rsid w:val="002973B4"/>
    <w:rsid w:val="002A0016"/>
    <w:rsid w:val="002A2514"/>
    <w:rsid w:val="002B0EAC"/>
    <w:rsid w:val="002B2116"/>
    <w:rsid w:val="002C0A3A"/>
    <w:rsid w:val="002C2E6B"/>
    <w:rsid w:val="002C337E"/>
    <w:rsid w:val="002C5927"/>
    <w:rsid w:val="002E3E76"/>
    <w:rsid w:val="002E62CD"/>
    <w:rsid w:val="002F0F9A"/>
    <w:rsid w:val="002F1283"/>
    <w:rsid w:val="002F2ED3"/>
    <w:rsid w:val="002F3F47"/>
    <w:rsid w:val="002F4E0F"/>
    <w:rsid w:val="00300003"/>
    <w:rsid w:val="00302466"/>
    <w:rsid w:val="00313171"/>
    <w:rsid w:val="003146BD"/>
    <w:rsid w:val="003225FE"/>
    <w:rsid w:val="00326937"/>
    <w:rsid w:val="003304B4"/>
    <w:rsid w:val="0033060C"/>
    <w:rsid w:val="00333A48"/>
    <w:rsid w:val="00337906"/>
    <w:rsid w:val="00340D53"/>
    <w:rsid w:val="00341E00"/>
    <w:rsid w:val="003426A2"/>
    <w:rsid w:val="00347645"/>
    <w:rsid w:val="003518A3"/>
    <w:rsid w:val="00354A48"/>
    <w:rsid w:val="00354FEB"/>
    <w:rsid w:val="0036353B"/>
    <w:rsid w:val="003672DB"/>
    <w:rsid w:val="00367633"/>
    <w:rsid w:val="003733AE"/>
    <w:rsid w:val="00374502"/>
    <w:rsid w:val="00375E58"/>
    <w:rsid w:val="003769B4"/>
    <w:rsid w:val="003812D0"/>
    <w:rsid w:val="0038327C"/>
    <w:rsid w:val="003832AB"/>
    <w:rsid w:val="0038384C"/>
    <w:rsid w:val="00387B89"/>
    <w:rsid w:val="0039009E"/>
    <w:rsid w:val="00390D36"/>
    <w:rsid w:val="00397B49"/>
    <w:rsid w:val="003A391E"/>
    <w:rsid w:val="003A50A6"/>
    <w:rsid w:val="003B2BB8"/>
    <w:rsid w:val="003C47F0"/>
    <w:rsid w:val="003C4BB0"/>
    <w:rsid w:val="003C6148"/>
    <w:rsid w:val="003C6A33"/>
    <w:rsid w:val="003C6B13"/>
    <w:rsid w:val="003C7870"/>
    <w:rsid w:val="003D1B00"/>
    <w:rsid w:val="003D34FF"/>
    <w:rsid w:val="003D3FCD"/>
    <w:rsid w:val="003E0362"/>
    <w:rsid w:val="003E03D6"/>
    <w:rsid w:val="003E08FD"/>
    <w:rsid w:val="003E2101"/>
    <w:rsid w:val="003E2F6D"/>
    <w:rsid w:val="003E62BB"/>
    <w:rsid w:val="003F05CF"/>
    <w:rsid w:val="003F1EB1"/>
    <w:rsid w:val="003F1F6F"/>
    <w:rsid w:val="003F3C19"/>
    <w:rsid w:val="00407EC6"/>
    <w:rsid w:val="00411191"/>
    <w:rsid w:val="004146D4"/>
    <w:rsid w:val="004176E9"/>
    <w:rsid w:val="00426CFC"/>
    <w:rsid w:val="00430C46"/>
    <w:rsid w:val="00437228"/>
    <w:rsid w:val="004478CC"/>
    <w:rsid w:val="004548B0"/>
    <w:rsid w:val="00461D24"/>
    <w:rsid w:val="0046314D"/>
    <w:rsid w:val="004701DC"/>
    <w:rsid w:val="00472B86"/>
    <w:rsid w:val="00475F7D"/>
    <w:rsid w:val="00481926"/>
    <w:rsid w:val="00486F89"/>
    <w:rsid w:val="00487E1C"/>
    <w:rsid w:val="00487EB9"/>
    <w:rsid w:val="00490BD9"/>
    <w:rsid w:val="00494AB6"/>
    <w:rsid w:val="004A0AB4"/>
    <w:rsid w:val="004B520A"/>
    <w:rsid w:val="004B54CA"/>
    <w:rsid w:val="004B5E4D"/>
    <w:rsid w:val="004B7330"/>
    <w:rsid w:val="004C0993"/>
    <w:rsid w:val="004D3C7C"/>
    <w:rsid w:val="004D5633"/>
    <w:rsid w:val="004E2146"/>
    <w:rsid w:val="004E43F8"/>
    <w:rsid w:val="004E53DE"/>
    <w:rsid w:val="004E5CBF"/>
    <w:rsid w:val="004E786B"/>
    <w:rsid w:val="004F2821"/>
    <w:rsid w:val="004F5DD0"/>
    <w:rsid w:val="005021DA"/>
    <w:rsid w:val="00504D65"/>
    <w:rsid w:val="00514B4F"/>
    <w:rsid w:val="005209E0"/>
    <w:rsid w:val="00521E64"/>
    <w:rsid w:val="005230B0"/>
    <w:rsid w:val="00526528"/>
    <w:rsid w:val="00527002"/>
    <w:rsid w:val="005300AD"/>
    <w:rsid w:val="00530B74"/>
    <w:rsid w:val="0053146A"/>
    <w:rsid w:val="005357C9"/>
    <w:rsid w:val="00535C6D"/>
    <w:rsid w:val="00535D50"/>
    <w:rsid w:val="00540469"/>
    <w:rsid w:val="00540562"/>
    <w:rsid w:val="005406D4"/>
    <w:rsid w:val="005530B9"/>
    <w:rsid w:val="005732EA"/>
    <w:rsid w:val="0057509E"/>
    <w:rsid w:val="005750F6"/>
    <w:rsid w:val="005764AA"/>
    <w:rsid w:val="00576D21"/>
    <w:rsid w:val="0059603E"/>
    <w:rsid w:val="00596510"/>
    <w:rsid w:val="005969D5"/>
    <w:rsid w:val="005A2540"/>
    <w:rsid w:val="005B0393"/>
    <w:rsid w:val="005B16F5"/>
    <w:rsid w:val="005B1F9B"/>
    <w:rsid w:val="005B58B8"/>
    <w:rsid w:val="005C0190"/>
    <w:rsid w:val="005C01E3"/>
    <w:rsid w:val="005C025A"/>
    <w:rsid w:val="005C3AA9"/>
    <w:rsid w:val="005C49B9"/>
    <w:rsid w:val="005C7F19"/>
    <w:rsid w:val="005D5078"/>
    <w:rsid w:val="005E08F2"/>
    <w:rsid w:val="005E627E"/>
    <w:rsid w:val="005E6E99"/>
    <w:rsid w:val="005E77E3"/>
    <w:rsid w:val="005F1EC8"/>
    <w:rsid w:val="005F3A7A"/>
    <w:rsid w:val="005F4A9C"/>
    <w:rsid w:val="00604D06"/>
    <w:rsid w:val="006051BA"/>
    <w:rsid w:val="0061508B"/>
    <w:rsid w:val="0061547F"/>
    <w:rsid w:val="006248BA"/>
    <w:rsid w:val="00627DC2"/>
    <w:rsid w:val="0063064C"/>
    <w:rsid w:val="00631C14"/>
    <w:rsid w:val="006419CE"/>
    <w:rsid w:val="00645DE0"/>
    <w:rsid w:val="0064782E"/>
    <w:rsid w:val="00652B34"/>
    <w:rsid w:val="006545E6"/>
    <w:rsid w:val="00654BFA"/>
    <w:rsid w:val="006557E3"/>
    <w:rsid w:val="006566EE"/>
    <w:rsid w:val="00663C0E"/>
    <w:rsid w:val="00665977"/>
    <w:rsid w:val="0066705A"/>
    <w:rsid w:val="006759A9"/>
    <w:rsid w:val="006A3060"/>
    <w:rsid w:val="006A4CE7"/>
    <w:rsid w:val="006A6F33"/>
    <w:rsid w:val="006A7E68"/>
    <w:rsid w:val="006B0CFB"/>
    <w:rsid w:val="006C3E1A"/>
    <w:rsid w:val="006C54EC"/>
    <w:rsid w:val="006D0BE5"/>
    <w:rsid w:val="006D2AA5"/>
    <w:rsid w:val="006D37EE"/>
    <w:rsid w:val="006D4DEC"/>
    <w:rsid w:val="006D511F"/>
    <w:rsid w:val="006D5410"/>
    <w:rsid w:val="006E0837"/>
    <w:rsid w:val="006F0495"/>
    <w:rsid w:val="006F3167"/>
    <w:rsid w:val="006F44D1"/>
    <w:rsid w:val="006F57D8"/>
    <w:rsid w:val="006F653F"/>
    <w:rsid w:val="006F7823"/>
    <w:rsid w:val="006F78F2"/>
    <w:rsid w:val="0070058C"/>
    <w:rsid w:val="00702F57"/>
    <w:rsid w:val="007040F1"/>
    <w:rsid w:val="00705905"/>
    <w:rsid w:val="00707C76"/>
    <w:rsid w:val="007103EE"/>
    <w:rsid w:val="007118D0"/>
    <w:rsid w:val="007135B0"/>
    <w:rsid w:val="0072112B"/>
    <w:rsid w:val="00721D38"/>
    <w:rsid w:val="00722F9F"/>
    <w:rsid w:val="0072307D"/>
    <w:rsid w:val="00723F69"/>
    <w:rsid w:val="00726866"/>
    <w:rsid w:val="00730844"/>
    <w:rsid w:val="00733083"/>
    <w:rsid w:val="007361E9"/>
    <w:rsid w:val="00737236"/>
    <w:rsid w:val="00740123"/>
    <w:rsid w:val="007405CC"/>
    <w:rsid w:val="00742B35"/>
    <w:rsid w:val="007527DF"/>
    <w:rsid w:val="00752BC8"/>
    <w:rsid w:val="00756049"/>
    <w:rsid w:val="007569D7"/>
    <w:rsid w:val="00757B21"/>
    <w:rsid w:val="00760E44"/>
    <w:rsid w:val="0076549E"/>
    <w:rsid w:val="007654EB"/>
    <w:rsid w:val="007705A4"/>
    <w:rsid w:val="00773C00"/>
    <w:rsid w:val="00775362"/>
    <w:rsid w:val="007774EA"/>
    <w:rsid w:val="00785261"/>
    <w:rsid w:val="007911C9"/>
    <w:rsid w:val="00794CB9"/>
    <w:rsid w:val="007A2C2E"/>
    <w:rsid w:val="007A35FC"/>
    <w:rsid w:val="007A3F7D"/>
    <w:rsid w:val="007A47AB"/>
    <w:rsid w:val="007B0256"/>
    <w:rsid w:val="007B5F30"/>
    <w:rsid w:val="007C0A56"/>
    <w:rsid w:val="007C0B88"/>
    <w:rsid w:val="007C1429"/>
    <w:rsid w:val="007C3515"/>
    <w:rsid w:val="007C476F"/>
    <w:rsid w:val="007C7BA8"/>
    <w:rsid w:val="007D1A57"/>
    <w:rsid w:val="007D4EE3"/>
    <w:rsid w:val="007D541F"/>
    <w:rsid w:val="007E0D21"/>
    <w:rsid w:val="007E12D6"/>
    <w:rsid w:val="007F0417"/>
    <w:rsid w:val="007F058C"/>
    <w:rsid w:val="007F1634"/>
    <w:rsid w:val="007F2864"/>
    <w:rsid w:val="007F52F3"/>
    <w:rsid w:val="007F7B3B"/>
    <w:rsid w:val="00800AE6"/>
    <w:rsid w:val="00801F35"/>
    <w:rsid w:val="008036CA"/>
    <w:rsid w:val="00803F01"/>
    <w:rsid w:val="00816DAD"/>
    <w:rsid w:val="00822E43"/>
    <w:rsid w:val="00823FBD"/>
    <w:rsid w:val="00826AEC"/>
    <w:rsid w:val="00827F4F"/>
    <w:rsid w:val="0083104E"/>
    <w:rsid w:val="00832EB6"/>
    <w:rsid w:val="008372AA"/>
    <w:rsid w:val="00844291"/>
    <w:rsid w:val="00845319"/>
    <w:rsid w:val="008464B7"/>
    <w:rsid w:val="00846CF6"/>
    <w:rsid w:val="008506B0"/>
    <w:rsid w:val="00850D05"/>
    <w:rsid w:val="00855CE4"/>
    <w:rsid w:val="00857257"/>
    <w:rsid w:val="0085769E"/>
    <w:rsid w:val="00861FAC"/>
    <w:rsid w:val="00862E21"/>
    <w:rsid w:val="00865F79"/>
    <w:rsid w:val="0086628B"/>
    <w:rsid w:val="008715DF"/>
    <w:rsid w:val="008942A0"/>
    <w:rsid w:val="008B09E8"/>
    <w:rsid w:val="008B2752"/>
    <w:rsid w:val="008B3822"/>
    <w:rsid w:val="008B6029"/>
    <w:rsid w:val="008B64F5"/>
    <w:rsid w:val="008D1229"/>
    <w:rsid w:val="008D5D84"/>
    <w:rsid w:val="008F6967"/>
    <w:rsid w:val="00905151"/>
    <w:rsid w:val="009057AA"/>
    <w:rsid w:val="00905930"/>
    <w:rsid w:val="009069BC"/>
    <w:rsid w:val="00912A64"/>
    <w:rsid w:val="00914CD0"/>
    <w:rsid w:val="00915FC9"/>
    <w:rsid w:val="0091682E"/>
    <w:rsid w:val="009170E3"/>
    <w:rsid w:val="00917E51"/>
    <w:rsid w:val="009225F0"/>
    <w:rsid w:val="00930C11"/>
    <w:rsid w:val="00935F78"/>
    <w:rsid w:val="00936C95"/>
    <w:rsid w:val="00942A1E"/>
    <w:rsid w:val="00943EFD"/>
    <w:rsid w:val="00946F8D"/>
    <w:rsid w:val="009516D4"/>
    <w:rsid w:val="00956050"/>
    <w:rsid w:val="009560B0"/>
    <w:rsid w:val="00961114"/>
    <w:rsid w:val="00976D96"/>
    <w:rsid w:val="0097753D"/>
    <w:rsid w:val="0098455B"/>
    <w:rsid w:val="00985386"/>
    <w:rsid w:val="00986441"/>
    <w:rsid w:val="009931D0"/>
    <w:rsid w:val="009A183F"/>
    <w:rsid w:val="009A6106"/>
    <w:rsid w:val="009B1E0C"/>
    <w:rsid w:val="009B35A0"/>
    <w:rsid w:val="009B5E8D"/>
    <w:rsid w:val="009B7587"/>
    <w:rsid w:val="009B7D1D"/>
    <w:rsid w:val="009C1A6D"/>
    <w:rsid w:val="009C51B1"/>
    <w:rsid w:val="009C7597"/>
    <w:rsid w:val="009D2C80"/>
    <w:rsid w:val="009D6D31"/>
    <w:rsid w:val="009E38C1"/>
    <w:rsid w:val="009E3D59"/>
    <w:rsid w:val="009E566E"/>
    <w:rsid w:val="00A0728D"/>
    <w:rsid w:val="00A12DA8"/>
    <w:rsid w:val="00A133BD"/>
    <w:rsid w:val="00A1544D"/>
    <w:rsid w:val="00A174FC"/>
    <w:rsid w:val="00A17F85"/>
    <w:rsid w:val="00A20745"/>
    <w:rsid w:val="00A22444"/>
    <w:rsid w:val="00A2521B"/>
    <w:rsid w:val="00A257A9"/>
    <w:rsid w:val="00A31C2E"/>
    <w:rsid w:val="00A3771F"/>
    <w:rsid w:val="00A4297F"/>
    <w:rsid w:val="00A60445"/>
    <w:rsid w:val="00A61CB9"/>
    <w:rsid w:val="00A61E54"/>
    <w:rsid w:val="00A62798"/>
    <w:rsid w:val="00A654D8"/>
    <w:rsid w:val="00A6598F"/>
    <w:rsid w:val="00A743AF"/>
    <w:rsid w:val="00A85390"/>
    <w:rsid w:val="00A856FA"/>
    <w:rsid w:val="00A8734B"/>
    <w:rsid w:val="00A95BA7"/>
    <w:rsid w:val="00AA0648"/>
    <w:rsid w:val="00AA0C96"/>
    <w:rsid w:val="00AA11F2"/>
    <w:rsid w:val="00AA7511"/>
    <w:rsid w:val="00AB0072"/>
    <w:rsid w:val="00AB637C"/>
    <w:rsid w:val="00AC232F"/>
    <w:rsid w:val="00AC29FA"/>
    <w:rsid w:val="00AC4F5D"/>
    <w:rsid w:val="00AD0270"/>
    <w:rsid w:val="00AD7ABA"/>
    <w:rsid w:val="00AE3176"/>
    <w:rsid w:val="00AE386B"/>
    <w:rsid w:val="00AE4215"/>
    <w:rsid w:val="00AF3533"/>
    <w:rsid w:val="00AF70AE"/>
    <w:rsid w:val="00AF761A"/>
    <w:rsid w:val="00B01B00"/>
    <w:rsid w:val="00B04BD7"/>
    <w:rsid w:val="00B06D59"/>
    <w:rsid w:val="00B06E72"/>
    <w:rsid w:val="00B16275"/>
    <w:rsid w:val="00B21774"/>
    <w:rsid w:val="00B2729D"/>
    <w:rsid w:val="00B32C3B"/>
    <w:rsid w:val="00B35637"/>
    <w:rsid w:val="00B4221C"/>
    <w:rsid w:val="00B50EA7"/>
    <w:rsid w:val="00B51FD1"/>
    <w:rsid w:val="00B524AF"/>
    <w:rsid w:val="00B54533"/>
    <w:rsid w:val="00B54DA1"/>
    <w:rsid w:val="00B572CF"/>
    <w:rsid w:val="00B5745A"/>
    <w:rsid w:val="00B602DB"/>
    <w:rsid w:val="00B62662"/>
    <w:rsid w:val="00B63408"/>
    <w:rsid w:val="00B63C53"/>
    <w:rsid w:val="00B6676F"/>
    <w:rsid w:val="00B667FC"/>
    <w:rsid w:val="00B67ACE"/>
    <w:rsid w:val="00B74119"/>
    <w:rsid w:val="00B75689"/>
    <w:rsid w:val="00B76B97"/>
    <w:rsid w:val="00B77CC5"/>
    <w:rsid w:val="00B8565D"/>
    <w:rsid w:val="00B905D0"/>
    <w:rsid w:val="00B928F4"/>
    <w:rsid w:val="00B95674"/>
    <w:rsid w:val="00B9642B"/>
    <w:rsid w:val="00B97659"/>
    <w:rsid w:val="00BA0B43"/>
    <w:rsid w:val="00BA2DB9"/>
    <w:rsid w:val="00BA45C1"/>
    <w:rsid w:val="00BA50C2"/>
    <w:rsid w:val="00BA60F5"/>
    <w:rsid w:val="00BA7AF5"/>
    <w:rsid w:val="00BB23EF"/>
    <w:rsid w:val="00BB320E"/>
    <w:rsid w:val="00BB7F70"/>
    <w:rsid w:val="00BD3AEB"/>
    <w:rsid w:val="00BD4EC4"/>
    <w:rsid w:val="00BD5628"/>
    <w:rsid w:val="00BE4D89"/>
    <w:rsid w:val="00BE65B4"/>
    <w:rsid w:val="00BE68A9"/>
    <w:rsid w:val="00BE7148"/>
    <w:rsid w:val="00BE7D01"/>
    <w:rsid w:val="00C0004B"/>
    <w:rsid w:val="00C040D6"/>
    <w:rsid w:val="00C10C81"/>
    <w:rsid w:val="00C13CA1"/>
    <w:rsid w:val="00C16099"/>
    <w:rsid w:val="00C17374"/>
    <w:rsid w:val="00C176A7"/>
    <w:rsid w:val="00C20BD0"/>
    <w:rsid w:val="00C2304C"/>
    <w:rsid w:val="00C26992"/>
    <w:rsid w:val="00C33F86"/>
    <w:rsid w:val="00C3728B"/>
    <w:rsid w:val="00C41584"/>
    <w:rsid w:val="00C4227B"/>
    <w:rsid w:val="00C50477"/>
    <w:rsid w:val="00C51A18"/>
    <w:rsid w:val="00C616A0"/>
    <w:rsid w:val="00C61E36"/>
    <w:rsid w:val="00C63B13"/>
    <w:rsid w:val="00C66156"/>
    <w:rsid w:val="00C66EDE"/>
    <w:rsid w:val="00C77BF0"/>
    <w:rsid w:val="00C82CEA"/>
    <w:rsid w:val="00C8394B"/>
    <w:rsid w:val="00C850DB"/>
    <w:rsid w:val="00C85EDC"/>
    <w:rsid w:val="00C91DDE"/>
    <w:rsid w:val="00C96CDD"/>
    <w:rsid w:val="00CA4476"/>
    <w:rsid w:val="00CA4999"/>
    <w:rsid w:val="00CB21CC"/>
    <w:rsid w:val="00CB3575"/>
    <w:rsid w:val="00CB428A"/>
    <w:rsid w:val="00CB654F"/>
    <w:rsid w:val="00CC659A"/>
    <w:rsid w:val="00CC6F92"/>
    <w:rsid w:val="00CD2D48"/>
    <w:rsid w:val="00CD479F"/>
    <w:rsid w:val="00CD6553"/>
    <w:rsid w:val="00CD7391"/>
    <w:rsid w:val="00CE2CC2"/>
    <w:rsid w:val="00CE3EA3"/>
    <w:rsid w:val="00CF0A67"/>
    <w:rsid w:val="00CF3252"/>
    <w:rsid w:val="00CF74AE"/>
    <w:rsid w:val="00D0447E"/>
    <w:rsid w:val="00D10FE0"/>
    <w:rsid w:val="00D15264"/>
    <w:rsid w:val="00D2149E"/>
    <w:rsid w:val="00D23942"/>
    <w:rsid w:val="00D239D0"/>
    <w:rsid w:val="00D259E9"/>
    <w:rsid w:val="00D314FF"/>
    <w:rsid w:val="00D316C6"/>
    <w:rsid w:val="00D35C91"/>
    <w:rsid w:val="00D37503"/>
    <w:rsid w:val="00D40937"/>
    <w:rsid w:val="00D410AD"/>
    <w:rsid w:val="00D41215"/>
    <w:rsid w:val="00D41218"/>
    <w:rsid w:val="00D44A6B"/>
    <w:rsid w:val="00D465BC"/>
    <w:rsid w:val="00D478ED"/>
    <w:rsid w:val="00D52BE0"/>
    <w:rsid w:val="00D55676"/>
    <w:rsid w:val="00D67D81"/>
    <w:rsid w:val="00D70A4B"/>
    <w:rsid w:val="00D7225E"/>
    <w:rsid w:val="00D74DE3"/>
    <w:rsid w:val="00D775D9"/>
    <w:rsid w:val="00D8388F"/>
    <w:rsid w:val="00D8573C"/>
    <w:rsid w:val="00D86AC1"/>
    <w:rsid w:val="00D92869"/>
    <w:rsid w:val="00D96551"/>
    <w:rsid w:val="00D9695B"/>
    <w:rsid w:val="00D97CE2"/>
    <w:rsid w:val="00DA2CFF"/>
    <w:rsid w:val="00DA4BEE"/>
    <w:rsid w:val="00DA7AA0"/>
    <w:rsid w:val="00DB1B69"/>
    <w:rsid w:val="00DB1D13"/>
    <w:rsid w:val="00DB5F6E"/>
    <w:rsid w:val="00DB61BB"/>
    <w:rsid w:val="00DC6670"/>
    <w:rsid w:val="00DD2D67"/>
    <w:rsid w:val="00DD5A28"/>
    <w:rsid w:val="00DE62FE"/>
    <w:rsid w:val="00DE6873"/>
    <w:rsid w:val="00DE748E"/>
    <w:rsid w:val="00DF0000"/>
    <w:rsid w:val="00DF02E6"/>
    <w:rsid w:val="00DF34ED"/>
    <w:rsid w:val="00DF4640"/>
    <w:rsid w:val="00DF4A7A"/>
    <w:rsid w:val="00E00839"/>
    <w:rsid w:val="00E0123E"/>
    <w:rsid w:val="00E03414"/>
    <w:rsid w:val="00E040DD"/>
    <w:rsid w:val="00E053AF"/>
    <w:rsid w:val="00E119EA"/>
    <w:rsid w:val="00E11D8E"/>
    <w:rsid w:val="00E15646"/>
    <w:rsid w:val="00E16C9A"/>
    <w:rsid w:val="00E2017E"/>
    <w:rsid w:val="00E21011"/>
    <w:rsid w:val="00E21202"/>
    <w:rsid w:val="00E25A62"/>
    <w:rsid w:val="00E26649"/>
    <w:rsid w:val="00E27BCF"/>
    <w:rsid w:val="00E40021"/>
    <w:rsid w:val="00E4087C"/>
    <w:rsid w:val="00E43655"/>
    <w:rsid w:val="00E43EC3"/>
    <w:rsid w:val="00E51C60"/>
    <w:rsid w:val="00E52703"/>
    <w:rsid w:val="00E55B46"/>
    <w:rsid w:val="00E57534"/>
    <w:rsid w:val="00E61665"/>
    <w:rsid w:val="00E736F9"/>
    <w:rsid w:val="00E73BF7"/>
    <w:rsid w:val="00E806B2"/>
    <w:rsid w:val="00E8234E"/>
    <w:rsid w:val="00E846A4"/>
    <w:rsid w:val="00E84FC7"/>
    <w:rsid w:val="00E90CF9"/>
    <w:rsid w:val="00E93887"/>
    <w:rsid w:val="00E963C3"/>
    <w:rsid w:val="00EA0B51"/>
    <w:rsid w:val="00EB004D"/>
    <w:rsid w:val="00EB1FFE"/>
    <w:rsid w:val="00EC0884"/>
    <w:rsid w:val="00EC0F12"/>
    <w:rsid w:val="00EC2484"/>
    <w:rsid w:val="00EC5FD9"/>
    <w:rsid w:val="00EC7E7C"/>
    <w:rsid w:val="00ED1FE2"/>
    <w:rsid w:val="00ED3B10"/>
    <w:rsid w:val="00ED3B84"/>
    <w:rsid w:val="00ED774E"/>
    <w:rsid w:val="00EE2270"/>
    <w:rsid w:val="00EE3BBC"/>
    <w:rsid w:val="00EF01D2"/>
    <w:rsid w:val="00EF10D5"/>
    <w:rsid w:val="00EF45E3"/>
    <w:rsid w:val="00EF4DA2"/>
    <w:rsid w:val="00EF56F7"/>
    <w:rsid w:val="00F054A3"/>
    <w:rsid w:val="00F13779"/>
    <w:rsid w:val="00F16EDC"/>
    <w:rsid w:val="00F17EC8"/>
    <w:rsid w:val="00F27827"/>
    <w:rsid w:val="00F30C67"/>
    <w:rsid w:val="00F33B41"/>
    <w:rsid w:val="00F36100"/>
    <w:rsid w:val="00F43397"/>
    <w:rsid w:val="00F44A1A"/>
    <w:rsid w:val="00F44D6D"/>
    <w:rsid w:val="00F6376C"/>
    <w:rsid w:val="00F65596"/>
    <w:rsid w:val="00F73001"/>
    <w:rsid w:val="00F8636C"/>
    <w:rsid w:val="00F96A7D"/>
    <w:rsid w:val="00FA23FA"/>
    <w:rsid w:val="00FA599B"/>
    <w:rsid w:val="00FB0D35"/>
    <w:rsid w:val="00FB1897"/>
    <w:rsid w:val="00FB5425"/>
    <w:rsid w:val="00FC0DC5"/>
    <w:rsid w:val="00FC561D"/>
    <w:rsid w:val="00FC736D"/>
    <w:rsid w:val="00FD4C8C"/>
    <w:rsid w:val="00FD4DEB"/>
    <w:rsid w:val="00FE0840"/>
    <w:rsid w:val="00FE2F60"/>
    <w:rsid w:val="00FE3453"/>
    <w:rsid w:val="00FE3C58"/>
    <w:rsid w:val="00FE3FE0"/>
    <w:rsid w:val="00FE6F2D"/>
    <w:rsid w:val="00FF174A"/>
    <w:rsid w:val="00FF33A7"/>
    <w:rsid w:val="00FF37C7"/>
    <w:rsid w:val="00FF4D15"/>
    <w:rsid w:val="00FF5C49"/>
    <w:rsid w:val="00FF5D8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5B02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FD9"/>
    <w:pPr>
      <w:spacing w:before="480" w:after="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FD9"/>
    <w:pPr>
      <w:spacing w:before="200" w:after="120"/>
      <w:outlineLvl w:val="1"/>
    </w:pPr>
    <w:rPr>
      <w:rFonts w:eastAsia="Times New Roman" w:cstheme="majorBidi"/>
      <w:b/>
      <w:bCs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FD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5FD9"/>
    <w:rPr>
      <w:rFonts w:ascii="Arial" w:eastAsia="Times New Roman" w:hAnsi="Arial" w:cstheme="majorBidi"/>
      <w:b/>
      <w:bCs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4B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B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B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87B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3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33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entral.health\DFSApps\ServerApps\Staging\Policy%20Modelling\ACFI%20Monitoring%20working%20docs\2020-02\acfi%20monitoring%20tables_2020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Monthly</a:t>
            </a:r>
            <a:r>
              <a:rPr lang="en-US" sz="1100" baseline="0"/>
              <a:t> ACFI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'Monthly tables - linked'!$A$150</c:f>
              <c:strCache>
                <c:ptCount val="1"/>
                <c:pt idx="0">
                  <c:v>Monthly ACFI</c:v>
                </c:pt>
              </c:strCache>
            </c:strRef>
          </c:tx>
          <c:marker>
            <c:symbol val="none"/>
          </c:marker>
          <c:cat>
            <c:numRef>
              <c:f>'Monthly tables - linked'!$B$146:$AY$146</c:f>
              <c:numCache>
                <c:formatCode>mmm\-yy</c:formatCode>
                <c:ptCount val="50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  <c:pt idx="25">
                  <c:v>43132</c:v>
                </c:pt>
                <c:pt idx="26">
                  <c:v>43160</c:v>
                </c:pt>
                <c:pt idx="27">
                  <c:v>43191</c:v>
                </c:pt>
                <c:pt idx="28">
                  <c:v>43221</c:v>
                </c:pt>
                <c:pt idx="29">
                  <c:v>43252</c:v>
                </c:pt>
                <c:pt idx="30">
                  <c:v>43282</c:v>
                </c:pt>
                <c:pt idx="31">
                  <c:v>43313</c:v>
                </c:pt>
                <c:pt idx="32">
                  <c:v>43344</c:v>
                </c:pt>
                <c:pt idx="33">
                  <c:v>43374</c:v>
                </c:pt>
                <c:pt idx="34">
                  <c:v>43405</c:v>
                </c:pt>
                <c:pt idx="35">
                  <c:v>43435</c:v>
                </c:pt>
                <c:pt idx="36">
                  <c:v>43466</c:v>
                </c:pt>
                <c:pt idx="37">
                  <c:v>43497</c:v>
                </c:pt>
                <c:pt idx="38">
                  <c:v>43525</c:v>
                </c:pt>
                <c:pt idx="39">
                  <c:v>43556</c:v>
                </c:pt>
                <c:pt idx="40">
                  <c:v>43586</c:v>
                </c:pt>
                <c:pt idx="41">
                  <c:v>43617</c:v>
                </c:pt>
                <c:pt idx="42">
                  <c:v>43647</c:v>
                </c:pt>
                <c:pt idx="43">
                  <c:v>43678</c:v>
                </c:pt>
                <c:pt idx="44">
                  <c:v>43709</c:v>
                </c:pt>
                <c:pt idx="45">
                  <c:v>43739</c:v>
                </c:pt>
                <c:pt idx="46">
                  <c:v>43770</c:v>
                </c:pt>
                <c:pt idx="47">
                  <c:v>43800</c:v>
                </c:pt>
                <c:pt idx="48">
                  <c:v>43831</c:v>
                </c:pt>
                <c:pt idx="49">
                  <c:v>43862</c:v>
                </c:pt>
              </c:numCache>
            </c:numRef>
          </c:cat>
          <c:val>
            <c:numRef>
              <c:f>'Monthly tables - linked'!$B$150:$AY$150</c:f>
              <c:numCache>
                <c:formatCode>_("$"* #,##0.00_);_("$"* \(#,##0.00\);_("$"* "-"??_);_(@_)</c:formatCode>
                <c:ptCount val="50"/>
                <c:pt idx="0">
                  <c:v>172.83176007393911</c:v>
                </c:pt>
                <c:pt idx="1">
                  <c:v>173.40406875178991</c:v>
                </c:pt>
                <c:pt idx="2">
                  <c:v>174.02713849335851</c:v>
                </c:pt>
                <c:pt idx="3">
                  <c:v>174.58274786372556</c:v>
                </c:pt>
                <c:pt idx="4">
                  <c:v>175.34685748354462</c:v>
                </c:pt>
                <c:pt idx="5">
                  <c:v>177.02838865271252</c:v>
                </c:pt>
                <c:pt idx="6">
                  <c:v>176.76862252139998</c:v>
                </c:pt>
                <c:pt idx="7">
                  <c:v>176.78702218703097</c:v>
                </c:pt>
                <c:pt idx="8">
                  <c:v>176.79807647102336</c:v>
                </c:pt>
                <c:pt idx="9">
                  <c:v>176.7178727794556</c:v>
                </c:pt>
                <c:pt idx="10">
                  <c:v>176.90548766750658</c:v>
                </c:pt>
                <c:pt idx="11">
                  <c:v>177.33907131188454</c:v>
                </c:pt>
                <c:pt idx="12">
                  <c:v>176.77442251948807</c:v>
                </c:pt>
                <c:pt idx="13">
                  <c:v>176.45111080255401</c:v>
                </c:pt>
                <c:pt idx="14">
                  <c:v>176.26825129553842</c:v>
                </c:pt>
                <c:pt idx="15">
                  <c:v>175.93720418862219</c:v>
                </c:pt>
                <c:pt idx="16">
                  <c:v>175.94803148580138</c:v>
                </c:pt>
                <c:pt idx="17">
                  <c:v>176.00537624946043</c:v>
                </c:pt>
                <c:pt idx="18">
                  <c:v>176.03549710669145</c:v>
                </c:pt>
                <c:pt idx="19">
                  <c:v>176.143484731748</c:v>
                </c:pt>
                <c:pt idx="20">
                  <c:v>176.1266344750359</c:v>
                </c:pt>
                <c:pt idx="21">
                  <c:v>176.25449367771654</c:v>
                </c:pt>
                <c:pt idx="22">
                  <c:v>176.4360875925598</c:v>
                </c:pt>
                <c:pt idx="23">
                  <c:v>176.55383842730478</c:v>
                </c:pt>
                <c:pt idx="24">
                  <c:v>176.59103598180818</c:v>
                </c:pt>
                <c:pt idx="25">
                  <c:v>176.65636908503478</c:v>
                </c:pt>
                <c:pt idx="26">
                  <c:v>176.95755853359907</c:v>
                </c:pt>
                <c:pt idx="27">
                  <c:v>177.14629559295875</c:v>
                </c:pt>
                <c:pt idx="28">
                  <c:v>177.44483768659188</c:v>
                </c:pt>
                <c:pt idx="29">
                  <c:v>177.74295018594347</c:v>
                </c:pt>
                <c:pt idx="30">
                  <c:v>177.98201034095382</c:v>
                </c:pt>
                <c:pt idx="31">
                  <c:v>178.0467862609845</c:v>
                </c:pt>
                <c:pt idx="32">
                  <c:v>177.74406000000002</c:v>
                </c:pt>
                <c:pt idx="33">
                  <c:v>178.01783999999998</c:v>
                </c:pt>
                <c:pt idx="34">
                  <c:v>178.11923999999999</c:v>
                </c:pt>
                <c:pt idx="35">
                  <c:v>177.95700000000002</c:v>
                </c:pt>
                <c:pt idx="36">
                  <c:v>177.67308</c:v>
                </c:pt>
                <c:pt idx="37">
                  <c:v>177.69335999999998</c:v>
                </c:pt>
                <c:pt idx="38">
                  <c:v>177.7542</c:v>
                </c:pt>
                <c:pt idx="39">
                  <c:v>177.79476</c:v>
                </c:pt>
                <c:pt idx="40">
                  <c:v>178.06853999999998</c:v>
                </c:pt>
                <c:pt idx="41">
                  <c:v>177.91644000000002</c:v>
                </c:pt>
                <c:pt idx="42" formatCode="&quot;$&quot;#,##0.00_);[Red]\(&quot;$&quot;#,##0.00\)">
                  <c:v>178.26</c:v>
                </c:pt>
                <c:pt idx="43" formatCode="&quot;$&quot;#,##0.00_);[Red]\(&quot;$&quot;#,##0.00\)">
                  <c:v>178.27</c:v>
                </c:pt>
                <c:pt idx="44" formatCode="&quot;$&quot;#,##0.00_);[Red]\(&quot;$&quot;#,##0.00\)">
                  <c:v>178.11</c:v>
                </c:pt>
                <c:pt idx="45" formatCode="&quot;$&quot;#,##0.00_);[Red]\(&quot;$&quot;#,##0.00\)">
                  <c:v>178.26</c:v>
                </c:pt>
                <c:pt idx="46" formatCode="&quot;$&quot;#,##0.00_);[Red]\(&quot;$&quot;#,##0.00\)">
                  <c:v>178.27</c:v>
                </c:pt>
                <c:pt idx="47" formatCode="&quot;$&quot;#,##0.00_);[Red]\(&quot;$&quot;#,##0.00\)">
                  <c:v>178.32</c:v>
                </c:pt>
                <c:pt idx="48" formatCode="&quot;$&quot;#,##0.00_);[Red]\(&quot;$&quot;#,##0.00\)">
                  <c:v>178.59</c:v>
                </c:pt>
                <c:pt idx="49" formatCode="&quot;$&quot;#,##0.00_);[Red]\(&quot;$&quot;#,##0.00\)">
                  <c:v>178.81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04-40EB-9829-78A06B73F8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9817472"/>
        <c:axId val="349639040"/>
      </c:lineChart>
      <c:scatterChart>
        <c:scatterStyle val="lineMarker"/>
        <c:varyColors val="0"/>
        <c:ser>
          <c:idx val="1"/>
          <c:order val="1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'Monthly tables - linked'!$B$156:$C$156</c:f>
              <c:numCache>
                <c:formatCode>mmm\-yy</c:formatCode>
                <c:ptCount val="2"/>
                <c:pt idx="0">
                  <c:v>42522</c:v>
                </c:pt>
                <c:pt idx="1">
                  <c:v>42522</c:v>
                </c:pt>
              </c:numCache>
            </c:numRef>
          </c:xVal>
          <c:yVal>
            <c:numRef>
              <c:f>'Monthly tables - linked'!$B$157:$C$157</c:f>
              <c:numCache>
                <c:formatCode>_("$"* #,##0.00_);_("$"* \(#,##0.00\);_("$"* "-"??_);_(@_)</c:formatCode>
                <c:ptCount val="2"/>
                <c:pt idx="0">
                  <c:v>0</c:v>
                </c:pt>
                <c:pt idx="1">
                  <c:v>200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904-40EB-9829-78A06B73F83F}"/>
            </c:ext>
          </c:extLst>
        </c:ser>
        <c:ser>
          <c:idx val="2"/>
          <c:order val="2"/>
          <c:spPr>
            <a:ln>
              <a:solidFill>
                <a:schemeClr val="bg1">
                  <a:lumMod val="75000"/>
                </a:schemeClr>
              </a:solidFill>
            </a:ln>
          </c:spPr>
          <c:marker>
            <c:symbol val="none"/>
          </c:marker>
          <c:xVal>
            <c:numRef>
              <c:f>'Monthly tables - linked'!$B$159:$C$159</c:f>
              <c:numCache>
                <c:formatCode>mmm\-yy</c:formatCode>
                <c:ptCount val="2"/>
                <c:pt idx="0">
                  <c:v>42705</c:v>
                </c:pt>
                <c:pt idx="1">
                  <c:v>42705</c:v>
                </c:pt>
              </c:numCache>
            </c:numRef>
          </c:xVal>
          <c:yVal>
            <c:numRef>
              <c:f>'Monthly tables - linked'!$B$160:$C$160</c:f>
              <c:numCache>
                <c:formatCode>_("$"* #,##0.00_);_("$"* \(#,##0.00\);_("$"* "-"??_);_(@_)</c:formatCode>
                <c:ptCount val="2"/>
                <c:pt idx="0">
                  <c:v>0</c:v>
                </c:pt>
                <c:pt idx="1">
                  <c:v>200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904-40EB-9829-78A06B73F83F}"/>
            </c:ext>
          </c:extLst>
        </c:ser>
        <c:ser>
          <c:idx val="3"/>
          <c:order val="3"/>
          <c:spPr>
            <a:ln>
              <a:solidFill>
                <a:schemeClr val="accent1"/>
              </a:solidFill>
              <a:prstDash val="sysDot"/>
            </a:ln>
          </c:spPr>
          <c:marker>
            <c:symbol val="none"/>
          </c:marker>
          <c:xVal>
            <c:numRef>
              <c:f>'Monthly tables - linked'!$B$146:$AW$146</c:f>
              <c:numCache>
                <c:formatCode>mmm\-yy</c:formatCode>
                <c:ptCount val="48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  <c:pt idx="25">
                  <c:v>43132</c:v>
                </c:pt>
                <c:pt idx="26">
                  <c:v>43160</c:v>
                </c:pt>
                <c:pt idx="27">
                  <c:v>43191</c:v>
                </c:pt>
                <c:pt idx="28">
                  <c:v>43221</c:v>
                </c:pt>
                <c:pt idx="29">
                  <c:v>43252</c:v>
                </c:pt>
                <c:pt idx="30">
                  <c:v>43282</c:v>
                </c:pt>
                <c:pt idx="31">
                  <c:v>43313</c:v>
                </c:pt>
                <c:pt idx="32">
                  <c:v>43344</c:v>
                </c:pt>
                <c:pt idx="33">
                  <c:v>43374</c:v>
                </c:pt>
                <c:pt idx="34">
                  <c:v>43405</c:v>
                </c:pt>
                <c:pt idx="35">
                  <c:v>43435</c:v>
                </c:pt>
                <c:pt idx="36">
                  <c:v>43466</c:v>
                </c:pt>
                <c:pt idx="37">
                  <c:v>43497</c:v>
                </c:pt>
                <c:pt idx="38">
                  <c:v>43525</c:v>
                </c:pt>
                <c:pt idx="39">
                  <c:v>43556</c:v>
                </c:pt>
                <c:pt idx="40">
                  <c:v>43586</c:v>
                </c:pt>
                <c:pt idx="41">
                  <c:v>43617</c:v>
                </c:pt>
                <c:pt idx="42">
                  <c:v>43647</c:v>
                </c:pt>
                <c:pt idx="43">
                  <c:v>43678</c:v>
                </c:pt>
                <c:pt idx="44">
                  <c:v>43709</c:v>
                </c:pt>
                <c:pt idx="45">
                  <c:v>43739</c:v>
                </c:pt>
                <c:pt idx="46">
                  <c:v>43770</c:v>
                </c:pt>
                <c:pt idx="47">
                  <c:v>43800</c:v>
                </c:pt>
              </c:numCache>
            </c:numRef>
          </c:xVal>
          <c:yVal>
            <c:numRef>
              <c:f>'Monthly tables - linked'!$B$154:$AW$154</c:f>
              <c:numCache>
                <c:formatCode>_("$"* #,##0.00_);_("$"* \(#,##0.00\);_("$"* "-"??_);_(@_)</c:formatCode>
                <c:ptCount val="48"/>
                <c:pt idx="0">
                  <c:v>172.83176007393911</c:v>
                </c:pt>
                <c:pt idx="1">
                  <c:v>173.40406875178991</c:v>
                </c:pt>
                <c:pt idx="2">
                  <c:v>174.02713849335851</c:v>
                </c:pt>
                <c:pt idx="3">
                  <c:v>174.58274786372556</c:v>
                </c:pt>
                <c:pt idx="4">
                  <c:v>175.34685748354462</c:v>
                </c:pt>
                <c:pt idx="5">
                  <c:v>177.02838865271252</c:v>
                </c:pt>
                <c:pt idx="6">
                  <c:v>176.76862252139998</c:v>
                </c:pt>
                <c:pt idx="7">
                  <c:v>176.78702218703097</c:v>
                </c:pt>
                <c:pt idx="8">
                  <c:v>176.79807647102336</c:v>
                </c:pt>
                <c:pt idx="9">
                  <c:v>176.7178727794556</c:v>
                </c:pt>
                <c:pt idx="10">
                  <c:v>176.90548766750658</c:v>
                </c:pt>
                <c:pt idx="11">
                  <c:v>177.33907131188454</c:v>
                </c:pt>
                <c:pt idx="12">
                  <c:v>176.77442251948807</c:v>
                </c:pt>
                <c:pt idx="13">
                  <c:v>176.45111080255401</c:v>
                </c:pt>
                <c:pt idx="14">
                  <c:v>176.26825129553842</c:v>
                </c:pt>
                <c:pt idx="15">
                  <c:v>175.93720418862219</c:v>
                </c:pt>
                <c:pt idx="16">
                  <c:v>175.94803148580138</c:v>
                </c:pt>
                <c:pt idx="17">
                  <c:v>176.00537624946043</c:v>
                </c:pt>
                <c:pt idx="18">
                  <c:v>176.03549710669145</c:v>
                </c:pt>
                <c:pt idx="19">
                  <c:v>176.143484731748</c:v>
                </c:pt>
                <c:pt idx="20">
                  <c:v>176.1266344750359</c:v>
                </c:pt>
                <c:pt idx="21">
                  <c:v>176.25449367771654</c:v>
                </c:pt>
                <c:pt idx="22">
                  <c:v>176.4360875925598</c:v>
                </c:pt>
                <c:pt idx="23">
                  <c:v>176.55383842730478</c:v>
                </c:pt>
                <c:pt idx="24">
                  <c:v>176.59103598180818</c:v>
                </c:pt>
                <c:pt idx="25">
                  <c:v>176.65636908503478</c:v>
                </c:pt>
                <c:pt idx="26">
                  <c:v>176.95755853359907</c:v>
                </c:pt>
                <c:pt idx="27">
                  <c:v>177.14629559295875</c:v>
                </c:pt>
                <c:pt idx="28">
                  <c:v>177.44483768659188</c:v>
                </c:pt>
                <c:pt idx="29">
                  <c:v>177.74295018594347</c:v>
                </c:pt>
                <c:pt idx="30">
                  <c:v>177.98201034095382</c:v>
                </c:pt>
                <c:pt idx="31">
                  <c:v>178.0467862609845</c:v>
                </c:pt>
                <c:pt idx="32">
                  <c:v>177.74406000000002</c:v>
                </c:pt>
                <c:pt idx="33">
                  <c:v>178.01783999999998</c:v>
                </c:pt>
                <c:pt idx="34">
                  <c:v>178.11923999999999</c:v>
                </c:pt>
                <c:pt idx="35">
                  <c:v>177.95700000000002</c:v>
                </c:pt>
                <c:pt idx="36">
                  <c:v>177.67308</c:v>
                </c:pt>
                <c:pt idx="37">
                  <c:v>177.69335999999998</c:v>
                </c:pt>
                <c:pt idx="38" formatCode="&quot;$&quot;#,##0.00_);[Red]\(&quot;$&quot;#,##0.00\)">
                  <c:v>183.74623674193549</c:v>
                </c:pt>
                <c:pt idx="39" formatCode="&quot;$&quot;#,##0.00_);[Red]\(&quot;$&quot;#,##0.00\)">
                  <c:v>194.68526219999998</c:v>
                </c:pt>
                <c:pt idx="40" formatCode="&quot;$&quot;#,##0.00_);[Red]\(&quot;$&quot;#,##0.00\)">
                  <c:v>194.98505129999998</c:v>
                </c:pt>
                <c:pt idx="41" formatCode="&quot;$&quot;#,##0.00_);[Red]\(&quot;$&quot;#,##0.00\)">
                  <c:v>194.81850180000001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904-40EB-9829-78A06B73F83F}"/>
            </c:ext>
          </c:extLst>
        </c:ser>
        <c:ser>
          <c:idx val="4"/>
          <c:order val="4"/>
          <c:tx>
            <c:v>end temp</c:v>
          </c:tx>
          <c:spPr>
            <a:ln>
              <a:solidFill>
                <a:schemeClr val="accent1"/>
              </a:solidFill>
              <a:prstDash val="sysDot"/>
            </a:ln>
          </c:spPr>
          <c:marker>
            <c:symbol val="none"/>
          </c:marker>
          <c:xVal>
            <c:numRef>
              <c:f>'Monthly tables - linked'!$C$205:$D$205</c:f>
              <c:numCache>
                <c:formatCode>mmm\-yy</c:formatCode>
                <c:ptCount val="2"/>
                <c:pt idx="0">
                  <c:v>43617</c:v>
                </c:pt>
                <c:pt idx="1">
                  <c:v>43617</c:v>
                </c:pt>
              </c:numCache>
            </c:numRef>
          </c:xVal>
          <c:yVal>
            <c:numRef>
              <c:f>'Monthly tables - linked'!$C$206:$D$206</c:f>
              <c:numCache>
                <c:formatCode>"$"#,##0.00_);[Red]\("$"#,##0.00\)</c:formatCode>
                <c:ptCount val="2"/>
                <c:pt idx="0" formatCode="_(&quot;$&quot;* #,##0.00_);_(&quot;$&quot;* \(#,##0.00\);_(&quot;$&quot;* &quot;-&quot;??_);_(@_)">
                  <c:v>177.91644000000002</c:v>
                </c:pt>
                <c:pt idx="1">
                  <c:v>194.81850180000001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A904-40EB-9829-78A06B73F8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9817472"/>
        <c:axId val="349639040"/>
      </c:scatterChart>
      <c:dateAx>
        <c:axId val="34981747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ln>
            <a:prstDash val="sysDot"/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349639040"/>
        <c:crosses val="autoZero"/>
        <c:auto val="1"/>
        <c:lblOffset val="100"/>
        <c:baseTimeUnit val="months"/>
        <c:majorUnit val="2"/>
        <c:majorTimeUnit val="months"/>
        <c:minorUnit val="1"/>
        <c:minorTimeUnit val="months"/>
      </c:dateAx>
      <c:valAx>
        <c:axId val="349639040"/>
        <c:scaling>
          <c:orientation val="minMax"/>
          <c:max val="195"/>
          <c:min val="170"/>
        </c:scaling>
        <c:delete val="0"/>
        <c:axPos val="l"/>
        <c:majorGridlines/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349817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596E-C51F-40C2-82BE-10B8FE9D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ACFI monthly monitoring report – February 2020</vt:lpstr>
    </vt:vector>
  </TitlesOfParts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funding instrument monitoring report – February 2020</dc:title>
  <dc:subject>Aged care</dc:subject>
  <dc:creator/>
  <cp:keywords>Aged Care</cp:keywords>
  <cp:lastModifiedBy/>
  <cp:revision>1</cp:revision>
  <dcterms:created xsi:type="dcterms:W3CDTF">2021-08-26T23:37:00Z</dcterms:created>
  <dcterms:modified xsi:type="dcterms:W3CDTF">2021-08-26T23:37:00Z</dcterms:modified>
</cp:coreProperties>
</file>