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1DED0" w14:textId="395BFCD0" w:rsidR="008A49F1" w:rsidRPr="001660A1" w:rsidRDefault="00DC2360" w:rsidP="00F30EE1">
      <w:bookmarkStart w:id="0" w:name="_Hlk503433997"/>
      <w:bookmarkStart w:id="1" w:name="_Toc448369494"/>
      <w:bookmarkStart w:id="2" w:name="_Toc427153112"/>
      <w:bookmarkEnd w:id="0"/>
      <w:r w:rsidRPr="00C33C0B">
        <w:rPr>
          <w:noProof/>
          <w:lang w:val="en-US" w:eastAsia="en-US"/>
        </w:rPr>
        <mc:AlternateContent>
          <mc:Choice Requires="wps">
            <w:drawing>
              <wp:anchor distT="0" distB="0" distL="114300" distR="114300" simplePos="0" relativeHeight="251654144" behindDoc="0" locked="0" layoutInCell="1" allowOverlap="1" wp14:anchorId="448F5A7D" wp14:editId="4A8F47B3">
                <wp:simplePos x="0" y="0"/>
                <wp:positionH relativeFrom="margin">
                  <wp:align>left</wp:align>
                </wp:positionH>
                <wp:positionV relativeFrom="page">
                  <wp:posOffset>2700655</wp:posOffset>
                </wp:positionV>
                <wp:extent cx="5255895" cy="7580630"/>
                <wp:effectExtent l="0" t="0" r="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7580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910463" w14:textId="77777777" w:rsidR="00023621" w:rsidRPr="005C7FB0" w:rsidRDefault="00023621"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3F6238A2" w14:textId="6D8FFC55" w:rsidR="00023621" w:rsidRPr="005C7FB0" w:rsidRDefault="00023621" w:rsidP="009932DE">
                            <w:pPr>
                              <w:pStyle w:val="CoverH1Green"/>
                            </w:pPr>
                            <w:r w:rsidRPr="007225AE">
                              <w:t>Taskforce Report</w:t>
                            </w:r>
                            <w:r>
                              <w:t xml:space="preserve"> from the Specialist and Consultant Physician Consultation Clinical Committee</w:t>
                            </w:r>
                          </w:p>
                          <w:p w14:paraId="362383A2" w14:textId="7D5F00C2" w:rsidR="00023621" w:rsidRPr="001660A1" w:rsidRDefault="00023621" w:rsidP="009932DE">
                            <w:pPr>
                              <w:pStyle w:val="Coverdate"/>
                              <w:tabs>
                                <w:tab w:val="center" w:pos="4156"/>
                              </w:tabs>
                              <w:spacing w:after="0"/>
                            </w:pPr>
                            <w:r>
                              <w:t xml:space="preserve">June </w:t>
                            </w:r>
                            <w:r w:rsidRPr="001660A1">
                              <w:t>2020</w:t>
                            </w:r>
                          </w:p>
                          <w:p w14:paraId="0B7D9D18" w14:textId="77777777" w:rsidR="00023621" w:rsidRDefault="00023621"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F5A7D" id="_x0000_t202" coordsize="21600,21600" o:spt="202" path="m,l,21600r21600,l21600,xe">
                <v:stroke joinstyle="miter"/>
                <v:path gradientshapeok="t" o:connecttype="rect"/>
              </v:shapetype>
              <v:shape id="Text Box 11" o:spid="_x0000_s1026" type="#_x0000_t202" style="position:absolute;margin-left:0;margin-top:212.65pt;width:413.85pt;height:596.9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" filled="f" stroked="f">
                <v:textbox>
                  <w:txbxContent>
                    <w:p w14:paraId="7D910463" w14:textId="77777777" w:rsidR="00023621" w:rsidRPr="005C7FB0" w:rsidRDefault="00023621"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3F6238A2" w14:textId="6D8FFC55" w:rsidR="00023621" w:rsidRPr="005C7FB0" w:rsidRDefault="00023621" w:rsidP="009932DE">
                      <w:pPr>
                        <w:pStyle w:val="CoverH1Green"/>
                      </w:pPr>
                      <w:r w:rsidRPr="007225AE">
                        <w:t>Taskforce Report</w:t>
                      </w:r>
                      <w:r>
                        <w:t xml:space="preserve"> from the Specialist and Consultant Physician Consultation Clinical Committee</w:t>
                      </w:r>
                    </w:p>
                    <w:p w14:paraId="362383A2" w14:textId="7D5F00C2" w:rsidR="00023621" w:rsidRPr="001660A1" w:rsidRDefault="00023621" w:rsidP="009932DE">
                      <w:pPr>
                        <w:pStyle w:val="Coverdate"/>
                        <w:tabs>
                          <w:tab w:val="center" w:pos="4156"/>
                        </w:tabs>
                        <w:spacing w:after="0"/>
                      </w:pPr>
                      <w:r>
                        <w:t xml:space="preserve">June </w:t>
                      </w:r>
                      <w:r w:rsidRPr="001660A1">
                        <w:t>2020</w:t>
                      </w:r>
                    </w:p>
                    <w:p w14:paraId="0B7D9D18" w14:textId="77777777" w:rsidR="00023621" w:rsidRDefault="00023621" w:rsidP="005C7FB0"/>
                  </w:txbxContent>
                </v:textbox>
                <w10:wrap type="square" anchorx="margin" anchory="page"/>
              </v:shape>
            </w:pict>
          </mc:Fallback>
        </mc:AlternateContent>
      </w:r>
      <w:r w:rsidR="008A49F1" w:rsidRPr="00C33C0B">
        <w:rPr>
          <w:rStyle w:val="IntenseEmphasis"/>
          <w:lang w:val="en-GB"/>
        </w:rPr>
        <w:br w:type="page"/>
      </w:r>
    </w:p>
    <w:p w14:paraId="1EADA9D5" w14:textId="77777777" w:rsidR="009B4B96" w:rsidRPr="00C33C0B" w:rsidRDefault="009B4B96" w:rsidP="00684AA4">
      <w:pPr>
        <w:pStyle w:val="Footer"/>
        <w:rPr>
          <w:lang w:val="en-GB"/>
        </w:rPr>
        <w:sectPr w:rsidR="009B4B96" w:rsidRPr="00C33C0B" w:rsidSect="00F639DA">
          <w:headerReference w:type="even" r:id="rId8"/>
          <w:headerReference w:type="default" r:id="rId9"/>
          <w:footerReference w:type="default" r:id="rId10"/>
          <w:headerReference w:type="first" r:id="rId11"/>
          <w:endnotePr>
            <w:numFmt w:val="decimal"/>
          </w:endnotePr>
          <w:pgSz w:w="11906" w:h="16838" w:code="9"/>
          <w:pgMar w:top="1440" w:right="1797" w:bottom="1440" w:left="1797" w:header="720" w:footer="720" w:gutter="0"/>
          <w:pgNumType w:fmt="lowerRoman"/>
          <w:cols w:space="720"/>
          <w:titlePg/>
          <w:docGrid w:linePitch="326"/>
        </w:sectPr>
      </w:pPr>
    </w:p>
    <w:p w14:paraId="075902CF" w14:textId="75195629" w:rsidR="00651A96" w:rsidRPr="001660A1" w:rsidRDefault="00651A96" w:rsidP="001660A1"/>
    <w:p w14:paraId="0FC7C05C" w14:textId="77777777" w:rsidR="00F30EE1" w:rsidRPr="00300461" w:rsidRDefault="00F30EE1" w:rsidP="00F30EE1">
      <w:p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pacing w:before="240" w:after="180"/>
        <w:jc w:val="center"/>
        <w:rPr>
          <w:rFonts w:ascii="Calibri" w:hAnsi="Calibri" w:cs="Arial"/>
          <w:b/>
          <w:bCs/>
          <w:color w:val="01653F"/>
          <w:sz w:val="32"/>
          <w:szCs w:val="28"/>
        </w:rPr>
      </w:pPr>
      <w:r w:rsidRPr="00300461">
        <w:rPr>
          <w:rFonts w:ascii="Calibri" w:hAnsi="Calibri" w:cs="Arial"/>
          <w:bCs/>
          <w:color w:val="01653F"/>
          <w:sz w:val="32"/>
          <w:szCs w:val="28"/>
        </w:rPr>
        <w:t>I</w:t>
      </w:r>
      <w:r>
        <w:rPr>
          <w:rFonts w:ascii="Calibri" w:hAnsi="Calibri" w:cs="Arial"/>
          <w:bCs/>
          <w:color w:val="01653F"/>
          <w:sz w:val="32"/>
          <w:szCs w:val="28"/>
        </w:rPr>
        <w:t>MPORTANT NOTES</w:t>
      </w:r>
    </w:p>
    <w:p w14:paraId="7D2B486F" w14:textId="77777777" w:rsidR="00F30EE1" w:rsidRPr="00C46A5C" w:rsidRDefault="00F30EE1" w:rsidP="00F30EE1">
      <w:pPr>
        <w:pStyle w:val="ListParagraph"/>
        <w:numPr>
          <w:ilvl w:val="0"/>
          <w:numId w:val="166"/>
        </w:num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pacing w:before="0"/>
        <w:contextualSpacing w:val="0"/>
      </w:pPr>
      <w:r w:rsidRPr="00C46A5C">
        <w:t>This report does not constitute the final position on these items, which is subject to:</w:t>
      </w:r>
    </w:p>
    <w:p w14:paraId="0086C151" w14:textId="77777777" w:rsidR="00F30EE1" w:rsidRPr="007F059F" w:rsidRDefault="00F30EE1" w:rsidP="00F30EE1">
      <w:pPr>
        <w:pStyle w:val="ListParagraph"/>
        <w:numPr>
          <w:ilvl w:val="0"/>
          <w:numId w:val="165"/>
        </w:num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tabs>
          <w:tab w:val="clear" w:pos="714"/>
        </w:tabs>
        <w:spacing w:before="0"/>
        <w:ind w:left="0" w:firstLine="0"/>
        <w:contextualSpacing w:val="0"/>
      </w:pPr>
      <w:r>
        <w:t>c</w:t>
      </w:r>
      <w:r w:rsidRPr="007F059F">
        <w:t>onsideration by the Minister for Health, and</w:t>
      </w:r>
    </w:p>
    <w:p w14:paraId="4CB2DE9F" w14:textId="77777777" w:rsidR="00F30EE1" w:rsidRPr="007F059F" w:rsidRDefault="00F30EE1" w:rsidP="00F30EE1">
      <w:pPr>
        <w:pStyle w:val="ListParagraph"/>
        <w:numPr>
          <w:ilvl w:val="0"/>
          <w:numId w:val="165"/>
        </w:num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tabs>
          <w:tab w:val="clear" w:pos="714"/>
        </w:tabs>
        <w:spacing w:before="0"/>
        <w:ind w:left="0" w:firstLine="0"/>
        <w:contextualSpacing w:val="0"/>
      </w:pPr>
      <w:r w:rsidRPr="007F059F">
        <w:t>the Government.</w:t>
      </w:r>
    </w:p>
    <w:p w14:paraId="05135B53" w14:textId="77777777" w:rsidR="00F30EE1" w:rsidRPr="00C46A5C" w:rsidRDefault="00F30EE1" w:rsidP="00F30EE1">
      <w:pPr>
        <w:pStyle w:val="ListParagraph"/>
        <w:numPr>
          <w:ilvl w:val="0"/>
          <w:numId w:val="166"/>
        </w:num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pacing w:before="0"/>
        <w:contextualSpacing w:val="0"/>
      </w:pPr>
      <w:r w:rsidRPr="00C46A5C">
        <w:t xml:space="preserve">The views and recommendations in this report originated from the clinical committee. Following consultation with stakeholders, the clinical committee made amendments and presented this report to the MBS Review Taskforce for its consideration. </w:t>
      </w:r>
    </w:p>
    <w:p w14:paraId="52A32AC3" w14:textId="051477A1" w:rsidR="00F30EE1" w:rsidRDefault="00F30EE1" w:rsidP="00406E4A">
      <w:pPr>
        <w:pStyle w:val="ListParagraph"/>
        <w:numPr>
          <w:ilvl w:val="0"/>
          <w:numId w:val="166"/>
        </w:num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pacing w:before="0"/>
        <w:ind w:left="0" w:firstLine="0"/>
        <w:contextualSpacing w:val="0"/>
      </w:pPr>
      <w:r w:rsidRPr="00455D78">
        <w:t>Any eliminations, amendments or commentary from the MBS Review Taskforce are noted in boxed comments in the body of the report:</w:t>
      </w:r>
    </w:p>
    <w:p w14:paraId="7F1798E5" w14:textId="77777777" w:rsidR="00F30EE1" w:rsidRDefault="00F30EE1" w:rsidP="00DA1AEC">
      <w:p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hd w:val="clear" w:color="auto" w:fill="D6E3BC" w:themeFill="accent3" w:themeFillTint="66"/>
        <w:spacing w:before="0"/>
      </w:pPr>
      <w:r>
        <w:t>[Group] Recommendation [#] – Taskforce’s Advice</w:t>
      </w:r>
    </w:p>
    <w:p w14:paraId="79A64A7B" w14:textId="050C7F35" w:rsidR="00A657A6" w:rsidRPr="001660A1" w:rsidRDefault="00F30EE1" w:rsidP="00DA1AEC">
      <w:p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hd w:val="clear" w:color="auto" w:fill="D6E3BC" w:themeFill="accent3" w:themeFillTint="66"/>
        <w:spacing w:before="0"/>
      </w:pPr>
      <w:r>
        <w:t>[The Taskforce’s rationale behind their decision.]</w:t>
      </w:r>
    </w:p>
    <w:p w14:paraId="59FE5306" w14:textId="77777777" w:rsidR="00C56DF9" w:rsidRPr="00C33C0B" w:rsidRDefault="00C56DF9" w:rsidP="009932DE">
      <w:pPr>
        <w:pStyle w:val="TOCHeading"/>
        <w:spacing w:after="240"/>
        <w:rPr>
          <w:lang w:val="en-GB"/>
        </w:rPr>
      </w:pPr>
      <w:r w:rsidRPr="00C33C0B">
        <w:rPr>
          <w:lang w:val="en-GB"/>
        </w:rPr>
        <w:t xml:space="preserve">Table of </w:t>
      </w:r>
      <w:r w:rsidR="005C2F46" w:rsidRPr="00C33C0B">
        <w:rPr>
          <w:lang w:val="en-GB"/>
        </w:rPr>
        <w:t>c</w:t>
      </w:r>
      <w:r w:rsidRPr="00C33C0B">
        <w:rPr>
          <w:lang w:val="en-GB"/>
        </w:rPr>
        <w:t>ontents</w:t>
      </w:r>
      <w:bookmarkEnd w:id="1"/>
    </w:p>
    <w:p w14:paraId="59BA74FA" w14:textId="1B3BB9C6" w:rsidR="001A5DA3" w:rsidRDefault="00A0282E">
      <w:pPr>
        <w:pStyle w:val="TOC1"/>
        <w:rPr>
          <w:rFonts w:eastAsiaTheme="minorEastAsia" w:cstheme="minorBidi"/>
          <w:b w:val="0"/>
        </w:rPr>
      </w:pPr>
      <w:r w:rsidRPr="00C33C0B">
        <w:rPr>
          <w:noProof w:val="0"/>
          <w:lang w:val="en-GB"/>
        </w:rPr>
        <w:fldChar w:fldCharType="begin"/>
      </w:r>
      <w:r w:rsidRPr="00C33C0B">
        <w:rPr>
          <w:noProof w:val="0"/>
          <w:lang w:val="en-GB"/>
        </w:rPr>
        <w:instrText xml:space="preserve"> TOC \o "1-3" \h \z \u </w:instrText>
      </w:r>
      <w:r w:rsidRPr="00C33C0B">
        <w:rPr>
          <w:noProof w:val="0"/>
          <w:lang w:val="en-GB"/>
        </w:rPr>
        <w:fldChar w:fldCharType="separate"/>
      </w:r>
      <w:hyperlink w:anchor="_Toc67952179" w:history="1">
        <w:r w:rsidR="001A5DA3" w:rsidRPr="00E638DB">
          <w:rPr>
            <w:rStyle w:val="Hyperlink"/>
            <w:lang w:val="en-GB"/>
          </w:rPr>
          <w:t>1</w:t>
        </w:r>
        <w:r w:rsidR="001A5DA3">
          <w:rPr>
            <w:rFonts w:eastAsiaTheme="minorEastAsia" w:cstheme="minorBidi"/>
            <w:b w:val="0"/>
          </w:rPr>
          <w:tab/>
        </w:r>
        <w:r w:rsidR="001A5DA3" w:rsidRPr="00E638DB">
          <w:rPr>
            <w:rStyle w:val="Hyperlink"/>
            <w:lang w:val="en-GB"/>
          </w:rPr>
          <w:t>Executive summary</w:t>
        </w:r>
        <w:r w:rsidR="001A5DA3">
          <w:rPr>
            <w:webHidden/>
          </w:rPr>
          <w:tab/>
        </w:r>
        <w:r w:rsidR="001A5DA3">
          <w:rPr>
            <w:webHidden/>
          </w:rPr>
          <w:fldChar w:fldCharType="begin"/>
        </w:r>
        <w:r w:rsidR="001A5DA3">
          <w:rPr>
            <w:webHidden/>
          </w:rPr>
          <w:instrText xml:space="preserve"> PAGEREF _Toc67952179 \h </w:instrText>
        </w:r>
        <w:r w:rsidR="001A5DA3">
          <w:rPr>
            <w:webHidden/>
          </w:rPr>
        </w:r>
        <w:r w:rsidR="001A5DA3">
          <w:rPr>
            <w:webHidden/>
          </w:rPr>
          <w:fldChar w:fldCharType="separate"/>
        </w:r>
        <w:r w:rsidR="00832059">
          <w:rPr>
            <w:webHidden/>
          </w:rPr>
          <w:t>8</w:t>
        </w:r>
        <w:r w:rsidR="001A5DA3">
          <w:rPr>
            <w:webHidden/>
          </w:rPr>
          <w:fldChar w:fldCharType="end"/>
        </w:r>
      </w:hyperlink>
    </w:p>
    <w:p w14:paraId="61268BE3" w14:textId="11765B1E" w:rsidR="001A5DA3" w:rsidRDefault="00023621">
      <w:pPr>
        <w:pStyle w:val="TOC2"/>
        <w:rPr>
          <w:rFonts w:eastAsiaTheme="minorEastAsia" w:cstheme="minorBidi"/>
        </w:rPr>
      </w:pPr>
      <w:hyperlink w:anchor="_Toc67952180" w:history="1">
        <w:r w:rsidR="001A5DA3" w:rsidRPr="00E638DB">
          <w:rPr>
            <w:rStyle w:val="Hyperlink"/>
            <w:lang w:val="en-GB"/>
          </w:rPr>
          <w:t>1.1</w:t>
        </w:r>
        <w:r w:rsidR="001A5DA3">
          <w:rPr>
            <w:rFonts w:eastAsiaTheme="minorEastAsia" w:cstheme="minorBidi"/>
          </w:rPr>
          <w:tab/>
        </w:r>
        <w:r w:rsidR="001A5DA3" w:rsidRPr="00E638DB">
          <w:rPr>
            <w:rStyle w:val="Hyperlink"/>
            <w:lang w:val="en-GB"/>
          </w:rPr>
          <w:t>Key recommendations</w:t>
        </w:r>
        <w:r w:rsidR="001A5DA3">
          <w:rPr>
            <w:webHidden/>
          </w:rPr>
          <w:tab/>
        </w:r>
        <w:r w:rsidR="001A5DA3">
          <w:rPr>
            <w:webHidden/>
          </w:rPr>
          <w:fldChar w:fldCharType="begin"/>
        </w:r>
        <w:r w:rsidR="001A5DA3">
          <w:rPr>
            <w:webHidden/>
          </w:rPr>
          <w:instrText xml:space="preserve"> PAGEREF _Toc67952180 \h </w:instrText>
        </w:r>
        <w:r w:rsidR="001A5DA3">
          <w:rPr>
            <w:webHidden/>
          </w:rPr>
        </w:r>
        <w:r w:rsidR="001A5DA3">
          <w:rPr>
            <w:webHidden/>
          </w:rPr>
          <w:fldChar w:fldCharType="separate"/>
        </w:r>
        <w:r w:rsidR="00832059">
          <w:rPr>
            <w:webHidden/>
          </w:rPr>
          <w:t>8</w:t>
        </w:r>
        <w:r w:rsidR="001A5DA3">
          <w:rPr>
            <w:webHidden/>
          </w:rPr>
          <w:fldChar w:fldCharType="end"/>
        </w:r>
      </w:hyperlink>
    </w:p>
    <w:p w14:paraId="1ED160FA" w14:textId="7A7E0A8F" w:rsidR="001A5DA3" w:rsidRDefault="00023621">
      <w:pPr>
        <w:pStyle w:val="TOC3"/>
        <w:tabs>
          <w:tab w:val="left" w:pos="1474"/>
        </w:tabs>
        <w:rPr>
          <w:rFonts w:eastAsiaTheme="minorEastAsia" w:cstheme="minorBidi"/>
        </w:rPr>
      </w:pPr>
      <w:hyperlink w:anchor="_Toc67952181" w:history="1">
        <w:r w:rsidR="001A5DA3" w:rsidRPr="00E638DB">
          <w:rPr>
            <w:rStyle w:val="Hyperlink"/>
          </w:rPr>
          <w:t>1.1.1</w:t>
        </w:r>
        <w:r w:rsidR="001A5DA3">
          <w:rPr>
            <w:rFonts w:eastAsiaTheme="minorEastAsia" w:cstheme="minorBidi"/>
          </w:rPr>
          <w:tab/>
        </w:r>
        <w:r w:rsidR="001A5DA3" w:rsidRPr="00E638DB">
          <w:rPr>
            <w:rStyle w:val="Hyperlink"/>
          </w:rPr>
          <w:t>Complex plan recommendations</w:t>
        </w:r>
        <w:r w:rsidR="001A5DA3">
          <w:rPr>
            <w:webHidden/>
          </w:rPr>
          <w:tab/>
        </w:r>
        <w:r w:rsidR="001A5DA3">
          <w:rPr>
            <w:webHidden/>
          </w:rPr>
          <w:fldChar w:fldCharType="begin"/>
        </w:r>
        <w:r w:rsidR="001A5DA3">
          <w:rPr>
            <w:webHidden/>
          </w:rPr>
          <w:instrText xml:space="preserve"> PAGEREF _Toc67952181 \h </w:instrText>
        </w:r>
        <w:r w:rsidR="001A5DA3">
          <w:rPr>
            <w:webHidden/>
          </w:rPr>
        </w:r>
        <w:r w:rsidR="001A5DA3">
          <w:rPr>
            <w:webHidden/>
          </w:rPr>
          <w:fldChar w:fldCharType="separate"/>
        </w:r>
        <w:r w:rsidR="00832059">
          <w:rPr>
            <w:webHidden/>
          </w:rPr>
          <w:t>9</w:t>
        </w:r>
        <w:r w:rsidR="001A5DA3">
          <w:rPr>
            <w:webHidden/>
          </w:rPr>
          <w:fldChar w:fldCharType="end"/>
        </w:r>
      </w:hyperlink>
    </w:p>
    <w:p w14:paraId="618224AB" w14:textId="44546D80" w:rsidR="001A5DA3" w:rsidRDefault="000B63BB">
      <w:pPr>
        <w:pStyle w:val="TOC3"/>
        <w:tabs>
          <w:tab w:val="left" w:pos="1474"/>
        </w:tabs>
        <w:rPr>
          <w:rFonts w:eastAsiaTheme="minorEastAsia" w:cstheme="minorBidi"/>
        </w:rPr>
      </w:pPr>
      <w:hyperlink w:anchor="_Toc67952182" w:history="1">
        <w:r w:rsidR="001A5DA3" w:rsidRPr="00E638DB">
          <w:rPr>
            <w:rStyle w:val="Hyperlink"/>
          </w:rPr>
          <w:t>1.1.2</w:t>
        </w:r>
        <w:r w:rsidR="001A5DA3">
          <w:rPr>
            <w:rFonts w:eastAsiaTheme="minorEastAsia" w:cstheme="minorBidi"/>
          </w:rPr>
          <w:tab/>
        </w:r>
        <w:r w:rsidR="001A5DA3" w:rsidRPr="00E638DB">
          <w:rPr>
            <w:rStyle w:val="Hyperlink"/>
          </w:rPr>
          <w:t>Telehealth recommendations</w:t>
        </w:r>
        <w:r w:rsidR="001A5DA3">
          <w:rPr>
            <w:webHidden/>
          </w:rPr>
          <w:tab/>
        </w:r>
        <w:r w:rsidR="001A5DA3">
          <w:rPr>
            <w:webHidden/>
          </w:rPr>
          <w:fldChar w:fldCharType="begin"/>
        </w:r>
        <w:r w:rsidR="001A5DA3">
          <w:rPr>
            <w:webHidden/>
          </w:rPr>
          <w:instrText xml:space="preserve"> PAGEREF _Toc67952182 \h </w:instrText>
        </w:r>
        <w:r w:rsidR="001A5DA3">
          <w:rPr>
            <w:webHidden/>
          </w:rPr>
        </w:r>
        <w:r w:rsidR="001A5DA3">
          <w:rPr>
            <w:webHidden/>
          </w:rPr>
          <w:fldChar w:fldCharType="separate"/>
        </w:r>
        <w:r w:rsidR="00832059">
          <w:rPr>
            <w:webHidden/>
          </w:rPr>
          <w:t>9</w:t>
        </w:r>
        <w:r w:rsidR="001A5DA3">
          <w:rPr>
            <w:webHidden/>
          </w:rPr>
          <w:fldChar w:fldCharType="end"/>
        </w:r>
      </w:hyperlink>
    </w:p>
    <w:p w14:paraId="58C5A9C2" w14:textId="03DD81B9" w:rsidR="001A5DA3" w:rsidRDefault="00023621">
      <w:pPr>
        <w:pStyle w:val="TOC3"/>
        <w:tabs>
          <w:tab w:val="left" w:pos="1474"/>
        </w:tabs>
        <w:rPr>
          <w:rFonts w:eastAsiaTheme="minorEastAsia" w:cstheme="minorBidi"/>
        </w:rPr>
      </w:pPr>
      <w:hyperlink w:anchor="_Toc67952183" w:history="1">
        <w:r w:rsidR="001A5DA3" w:rsidRPr="00E638DB">
          <w:rPr>
            <w:rStyle w:val="Hyperlink"/>
          </w:rPr>
          <w:t>1.1.3</w:t>
        </w:r>
        <w:r w:rsidR="001A5DA3">
          <w:rPr>
            <w:rFonts w:eastAsiaTheme="minorEastAsia" w:cstheme="minorBidi"/>
          </w:rPr>
          <w:tab/>
        </w:r>
        <w:r w:rsidR="001A5DA3" w:rsidRPr="00E638DB">
          <w:rPr>
            <w:rStyle w:val="Hyperlink"/>
          </w:rPr>
          <w:t>Case conference recommendations</w:t>
        </w:r>
        <w:r w:rsidR="001A5DA3">
          <w:rPr>
            <w:webHidden/>
          </w:rPr>
          <w:tab/>
        </w:r>
        <w:r w:rsidR="001A5DA3">
          <w:rPr>
            <w:webHidden/>
          </w:rPr>
          <w:fldChar w:fldCharType="begin"/>
        </w:r>
        <w:r w:rsidR="001A5DA3">
          <w:rPr>
            <w:webHidden/>
          </w:rPr>
          <w:instrText xml:space="preserve"> PAGEREF _Toc67952183 \h </w:instrText>
        </w:r>
        <w:r w:rsidR="001A5DA3">
          <w:rPr>
            <w:webHidden/>
          </w:rPr>
        </w:r>
        <w:r w:rsidR="001A5DA3">
          <w:rPr>
            <w:webHidden/>
          </w:rPr>
          <w:fldChar w:fldCharType="separate"/>
        </w:r>
        <w:r w:rsidR="00832059">
          <w:rPr>
            <w:webHidden/>
          </w:rPr>
          <w:t>10</w:t>
        </w:r>
        <w:r w:rsidR="001A5DA3">
          <w:rPr>
            <w:webHidden/>
          </w:rPr>
          <w:fldChar w:fldCharType="end"/>
        </w:r>
      </w:hyperlink>
    </w:p>
    <w:p w14:paraId="320E580F" w14:textId="480E5B5E" w:rsidR="001A5DA3" w:rsidRDefault="000B63BB">
      <w:pPr>
        <w:pStyle w:val="TOC3"/>
        <w:tabs>
          <w:tab w:val="left" w:pos="1474"/>
        </w:tabs>
        <w:rPr>
          <w:rFonts w:eastAsiaTheme="minorEastAsia" w:cstheme="minorBidi"/>
        </w:rPr>
      </w:pPr>
      <w:hyperlink w:anchor="_Toc67952184" w:history="1">
        <w:r w:rsidR="001A5DA3" w:rsidRPr="00E638DB">
          <w:rPr>
            <w:rStyle w:val="Hyperlink"/>
          </w:rPr>
          <w:t>1.1.4</w:t>
        </w:r>
        <w:r w:rsidR="001A5DA3">
          <w:rPr>
            <w:rFonts w:eastAsiaTheme="minorEastAsia" w:cstheme="minorBidi"/>
          </w:rPr>
          <w:tab/>
        </w:r>
        <w:r w:rsidR="001A5DA3" w:rsidRPr="00E638DB">
          <w:rPr>
            <w:rStyle w:val="Hyperlink"/>
          </w:rPr>
          <w:t>Use of data to inform quality care and patient-informed choice and consent recommendations</w:t>
        </w:r>
        <w:r w:rsidR="001A5DA3">
          <w:rPr>
            <w:webHidden/>
          </w:rPr>
          <w:tab/>
        </w:r>
        <w:r w:rsidR="001A5DA3">
          <w:rPr>
            <w:webHidden/>
          </w:rPr>
          <w:fldChar w:fldCharType="begin"/>
        </w:r>
        <w:r w:rsidR="001A5DA3">
          <w:rPr>
            <w:webHidden/>
          </w:rPr>
          <w:instrText xml:space="preserve"> PAGEREF _Toc67952184 \h </w:instrText>
        </w:r>
        <w:r w:rsidR="001A5DA3">
          <w:rPr>
            <w:webHidden/>
          </w:rPr>
        </w:r>
        <w:r w:rsidR="001A5DA3">
          <w:rPr>
            <w:webHidden/>
          </w:rPr>
          <w:fldChar w:fldCharType="separate"/>
        </w:r>
        <w:r w:rsidR="00832059">
          <w:rPr>
            <w:webHidden/>
          </w:rPr>
          <w:t>10</w:t>
        </w:r>
        <w:r w:rsidR="001A5DA3">
          <w:rPr>
            <w:webHidden/>
          </w:rPr>
          <w:fldChar w:fldCharType="end"/>
        </w:r>
      </w:hyperlink>
    </w:p>
    <w:p w14:paraId="6B551675" w14:textId="06377296" w:rsidR="001A5DA3" w:rsidRDefault="000B63BB">
      <w:pPr>
        <w:pStyle w:val="TOC3"/>
        <w:tabs>
          <w:tab w:val="left" w:pos="1474"/>
        </w:tabs>
        <w:rPr>
          <w:rFonts w:eastAsiaTheme="minorEastAsia" w:cstheme="minorBidi"/>
        </w:rPr>
      </w:pPr>
      <w:hyperlink w:anchor="_Toc67952185" w:history="1">
        <w:r w:rsidR="001A5DA3" w:rsidRPr="00E638DB">
          <w:rPr>
            <w:rStyle w:val="Hyperlink"/>
          </w:rPr>
          <w:t>1.1.5</w:t>
        </w:r>
        <w:r w:rsidR="001A5DA3">
          <w:rPr>
            <w:rFonts w:eastAsiaTheme="minorEastAsia" w:cstheme="minorBidi"/>
          </w:rPr>
          <w:tab/>
        </w:r>
        <w:r w:rsidR="001A5DA3" w:rsidRPr="00E638DB">
          <w:rPr>
            <w:rStyle w:val="Hyperlink"/>
          </w:rPr>
          <w:t>My Health Record recommendations</w:t>
        </w:r>
        <w:r w:rsidR="001A5DA3">
          <w:rPr>
            <w:webHidden/>
          </w:rPr>
          <w:tab/>
        </w:r>
        <w:r w:rsidR="001A5DA3">
          <w:rPr>
            <w:webHidden/>
          </w:rPr>
          <w:fldChar w:fldCharType="begin"/>
        </w:r>
        <w:r w:rsidR="001A5DA3">
          <w:rPr>
            <w:webHidden/>
          </w:rPr>
          <w:instrText xml:space="preserve"> PAGEREF _Toc67952185 \h </w:instrText>
        </w:r>
        <w:r w:rsidR="001A5DA3">
          <w:rPr>
            <w:webHidden/>
          </w:rPr>
        </w:r>
        <w:r w:rsidR="001A5DA3">
          <w:rPr>
            <w:webHidden/>
          </w:rPr>
          <w:fldChar w:fldCharType="separate"/>
        </w:r>
        <w:r w:rsidR="00832059">
          <w:rPr>
            <w:webHidden/>
          </w:rPr>
          <w:t>10</w:t>
        </w:r>
        <w:r w:rsidR="001A5DA3">
          <w:rPr>
            <w:webHidden/>
          </w:rPr>
          <w:fldChar w:fldCharType="end"/>
        </w:r>
      </w:hyperlink>
    </w:p>
    <w:p w14:paraId="3A4B6CA2" w14:textId="0BA23611" w:rsidR="001A5DA3" w:rsidRDefault="000B63BB">
      <w:pPr>
        <w:pStyle w:val="TOC2"/>
        <w:rPr>
          <w:rFonts w:eastAsiaTheme="minorEastAsia" w:cstheme="minorBidi"/>
        </w:rPr>
      </w:pPr>
      <w:hyperlink w:anchor="_Toc67952186" w:history="1">
        <w:r w:rsidR="001A5DA3" w:rsidRPr="00E638DB">
          <w:rPr>
            <w:rStyle w:val="Hyperlink"/>
            <w:lang w:val="en-GB"/>
          </w:rPr>
          <w:t>1.2</w:t>
        </w:r>
        <w:r w:rsidR="001A5DA3">
          <w:rPr>
            <w:rFonts w:eastAsiaTheme="minorEastAsia" w:cstheme="minorBidi"/>
          </w:rPr>
          <w:tab/>
        </w:r>
        <w:r w:rsidR="001A5DA3" w:rsidRPr="00E638DB">
          <w:rPr>
            <w:rStyle w:val="Hyperlink"/>
            <w:lang w:val="en-GB"/>
          </w:rPr>
          <w:t>Consumer engagement</w:t>
        </w:r>
        <w:r w:rsidR="001A5DA3">
          <w:rPr>
            <w:webHidden/>
          </w:rPr>
          <w:tab/>
        </w:r>
        <w:r w:rsidR="001A5DA3">
          <w:rPr>
            <w:webHidden/>
          </w:rPr>
          <w:fldChar w:fldCharType="begin"/>
        </w:r>
        <w:r w:rsidR="001A5DA3">
          <w:rPr>
            <w:webHidden/>
          </w:rPr>
          <w:instrText xml:space="preserve"> PAGEREF _Toc67952186 \h </w:instrText>
        </w:r>
        <w:r w:rsidR="001A5DA3">
          <w:rPr>
            <w:webHidden/>
          </w:rPr>
        </w:r>
        <w:r w:rsidR="001A5DA3">
          <w:rPr>
            <w:webHidden/>
          </w:rPr>
          <w:fldChar w:fldCharType="separate"/>
        </w:r>
        <w:r w:rsidR="00832059">
          <w:rPr>
            <w:webHidden/>
          </w:rPr>
          <w:t>11</w:t>
        </w:r>
        <w:r w:rsidR="001A5DA3">
          <w:rPr>
            <w:webHidden/>
          </w:rPr>
          <w:fldChar w:fldCharType="end"/>
        </w:r>
      </w:hyperlink>
    </w:p>
    <w:p w14:paraId="7A934C81" w14:textId="612D225F" w:rsidR="001A5DA3" w:rsidRDefault="000B63BB">
      <w:pPr>
        <w:pStyle w:val="TOC2"/>
        <w:rPr>
          <w:rFonts w:eastAsiaTheme="minorEastAsia" w:cstheme="minorBidi"/>
        </w:rPr>
      </w:pPr>
      <w:hyperlink w:anchor="_Toc67952187" w:history="1">
        <w:r w:rsidR="001A5DA3" w:rsidRPr="00E638DB">
          <w:rPr>
            <w:rStyle w:val="Hyperlink"/>
            <w:lang w:val="en-GB"/>
          </w:rPr>
          <w:t>1.3</w:t>
        </w:r>
        <w:r w:rsidR="001A5DA3">
          <w:rPr>
            <w:rFonts w:eastAsiaTheme="minorEastAsia" w:cstheme="minorBidi"/>
          </w:rPr>
          <w:tab/>
        </w:r>
        <w:r w:rsidR="001A5DA3" w:rsidRPr="00E638DB">
          <w:rPr>
            <w:rStyle w:val="Hyperlink"/>
            <w:lang w:val="en-GB"/>
          </w:rPr>
          <w:t>Consumer impact summary</w:t>
        </w:r>
        <w:r w:rsidR="001A5DA3">
          <w:rPr>
            <w:webHidden/>
          </w:rPr>
          <w:tab/>
        </w:r>
        <w:r w:rsidR="001A5DA3">
          <w:rPr>
            <w:webHidden/>
          </w:rPr>
          <w:fldChar w:fldCharType="begin"/>
        </w:r>
        <w:r w:rsidR="001A5DA3">
          <w:rPr>
            <w:webHidden/>
          </w:rPr>
          <w:instrText xml:space="preserve"> PAGEREF _Toc67952187 \h </w:instrText>
        </w:r>
        <w:r w:rsidR="001A5DA3">
          <w:rPr>
            <w:webHidden/>
          </w:rPr>
        </w:r>
        <w:r w:rsidR="001A5DA3">
          <w:rPr>
            <w:webHidden/>
          </w:rPr>
          <w:fldChar w:fldCharType="separate"/>
        </w:r>
        <w:r w:rsidR="00832059">
          <w:rPr>
            <w:webHidden/>
          </w:rPr>
          <w:t>11</w:t>
        </w:r>
        <w:r w:rsidR="001A5DA3">
          <w:rPr>
            <w:webHidden/>
          </w:rPr>
          <w:fldChar w:fldCharType="end"/>
        </w:r>
      </w:hyperlink>
    </w:p>
    <w:p w14:paraId="7FEADFE7" w14:textId="7A9E863D" w:rsidR="001A5DA3" w:rsidRDefault="000B63BB">
      <w:pPr>
        <w:pStyle w:val="TOC1"/>
        <w:rPr>
          <w:rFonts w:eastAsiaTheme="minorEastAsia" w:cstheme="minorBidi"/>
          <w:b w:val="0"/>
        </w:rPr>
      </w:pPr>
      <w:hyperlink w:anchor="_Toc67952188" w:history="1">
        <w:r w:rsidR="001A5DA3" w:rsidRPr="00E638DB">
          <w:rPr>
            <w:rStyle w:val="Hyperlink"/>
            <w:lang w:val="en-GB"/>
          </w:rPr>
          <w:t>2</w:t>
        </w:r>
        <w:r w:rsidR="001A5DA3">
          <w:rPr>
            <w:rFonts w:eastAsiaTheme="minorEastAsia" w:cstheme="minorBidi"/>
            <w:b w:val="0"/>
          </w:rPr>
          <w:tab/>
        </w:r>
        <w:r w:rsidR="001A5DA3" w:rsidRPr="00E638DB">
          <w:rPr>
            <w:rStyle w:val="Hyperlink"/>
            <w:lang w:val="en-GB"/>
          </w:rPr>
          <w:t>About the Medicare Benefits Schedule (MBS) Review</w:t>
        </w:r>
        <w:r w:rsidR="001A5DA3">
          <w:rPr>
            <w:webHidden/>
          </w:rPr>
          <w:tab/>
        </w:r>
        <w:r w:rsidR="001A5DA3">
          <w:rPr>
            <w:webHidden/>
          </w:rPr>
          <w:fldChar w:fldCharType="begin"/>
        </w:r>
        <w:r w:rsidR="001A5DA3">
          <w:rPr>
            <w:webHidden/>
          </w:rPr>
          <w:instrText xml:space="preserve"> PAGEREF _Toc67952188 \h </w:instrText>
        </w:r>
        <w:r w:rsidR="001A5DA3">
          <w:rPr>
            <w:webHidden/>
          </w:rPr>
        </w:r>
        <w:r w:rsidR="001A5DA3">
          <w:rPr>
            <w:webHidden/>
          </w:rPr>
          <w:fldChar w:fldCharType="separate"/>
        </w:r>
        <w:r w:rsidR="00832059">
          <w:rPr>
            <w:webHidden/>
          </w:rPr>
          <w:t>12</w:t>
        </w:r>
        <w:r w:rsidR="001A5DA3">
          <w:rPr>
            <w:webHidden/>
          </w:rPr>
          <w:fldChar w:fldCharType="end"/>
        </w:r>
      </w:hyperlink>
    </w:p>
    <w:p w14:paraId="709CA89C" w14:textId="013FB570" w:rsidR="001A5DA3" w:rsidRDefault="000B63BB">
      <w:pPr>
        <w:pStyle w:val="TOC2"/>
        <w:rPr>
          <w:rFonts w:eastAsiaTheme="minorEastAsia" w:cstheme="minorBidi"/>
        </w:rPr>
      </w:pPr>
      <w:hyperlink w:anchor="_Toc67952189" w:history="1">
        <w:r w:rsidR="001A5DA3" w:rsidRPr="00E638DB">
          <w:rPr>
            <w:rStyle w:val="Hyperlink"/>
          </w:rPr>
          <w:t>2.1</w:t>
        </w:r>
        <w:r w:rsidR="001A5DA3">
          <w:rPr>
            <w:rFonts w:eastAsiaTheme="minorEastAsia" w:cstheme="minorBidi"/>
          </w:rPr>
          <w:tab/>
        </w:r>
        <w:r w:rsidR="001A5DA3" w:rsidRPr="00E638DB">
          <w:rPr>
            <w:rStyle w:val="Hyperlink"/>
          </w:rPr>
          <w:t>Medicare and the MBS</w:t>
        </w:r>
        <w:r w:rsidR="001A5DA3">
          <w:rPr>
            <w:webHidden/>
          </w:rPr>
          <w:tab/>
        </w:r>
        <w:r w:rsidR="001A5DA3">
          <w:rPr>
            <w:webHidden/>
          </w:rPr>
          <w:fldChar w:fldCharType="begin"/>
        </w:r>
        <w:r w:rsidR="001A5DA3">
          <w:rPr>
            <w:webHidden/>
          </w:rPr>
          <w:instrText xml:space="preserve"> PAGEREF _Toc67952189 \h </w:instrText>
        </w:r>
        <w:r w:rsidR="001A5DA3">
          <w:rPr>
            <w:webHidden/>
          </w:rPr>
        </w:r>
        <w:r w:rsidR="001A5DA3">
          <w:rPr>
            <w:webHidden/>
          </w:rPr>
          <w:fldChar w:fldCharType="separate"/>
        </w:r>
        <w:r w:rsidR="00832059">
          <w:rPr>
            <w:webHidden/>
          </w:rPr>
          <w:t>12</w:t>
        </w:r>
        <w:r w:rsidR="001A5DA3">
          <w:rPr>
            <w:webHidden/>
          </w:rPr>
          <w:fldChar w:fldCharType="end"/>
        </w:r>
      </w:hyperlink>
    </w:p>
    <w:p w14:paraId="44FD6713" w14:textId="63B1E79C" w:rsidR="001A5DA3" w:rsidRDefault="000B63BB">
      <w:pPr>
        <w:pStyle w:val="TOC3"/>
        <w:tabs>
          <w:tab w:val="left" w:pos="1474"/>
        </w:tabs>
        <w:rPr>
          <w:rFonts w:eastAsiaTheme="minorEastAsia" w:cstheme="minorBidi"/>
        </w:rPr>
      </w:pPr>
      <w:hyperlink w:anchor="_Toc67952190" w:history="1">
        <w:r w:rsidR="001A5DA3" w:rsidRPr="00E638DB">
          <w:rPr>
            <w:rStyle w:val="Hyperlink"/>
          </w:rPr>
          <w:t>2.1.1</w:t>
        </w:r>
        <w:r w:rsidR="001A5DA3">
          <w:rPr>
            <w:rFonts w:eastAsiaTheme="minorEastAsia" w:cstheme="minorBidi"/>
          </w:rPr>
          <w:tab/>
        </w:r>
        <w:r w:rsidR="001A5DA3" w:rsidRPr="00E638DB">
          <w:rPr>
            <w:rStyle w:val="Hyperlink"/>
          </w:rPr>
          <w:t>What is Medicare?</w:t>
        </w:r>
        <w:r w:rsidR="001A5DA3">
          <w:rPr>
            <w:webHidden/>
          </w:rPr>
          <w:tab/>
        </w:r>
        <w:r w:rsidR="001A5DA3">
          <w:rPr>
            <w:webHidden/>
          </w:rPr>
          <w:fldChar w:fldCharType="begin"/>
        </w:r>
        <w:r w:rsidR="001A5DA3">
          <w:rPr>
            <w:webHidden/>
          </w:rPr>
          <w:instrText xml:space="preserve"> PAGEREF _Toc67952190 \h </w:instrText>
        </w:r>
        <w:r w:rsidR="001A5DA3">
          <w:rPr>
            <w:webHidden/>
          </w:rPr>
        </w:r>
        <w:r w:rsidR="001A5DA3">
          <w:rPr>
            <w:webHidden/>
          </w:rPr>
          <w:fldChar w:fldCharType="separate"/>
        </w:r>
        <w:r w:rsidR="00832059">
          <w:rPr>
            <w:webHidden/>
          </w:rPr>
          <w:t>12</w:t>
        </w:r>
        <w:r w:rsidR="001A5DA3">
          <w:rPr>
            <w:webHidden/>
          </w:rPr>
          <w:fldChar w:fldCharType="end"/>
        </w:r>
      </w:hyperlink>
    </w:p>
    <w:p w14:paraId="48682E3A" w14:textId="530E38F7" w:rsidR="001A5DA3" w:rsidRDefault="000B63BB">
      <w:pPr>
        <w:pStyle w:val="TOC2"/>
        <w:rPr>
          <w:rFonts w:eastAsiaTheme="minorEastAsia" w:cstheme="minorBidi"/>
        </w:rPr>
      </w:pPr>
      <w:hyperlink w:anchor="_Toc67952191" w:history="1">
        <w:r w:rsidR="001A5DA3" w:rsidRPr="00E638DB">
          <w:rPr>
            <w:rStyle w:val="Hyperlink"/>
          </w:rPr>
          <w:t>2.2</w:t>
        </w:r>
        <w:r w:rsidR="001A5DA3">
          <w:rPr>
            <w:rFonts w:eastAsiaTheme="minorEastAsia" w:cstheme="minorBidi"/>
          </w:rPr>
          <w:tab/>
        </w:r>
        <w:r w:rsidR="001A5DA3" w:rsidRPr="00E638DB">
          <w:rPr>
            <w:rStyle w:val="Hyperlink"/>
          </w:rPr>
          <w:t>What is the MBS?</w:t>
        </w:r>
        <w:r w:rsidR="001A5DA3">
          <w:rPr>
            <w:webHidden/>
          </w:rPr>
          <w:tab/>
        </w:r>
        <w:r w:rsidR="001A5DA3">
          <w:rPr>
            <w:webHidden/>
          </w:rPr>
          <w:fldChar w:fldCharType="begin"/>
        </w:r>
        <w:r w:rsidR="001A5DA3">
          <w:rPr>
            <w:webHidden/>
          </w:rPr>
          <w:instrText xml:space="preserve"> PAGEREF _Toc67952191 \h </w:instrText>
        </w:r>
        <w:r w:rsidR="001A5DA3">
          <w:rPr>
            <w:webHidden/>
          </w:rPr>
        </w:r>
        <w:r w:rsidR="001A5DA3">
          <w:rPr>
            <w:webHidden/>
          </w:rPr>
          <w:fldChar w:fldCharType="separate"/>
        </w:r>
        <w:r w:rsidR="00832059">
          <w:rPr>
            <w:webHidden/>
          </w:rPr>
          <w:t>12</w:t>
        </w:r>
        <w:r w:rsidR="001A5DA3">
          <w:rPr>
            <w:webHidden/>
          </w:rPr>
          <w:fldChar w:fldCharType="end"/>
        </w:r>
      </w:hyperlink>
    </w:p>
    <w:p w14:paraId="5FC2373E" w14:textId="5FFD5A4E" w:rsidR="001A5DA3" w:rsidRDefault="000B63BB">
      <w:pPr>
        <w:pStyle w:val="TOC2"/>
        <w:rPr>
          <w:rFonts w:eastAsiaTheme="minorEastAsia" w:cstheme="minorBidi"/>
        </w:rPr>
      </w:pPr>
      <w:hyperlink w:anchor="_Toc67952192" w:history="1">
        <w:r w:rsidR="001A5DA3" w:rsidRPr="00E638DB">
          <w:rPr>
            <w:rStyle w:val="Hyperlink"/>
          </w:rPr>
          <w:t>2.3</w:t>
        </w:r>
        <w:r w:rsidR="001A5DA3">
          <w:rPr>
            <w:rFonts w:eastAsiaTheme="minorEastAsia" w:cstheme="minorBidi"/>
          </w:rPr>
          <w:tab/>
        </w:r>
        <w:r w:rsidR="001A5DA3" w:rsidRPr="00E638DB">
          <w:rPr>
            <w:rStyle w:val="Hyperlink"/>
          </w:rPr>
          <w:t>What is the MBS Review Taskforce?</w:t>
        </w:r>
        <w:r w:rsidR="001A5DA3">
          <w:rPr>
            <w:webHidden/>
          </w:rPr>
          <w:tab/>
        </w:r>
        <w:r w:rsidR="001A5DA3">
          <w:rPr>
            <w:webHidden/>
          </w:rPr>
          <w:fldChar w:fldCharType="begin"/>
        </w:r>
        <w:r w:rsidR="001A5DA3">
          <w:rPr>
            <w:webHidden/>
          </w:rPr>
          <w:instrText xml:space="preserve"> PAGEREF _Toc67952192 \h </w:instrText>
        </w:r>
        <w:r w:rsidR="001A5DA3">
          <w:rPr>
            <w:webHidden/>
          </w:rPr>
        </w:r>
        <w:r w:rsidR="001A5DA3">
          <w:rPr>
            <w:webHidden/>
          </w:rPr>
          <w:fldChar w:fldCharType="separate"/>
        </w:r>
        <w:r w:rsidR="00832059">
          <w:rPr>
            <w:webHidden/>
          </w:rPr>
          <w:t>12</w:t>
        </w:r>
        <w:r w:rsidR="001A5DA3">
          <w:rPr>
            <w:webHidden/>
          </w:rPr>
          <w:fldChar w:fldCharType="end"/>
        </w:r>
      </w:hyperlink>
    </w:p>
    <w:p w14:paraId="38CE2D00" w14:textId="29865D1D" w:rsidR="001A5DA3" w:rsidRDefault="000B63BB">
      <w:pPr>
        <w:pStyle w:val="TOC3"/>
        <w:tabs>
          <w:tab w:val="left" w:pos="1474"/>
        </w:tabs>
        <w:rPr>
          <w:rFonts w:eastAsiaTheme="minorEastAsia" w:cstheme="minorBidi"/>
        </w:rPr>
      </w:pPr>
      <w:hyperlink w:anchor="_Toc67952193" w:history="1">
        <w:r w:rsidR="001A5DA3" w:rsidRPr="00E638DB">
          <w:rPr>
            <w:rStyle w:val="Hyperlink"/>
          </w:rPr>
          <w:t>2.3.1</w:t>
        </w:r>
        <w:r w:rsidR="001A5DA3">
          <w:rPr>
            <w:rFonts w:eastAsiaTheme="minorEastAsia" w:cstheme="minorBidi"/>
          </w:rPr>
          <w:tab/>
        </w:r>
        <w:r w:rsidR="001A5DA3" w:rsidRPr="00E638DB">
          <w:rPr>
            <w:rStyle w:val="Hyperlink"/>
          </w:rPr>
          <w:t>What are the goals of the Taskforce?</w:t>
        </w:r>
        <w:r w:rsidR="001A5DA3">
          <w:rPr>
            <w:webHidden/>
          </w:rPr>
          <w:tab/>
        </w:r>
        <w:r w:rsidR="001A5DA3">
          <w:rPr>
            <w:webHidden/>
          </w:rPr>
          <w:fldChar w:fldCharType="begin"/>
        </w:r>
        <w:r w:rsidR="001A5DA3">
          <w:rPr>
            <w:webHidden/>
          </w:rPr>
          <w:instrText xml:space="preserve"> PAGEREF _Toc67952193 \h </w:instrText>
        </w:r>
        <w:r w:rsidR="001A5DA3">
          <w:rPr>
            <w:webHidden/>
          </w:rPr>
        </w:r>
        <w:r w:rsidR="001A5DA3">
          <w:rPr>
            <w:webHidden/>
          </w:rPr>
          <w:fldChar w:fldCharType="separate"/>
        </w:r>
        <w:r w:rsidR="00832059">
          <w:rPr>
            <w:webHidden/>
          </w:rPr>
          <w:t>12</w:t>
        </w:r>
        <w:r w:rsidR="001A5DA3">
          <w:rPr>
            <w:webHidden/>
          </w:rPr>
          <w:fldChar w:fldCharType="end"/>
        </w:r>
      </w:hyperlink>
    </w:p>
    <w:p w14:paraId="58A12CEB" w14:textId="29FD70F1" w:rsidR="001A5DA3" w:rsidRDefault="000B63BB">
      <w:pPr>
        <w:pStyle w:val="TOC2"/>
        <w:rPr>
          <w:rFonts w:eastAsiaTheme="minorEastAsia" w:cstheme="minorBidi"/>
        </w:rPr>
      </w:pPr>
      <w:hyperlink w:anchor="_Toc67952194" w:history="1">
        <w:r w:rsidR="001A5DA3" w:rsidRPr="00E638DB">
          <w:rPr>
            <w:rStyle w:val="Hyperlink"/>
          </w:rPr>
          <w:t>2.4</w:t>
        </w:r>
        <w:r w:rsidR="001A5DA3">
          <w:rPr>
            <w:rFonts w:eastAsiaTheme="minorEastAsia" w:cstheme="minorBidi"/>
          </w:rPr>
          <w:tab/>
        </w:r>
        <w:r w:rsidR="001A5DA3" w:rsidRPr="00E638DB">
          <w:rPr>
            <w:rStyle w:val="Hyperlink"/>
          </w:rPr>
          <w:t>The Taskforce’s approach</w:t>
        </w:r>
        <w:r w:rsidR="001A5DA3">
          <w:rPr>
            <w:webHidden/>
          </w:rPr>
          <w:tab/>
        </w:r>
        <w:r w:rsidR="001A5DA3">
          <w:rPr>
            <w:webHidden/>
          </w:rPr>
          <w:fldChar w:fldCharType="begin"/>
        </w:r>
        <w:r w:rsidR="001A5DA3">
          <w:rPr>
            <w:webHidden/>
          </w:rPr>
          <w:instrText xml:space="preserve"> PAGEREF _Toc67952194 \h </w:instrText>
        </w:r>
        <w:r w:rsidR="001A5DA3">
          <w:rPr>
            <w:webHidden/>
          </w:rPr>
        </w:r>
        <w:r w:rsidR="001A5DA3">
          <w:rPr>
            <w:webHidden/>
          </w:rPr>
          <w:fldChar w:fldCharType="separate"/>
        </w:r>
        <w:r w:rsidR="00832059">
          <w:rPr>
            <w:webHidden/>
          </w:rPr>
          <w:t>13</w:t>
        </w:r>
        <w:r w:rsidR="001A5DA3">
          <w:rPr>
            <w:webHidden/>
          </w:rPr>
          <w:fldChar w:fldCharType="end"/>
        </w:r>
      </w:hyperlink>
    </w:p>
    <w:p w14:paraId="3A451DFF" w14:textId="62792D4D" w:rsidR="001A5DA3" w:rsidRDefault="000B63BB">
      <w:pPr>
        <w:pStyle w:val="TOC1"/>
        <w:rPr>
          <w:rFonts w:eastAsiaTheme="minorEastAsia" w:cstheme="minorBidi"/>
          <w:b w:val="0"/>
        </w:rPr>
      </w:pPr>
      <w:hyperlink w:anchor="_Toc67952195" w:history="1">
        <w:r w:rsidR="001A5DA3" w:rsidRPr="00E638DB">
          <w:rPr>
            <w:rStyle w:val="Hyperlink"/>
            <w:lang w:val="en-GB"/>
          </w:rPr>
          <w:t>3</w:t>
        </w:r>
        <w:r w:rsidR="001A5DA3">
          <w:rPr>
            <w:rFonts w:eastAsiaTheme="minorEastAsia" w:cstheme="minorBidi"/>
            <w:b w:val="0"/>
          </w:rPr>
          <w:tab/>
        </w:r>
        <w:r w:rsidR="001A5DA3" w:rsidRPr="00E638DB">
          <w:rPr>
            <w:rStyle w:val="Hyperlink"/>
            <w:lang w:val="en-GB"/>
          </w:rPr>
          <w:t>About the Specialist and Consultant Physician Consultation Clinical Committee</w:t>
        </w:r>
        <w:r w:rsidR="001A5DA3">
          <w:rPr>
            <w:webHidden/>
          </w:rPr>
          <w:tab/>
        </w:r>
        <w:r w:rsidR="001A5DA3">
          <w:rPr>
            <w:webHidden/>
          </w:rPr>
          <w:fldChar w:fldCharType="begin"/>
        </w:r>
        <w:r w:rsidR="001A5DA3">
          <w:rPr>
            <w:webHidden/>
          </w:rPr>
          <w:instrText xml:space="preserve"> PAGEREF _Toc67952195 \h </w:instrText>
        </w:r>
        <w:r w:rsidR="001A5DA3">
          <w:rPr>
            <w:webHidden/>
          </w:rPr>
        </w:r>
        <w:r w:rsidR="001A5DA3">
          <w:rPr>
            <w:webHidden/>
          </w:rPr>
          <w:fldChar w:fldCharType="separate"/>
        </w:r>
        <w:r w:rsidR="00832059">
          <w:rPr>
            <w:webHidden/>
          </w:rPr>
          <w:t>15</w:t>
        </w:r>
        <w:r w:rsidR="001A5DA3">
          <w:rPr>
            <w:webHidden/>
          </w:rPr>
          <w:fldChar w:fldCharType="end"/>
        </w:r>
      </w:hyperlink>
    </w:p>
    <w:p w14:paraId="089C8553" w14:textId="71025096" w:rsidR="001A5DA3" w:rsidRDefault="000B63BB">
      <w:pPr>
        <w:pStyle w:val="TOC2"/>
        <w:rPr>
          <w:rFonts w:eastAsiaTheme="minorEastAsia" w:cstheme="minorBidi"/>
        </w:rPr>
      </w:pPr>
      <w:hyperlink w:anchor="_Toc67952196" w:history="1">
        <w:r w:rsidR="001A5DA3" w:rsidRPr="00E638DB">
          <w:rPr>
            <w:rStyle w:val="Hyperlink"/>
            <w:lang w:val="en-GB"/>
          </w:rPr>
          <w:t>3.1</w:t>
        </w:r>
        <w:r w:rsidR="001A5DA3">
          <w:rPr>
            <w:rFonts w:eastAsiaTheme="minorEastAsia" w:cstheme="minorBidi"/>
          </w:rPr>
          <w:tab/>
        </w:r>
        <w:r w:rsidR="001A5DA3" w:rsidRPr="00E638DB">
          <w:rPr>
            <w:rStyle w:val="Hyperlink"/>
            <w:lang w:val="en-GB"/>
          </w:rPr>
          <w:t>Specialist and Consultant Physician Consultation Clinical Committee members</w:t>
        </w:r>
        <w:r w:rsidR="001A5DA3">
          <w:rPr>
            <w:webHidden/>
          </w:rPr>
          <w:tab/>
        </w:r>
        <w:r w:rsidR="001A5DA3">
          <w:rPr>
            <w:webHidden/>
          </w:rPr>
          <w:fldChar w:fldCharType="begin"/>
        </w:r>
        <w:r w:rsidR="001A5DA3">
          <w:rPr>
            <w:webHidden/>
          </w:rPr>
          <w:instrText xml:space="preserve"> PAGEREF _Toc67952196 \h </w:instrText>
        </w:r>
        <w:r w:rsidR="001A5DA3">
          <w:rPr>
            <w:webHidden/>
          </w:rPr>
        </w:r>
        <w:r w:rsidR="001A5DA3">
          <w:rPr>
            <w:webHidden/>
          </w:rPr>
          <w:fldChar w:fldCharType="separate"/>
        </w:r>
        <w:r w:rsidR="00832059">
          <w:rPr>
            <w:webHidden/>
          </w:rPr>
          <w:t>15</w:t>
        </w:r>
        <w:r w:rsidR="001A5DA3">
          <w:rPr>
            <w:webHidden/>
          </w:rPr>
          <w:fldChar w:fldCharType="end"/>
        </w:r>
      </w:hyperlink>
    </w:p>
    <w:p w14:paraId="77B371C7" w14:textId="5AABA48C" w:rsidR="001A5DA3" w:rsidRDefault="000B63BB">
      <w:pPr>
        <w:pStyle w:val="TOC2"/>
        <w:rPr>
          <w:rFonts w:eastAsiaTheme="minorEastAsia" w:cstheme="minorBidi"/>
        </w:rPr>
      </w:pPr>
      <w:hyperlink w:anchor="_Toc67952197" w:history="1">
        <w:r w:rsidR="001A5DA3" w:rsidRPr="00E638DB">
          <w:rPr>
            <w:rStyle w:val="Hyperlink"/>
            <w:lang w:val="en-GB"/>
          </w:rPr>
          <w:t>3.2</w:t>
        </w:r>
        <w:r w:rsidR="001A5DA3">
          <w:rPr>
            <w:rFonts w:eastAsiaTheme="minorEastAsia" w:cstheme="minorBidi"/>
          </w:rPr>
          <w:tab/>
        </w:r>
        <w:r w:rsidR="001A5DA3" w:rsidRPr="00E638DB">
          <w:rPr>
            <w:rStyle w:val="Hyperlink"/>
            <w:lang w:val="en-GB"/>
          </w:rPr>
          <w:t>Conflicts of interest</w:t>
        </w:r>
        <w:r w:rsidR="001A5DA3">
          <w:rPr>
            <w:webHidden/>
          </w:rPr>
          <w:tab/>
        </w:r>
        <w:r w:rsidR="001A5DA3">
          <w:rPr>
            <w:webHidden/>
          </w:rPr>
          <w:fldChar w:fldCharType="begin"/>
        </w:r>
        <w:r w:rsidR="001A5DA3">
          <w:rPr>
            <w:webHidden/>
          </w:rPr>
          <w:instrText xml:space="preserve"> PAGEREF _Toc67952197 \h </w:instrText>
        </w:r>
        <w:r w:rsidR="001A5DA3">
          <w:rPr>
            <w:webHidden/>
          </w:rPr>
        </w:r>
        <w:r w:rsidR="001A5DA3">
          <w:rPr>
            <w:webHidden/>
          </w:rPr>
          <w:fldChar w:fldCharType="separate"/>
        </w:r>
        <w:r w:rsidR="00832059">
          <w:rPr>
            <w:webHidden/>
          </w:rPr>
          <w:t>17</w:t>
        </w:r>
        <w:r w:rsidR="001A5DA3">
          <w:rPr>
            <w:webHidden/>
          </w:rPr>
          <w:fldChar w:fldCharType="end"/>
        </w:r>
      </w:hyperlink>
    </w:p>
    <w:p w14:paraId="3A20DB13" w14:textId="443F6FF1" w:rsidR="001A5DA3" w:rsidRDefault="000B63BB">
      <w:pPr>
        <w:pStyle w:val="TOC2"/>
        <w:rPr>
          <w:rFonts w:eastAsiaTheme="minorEastAsia" w:cstheme="minorBidi"/>
        </w:rPr>
      </w:pPr>
      <w:hyperlink w:anchor="_Toc67952198" w:history="1">
        <w:r w:rsidR="001A5DA3" w:rsidRPr="00E638DB">
          <w:rPr>
            <w:rStyle w:val="Hyperlink"/>
            <w:lang w:val="en-GB"/>
          </w:rPr>
          <w:t>3.3</w:t>
        </w:r>
        <w:r w:rsidR="001A5DA3">
          <w:rPr>
            <w:rFonts w:eastAsiaTheme="minorEastAsia" w:cstheme="minorBidi"/>
          </w:rPr>
          <w:tab/>
        </w:r>
        <w:r w:rsidR="001A5DA3" w:rsidRPr="00E638DB">
          <w:rPr>
            <w:rStyle w:val="Hyperlink"/>
            <w:lang w:val="en-GB"/>
          </w:rPr>
          <w:t>Areas of responsibility of the Committee</w:t>
        </w:r>
        <w:r w:rsidR="001A5DA3">
          <w:rPr>
            <w:webHidden/>
          </w:rPr>
          <w:tab/>
        </w:r>
        <w:r w:rsidR="001A5DA3">
          <w:rPr>
            <w:webHidden/>
          </w:rPr>
          <w:fldChar w:fldCharType="begin"/>
        </w:r>
        <w:r w:rsidR="001A5DA3">
          <w:rPr>
            <w:webHidden/>
          </w:rPr>
          <w:instrText xml:space="preserve"> PAGEREF _Toc67952198 \h </w:instrText>
        </w:r>
        <w:r w:rsidR="001A5DA3">
          <w:rPr>
            <w:webHidden/>
          </w:rPr>
        </w:r>
        <w:r w:rsidR="001A5DA3">
          <w:rPr>
            <w:webHidden/>
          </w:rPr>
          <w:fldChar w:fldCharType="separate"/>
        </w:r>
        <w:r w:rsidR="00832059">
          <w:rPr>
            <w:webHidden/>
          </w:rPr>
          <w:t>17</w:t>
        </w:r>
        <w:r w:rsidR="001A5DA3">
          <w:rPr>
            <w:webHidden/>
          </w:rPr>
          <w:fldChar w:fldCharType="end"/>
        </w:r>
      </w:hyperlink>
    </w:p>
    <w:p w14:paraId="19814471" w14:textId="7E72D76D" w:rsidR="001A5DA3" w:rsidRDefault="000B63BB">
      <w:pPr>
        <w:pStyle w:val="TOC2"/>
        <w:rPr>
          <w:rFonts w:eastAsiaTheme="minorEastAsia" w:cstheme="minorBidi"/>
        </w:rPr>
      </w:pPr>
      <w:hyperlink w:anchor="_Toc67952199" w:history="1">
        <w:r w:rsidR="001A5DA3" w:rsidRPr="00E638DB">
          <w:rPr>
            <w:rStyle w:val="Hyperlink"/>
            <w:lang w:val="en-GB"/>
          </w:rPr>
          <w:t>3.4</w:t>
        </w:r>
        <w:r w:rsidR="001A5DA3">
          <w:rPr>
            <w:rFonts w:eastAsiaTheme="minorEastAsia" w:cstheme="minorBidi"/>
          </w:rPr>
          <w:tab/>
        </w:r>
        <w:r w:rsidR="001A5DA3" w:rsidRPr="00E638DB">
          <w:rPr>
            <w:rStyle w:val="Hyperlink"/>
            <w:lang w:val="en-GB"/>
          </w:rPr>
          <w:t>Summary of the committee’s review approach</w:t>
        </w:r>
        <w:r w:rsidR="001A5DA3">
          <w:rPr>
            <w:webHidden/>
          </w:rPr>
          <w:tab/>
        </w:r>
        <w:r w:rsidR="001A5DA3">
          <w:rPr>
            <w:webHidden/>
          </w:rPr>
          <w:fldChar w:fldCharType="begin"/>
        </w:r>
        <w:r w:rsidR="001A5DA3">
          <w:rPr>
            <w:webHidden/>
          </w:rPr>
          <w:instrText xml:space="preserve"> PAGEREF _Toc67952199 \h </w:instrText>
        </w:r>
        <w:r w:rsidR="001A5DA3">
          <w:rPr>
            <w:webHidden/>
          </w:rPr>
        </w:r>
        <w:r w:rsidR="001A5DA3">
          <w:rPr>
            <w:webHidden/>
          </w:rPr>
          <w:fldChar w:fldCharType="separate"/>
        </w:r>
        <w:r w:rsidR="00832059">
          <w:rPr>
            <w:webHidden/>
          </w:rPr>
          <w:t>20</w:t>
        </w:r>
        <w:r w:rsidR="001A5DA3">
          <w:rPr>
            <w:webHidden/>
          </w:rPr>
          <w:fldChar w:fldCharType="end"/>
        </w:r>
      </w:hyperlink>
    </w:p>
    <w:p w14:paraId="0F2B630B" w14:textId="46EA5627" w:rsidR="001A5DA3" w:rsidRDefault="000B63BB">
      <w:pPr>
        <w:pStyle w:val="TOC3"/>
        <w:tabs>
          <w:tab w:val="left" w:pos="1474"/>
        </w:tabs>
        <w:rPr>
          <w:rFonts w:eastAsiaTheme="minorEastAsia" w:cstheme="minorBidi"/>
        </w:rPr>
      </w:pPr>
      <w:hyperlink w:anchor="_Toc67952200" w:history="1">
        <w:r w:rsidR="001A5DA3" w:rsidRPr="00E638DB">
          <w:rPr>
            <w:rStyle w:val="Hyperlink"/>
            <w:lang w:val="en-GB"/>
          </w:rPr>
          <w:t>3.4.1</w:t>
        </w:r>
        <w:r w:rsidR="001A5DA3">
          <w:rPr>
            <w:rFonts w:eastAsiaTheme="minorEastAsia" w:cstheme="minorBidi"/>
          </w:rPr>
          <w:tab/>
        </w:r>
        <w:r w:rsidR="001A5DA3" w:rsidRPr="00E638DB">
          <w:rPr>
            <w:rStyle w:val="Hyperlink"/>
            <w:lang w:val="en-GB"/>
          </w:rPr>
          <w:t>Working groups</w:t>
        </w:r>
        <w:r w:rsidR="001A5DA3">
          <w:rPr>
            <w:webHidden/>
          </w:rPr>
          <w:tab/>
        </w:r>
        <w:r w:rsidR="001A5DA3">
          <w:rPr>
            <w:webHidden/>
          </w:rPr>
          <w:fldChar w:fldCharType="begin"/>
        </w:r>
        <w:r w:rsidR="001A5DA3">
          <w:rPr>
            <w:webHidden/>
          </w:rPr>
          <w:instrText xml:space="preserve"> PAGEREF _Toc67952200 \h </w:instrText>
        </w:r>
        <w:r w:rsidR="001A5DA3">
          <w:rPr>
            <w:webHidden/>
          </w:rPr>
        </w:r>
        <w:r w:rsidR="001A5DA3">
          <w:rPr>
            <w:webHidden/>
          </w:rPr>
          <w:fldChar w:fldCharType="separate"/>
        </w:r>
        <w:r w:rsidR="00832059">
          <w:rPr>
            <w:webHidden/>
          </w:rPr>
          <w:t>20</w:t>
        </w:r>
        <w:r w:rsidR="001A5DA3">
          <w:rPr>
            <w:webHidden/>
          </w:rPr>
          <w:fldChar w:fldCharType="end"/>
        </w:r>
      </w:hyperlink>
    </w:p>
    <w:p w14:paraId="0E83551F" w14:textId="12E455B3" w:rsidR="001A5DA3" w:rsidRDefault="000B63BB">
      <w:pPr>
        <w:pStyle w:val="TOC3"/>
        <w:tabs>
          <w:tab w:val="left" w:pos="1474"/>
        </w:tabs>
        <w:rPr>
          <w:rFonts w:eastAsiaTheme="minorEastAsia" w:cstheme="minorBidi"/>
        </w:rPr>
      </w:pPr>
      <w:hyperlink w:anchor="_Toc67952201" w:history="1">
        <w:r w:rsidR="001A5DA3" w:rsidRPr="00E638DB">
          <w:rPr>
            <w:rStyle w:val="Hyperlink"/>
            <w:lang w:val="en-GB"/>
          </w:rPr>
          <w:t>3.4.2</w:t>
        </w:r>
        <w:r w:rsidR="001A5DA3">
          <w:rPr>
            <w:rFonts w:eastAsiaTheme="minorEastAsia" w:cstheme="minorBidi"/>
          </w:rPr>
          <w:tab/>
        </w:r>
        <w:r w:rsidR="001A5DA3" w:rsidRPr="00E638DB">
          <w:rPr>
            <w:rStyle w:val="Hyperlink"/>
            <w:lang w:val="en-GB"/>
          </w:rPr>
          <w:t>Numbering of proposed items</w:t>
        </w:r>
        <w:r w:rsidR="001A5DA3">
          <w:rPr>
            <w:webHidden/>
          </w:rPr>
          <w:tab/>
        </w:r>
        <w:r w:rsidR="001A5DA3">
          <w:rPr>
            <w:webHidden/>
          </w:rPr>
          <w:fldChar w:fldCharType="begin"/>
        </w:r>
        <w:r w:rsidR="001A5DA3">
          <w:rPr>
            <w:webHidden/>
          </w:rPr>
          <w:instrText xml:space="preserve"> PAGEREF _Toc67952201 \h </w:instrText>
        </w:r>
        <w:r w:rsidR="001A5DA3">
          <w:rPr>
            <w:webHidden/>
          </w:rPr>
        </w:r>
        <w:r w:rsidR="001A5DA3">
          <w:rPr>
            <w:webHidden/>
          </w:rPr>
          <w:fldChar w:fldCharType="separate"/>
        </w:r>
        <w:r w:rsidR="00832059">
          <w:rPr>
            <w:webHidden/>
          </w:rPr>
          <w:t>20</w:t>
        </w:r>
        <w:r w:rsidR="001A5DA3">
          <w:rPr>
            <w:webHidden/>
          </w:rPr>
          <w:fldChar w:fldCharType="end"/>
        </w:r>
      </w:hyperlink>
    </w:p>
    <w:p w14:paraId="5F653B9C" w14:textId="2C1C525E" w:rsidR="001A5DA3" w:rsidRDefault="000B63BB">
      <w:pPr>
        <w:pStyle w:val="TOC1"/>
        <w:rPr>
          <w:rFonts w:eastAsiaTheme="minorEastAsia" w:cstheme="minorBidi"/>
          <w:b w:val="0"/>
        </w:rPr>
      </w:pPr>
      <w:hyperlink w:anchor="_Toc67952202" w:history="1">
        <w:r w:rsidR="001A5DA3" w:rsidRPr="00E638DB">
          <w:rPr>
            <w:rStyle w:val="Hyperlink"/>
            <w:lang w:val="en-GB"/>
          </w:rPr>
          <w:t>4</w:t>
        </w:r>
        <w:r w:rsidR="001A5DA3">
          <w:rPr>
            <w:rFonts w:eastAsiaTheme="minorEastAsia" w:cstheme="minorBidi"/>
            <w:b w:val="0"/>
          </w:rPr>
          <w:tab/>
        </w:r>
        <w:r w:rsidR="001A5DA3" w:rsidRPr="00E638DB">
          <w:rPr>
            <w:rStyle w:val="Hyperlink"/>
            <w:lang w:val="en-GB"/>
          </w:rPr>
          <w:t>Standard attendance recommendations</w:t>
        </w:r>
        <w:r w:rsidR="001A5DA3">
          <w:rPr>
            <w:webHidden/>
          </w:rPr>
          <w:tab/>
        </w:r>
        <w:r w:rsidR="001A5DA3">
          <w:rPr>
            <w:webHidden/>
          </w:rPr>
          <w:fldChar w:fldCharType="begin"/>
        </w:r>
        <w:r w:rsidR="001A5DA3">
          <w:rPr>
            <w:webHidden/>
          </w:rPr>
          <w:instrText xml:space="preserve"> PAGEREF _Toc67952202 \h </w:instrText>
        </w:r>
        <w:r w:rsidR="001A5DA3">
          <w:rPr>
            <w:webHidden/>
          </w:rPr>
        </w:r>
        <w:r w:rsidR="001A5DA3">
          <w:rPr>
            <w:webHidden/>
          </w:rPr>
          <w:fldChar w:fldCharType="separate"/>
        </w:r>
        <w:r w:rsidR="00832059">
          <w:rPr>
            <w:webHidden/>
          </w:rPr>
          <w:t>21</w:t>
        </w:r>
        <w:r w:rsidR="001A5DA3">
          <w:rPr>
            <w:webHidden/>
          </w:rPr>
          <w:fldChar w:fldCharType="end"/>
        </w:r>
      </w:hyperlink>
    </w:p>
    <w:p w14:paraId="49ACB619" w14:textId="2CCE89FD" w:rsidR="001A5DA3" w:rsidRDefault="000B63BB">
      <w:pPr>
        <w:pStyle w:val="TOC2"/>
        <w:rPr>
          <w:rFonts w:eastAsiaTheme="minorEastAsia" w:cstheme="minorBidi"/>
        </w:rPr>
      </w:pPr>
      <w:hyperlink w:anchor="_Toc67952203" w:history="1">
        <w:r w:rsidR="001A5DA3" w:rsidRPr="00E638DB">
          <w:rPr>
            <w:rStyle w:val="Hyperlink"/>
            <w:lang w:val="en-GB"/>
          </w:rPr>
          <w:t>4.1</w:t>
        </w:r>
        <w:r w:rsidR="001A5DA3">
          <w:rPr>
            <w:rFonts w:eastAsiaTheme="minorEastAsia" w:cstheme="minorBidi"/>
          </w:rPr>
          <w:tab/>
        </w:r>
        <w:r w:rsidR="001A5DA3" w:rsidRPr="00E638DB">
          <w:rPr>
            <w:rStyle w:val="Hyperlink"/>
            <w:lang w:val="en-GB"/>
          </w:rPr>
          <w:t>Current standard attendances for consultant specialists</w:t>
        </w:r>
        <w:r w:rsidR="001A5DA3">
          <w:rPr>
            <w:webHidden/>
          </w:rPr>
          <w:tab/>
        </w:r>
        <w:r w:rsidR="001A5DA3">
          <w:rPr>
            <w:webHidden/>
          </w:rPr>
          <w:fldChar w:fldCharType="begin"/>
        </w:r>
        <w:r w:rsidR="001A5DA3">
          <w:rPr>
            <w:webHidden/>
          </w:rPr>
          <w:instrText xml:space="preserve"> PAGEREF _Toc67952203 \h </w:instrText>
        </w:r>
        <w:r w:rsidR="001A5DA3">
          <w:rPr>
            <w:webHidden/>
          </w:rPr>
        </w:r>
        <w:r w:rsidR="001A5DA3">
          <w:rPr>
            <w:webHidden/>
          </w:rPr>
          <w:fldChar w:fldCharType="separate"/>
        </w:r>
        <w:r w:rsidR="00832059">
          <w:rPr>
            <w:webHidden/>
          </w:rPr>
          <w:t>21</w:t>
        </w:r>
        <w:r w:rsidR="001A5DA3">
          <w:rPr>
            <w:webHidden/>
          </w:rPr>
          <w:fldChar w:fldCharType="end"/>
        </w:r>
      </w:hyperlink>
    </w:p>
    <w:p w14:paraId="01D2C28A" w14:textId="63097FE1" w:rsidR="001A5DA3" w:rsidRDefault="000B63BB">
      <w:pPr>
        <w:pStyle w:val="TOC2"/>
        <w:rPr>
          <w:rFonts w:eastAsiaTheme="minorEastAsia" w:cstheme="minorBidi"/>
        </w:rPr>
      </w:pPr>
      <w:hyperlink w:anchor="_Toc67952204" w:history="1">
        <w:r w:rsidR="001A5DA3" w:rsidRPr="00E638DB">
          <w:rPr>
            <w:rStyle w:val="Hyperlink"/>
          </w:rPr>
          <w:t>4.2</w:t>
        </w:r>
        <w:r w:rsidR="001A5DA3">
          <w:rPr>
            <w:rFonts w:eastAsiaTheme="minorEastAsia" w:cstheme="minorBidi"/>
          </w:rPr>
          <w:tab/>
        </w:r>
        <w:r w:rsidR="001A5DA3" w:rsidRPr="00E638DB">
          <w:rPr>
            <w:rStyle w:val="Hyperlink"/>
          </w:rPr>
          <w:t>Historical context</w:t>
        </w:r>
        <w:r w:rsidR="001A5DA3">
          <w:rPr>
            <w:webHidden/>
          </w:rPr>
          <w:tab/>
        </w:r>
        <w:r w:rsidR="001A5DA3">
          <w:rPr>
            <w:webHidden/>
          </w:rPr>
          <w:fldChar w:fldCharType="begin"/>
        </w:r>
        <w:r w:rsidR="001A5DA3">
          <w:rPr>
            <w:webHidden/>
          </w:rPr>
          <w:instrText xml:space="preserve"> PAGEREF _Toc67952204 \h </w:instrText>
        </w:r>
        <w:r w:rsidR="001A5DA3">
          <w:rPr>
            <w:webHidden/>
          </w:rPr>
        </w:r>
        <w:r w:rsidR="001A5DA3">
          <w:rPr>
            <w:webHidden/>
          </w:rPr>
          <w:fldChar w:fldCharType="separate"/>
        </w:r>
        <w:r w:rsidR="00832059">
          <w:rPr>
            <w:webHidden/>
          </w:rPr>
          <w:t>21</w:t>
        </w:r>
        <w:r w:rsidR="001A5DA3">
          <w:rPr>
            <w:webHidden/>
          </w:rPr>
          <w:fldChar w:fldCharType="end"/>
        </w:r>
      </w:hyperlink>
    </w:p>
    <w:p w14:paraId="0D7DD95D" w14:textId="70434474" w:rsidR="001A5DA3" w:rsidRDefault="000B63BB">
      <w:pPr>
        <w:pStyle w:val="TOC3"/>
        <w:tabs>
          <w:tab w:val="left" w:pos="1474"/>
        </w:tabs>
        <w:rPr>
          <w:rFonts w:eastAsiaTheme="minorEastAsia" w:cstheme="minorBidi"/>
        </w:rPr>
      </w:pPr>
      <w:hyperlink w:anchor="_Toc67952205" w:history="1">
        <w:r w:rsidR="001A5DA3" w:rsidRPr="00E638DB">
          <w:rPr>
            <w:rStyle w:val="Hyperlink"/>
          </w:rPr>
          <w:t>4.2.1</w:t>
        </w:r>
        <w:r w:rsidR="001A5DA3">
          <w:rPr>
            <w:rFonts w:eastAsiaTheme="minorEastAsia" w:cstheme="minorBidi"/>
          </w:rPr>
          <w:tab/>
        </w:r>
        <w:r w:rsidR="001A5DA3" w:rsidRPr="00E638DB">
          <w:rPr>
            <w:rStyle w:val="Hyperlink"/>
            <w:lang w:val="en-GB"/>
          </w:rPr>
          <w:t>The distinction between “specialists” and “consultant physicians”</w:t>
        </w:r>
        <w:r w:rsidR="001A5DA3">
          <w:rPr>
            <w:webHidden/>
          </w:rPr>
          <w:tab/>
        </w:r>
        <w:r w:rsidR="001A5DA3">
          <w:rPr>
            <w:webHidden/>
          </w:rPr>
          <w:fldChar w:fldCharType="begin"/>
        </w:r>
        <w:r w:rsidR="001A5DA3">
          <w:rPr>
            <w:webHidden/>
          </w:rPr>
          <w:instrText xml:space="preserve"> PAGEREF _Toc67952205 \h </w:instrText>
        </w:r>
        <w:r w:rsidR="001A5DA3">
          <w:rPr>
            <w:webHidden/>
          </w:rPr>
        </w:r>
        <w:r w:rsidR="001A5DA3">
          <w:rPr>
            <w:webHidden/>
          </w:rPr>
          <w:fldChar w:fldCharType="separate"/>
        </w:r>
        <w:r w:rsidR="00832059">
          <w:rPr>
            <w:webHidden/>
          </w:rPr>
          <w:t>21</w:t>
        </w:r>
        <w:r w:rsidR="001A5DA3">
          <w:rPr>
            <w:webHidden/>
          </w:rPr>
          <w:fldChar w:fldCharType="end"/>
        </w:r>
      </w:hyperlink>
    </w:p>
    <w:p w14:paraId="3008853A" w14:textId="7FD6D52E" w:rsidR="001A5DA3" w:rsidRDefault="000B63BB">
      <w:pPr>
        <w:pStyle w:val="TOC2"/>
        <w:rPr>
          <w:rFonts w:eastAsiaTheme="minorEastAsia" w:cstheme="minorBidi"/>
        </w:rPr>
      </w:pPr>
      <w:hyperlink w:anchor="_Toc67952206" w:history="1">
        <w:r w:rsidR="001A5DA3" w:rsidRPr="00E638DB">
          <w:rPr>
            <w:rStyle w:val="Hyperlink"/>
          </w:rPr>
          <w:t>4.3</w:t>
        </w:r>
        <w:r w:rsidR="001A5DA3">
          <w:rPr>
            <w:rFonts w:eastAsiaTheme="minorEastAsia" w:cstheme="minorBidi"/>
          </w:rPr>
          <w:tab/>
        </w:r>
        <w:r w:rsidR="001A5DA3" w:rsidRPr="00E638DB">
          <w:rPr>
            <w:rStyle w:val="Hyperlink"/>
          </w:rPr>
          <w:t>Overview of current standard attendance items</w:t>
        </w:r>
        <w:r w:rsidR="001A5DA3">
          <w:rPr>
            <w:webHidden/>
          </w:rPr>
          <w:tab/>
        </w:r>
        <w:r w:rsidR="001A5DA3">
          <w:rPr>
            <w:webHidden/>
          </w:rPr>
          <w:fldChar w:fldCharType="begin"/>
        </w:r>
        <w:r w:rsidR="001A5DA3">
          <w:rPr>
            <w:webHidden/>
          </w:rPr>
          <w:instrText xml:space="preserve"> PAGEREF _Toc67952206 \h </w:instrText>
        </w:r>
        <w:r w:rsidR="001A5DA3">
          <w:rPr>
            <w:webHidden/>
          </w:rPr>
        </w:r>
        <w:r w:rsidR="001A5DA3">
          <w:rPr>
            <w:webHidden/>
          </w:rPr>
          <w:fldChar w:fldCharType="separate"/>
        </w:r>
        <w:r w:rsidR="00832059">
          <w:rPr>
            <w:webHidden/>
          </w:rPr>
          <w:t>24</w:t>
        </w:r>
        <w:r w:rsidR="001A5DA3">
          <w:rPr>
            <w:webHidden/>
          </w:rPr>
          <w:fldChar w:fldCharType="end"/>
        </w:r>
      </w:hyperlink>
    </w:p>
    <w:p w14:paraId="51EBD4A4" w14:textId="4B32D38D" w:rsidR="001A5DA3" w:rsidRDefault="000B63BB">
      <w:pPr>
        <w:pStyle w:val="TOC2"/>
        <w:rPr>
          <w:rFonts w:eastAsiaTheme="minorEastAsia" w:cstheme="minorBidi"/>
        </w:rPr>
      </w:pPr>
      <w:hyperlink w:anchor="_Toc67952207" w:history="1">
        <w:r w:rsidR="001A5DA3" w:rsidRPr="00E638DB">
          <w:rPr>
            <w:rStyle w:val="Hyperlink"/>
          </w:rPr>
          <w:t>4.4</w:t>
        </w:r>
        <w:r w:rsidR="001A5DA3">
          <w:rPr>
            <w:rFonts w:eastAsiaTheme="minorEastAsia" w:cstheme="minorBidi"/>
          </w:rPr>
          <w:tab/>
        </w:r>
        <w:r w:rsidR="001A5DA3" w:rsidRPr="00E638DB">
          <w:rPr>
            <w:rStyle w:val="Hyperlink"/>
          </w:rPr>
          <w:t>Issues with current standard attendance items</w:t>
        </w:r>
        <w:r w:rsidR="001A5DA3">
          <w:rPr>
            <w:webHidden/>
          </w:rPr>
          <w:tab/>
        </w:r>
        <w:r w:rsidR="001A5DA3">
          <w:rPr>
            <w:webHidden/>
          </w:rPr>
          <w:fldChar w:fldCharType="begin"/>
        </w:r>
        <w:r w:rsidR="001A5DA3">
          <w:rPr>
            <w:webHidden/>
          </w:rPr>
          <w:instrText xml:space="preserve"> PAGEREF _Toc67952207 \h </w:instrText>
        </w:r>
        <w:r w:rsidR="001A5DA3">
          <w:rPr>
            <w:webHidden/>
          </w:rPr>
        </w:r>
        <w:r w:rsidR="001A5DA3">
          <w:rPr>
            <w:webHidden/>
          </w:rPr>
          <w:fldChar w:fldCharType="separate"/>
        </w:r>
        <w:r w:rsidR="00832059">
          <w:rPr>
            <w:webHidden/>
          </w:rPr>
          <w:t>24</w:t>
        </w:r>
        <w:r w:rsidR="001A5DA3">
          <w:rPr>
            <w:webHidden/>
          </w:rPr>
          <w:fldChar w:fldCharType="end"/>
        </w:r>
      </w:hyperlink>
    </w:p>
    <w:p w14:paraId="5F4977DC" w14:textId="7EAB993E" w:rsidR="001A5DA3" w:rsidRDefault="000B63BB">
      <w:pPr>
        <w:pStyle w:val="TOC2"/>
        <w:rPr>
          <w:rFonts w:eastAsiaTheme="minorEastAsia" w:cstheme="minorBidi"/>
        </w:rPr>
      </w:pPr>
      <w:hyperlink w:anchor="_Toc67952208" w:history="1">
        <w:r w:rsidR="001A5DA3" w:rsidRPr="00E638DB">
          <w:rPr>
            <w:rStyle w:val="Hyperlink"/>
          </w:rPr>
          <w:t>4.5</w:t>
        </w:r>
        <w:r w:rsidR="001A5DA3">
          <w:rPr>
            <w:rFonts w:eastAsiaTheme="minorEastAsia" w:cstheme="minorBidi"/>
          </w:rPr>
          <w:tab/>
        </w:r>
        <w:r w:rsidR="001A5DA3" w:rsidRPr="00E638DB">
          <w:rPr>
            <w:rStyle w:val="Hyperlink"/>
          </w:rPr>
          <w:t>Guiding principles for standard attendance items in the MBS</w:t>
        </w:r>
        <w:r w:rsidR="001A5DA3">
          <w:rPr>
            <w:webHidden/>
          </w:rPr>
          <w:tab/>
        </w:r>
        <w:r w:rsidR="001A5DA3">
          <w:rPr>
            <w:webHidden/>
          </w:rPr>
          <w:fldChar w:fldCharType="begin"/>
        </w:r>
        <w:r w:rsidR="001A5DA3">
          <w:rPr>
            <w:webHidden/>
          </w:rPr>
          <w:instrText xml:space="preserve"> PAGEREF _Toc67952208 \h </w:instrText>
        </w:r>
        <w:r w:rsidR="001A5DA3">
          <w:rPr>
            <w:webHidden/>
          </w:rPr>
        </w:r>
        <w:r w:rsidR="001A5DA3">
          <w:rPr>
            <w:webHidden/>
          </w:rPr>
          <w:fldChar w:fldCharType="separate"/>
        </w:r>
        <w:r w:rsidR="00832059">
          <w:rPr>
            <w:webHidden/>
          </w:rPr>
          <w:t>27</w:t>
        </w:r>
        <w:r w:rsidR="001A5DA3">
          <w:rPr>
            <w:webHidden/>
          </w:rPr>
          <w:fldChar w:fldCharType="end"/>
        </w:r>
      </w:hyperlink>
    </w:p>
    <w:p w14:paraId="20881C6C" w14:textId="09B1D991" w:rsidR="001A5DA3" w:rsidRDefault="000B63BB">
      <w:pPr>
        <w:pStyle w:val="TOC2"/>
        <w:rPr>
          <w:rFonts w:eastAsiaTheme="minorEastAsia" w:cstheme="minorBidi"/>
        </w:rPr>
      </w:pPr>
      <w:hyperlink w:anchor="_Toc67952209" w:history="1">
        <w:r w:rsidR="001A5DA3" w:rsidRPr="00E638DB">
          <w:rPr>
            <w:rStyle w:val="Hyperlink"/>
          </w:rPr>
          <w:t>4.6</w:t>
        </w:r>
        <w:r w:rsidR="001A5DA3">
          <w:rPr>
            <w:rFonts w:eastAsiaTheme="minorEastAsia" w:cstheme="minorBidi"/>
          </w:rPr>
          <w:tab/>
        </w:r>
        <w:r w:rsidR="001A5DA3" w:rsidRPr="00E638DB">
          <w:rPr>
            <w:rStyle w:val="Hyperlink"/>
          </w:rPr>
          <w:t xml:space="preserve">Recommendation 1 - </w:t>
        </w:r>
        <w:r w:rsidR="001A5DA3" w:rsidRPr="00E638DB">
          <w:rPr>
            <w:rStyle w:val="Hyperlink"/>
            <w:lang w:val="en-GB"/>
          </w:rPr>
          <w:t>Introduce attendance items based on attendance duration and patient complexity factors</w:t>
        </w:r>
        <w:r w:rsidR="001A5DA3">
          <w:rPr>
            <w:webHidden/>
          </w:rPr>
          <w:tab/>
        </w:r>
        <w:r w:rsidR="001A5DA3">
          <w:rPr>
            <w:webHidden/>
          </w:rPr>
          <w:fldChar w:fldCharType="begin"/>
        </w:r>
        <w:r w:rsidR="001A5DA3">
          <w:rPr>
            <w:webHidden/>
          </w:rPr>
          <w:instrText xml:space="preserve"> PAGEREF _Toc67952209 \h </w:instrText>
        </w:r>
        <w:r w:rsidR="001A5DA3">
          <w:rPr>
            <w:webHidden/>
          </w:rPr>
        </w:r>
        <w:r w:rsidR="001A5DA3">
          <w:rPr>
            <w:webHidden/>
          </w:rPr>
          <w:fldChar w:fldCharType="separate"/>
        </w:r>
        <w:r w:rsidR="00832059">
          <w:rPr>
            <w:webHidden/>
          </w:rPr>
          <w:t>27</w:t>
        </w:r>
        <w:r w:rsidR="001A5DA3">
          <w:rPr>
            <w:webHidden/>
          </w:rPr>
          <w:fldChar w:fldCharType="end"/>
        </w:r>
      </w:hyperlink>
    </w:p>
    <w:p w14:paraId="20B72B7C" w14:textId="645F19BA" w:rsidR="001A5DA3" w:rsidRDefault="000B63BB">
      <w:pPr>
        <w:pStyle w:val="TOC2"/>
        <w:rPr>
          <w:rFonts w:eastAsiaTheme="minorEastAsia" w:cstheme="minorBidi"/>
        </w:rPr>
      </w:pPr>
      <w:hyperlink w:anchor="_Toc67952210" w:history="1">
        <w:r w:rsidR="001A5DA3" w:rsidRPr="00E638DB">
          <w:rPr>
            <w:rStyle w:val="Hyperlink"/>
          </w:rPr>
          <w:t>4.7</w:t>
        </w:r>
        <w:r w:rsidR="001A5DA3">
          <w:rPr>
            <w:rFonts w:eastAsiaTheme="minorEastAsia" w:cstheme="minorBidi"/>
          </w:rPr>
          <w:tab/>
        </w:r>
        <w:r w:rsidR="001A5DA3" w:rsidRPr="00E638DB">
          <w:rPr>
            <w:rStyle w:val="Hyperlink"/>
          </w:rPr>
          <w:t>Rationale 1</w:t>
        </w:r>
        <w:r w:rsidR="001A5DA3">
          <w:rPr>
            <w:webHidden/>
          </w:rPr>
          <w:tab/>
        </w:r>
        <w:r w:rsidR="001A5DA3">
          <w:rPr>
            <w:webHidden/>
          </w:rPr>
          <w:fldChar w:fldCharType="begin"/>
        </w:r>
        <w:r w:rsidR="001A5DA3">
          <w:rPr>
            <w:webHidden/>
          </w:rPr>
          <w:instrText xml:space="preserve"> PAGEREF _Toc67952210 \h </w:instrText>
        </w:r>
        <w:r w:rsidR="001A5DA3">
          <w:rPr>
            <w:webHidden/>
          </w:rPr>
        </w:r>
        <w:r w:rsidR="001A5DA3">
          <w:rPr>
            <w:webHidden/>
          </w:rPr>
          <w:fldChar w:fldCharType="separate"/>
        </w:r>
        <w:r w:rsidR="00832059">
          <w:rPr>
            <w:webHidden/>
          </w:rPr>
          <w:t>32</w:t>
        </w:r>
        <w:r w:rsidR="001A5DA3">
          <w:rPr>
            <w:webHidden/>
          </w:rPr>
          <w:fldChar w:fldCharType="end"/>
        </w:r>
      </w:hyperlink>
    </w:p>
    <w:p w14:paraId="2E0BFC21" w14:textId="2FF33E84" w:rsidR="001A5DA3" w:rsidRDefault="000B63BB">
      <w:pPr>
        <w:pStyle w:val="TOC3"/>
        <w:tabs>
          <w:tab w:val="left" w:pos="1474"/>
        </w:tabs>
        <w:rPr>
          <w:rFonts w:eastAsiaTheme="minorEastAsia" w:cstheme="minorBidi"/>
        </w:rPr>
      </w:pPr>
      <w:hyperlink w:anchor="_Toc67952211" w:history="1">
        <w:r w:rsidR="001A5DA3" w:rsidRPr="00E638DB">
          <w:rPr>
            <w:rStyle w:val="Hyperlink"/>
          </w:rPr>
          <w:t>4.7.1</w:t>
        </w:r>
        <w:r w:rsidR="001A5DA3">
          <w:rPr>
            <w:rFonts w:eastAsiaTheme="minorEastAsia" w:cstheme="minorBidi"/>
          </w:rPr>
          <w:tab/>
        </w:r>
        <w:r w:rsidR="001A5DA3" w:rsidRPr="00E638DB">
          <w:rPr>
            <w:rStyle w:val="Hyperlink"/>
          </w:rPr>
          <w:t>Alternative options to time-tiering</w:t>
        </w:r>
        <w:r w:rsidR="001A5DA3">
          <w:rPr>
            <w:webHidden/>
          </w:rPr>
          <w:tab/>
        </w:r>
        <w:r w:rsidR="001A5DA3">
          <w:rPr>
            <w:webHidden/>
          </w:rPr>
          <w:fldChar w:fldCharType="begin"/>
        </w:r>
        <w:r w:rsidR="001A5DA3">
          <w:rPr>
            <w:webHidden/>
          </w:rPr>
          <w:instrText xml:space="preserve"> PAGEREF _Toc67952211 \h </w:instrText>
        </w:r>
        <w:r w:rsidR="001A5DA3">
          <w:rPr>
            <w:webHidden/>
          </w:rPr>
        </w:r>
        <w:r w:rsidR="001A5DA3">
          <w:rPr>
            <w:webHidden/>
          </w:rPr>
          <w:fldChar w:fldCharType="separate"/>
        </w:r>
        <w:r w:rsidR="00832059">
          <w:rPr>
            <w:webHidden/>
          </w:rPr>
          <w:t>33</w:t>
        </w:r>
        <w:r w:rsidR="001A5DA3">
          <w:rPr>
            <w:webHidden/>
          </w:rPr>
          <w:fldChar w:fldCharType="end"/>
        </w:r>
      </w:hyperlink>
    </w:p>
    <w:p w14:paraId="1CD44DCA" w14:textId="484923F7" w:rsidR="001A5DA3" w:rsidRDefault="000B63BB">
      <w:pPr>
        <w:pStyle w:val="TOC2"/>
        <w:rPr>
          <w:rFonts w:eastAsiaTheme="minorEastAsia" w:cstheme="minorBidi"/>
        </w:rPr>
      </w:pPr>
      <w:hyperlink w:anchor="_Toc67952212" w:history="1">
        <w:r w:rsidR="001A5DA3" w:rsidRPr="00E638DB">
          <w:rPr>
            <w:rStyle w:val="Hyperlink"/>
          </w:rPr>
          <w:t>4.8</w:t>
        </w:r>
        <w:r w:rsidR="001A5DA3">
          <w:rPr>
            <w:rFonts w:eastAsiaTheme="minorEastAsia" w:cstheme="minorBidi"/>
          </w:rPr>
          <w:tab/>
        </w:r>
        <w:r w:rsidR="001A5DA3" w:rsidRPr="00E638DB">
          <w:rPr>
            <w:rStyle w:val="Hyperlink"/>
          </w:rPr>
          <w:t>Recommendation 2 – Introduce new attendance items for acute, urgent and unplanned attendances</w:t>
        </w:r>
        <w:r w:rsidR="001A5DA3">
          <w:rPr>
            <w:webHidden/>
          </w:rPr>
          <w:tab/>
        </w:r>
        <w:r w:rsidR="001A5DA3">
          <w:rPr>
            <w:webHidden/>
          </w:rPr>
          <w:fldChar w:fldCharType="begin"/>
        </w:r>
        <w:r w:rsidR="001A5DA3">
          <w:rPr>
            <w:webHidden/>
          </w:rPr>
          <w:instrText xml:space="preserve"> PAGEREF _Toc67952212 \h </w:instrText>
        </w:r>
        <w:r w:rsidR="001A5DA3">
          <w:rPr>
            <w:webHidden/>
          </w:rPr>
        </w:r>
        <w:r w:rsidR="001A5DA3">
          <w:rPr>
            <w:webHidden/>
          </w:rPr>
          <w:fldChar w:fldCharType="separate"/>
        </w:r>
        <w:r w:rsidR="00832059">
          <w:rPr>
            <w:webHidden/>
          </w:rPr>
          <w:t>34</w:t>
        </w:r>
        <w:r w:rsidR="001A5DA3">
          <w:rPr>
            <w:webHidden/>
          </w:rPr>
          <w:fldChar w:fldCharType="end"/>
        </w:r>
      </w:hyperlink>
    </w:p>
    <w:p w14:paraId="17B90305" w14:textId="3F90DF60" w:rsidR="001A5DA3" w:rsidRDefault="000B63BB">
      <w:pPr>
        <w:pStyle w:val="TOC2"/>
        <w:rPr>
          <w:rFonts w:eastAsiaTheme="minorEastAsia" w:cstheme="minorBidi"/>
        </w:rPr>
      </w:pPr>
      <w:hyperlink w:anchor="_Toc67952213" w:history="1">
        <w:r w:rsidR="001A5DA3" w:rsidRPr="00E638DB">
          <w:rPr>
            <w:rStyle w:val="Hyperlink"/>
          </w:rPr>
          <w:t>4.9</w:t>
        </w:r>
        <w:r w:rsidR="001A5DA3">
          <w:rPr>
            <w:rFonts w:eastAsiaTheme="minorEastAsia" w:cstheme="minorBidi"/>
          </w:rPr>
          <w:tab/>
        </w:r>
        <w:r w:rsidR="001A5DA3" w:rsidRPr="00E638DB">
          <w:rPr>
            <w:rStyle w:val="Hyperlink"/>
          </w:rPr>
          <w:t>Rationale 2</w:t>
        </w:r>
        <w:r w:rsidR="001A5DA3">
          <w:rPr>
            <w:webHidden/>
          </w:rPr>
          <w:tab/>
        </w:r>
        <w:r w:rsidR="001A5DA3">
          <w:rPr>
            <w:webHidden/>
          </w:rPr>
          <w:fldChar w:fldCharType="begin"/>
        </w:r>
        <w:r w:rsidR="001A5DA3">
          <w:rPr>
            <w:webHidden/>
          </w:rPr>
          <w:instrText xml:space="preserve"> PAGEREF _Toc67952213 \h </w:instrText>
        </w:r>
        <w:r w:rsidR="001A5DA3">
          <w:rPr>
            <w:webHidden/>
          </w:rPr>
        </w:r>
        <w:r w:rsidR="001A5DA3">
          <w:rPr>
            <w:webHidden/>
          </w:rPr>
          <w:fldChar w:fldCharType="separate"/>
        </w:r>
        <w:r w:rsidR="00832059">
          <w:rPr>
            <w:webHidden/>
          </w:rPr>
          <w:t>34</w:t>
        </w:r>
        <w:r w:rsidR="001A5DA3">
          <w:rPr>
            <w:webHidden/>
          </w:rPr>
          <w:fldChar w:fldCharType="end"/>
        </w:r>
      </w:hyperlink>
    </w:p>
    <w:p w14:paraId="2FB598FB" w14:textId="3E6834DE" w:rsidR="001A5DA3" w:rsidRDefault="000B63BB">
      <w:pPr>
        <w:pStyle w:val="TOC2"/>
        <w:rPr>
          <w:rFonts w:eastAsiaTheme="minorEastAsia" w:cstheme="minorBidi"/>
        </w:rPr>
      </w:pPr>
      <w:hyperlink w:anchor="_Toc67952214" w:history="1">
        <w:r w:rsidR="001A5DA3" w:rsidRPr="00E638DB">
          <w:rPr>
            <w:rStyle w:val="Hyperlink"/>
          </w:rPr>
          <w:t>4.10</w:t>
        </w:r>
        <w:r w:rsidR="001A5DA3">
          <w:rPr>
            <w:rFonts w:eastAsiaTheme="minorEastAsia" w:cstheme="minorBidi"/>
          </w:rPr>
          <w:tab/>
        </w:r>
        <w:r w:rsidR="001A5DA3" w:rsidRPr="00E638DB">
          <w:rPr>
            <w:rStyle w:val="Hyperlink"/>
          </w:rPr>
          <w:t>Recommendation 3 - Further considerations when implementing time</w:t>
        </w:r>
        <w:r w:rsidR="001A5DA3" w:rsidRPr="00E638DB">
          <w:rPr>
            <w:rStyle w:val="Hyperlink"/>
          </w:rPr>
          <w:noBreakHyphen/>
          <w:t>tiering</w:t>
        </w:r>
        <w:r w:rsidR="001A5DA3">
          <w:rPr>
            <w:webHidden/>
          </w:rPr>
          <w:tab/>
        </w:r>
        <w:r w:rsidR="001A5DA3">
          <w:rPr>
            <w:webHidden/>
          </w:rPr>
          <w:fldChar w:fldCharType="begin"/>
        </w:r>
        <w:r w:rsidR="001A5DA3">
          <w:rPr>
            <w:webHidden/>
          </w:rPr>
          <w:instrText xml:space="preserve"> PAGEREF _Toc67952214 \h </w:instrText>
        </w:r>
        <w:r w:rsidR="001A5DA3">
          <w:rPr>
            <w:webHidden/>
          </w:rPr>
        </w:r>
        <w:r w:rsidR="001A5DA3">
          <w:rPr>
            <w:webHidden/>
          </w:rPr>
          <w:fldChar w:fldCharType="separate"/>
        </w:r>
        <w:r w:rsidR="00832059">
          <w:rPr>
            <w:webHidden/>
          </w:rPr>
          <w:t>35</w:t>
        </w:r>
        <w:r w:rsidR="001A5DA3">
          <w:rPr>
            <w:webHidden/>
          </w:rPr>
          <w:fldChar w:fldCharType="end"/>
        </w:r>
      </w:hyperlink>
    </w:p>
    <w:p w14:paraId="64BA9791" w14:textId="0C4A3571" w:rsidR="001A5DA3" w:rsidRDefault="000B63BB">
      <w:pPr>
        <w:pStyle w:val="TOC2"/>
        <w:rPr>
          <w:rFonts w:eastAsiaTheme="minorEastAsia" w:cstheme="minorBidi"/>
        </w:rPr>
      </w:pPr>
      <w:hyperlink w:anchor="_Toc67952215" w:history="1">
        <w:r w:rsidR="001A5DA3" w:rsidRPr="00E638DB">
          <w:rPr>
            <w:rStyle w:val="Hyperlink"/>
          </w:rPr>
          <w:t>4.11</w:t>
        </w:r>
        <w:r w:rsidR="001A5DA3">
          <w:rPr>
            <w:rFonts w:eastAsiaTheme="minorEastAsia" w:cstheme="minorBidi"/>
          </w:rPr>
          <w:tab/>
        </w:r>
        <w:r w:rsidR="001A5DA3" w:rsidRPr="00E638DB">
          <w:rPr>
            <w:rStyle w:val="Hyperlink"/>
          </w:rPr>
          <w:t>Recommendation 4 – Approach to fee setting</w:t>
        </w:r>
        <w:r w:rsidR="001A5DA3">
          <w:rPr>
            <w:webHidden/>
          </w:rPr>
          <w:tab/>
        </w:r>
        <w:r w:rsidR="001A5DA3">
          <w:rPr>
            <w:webHidden/>
          </w:rPr>
          <w:fldChar w:fldCharType="begin"/>
        </w:r>
        <w:r w:rsidR="001A5DA3">
          <w:rPr>
            <w:webHidden/>
          </w:rPr>
          <w:instrText xml:space="preserve"> PAGEREF _Toc67952215 \h </w:instrText>
        </w:r>
        <w:r w:rsidR="001A5DA3">
          <w:rPr>
            <w:webHidden/>
          </w:rPr>
        </w:r>
        <w:r w:rsidR="001A5DA3">
          <w:rPr>
            <w:webHidden/>
          </w:rPr>
          <w:fldChar w:fldCharType="separate"/>
        </w:r>
        <w:r w:rsidR="00832059">
          <w:rPr>
            <w:webHidden/>
          </w:rPr>
          <w:t>36</w:t>
        </w:r>
        <w:r w:rsidR="001A5DA3">
          <w:rPr>
            <w:webHidden/>
          </w:rPr>
          <w:fldChar w:fldCharType="end"/>
        </w:r>
      </w:hyperlink>
    </w:p>
    <w:p w14:paraId="65559354" w14:textId="54D42989" w:rsidR="001A5DA3" w:rsidRDefault="000B63BB">
      <w:pPr>
        <w:pStyle w:val="TOC2"/>
        <w:rPr>
          <w:rFonts w:eastAsiaTheme="minorEastAsia" w:cstheme="minorBidi"/>
        </w:rPr>
      </w:pPr>
      <w:hyperlink w:anchor="_Toc67952216" w:history="1">
        <w:r w:rsidR="001A5DA3" w:rsidRPr="00E638DB">
          <w:rPr>
            <w:rStyle w:val="Hyperlink"/>
          </w:rPr>
          <w:t>4.12</w:t>
        </w:r>
        <w:r w:rsidR="001A5DA3">
          <w:rPr>
            <w:rFonts w:eastAsiaTheme="minorEastAsia" w:cstheme="minorBidi"/>
          </w:rPr>
          <w:tab/>
        </w:r>
        <w:r w:rsidR="001A5DA3" w:rsidRPr="00E638DB">
          <w:rPr>
            <w:rStyle w:val="Hyperlink"/>
          </w:rPr>
          <w:t>Rationale 4</w:t>
        </w:r>
        <w:r w:rsidR="001A5DA3">
          <w:rPr>
            <w:webHidden/>
          </w:rPr>
          <w:tab/>
        </w:r>
        <w:r w:rsidR="001A5DA3">
          <w:rPr>
            <w:webHidden/>
          </w:rPr>
          <w:fldChar w:fldCharType="begin"/>
        </w:r>
        <w:r w:rsidR="001A5DA3">
          <w:rPr>
            <w:webHidden/>
          </w:rPr>
          <w:instrText xml:space="preserve"> PAGEREF _Toc67952216 \h </w:instrText>
        </w:r>
        <w:r w:rsidR="001A5DA3">
          <w:rPr>
            <w:webHidden/>
          </w:rPr>
        </w:r>
        <w:r w:rsidR="001A5DA3">
          <w:rPr>
            <w:webHidden/>
          </w:rPr>
          <w:fldChar w:fldCharType="separate"/>
        </w:r>
        <w:r w:rsidR="00832059">
          <w:rPr>
            <w:webHidden/>
          </w:rPr>
          <w:t>36</w:t>
        </w:r>
        <w:r w:rsidR="001A5DA3">
          <w:rPr>
            <w:webHidden/>
          </w:rPr>
          <w:fldChar w:fldCharType="end"/>
        </w:r>
      </w:hyperlink>
    </w:p>
    <w:p w14:paraId="1F01EECF" w14:textId="3D7E0C1D" w:rsidR="001A5DA3" w:rsidRDefault="000B63BB">
      <w:pPr>
        <w:pStyle w:val="TOC2"/>
        <w:rPr>
          <w:rFonts w:eastAsiaTheme="minorEastAsia" w:cstheme="minorBidi"/>
        </w:rPr>
      </w:pPr>
      <w:hyperlink w:anchor="_Toc67952217" w:history="1">
        <w:r w:rsidR="001A5DA3" w:rsidRPr="00E638DB">
          <w:rPr>
            <w:rStyle w:val="Hyperlink"/>
          </w:rPr>
          <w:t>4.13</w:t>
        </w:r>
        <w:r w:rsidR="001A5DA3">
          <w:rPr>
            <w:rFonts w:eastAsiaTheme="minorEastAsia" w:cstheme="minorBidi"/>
          </w:rPr>
          <w:tab/>
        </w:r>
        <w:r w:rsidR="001A5DA3" w:rsidRPr="00E638DB">
          <w:rPr>
            <w:rStyle w:val="Hyperlink"/>
          </w:rPr>
          <w:t>Recommendation 5 – Impact of time</w:t>
        </w:r>
        <w:r w:rsidR="001A5DA3" w:rsidRPr="00E638DB">
          <w:rPr>
            <w:rStyle w:val="Hyperlink"/>
          </w:rPr>
          <w:noBreakHyphen/>
          <w:t>tiering on distant outreach services</w:t>
        </w:r>
        <w:r w:rsidR="001A5DA3">
          <w:rPr>
            <w:webHidden/>
          </w:rPr>
          <w:tab/>
        </w:r>
        <w:r w:rsidR="001A5DA3">
          <w:rPr>
            <w:webHidden/>
          </w:rPr>
          <w:fldChar w:fldCharType="begin"/>
        </w:r>
        <w:r w:rsidR="001A5DA3">
          <w:rPr>
            <w:webHidden/>
          </w:rPr>
          <w:instrText xml:space="preserve"> PAGEREF _Toc67952217 \h </w:instrText>
        </w:r>
        <w:r w:rsidR="001A5DA3">
          <w:rPr>
            <w:webHidden/>
          </w:rPr>
        </w:r>
        <w:r w:rsidR="001A5DA3">
          <w:rPr>
            <w:webHidden/>
          </w:rPr>
          <w:fldChar w:fldCharType="separate"/>
        </w:r>
        <w:r w:rsidR="00832059">
          <w:rPr>
            <w:webHidden/>
          </w:rPr>
          <w:t>36</w:t>
        </w:r>
        <w:r w:rsidR="001A5DA3">
          <w:rPr>
            <w:webHidden/>
          </w:rPr>
          <w:fldChar w:fldCharType="end"/>
        </w:r>
      </w:hyperlink>
    </w:p>
    <w:p w14:paraId="28334741" w14:textId="473DFA32" w:rsidR="001A5DA3" w:rsidRDefault="000B63BB">
      <w:pPr>
        <w:pStyle w:val="TOC2"/>
        <w:rPr>
          <w:rFonts w:eastAsiaTheme="minorEastAsia" w:cstheme="minorBidi"/>
        </w:rPr>
      </w:pPr>
      <w:hyperlink w:anchor="_Toc67952218" w:history="1">
        <w:r w:rsidR="001A5DA3" w:rsidRPr="00E638DB">
          <w:rPr>
            <w:rStyle w:val="Hyperlink"/>
          </w:rPr>
          <w:t>4.14</w:t>
        </w:r>
        <w:r w:rsidR="001A5DA3">
          <w:rPr>
            <w:rFonts w:eastAsiaTheme="minorEastAsia" w:cstheme="minorBidi"/>
          </w:rPr>
          <w:tab/>
        </w:r>
        <w:r w:rsidR="001A5DA3" w:rsidRPr="00E638DB">
          <w:rPr>
            <w:rStyle w:val="Hyperlink"/>
          </w:rPr>
          <w:t>Rationale 5</w:t>
        </w:r>
        <w:r w:rsidR="001A5DA3">
          <w:rPr>
            <w:webHidden/>
          </w:rPr>
          <w:tab/>
        </w:r>
        <w:r w:rsidR="001A5DA3">
          <w:rPr>
            <w:webHidden/>
          </w:rPr>
          <w:fldChar w:fldCharType="begin"/>
        </w:r>
        <w:r w:rsidR="001A5DA3">
          <w:rPr>
            <w:webHidden/>
          </w:rPr>
          <w:instrText xml:space="preserve"> PAGEREF _Toc67952218 \h </w:instrText>
        </w:r>
        <w:r w:rsidR="001A5DA3">
          <w:rPr>
            <w:webHidden/>
          </w:rPr>
        </w:r>
        <w:r w:rsidR="001A5DA3">
          <w:rPr>
            <w:webHidden/>
          </w:rPr>
          <w:fldChar w:fldCharType="separate"/>
        </w:r>
        <w:r w:rsidR="00832059">
          <w:rPr>
            <w:webHidden/>
          </w:rPr>
          <w:t>37</w:t>
        </w:r>
        <w:r w:rsidR="001A5DA3">
          <w:rPr>
            <w:webHidden/>
          </w:rPr>
          <w:fldChar w:fldCharType="end"/>
        </w:r>
      </w:hyperlink>
    </w:p>
    <w:p w14:paraId="52414A1A" w14:textId="2DA81AF1" w:rsidR="001A5DA3" w:rsidRDefault="000B63BB">
      <w:pPr>
        <w:pStyle w:val="TOC1"/>
        <w:rPr>
          <w:rFonts w:eastAsiaTheme="minorEastAsia" w:cstheme="minorBidi"/>
          <w:b w:val="0"/>
        </w:rPr>
      </w:pPr>
      <w:hyperlink w:anchor="_Toc67952219" w:history="1">
        <w:r w:rsidR="001A5DA3" w:rsidRPr="00E638DB">
          <w:rPr>
            <w:rStyle w:val="Hyperlink"/>
          </w:rPr>
          <w:t>5</w:t>
        </w:r>
        <w:r w:rsidR="001A5DA3">
          <w:rPr>
            <w:rFonts w:eastAsiaTheme="minorEastAsia" w:cstheme="minorBidi"/>
            <w:b w:val="0"/>
          </w:rPr>
          <w:tab/>
        </w:r>
        <w:r w:rsidR="001A5DA3" w:rsidRPr="00E638DB">
          <w:rPr>
            <w:rStyle w:val="Hyperlink"/>
          </w:rPr>
          <w:t>Complex plan recommendations</w:t>
        </w:r>
        <w:r w:rsidR="001A5DA3">
          <w:rPr>
            <w:webHidden/>
          </w:rPr>
          <w:tab/>
        </w:r>
        <w:r w:rsidR="001A5DA3">
          <w:rPr>
            <w:webHidden/>
          </w:rPr>
          <w:fldChar w:fldCharType="begin"/>
        </w:r>
        <w:r w:rsidR="001A5DA3">
          <w:rPr>
            <w:webHidden/>
          </w:rPr>
          <w:instrText xml:space="preserve"> PAGEREF _Toc67952219 \h </w:instrText>
        </w:r>
        <w:r w:rsidR="001A5DA3">
          <w:rPr>
            <w:webHidden/>
          </w:rPr>
        </w:r>
        <w:r w:rsidR="001A5DA3">
          <w:rPr>
            <w:webHidden/>
          </w:rPr>
          <w:fldChar w:fldCharType="separate"/>
        </w:r>
        <w:r w:rsidR="00832059">
          <w:rPr>
            <w:webHidden/>
          </w:rPr>
          <w:t>38</w:t>
        </w:r>
        <w:r w:rsidR="001A5DA3">
          <w:rPr>
            <w:webHidden/>
          </w:rPr>
          <w:fldChar w:fldCharType="end"/>
        </w:r>
      </w:hyperlink>
    </w:p>
    <w:p w14:paraId="2DC497D8" w14:textId="193FA434" w:rsidR="001A5DA3" w:rsidRDefault="000B63BB">
      <w:pPr>
        <w:pStyle w:val="TOC2"/>
        <w:rPr>
          <w:rFonts w:eastAsiaTheme="minorEastAsia" w:cstheme="minorBidi"/>
        </w:rPr>
      </w:pPr>
      <w:hyperlink w:anchor="_Toc67952220" w:history="1">
        <w:r w:rsidR="001A5DA3" w:rsidRPr="00E638DB">
          <w:rPr>
            <w:rStyle w:val="Hyperlink"/>
          </w:rPr>
          <w:t>5.1</w:t>
        </w:r>
        <w:r w:rsidR="001A5DA3">
          <w:rPr>
            <w:rFonts w:eastAsiaTheme="minorEastAsia" w:cstheme="minorBidi"/>
          </w:rPr>
          <w:tab/>
        </w:r>
        <w:r w:rsidR="001A5DA3" w:rsidRPr="00E638DB">
          <w:rPr>
            <w:rStyle w:val="Hyperlink"/>
          </w:rPr>
          <w:t>The complex plan context</w:t>
        </w:r>
        <w:r w:rsidR="001A5DA3">
          <w:rPr>
            <w:webHidden/>
          </w:rPr>
          <w:tab/>
        </w:r>
        <w:r w:rsidR="001A5DA3">
          <w:rPr>
            <w:webHidden/>
          </w:rPr>
          <w:fldChar w:fldCharType="begin"/>
        </w:r>
        <w:r w:rsidR="001A5DA3">
          <w:rPr>
            <w:webHidden/>
          </w:rPr>
          <w:instrText xml:space="preserve"> PAGEREF _Toc67952220 \h </w:instrText>
        </w:r>
        <w:r w:rsidR="001A5DA3">
          <w:rPr>
            <w:webHidden/>
          </w:rPr>
        </w:r>
        <w:r w:rsidR="001A5DA3">
          <w:rPr>
            <w:webHidden/>
          </w:rPr>
          <w:fldChar w:fldCharType="separate"/>
        </w:r>
        <w:r w:rsidR="00832059">
          <w:rPr>
            <w:webHidden/>
          </w:rPr>
          <w:t>38</w:t>
        </w:r>
        <w:r w:rsidR="001A5DA3">
          <w:rPr>
            <w:webHidden/>
          </w:rPr>
          <w:fldChar w:fldCharType="end"/>
        </w:r>
      </w:hyperlink>
    </w:p>
    <w:p w14:paraId="6A020F7C" w14:textId="28E1BF96" w:rsidR="001A5DA3" w:rsidRDefault="000B63BB">
      <w:pPr>
        <w:pStyle w:val="TOC2"/>
        <w:rPr>
          <w:rFonts w:eastAsiaTheme="minorEastAsia" w:cstheme="minorBidi"/>
        </w:rPr>
      </w:pPr>
      <w:hyperlink w:anchor="_Toc67952221" w:history="1">
        <w:r w:rsidR="001A5DA3" w:rsidRPr="00E638DB">
          <w:rPr>
            <w:rStyle w:val="Hyperlink"/>
          </w:rPr>
          <w:t>5.2</w:t>
        </w:r>
        <w:r w:rsidR="001A5DA3">
          <w:rPr>
            <w:rFonts w:eastAsiaTheme="minorEastAsia" w:cstheme="minorBidi"/>
          </w:rPr>
          <w:tab/>
        </w:r>
        <w:r w:rsidR="001A5DA3" w:rsidRPr="00E638DB">
          <w:rPr>
            <w:rStyle w:val="Hyperlink"/>
          </w:rPr>
          <w:t>Recommendation 6 - Removing consultant physician, addiction medicine, and sexual health medicine complex plan items</w:t>
        </w:r>
        <w:r w:rsidR="001A5DA3">
          <w:rPr>
            <w:webHidden/>
          </w:rPr>
          <w:tab/>
        </w:r>
        <w:r w:rsidR="001A5DA3">
          <w:rPr>
            <w:webHidden/>
          </w:rPr>
          <w:fldChar w:fldCharType="begin"/>
        </w:r>
        <w:r w:rsidR="001A5DA3">
          <w:rPr>
            <w:webHidden/>
          </w:rPr>
          <w:instrText xml:space="preserve"> PAGEREF _Toc67952221 \h </w:instrText>
        </w:r>
        <w:r w:rsidR="001A5DA3">
          <w:rPr>
            <w:webHidden/>
          </w:rPr>
        </w:r>
        <w:r w:rsidR="001A5DA3">
          <w:rPr>
            <w:webHidden/>
          </w:rPr>
          <w:fldChar w:fldCharType="separate"/>
        </w:r>
        <w:r w:rsidR="00832059">
          <w:rPr>
            <w:webHidden/>
          </w:rPr>
          <w:t>38</w:t>
        </w:r>
        <w:r w:rsidR="001A5DA3">
          <w:rPr>
            <w:webHidden/>
          </w:rPr>
          <w:fldChar w:fldCharType="end"/>
        </w:r>
      </w:hyperlink>
    </w:p>
    <w:p w14:paraId="6C18F5F7" w14:textId="78C03406" w:rsidR="001A5DA3" w:rsidRDefault="000B63BB">
      <w:pPr>
        <w:pStyle w:val="TOC2"/>
        <w:rPr>
          <w:rFonts w:eastAsiaTheme="minorEastAsia" w:cstheme="minorBidi"/>
        </w:rPr>
      </w:pPr>
      <w:hyperlink w:anchor="_Toc67952222" w:history="1">
        <w:r w:rsidR="001A5DA3" w:rsidRPr="00E638DB">
          <w:rPr>
            <w:rStyle w:val="Hyperlink"/>
          </w:rPr>
          <w:t>5.3</w:t>
        </w:r>
        <w:r w:rsidR="001A5DA3">
          <w:rPr>
            <w:rFonts w:eastAsiaTheme="minorEastAsia" w:cstheme="minorBidi"/>
          </w:rPr>
          <w:tab/>
        </w:r>
        <w:r w:rsidR="001A5DA3" w:rsidRPr="00E638DB">
          <w:rPr>
            <w:rStyle w:val="Hyperlink"/>
          </w:rPr>
          <w:t>Rationale 6</w:t>
        </w:r>
        <w:r w:rsidR="001A5DA3">
          <w:rPr>
            <w:webHidden/>
          </w:rPr>
          <w:tab/>
        </w:r>
        <w:r w:rsidR="001A5DA3">
          <w:rPr>
            <w:webHidden/>
          </w:rPr>
          <w:fldChar w:fldCharType="begin"/>
        </w:r>
        <w:r w:rsidR="001A5DA3">
          <w:rPr>
            <w:webHidden/>
          </w:rPr>
          <w:instrText xml:space="preserve"> PAGEREF _Toc67952222 \h </w:instrText>
        </w:r>
        <w:r w:rsidR="001A5DA3">
          <w:rPr>
            <w:webHidden/>
          </w:rPr>
        </w:r>
        <w:r w:rsidR="001A5DA3">
          <w:rPr>
            <w:webHidden/>
          </w:rPr>
          <w:fldChar w:fldCharType="separate"/>
        </w:r>
        <w:r w:rsidR="00832059">
          <w:rPr>
            <w:webHidden/>
          </w:rPr>
          <w:t>38</w:t>
        </w:r>
        <w:r w:rsidR="001A5DA3">
          <w:rPr>
            <w:webHidden/>
          </w:rPr>
          <w:fldChar w:fldCharType="end"/>
        </w:r>
      </w:hyperlink>
    </w:p>
    <w:p w14:paraId="14A0F07B" w14:textId="7ED2B7C7" w:rsidR="001A5DA3" w:rsidRDefault="000B63BB">
      <w:pPr>
        <w:pStyle w:val="TOC2"/>
        <w:rPr>
          <w:rFonts w:eastAsiaTheme="minorEastAsia" w:cstheme="minorBidi"/>
        </w:rPr>
      </w:pPr>
      <w:hyperlink w:anchor="_Toc67952223" w:history="1">
        <w:r w:rsidR="001A5DA3" w:rsidRPr="00E638DB">
          <w:rPr>
            <w:rStyle w:val="Hyperlink"/>
          </w:rPr>
          <w:t>5.4</w:t>
        </w:r>
        <w:r w:rsidR="001A5DA3">
          <w:rPr>
            <w:rFonts w:eastAsiaTheme="minorEastAsia" w:cstheme="minorBidi"/>
          </w:rPr>
          <w:tab/>
        </w:r>
        <w:r w:rsidR="001A5DA3" w:rsidRPr="00E638DB">
          <w:rPr>
            <w:rStyle w:val="Hyperlink"/>
          </w:rPr>
          <w:t xml:space="preserve">Recommendation 7 - Retain </w:t>
        </w:r>
        <w:r w:rsidR="001A5DA3" w:rsidRPr="00E638DB">
          <w:rPr>
            <w:rStyle w:val="Hyperlink"/>
            <w:lang w:val="en-GB"/>
          </w:rPr>
          <w:t>access to paediatric complex plan items with strengthened descriptor</w:t>
        </w:r>
        <w:r w:rsidR="001A5DA3">
          <w:rPr>
            <w:webHidden/>
          </w:rPr>
          <w:tab/>
        </w:r>
        <w:r w:rsidR="001A5DA3">
          <w:rPr>
            <w:webHidden/>
          </w:rPr>
          <w:fldChar w:fldCharType="begin"/>
        </w:r>
        <w:r w:rsidR="001A5DA3">
          <w:rPr>
            <w:webHidden/>
          </w:rPr>
          <w:instrText xml:space="preserve"> PAGEREF _Toc67952223 \h </w:instrText>
        </w:r>
        <w:r w:rsidR="001A5DA3">
          <w:rPr>
            <w:webHidden/>
          </w:rPr>
        </w:r>
        <w:r w:rsidR="001A5DA3">
          <w:rPr>
            <w:webHidden/>
          </w:rPr>
          <w:fldChar w:fldCharType="separate"/>
        </w:r>
        <w:r w:rsidR="00832059">
          <w:rPr>
            <w:webHidden/>
          </w:rPr>
          <w:t>40</w:t>
        </w:r>
        <w:r w:rsidR="001A5DA3">
          <w:rPr>
            <w:webHidden/>
          </w:rPr>
          <w:fldChar w:fldCharType="end"/>
        </w:r>
      </w:hyperlink>
    </w:p>
    <w:p w14:paraId="7D3659F3" w14:textId="0338B4E9" w:rsidR="001A5DA3" w:rsidRDefault="000B63BB">
      <w:pPr>
        <w:pStyle w:val="TOC2"/>
        <w:rPr>
          <w:rFonts w:eastAsiaTheme="minorEastAsia" w:cstheme="minorBidi"/>
        </w:rPr>
      </w:pPr>
      <w:hyperlink w:anchor="_Toc67952224" w:history="1">
        <w:r w:rsidR="001A5DA3" w:rsidRPr="00E638DB">
          <w:rPr>
            <w:rStyle w:val="Hyperlink"/>
          </w:rPr>
          <w:t>5.5</w:t>
        </w:r>
        <w:r w:rsidR="001A5DA3">
          <w:rPr>
            <w:rFonts w:eastAsiaTheme="minorEastAsia" w:cstheme="minorBidi"/>
          </w:rPr>
          <w:tab/>
        </w:r>
        <w:r w:rsidR="001A5DA3" w:rsidRPr="00E638DB">
          <w:rPr>
            <w:rStyle w:val="Hyperlink"/>
          </w:rPr>
          <w:t>Rationale 7</w:t>
        </w:r>
        <w:r w:rsidR="001A5DA3">
          <w:rPr>
            <w:webHidden/>
          </w:rPr>
          <w:tab/>
        </w:r>
        <w:r w:rsidR="001A5DA3">
          <w:rPr>
            <w:webHidden/>
          </w:rPr>
          <w:fldChar w:fldCharType="begin"/>
        </w:r>
        <w:r w:rsidR="001A5DA3">
          <w:rPr>
            <w:webHidden/>
          </w:rPr>
          <w:instrText xml:space="preserve"> PAGEREF _Toc67952224 \h </w:instrText>
        </w:r>
        <w:r w:rsidR="001A5DA3">
          <w:rPr>
            <w:webHidden/>
          </w:rPr>
        </w:r>
        <w:r w:rsidR="001A5DA3">
          <w:rPr>
            <w:webHidden/>
          </w:rPr>
          <w:fldChar w:fldCharType="separate"/>
        </w:r>
        <w:r w:rsidR="00832059">
          <w:rPr>
            <w:webHidden/>
          </w:rPr>
          <w:t>41</w:t>
        </w:r>
        <w:r w:rsidR="001A5DA3">
          <w:rPr>
            <w:webHidden/>
          </w:rPr>
          <w:fldChar w:fldCharType="end"/>
        </w:r>
      </w:hyperlink>
    </w:p>
    <w:p w14:paraId="2925B31E" w14:textId="3DED68EB" w:rsidR="001A5DA3" w:rsidRDefault="000B63BB">
      <w:pPr>
        <w:pStyle w:val="TOC2"/>
        <w:rPr>
          <w:rFonts w:eastAsiaTheme="minorEastAsia" w:cstheme="minorBidi"/>
        </w:rPr>
      </w:pPr>
      <w:hyperlink w:anchor="_Toc67952225" w:history="1">
        <w:r w:rsidR="001A5DA3" w:rsidRPr="00E638DB">
          <w:rPr>
            <w:rStyle w:val="Hyperlink"/>
          </w:rPr>
          <w:t>5.6</w:t>
        </w:r>
        <w:r w:rsidR="001A5DA3">
          <w:rPr>
            <w:rFonts w:eastAsiaTheme="minorEastAsia" w:cstheme="minorBidi"/>
          </w:rPr>
          <w:tab/>
        </w:r>
        <w:r w:rsidR="001A5DA3" w:rsidRPr="00E638DB">
          <w:rPr>
            <w:rStyle w:val="Hyperlink"/>
          </w:rPr>
          <w:t>Recommendation 8 – Retain the comprehensive geriatric assessment items</w:t>
        </w:r>
        <w:r w:rsidR="001A5DA3">
          <w:rPr>
            <w:webHidden/>
          </w:rPr>
          <w:tab/>
        </w:r>
        <w:r w:rsidR="001A5DA3">
          <w:rPr>
            <w:webHidden/>
          </w:rPr>
          <w:fldChar w:fldCharType="begin"/>
        </w:r>
        <w:r w:rsidR="001A5DA3">
          <w:rPr>
            <w:webHidden/>
          </w:rPr>
          <w:instrText xml:space="preserve"> PAGEREF _Toc67952225 \h </w:instrText>
        </w:r>
        <w:r w:rsidR="001A5DA3">
          <w:rPr>
            <w:webHidden/>
          </w:rPr>
        </w:r>
        <w:r w:rsidR="001A5DA3">
          <w:rPr>
            <w:webHidden/>
          </w:rPr>
          <w:fldChar w:fldCharType="separate"/>
        </w:r>
        <w:r w:rsidR="00832059">
          <w:rPr>
            <w:webHidden/>
          </w:rPr>
          <w:t>42</w:t>
        </w:r>
        <w:r w:rsidR="001A5DA3">
          <w:rPr>
            <w:webHidden/>
          </w:rPr>
          <w:fldChar w:fldCharType="end"/>
        </w:r>
      </w:hyperlink>
    </w:p>
    <w:p w14:paraId="265558D9" w14:textId="1AD56314" w:rsidR="001A5DA3" w:rsidRDefault="000B63BB">
      <w:pPr>
        <w:pStyle w:val="TOC2"/>
        <w:rPr>
          <w:rFonts w:eastAsiaTheme="minorEastAsia" w:cstheme="minorBidi"/>
        </w:rPr>
      </w:pPr>
      <w:hyperlink w:anchor="_Toc67952226" w:history="1">
        <w:r w:rsidR="001A5DA3" w:rsidRPr="00E638DB">
          <w:rPr>
            <w:rStyle w:val="Hyperlink"/>
          </w:rPr>
          <w:t>5.7</w:t>
        </w:r>
        <w:r w:rsidR="001A5DA3">
          <w:rPr>
            <w:rFonts w:eastAsiaTheme="minorEastAsia" w:cstheme="minorBidi"/>
          </w:rPr>
          <w:tab/>
        </w:r>
        <w:r w:rsidR="001A5DA3" w:rsidRPr="00E638DB">
          <w:rPr>
            <w:rStyle w:val="Hyperlink"/>
          </w:rPr>
          <w:t>Rationale 8</w:t>
        </w:r>
        <w:r w:rsidR="001A5DA3">
          <w:rPr>
            <w:webHidden/>
          </w:rPr>
          <w:tab/>
        </w:r>
        <w:r w:rsidR="001A5DA3">
          <w:rPr>
            <w:webHidden/>
          </w:rPr>
          <w:fldChar w:fldCharType="begin"/>
        </w:r>
        <w:r w:rsidR="001A5DA3">
          <w:rPr>
            <w:webHidden/>
          </w:rPr>
          <w:instrText xml:space="preserve"> PAGEREF _Toc67952226 \h </w:instrText>
        </w:r>
        <w:r w:rsidR="001A5DA3">
          <w:rPr>
            <w:webHidden/>
          </w:rPr>
        </w:r>
        <w:r w:rsidR="001A5DA3">
          <w:rPr>
            <w:webHidden/>
          </w:rPr>
          <w:fldChar w:fldCharType="separate"/>
        </w:r>
        <w:r w:rsidR="00832059">
          <w:rPr>
            <w:webHidden/>
          </w:rPr>
          <w:t>42</w:t>
        </w:r>
        <w:r w:rsidR="001A5DA3">
          <w:rPr>
            <w:webHidden/>
          </w:rPr>
          <w:fldChar w:fldCharType="end"/>
        </w:r>
      </w:hyperlink>
    </w:p>
    <w:p w14:paraId="333E333B" w14:textId="3CB41227" w:rsidR="001A5DA3" w:rsidRDefault="000B63BB">
      <w:pPr>
        <w:pStyle w:val="TOC1"/>
        <w:rPr>
          <w:rFonts w:eastAsiaTheme="minorEastAsia" w:cstheme="minorBidi"/>
          <w:b w:val="0"/>
        </w:rPr>
      </w:pPr>
      <w:hyperlink w:anchor="_Toc67952227" w:history="1">
        <w:r w:rsidR="001A5DA3" w:rsidRPr="00E638DB">
          <w:rPr>
            <w:rStyle w:val="Hyperlink"/>
          </w:rPr>
          <w:t>6</w:t>
        </w:r>
        <w:r w:rsidR="001A5DA3">
          <w:rPr>
            <w:rFonts w:eastAsiaTheme="minorEastAsia" w:cstheme="minorBidi"/>
            <w:b w:val="0"/>
          </w:rPr>
          <w:tab/>
        </w:r>
        <w:r w:rsidR="001A5DA3" w:rsidRPr="00E638DB">
          <w:rPr>
            <w:rStyle w:val="Hyperlink"/>
          </w:rPr>
          <w:t>Telehealth recommendations</w:t>
        </w:r>
        <w:r w:rsidR="001A5DA3">
          <w:rPr>
            <w:webHidden/>
          </w:rPr>
          <w:tab/>
        </w:r>
        <w:r w:rsidR="001A5DA3">
          <w:rPr>
            <w:webHidden/>
          </w:rPr>
          <w:fldChar w:fldCharType="begin"/>
        </w:r>
        <w:r w:rsidR="001A5DA3">
          <w:rPr>
            <w:webHidden/>
          </w:rPr>
          <w:instrText xml:space="preserve"> PAGEREF _Toc67952227 \h </w:instrText>
        </w:r>
        <w:r w:rsidR="001A5DA3">
          <w:rPr>
            <w:webHidden/>
          </w:rPr>
        </w:r>
        <w:r w:rsidR="001A5DA3">
          <w:rPr>
            <w:webHidden/>
          </w:rPr>
          <w:fldChar w:fldCharType="separate"/>
        </w:r>
        <w:r w:rsidR="00832059">
          <w:rPr>
            <w:webHidden/>
          </w:rPr>
          <w:t>43</w:t>
        </w:r>
        <w:r w:rsidR="001A5DA3">
          <w:rPr>
            <w:webHidden/>
          </w:rPr>
          <w:fldChar w:fldCharType="end"/>
        </w:r>
      </w:hyperlink>
    </w:p>
    <w:p w14:paraId="74403353" w14:textId="401B0875" w:rsidR="001A5DA3" w:rsidRDefault="000B63BB">
      <w:pPr>
        <w:pStyle w:val="TOC2"/>
        <w:rPr>
          <w:rFonts w:eastAsiaTheme="minorEastAsia" w:cstheme="minorBidi"/>
        </w:rPr>
      </w:pPr>
      <w:hyperlink w:anchor="_Toc67952228" w:history="1">
        <w:r w:rsidR="001A5DA3" w:rsidRPr="00E638DB">
          <w:rPr>
            <w:rStyle w:val="Hyperlink"/>
          </w:rPr>
          <w:t>6.1</w:t>
        </w:r>
        <w:r w:rsidR="001A5DA3">
          <w:rPr>
            <w:rFonts w:eastAsiaTheme="minorEastAsia" w:cstheme="minorBidi"/>
          </w:rPr>
          <w:tab/>
        </w:r>
        <w:r w:rsidR="001A5DA3" w:rsidRPr="00E638DB">
          <w:rPr>
            <w:rStyle w:val="Hyperlink"/>
          </w:rPr>
          <w:t>Current telehealth framework</w:t>
        </w:r>
        <w:r w:rsidR="001A5DA3">
          <w:rPr>
            <w:webHidden/>
          </w:rPr>
          <w:tab/>
        </w:r>
        <w:r w:rsidR="001A5DA3">
          <w:rPr>
            <w:webHidden/>
          </w:rPr>
          <w:fldChar w:fldCharType="begin"/>
        </w:r>
        <w:r w:rsidR="001A5DA3">
          <w:rPr>
            <w:webHidden/>
          </w:rPr>
          <w:instrText xml:space="preserve"> PAGEREF _Toc67952228 \h </w:instrText>
        </w:r>
        <w:r w:rsidR="001A5DA3">
          <w:rPr>
            <w:webHidden/>
          </w:rPr>
        </w:r>
        <w:r w:rsidR="001A5DA3">
          <w:rPr>
            <w:webHidden/>
          </w:rPr>
          <w:fldChar w:fldCharType="separate"/>
        </w:r>
        <w:r w:rsidR="00832059">
          <w:rPr>
            <w:webHidden/>
          </w:rPr>
          <w:t>43</w:t>
        </w:r>
        <w:r w:rsidR="001A5DA3">
          <w:rPr>
            <w:webHidden/>
          </w:rPr>
          <w:fldChar w:fldCharType="end"/>
        </w:r>
      </w:hyperlink>
    </w:p>
    <w:p w14:paraId="5DFDEFA3" w14:textId="3BFBAAAE" w:rsidR="001A5DA3" w:rsidRDefault="000B63BB">
      <w:pPr>
        <w:pStyle w:val="TOC2"/>
        <w:rPr>
          <w:rFonts w:eastAsiaTheme="minorEastAsia" w:cstheme="minorBidi"/>
        </w:rPr>
      </w:pPr>
      <w:hyperlink w:anchor="_Toc67952229" w:history="1">
        <w:r w:rsidR="001A5DA3" w:rsidRPr="00E638DB">
          <w:rPr>
            <w:rStyle w:val="Hyperlink"/>
          </w:rPr>
          <w:t>6.2</w:t>
        </w:r>
        <w:r w:rsidR="001A5DA3">
          <w:rPr>
            <w:rFonts w:eastAsiaTheme="minorEastAsia" w:cstheme="minorBidi"/>
          </w:rPr>
          <w:tab/>
        </w:r>
        <w:r w:rsidR="001A5DA3" w:rsidRPr="00E638DB">
          <w:rPr>
            <w:rStyle w:val="Hyperlink"/>
          </w:rPr>
          <w:t>Benefits of telehealth</w:t>
        </w:r>
        <w:r w:rsidR="001A5DA3">
          <w:rPr>
            <w:webHidden/>
          </w:rPr>
          <w:tab/>
        </w:r>
        <w:r w:rsidR="001A5DA3">
          <w:rPr>
            <w:webHidden/>
          </w:rPr>
          <w:fldChar w:fldCharType="begin"/>
        </w:r>
        <w:r w:rsidR="001A5DA3">
          <w:rPr>
            <w:webHidden/>
          </w:rPr>
          <w:instrText xml:space="preserve"> PAGEREF _Toc67952229 \h </w:instrText>
        </w:r>
        <w:r w:rsidR="001A5DA3">
          <w:rPr>
            <w:webHidden/>
          </w:rPr>
        </w:r>
        <w:r w:rsidR="001A5DA3">
          <w:rPr>
            <w:webHidden/>
          </w:rPr>
          <w:fldChar w:fldCharType="separate"/>
        </w:r>
        <w:r w:rsidR="00832059">
          <w:rPr>
            <w:webHidden/>
          </w:rPr>
          <w:t>43</w:t>
        </w:r>
        <w:r w:rsidR="001A5DA3">
          <w:rPr>
            <w:webHidden/>
          </w:rPr>
          <w:fldChar w:fldCharType="end"/>
        </w:r>
      </w:hyperlink>
    </w:p>
    <w:p w14:paraId="71DF1D0C" w14:textId="7BF3E673" w:rsidR="001A5DA3" w:rsidRDefault="000B63BB">
      <w:pPr>
        <w:pStyle w:val="TOC2"/>
        <w:rPr>
          <w:rFonts w:eastAsiaTheme="minorEastAsia" w:cstheme="minorBidi"/>
        </w:rPr>
      </w:pPr>
      <w:hyperlink w:anchor="_Toc67952230" w:history="1">
        <w:r w:rsidR="001A5DA3" w:rsidRPr="00E638DB">
          <w:rPr>
            <w:rStyle w:val="Hyperlink"/>
          </w:rPr>
          <w:t>6.3</w:t>
        </w:r>
        <w:r w:rsidR="001A5DA3">
          <w:rPr>
            <w:rFonts w:eastAsiaTheme="minorEastAsia" w:cstheme="minorBidi"/>
          </w:rPr>
          <w:tab/>
        </w:r>
        <w:r w:rsidR="001A5DA3" w:rsidRPr="00E638DB">
          <w:rPr>
            <w:rStyle w:val="Hyperlink"/>
          </w:rPr>
          <w:t>Barriers to telehealth growth</w:t>
        </w:r>
        <w:r w:rsidR="001A5DA3">
          <w:rPr>
            <w:webHidden/>
          </w:rPr>
          <w:tab/>
        </w:r>
        <w:r w:rsidR="001A5DA3">
          <w:rPr>
            <w:webHidden/>
          </w:rPr>
          <w:fldChar w:fldCharType="begin"/>
        </w:r>
        <w:r w:rsidR="001A5DA3">
          <w:rPr>
            <w:webHidden/>
          </w:rPr>
          <w:instrText xml:space="preserve"> PAGEREF _Toc67952230 \h </w:instrText>
        </w:r>
        <w:r w:rsidR="001A5DA3">
          <w:rPr>
            <w:webHidden/>
          </w:rPr>
        </w:r>
        <w:r w:rsidR="001A5DA3">
          <w:rPr>
            <w:webHidden/>
          </w:rPr>
          <w:fldChar w:fldCharType="separate"/>
        </w:r>
        <w:r w:rsidR="00832059">
          <w:rPr>
            <w:webHidden/>
          </w:rPr>
          <w:t>43</w:t>
        </w:r>
        <w:r w:rsidR="001A5DA3">
          <w:rPr>
            <w:webHidden/>
          </w:rPr>
          <w:fldChar w:fldCharType="end"/>
        </w:r>
      </w:hyperlink>
    </w:p>
    <w:p w14:paraId="176A5796" w14:textId="6EC1D96A" w:rsidR="001A5DA3" w:rsidRDefault="000B63BB">
      <w:pPr>
        <w:pStyle w:val="TOC2"/>
        <w:rPr>
          <w:rFonts w:eastAsiaTheme="minorEastAsia" w:cstheme="minorBidi"/>
        </w:rPr>
      </w:pPr>
      <w:hyperlink w:anchor="_Toc67952231" w:history="1">
        <w:r w:rsidR="001A5DA3" w:rsidRPr="00E638DB">
          <w:rPr>
            <w:rStyle w:val="Hyperlink"/>
          </w:rPr>
          <w:t>6.4</w:t>
        </w:r>
        <w:r w:rsidR="001A5DA3">
          <w:rPr>
            <w:rFonts w:eastAsiaTheme="minorEastAsia" w:cstheme="minorBidi"/>
          </w:rPr>
          <w:tab/>
        </w:r>
        <w:r w:rsidR="001A5DA3" w:rsidRPr="00E638DB">
          <w:rPr>
            <w:rStyle w:val="Hyperlink"/>
          </w:rPr>
          <w:t>Recommendation 9 – A new framework for telehealth</w:t>
        </w:r>
        <w:r w:rsidR="001A5DA3">
          <w:rPr>
            <w:webHidden/>
          </w:rPr>
          <w:tab/>
        </w:r>
        <w:r w:rsidR="001A5DA3">
          <w:rPr>
            <w:webHidden/>
          </w:rPr>
          <w:fldChar w:fldCharType="begin"/>
        </w:r>
        <w:r w:rsidR="001A5DA3">
          <w:rPr>
            <w:webHidden/>
          </w:rPr>
          <w:instrText xml:space="preserve"> PAGEREF _Toc67952231 \h </w:instrText>
        </w:r>
        <w:r w:rsidR="001A5DA3">
          <w:rPr>
            <w:webHidden/>
          </w:rPr>
        </w:r>
        <w:r w:rsidR="001A5DA3">
          <w:rPr>
            <w:webHidden/>
          </w:rPr>
          <w:fldChar w:fldCharType="separate"/>
        </w:r>
        <w:r w:rsidR="00832059">
          <w:rPr>
            <w:webHidden/>
          </w:rPr>
          <w:t>44</w:t>
        </w:r>
        <w:r w:rsidR="001A5DA3">
          <w:rPr>
            <w:webHidden/>
          </w:rPr>
          <w:fldChar w:fldCharType="end"/>
        </w:r>
      </w:hyperlink>
    </w:p>
    <w:p w14:paraId="65AEE3A4" w14:textId="3658CCEF" w:rsidR="001A5DA3" w:rsidRDefault="000B63BB">
      <w:pPr>
        <w:pStyle w:val="TOC2"/>
        <w:rPr>
          <w:rFonts w:eastAsiaTheme="minorEastAsia" w:cstheme="minorBidi"/>
        </w:rPr>
      </w:pPr>
      <w:hyperlink w:anchor="_Toc67952232" w:history="1">
        <w:r w:rsidR="001A5DA3" w:rsidRPr="00E638DB">
          <w:rPr>
            <w:rStyle w:val="Hyperlink"/>
          </w:rPr>
          <w:t>6.5</w:t>
        </w:r>
        <w:r w:rsidR="001A5DA3">
          <w:rPr>
            <w:rFonts w:eastAsiaTheme="minorEastAsia" w:cstheme="minorBidi"/>
          </w:rPr>
          <w:tab/>
        </w:r>
        <w:r w:rsidR="001A5DA3" w:rsidRPr="00E638DB">
          <w:rPr>
            <w:rStyle w:val="Hyperlink"/>
          </w:rPr>
          <w:t>Recommendation 10 – Reinvest in telehealth</w:t>
        </w:r>
        <w:r w:rsidR="001A5DA3">
          <w:rPr>
            <w:webHidden/>
          </w:rPr>
          <w:tab/>
        </w:r>
        <w:r w:rsidR="001A5DA3">
          <w:rPr>
            <w:webHidden/>
          </w:rPr>
          <w:fldChar w:fldCharType="begin"/>
        </w:r>
        <w:r w:rsidR="001A5DA3">
          <w:rPr>
            <w:webHidden/>
          </w:rPr>
          <w:instrText xml:space="preserve"> PAGEREF _Toc67952232 \h </w:instrText>
        </w:r>
        <w:r w:rsidR="001A5DA3">
          <w:rPr>
            <w:webHidden/>
          </w:rPr>
        </w:r>
        <w:r w:rsidR="001A5DA3">
          <w:rPr>
            <w:webHidden/>
          </w:rPr>
          <w:fldChar w:fldCharType="separate"/>
        </w:r>
        <w:r w:rsidR="00832059">
          <w:rPr>
            <w:webHidden/>
          </w:rPr>
          <w:t>47</w:t>
        </w:r>
        <w:r w:rsidR="001A5DA3">
          <w:rPr>
            <w:webHidden/>
          </w:rPr>
          <w:fldChar w:fldCharType="end"/>
        </w:r>
      </w:hyperlink>
    </w:p>
    <w:p w14:paraId="015FF5BB" w14:textId="2310DD2F" w:rsidR="001A5DA3" w:rsidRDefault="000B63BB">
      <w:pPr>
        <w:pStyle w:val="TOC2"/>
        <w:rPr>
          <w:rFonts w:eastAsiaTheme="minorEastAsia" w:cstheme="minorBidi"/>
        </w:rPr>
      </w:pPr>
      <w:hyperlink w:anchor="_Toc67952233" w:history="1">
        <w:r w:rsidR="001A5DA3" w:rsidRPr="00E638DB">
          <w:rPr>
            <w:rStyle w:val="Hyperlink"/>
          </w:rPr>
          <w:t>6.6</w:t>
        </w:r>
        <w:r w:rsidR="001A5DA3">
          <w:rPr>
            <w:rFonts w:eastAsiaTheme="minorEastAsia" w:cstheme="minorBidi"/>
          </w:rPr>
          <w:tab/>
        </w:r>
        <w:r w:rsidR="001A5DA3" w:rsidRPr="00E638DB">
          <w:rPr>
            <w:rStyle w:val="Hyperlink"/>
          </w:rPr>
          <w:t>Rationale 9 &amp; 10</w:t>
        </w:r>
        <w:r w:rsidR="001A5DA3">
          <w:rPr>
            <w:webHidden/>
          </w:rPr>
          <w:tab/>
        </w:r>
        <w:r w:rsidR="001A5DA3">
          <w:rPr>
            <w:webHidden/>
          </w:rPr>
          <w:fldChar w:fldCharType="begin"/>
        </w:r>
        <w:r w:rsidR="001A5DA3">
          <w:rPr>
            <w:webHidden/>
          </w:rPr>
          <w:instrText xml:space="preserve"> PAGEREF _Toc67952233 \h </w:instrText>
        </w:r>
        <w:r w:rsidR="001A5DA3">
          <w:rPr>
            <w:webHidden/>
          </w:rPr>
        </w:r>
        <w:r w:rsidR="001A5DA3">
          <w:rPr>
            <w:webHidden/>
          </w:rPr>
          <w:fldChar w:fldCharType="separate"/>
        </w:r>
        <w:r w:rsidR="00832059">
          <w:rPr>
            <w:webHidden/>
          </w:rPr>
          <w:t>48</w:t>
        </w:r>
        <w:r w:rsidR="001A5DA3">
          <w:rPr>
            <w:webHidden/>
          </w:rPr>
          <w:fldChar w:fldCharType="end"/>
        </w:r>
      </w:hyperlink>
    </w:p>
    <w:p w14:paraId="5962B0AB" w14:textId="3E80D70A" w:rsidR="001A5DA3" w:rsidRDefault="000B63BB">
      <w:pPr>
        <w:pStyle w:val="TOC1"/>
        <w:rPr>
          <w:rFonts w:eastAsiaTheme="minorEastAsia" w:cstheme="minorBidi"/>
          <w:b w:val="0"/>
        </w:rPr>
      </w:pPr>
      <w:hyperlink w:anchor="_Toc67952234" w:history="1">
        <w:r w:rsidR="001A5DA3" w:rsidRPr="00E638DB">
          <w:rPr>
            <w:rStyle w:val="Hyperlink"/>
          </w:rPr>
          <w:t>7</w:t>
        </w:r>
        <w:r w:rsidR="001A5DA3">
          <w:rPr>
            <w:rFonts w:eastAsiaTheme="minorEastAsia" w:cstheme="minorBidi"/>
            <w:b w:val="0"/>
          </w:rPr>
          <w:tab/>
        </w:r>
        <w:r w:rsidR="001A5DA3" w:rsidRPr="00E638DB">
          <w:rPr>
            <w:rStyle w:val="Hyperlink"/>
          </w:rPr>
          <w:t>Case conference recommendations</w:t>
        </w:r>
        <w:r w:rsidR="001A5DA3">
          <w:rPr>
            <w:webHidden/>
          </w:rPr>
          <w:tab/>
        </w:r>
        <w:r w:rsidR="001A5DA3">
          <w:rPr>
            <w:webHidden/>
          </w:rPr>
          <w:fldChar w:fldCharType="begin"/>
        </w:r>
        <w:r w:rsidR="001A5DA3">
          <w:rPr>
            <w:webHidden/>
          </w:rPr>
          <w:instrText xml:space="preserve"> PAGEREF _Toc67952234 \h </w:instrText>
        </w:r>
        <w:r w:rsidR="001A5DA3">
          <w:rPr>
            <w:webHidden/>
          </w:rPr>
        </w:r>
        <w:r w:rsidR="001A5DA3">
          <w:rPr>
            <w:webHidden/>
          </w:rPr>
          <w:fldChar w:fldCharType="separate"/>
        </w:r>
        <w:r w:rsidR="00832059">
          <w:rPr>
            <w:webHidden/>
          </w:rPr>
          <w:t>50</w:t>
        </w:r>
        <w:r w:rsidR="001A5DA3">
          <w:rPr>
            <w:webHidden/>
          </w:rPr>
          <w:fldChar w:fldCharType="end"/>
        </w:r>
      </w:hyperlink>
    </w:p>
    <w:p w14:paraId="3A2070A1" w14:textId="2D21241A" w:rsidR="001A5DA3" w:rsidRDefault="000B63BB">
      <w:pPr>
        <w:pStyle w:val="TOC2"/>
        <w:rPr>
          <w:rFonts w:eastAsiaTheme="minorEastAsia" w:cstheme="minorBidi"/>
        </w:rPr>
      </w:pPr>
      <w:hyperlink w:anchor="_Toc67952235" w:history="1">
        <w:r w:rsidR="001A5DA3" w:rsidRPr="00E638DB">
          <w:rPr>
            <w:rStyle w:val="Hyperlink"/>
            <w:lang w:val="en-GB"/>
          </w:rPr>
          <w:t>7.1</w:t>
        </w:r>
        <w:r w:rsidR="001A5DA3">
          <w:rPr>
            <w:rFonts w:eastAsiaTheme="minorEastAsia" w:cstheme="minorBidi"/>
          </w:rPr>
          <w:tab/>
        </w:r>
        <w:r w:rsidR="001A5DA3" w:rsidRPr="00E638DB">
          <w:rPr>
            <w:rStyle w:val="Hyperlink"/>
            <w:lang w:val="en-GB"/>
          </w:rPr>
          <w:t>Current case conferencing framework</w:t>
        </w:r>
        <w:r w:rsidR="001A5DA3">
          <w:rPr>
            <w:webHidden/>
          </w:rPr>
          <w:tab/>
        </w:r>
        <w:r w:rsidR="001A5DA3">
          <w:rPr>
            <w:webHidden/>
          </w:rPr>
          <w:fldChar w:fldCharType="begin"/>
        </w:r>
        <w:r w:rsidR="001A5DA3">
          <w:rPr>
            <w:webHidden/>
          </w:rPr>
          <w:instrText xml:space="preserve"> PAGEREF _Toc67952235 \h </w:instrText>
        </w:r>
        <w:r w:rsidR="001A5DA3">
          <w:rPr>
            <w:webHidden/>
          </w:rPr>
        </w:r>
        <w:r w:rsidR="001A5DA3">
          <w:rPr>
            <w:webHidden/>
          </w:rPr>
          <w:fldChar w:fldCharType="separate"/>
        </w:r>
        <w:r w:rsidR="00832059">
          <w:rPr>
            <w:webHidden/>
          </w:rPr>
          <w:t>50</w:t>
        </w:r>
        <w:r w:rsidR="001A5DA3">
          <w:rPr>
            <w:webHidden/>
          </w:rPr>
          <w:fldChar w:fldCharType="end"/>
        </w:r>
      </w:hyperlink>
    </w:p>
    <w:p w14:paraId="098DB3FF" w14:textId="2DCD3874" w:rsidR="001A5DA3" w:rsidRDefault="000B63BB">
      <w:pPr>
        <w:pStyle w:val="TOC2"/>
        <w:rPr>
          <w:rFonts w:eastAsiaTheme="minorEastAsia" w:cstheme="minorBidi"/>
        </w:rPr>
      </w:pPr>
      <w:hyperlink w:anchor="_Toc67952236" w:history="1">
        <w:r w:rsidR="001A5DA3" w:rsidRPr="00E638DB">
          <w:rPr>
            <w:rStyle w:val="Hyperlink"/>
          </w:rPr>
          <w:t>7.2</w:t>
        </w:r>
        <w:r w:rsidR="001A5DA3">
          <w:rPr>
            <w:rFonts w:eastAsiaTheme="minorEastAsia" w:cstheme="minorBidi"/>
          </w:rPr>
          <w:tab/>
        </w:r>
        <w:r w:rsidR="001A5DA3" w:rsidRPr="00E638DB">
          <w:rPr>
            <w:rStyle w:val="Hyperlink"/>
          </w:rPr>
          <w:t xml:space="preserve">Recommendation 11 - </w:t>
        </w:r>
        <w:r w:rsidR="001A5DA3" w:rsidRPr="00E638DB">
          <w:rPr>
            <w:rStyle w:val="Hyperlink"/>
            <w:lang w:val="en-GB"/>
          </w:rPr>
          <w:t>Introduce a new framework of case conference items and allow access to all consultant specialists</w:t>
        </w:r>
        <w:r w:rsidR="001A5DA3">
          <w:rPr>
            <w:webHidden/>
          </w:rPr>
          <w:tab/>
        </w:r>
        <w:r w:rsidR="001A5DA3">
          <w:rPr>
            <w:webHidden/>
          </w:rPr>
          <w:fldChar w:fldCharType="begin"/>
        </w:r>
        <w:r w:rsidR="001A5DA3">
          <w:rPr>
            <w:webHidden/>
          </w:rPr>
          <w:instrText xml:space="preserve"> PAGEREF _Toc67952236 \h </w:instrText>
        </w:r>
        <w:r w:rsidR="001A5DA3">
          <w:rPr>
            <w:webHidden/>
          </w:rPr>
        </w:r>
        <w:r w:rsidR="001A5DA3">
          <w:rPr>
            <w:webHidden/>
          </w:rPr>
          <w:fldChar w:fldCharType="separate"/>
        </w:r>
        <w:r w:rsidR="00832059">
          <w:rPr>
            <w:webHidden/>
          </w:rPr>
          <w:t>50</w:t>
        </w:r>
        <w:r w:rsidR="001A5DA3">
          <w:rPr>
            <w:webHidden/>
          </w:rPr>
          <w:fldChar w:fldCharType="end"/>
        </w:r>
      </w:hyperlink>
    </w:p>
    <w:p w14:paraId="1C3EF982" w14:textId="307A6C1A" w:rsidR="001A5DA3" w:rsidRDefault="000B63BB">
      <w:pPr>
        <w:pStyle w:val="TOC2"/>
        <w:rPr>
          <w:rFonts w:eastAsiaTheme="minorEastAsia" w:cstheme="minorBidi"/>
        </w:rPr>
      </w:pPr>
      <w:hyperlink w:anchor="_Toc67952237" w:history="1">
        <w:r w:rsidR="001A5DA3" w:rsidRPr="00E638DB">
          <w:rPr>
            <w:rStyle w:val="Hyperlink"/>
          </w:rPr>
          <w:t>7.3</w:t>
        </w:r>
        <w:r w:rsidR="001A5DA3">
          <w:rPr>
            <w:rFonts w:eastAsiaTheme="minorEastAsia" w:cstheme="minorBidi"/>
          </w:rPr>
          <w:tab/>
        </w:r>
        <w:r w:rsidR="001A5DA3" w:rsidRPr="00E638DB">
          <w:rPr>
            <w:rStyle w:val="Hyperlink"/>
          </w:rPr>
          <w:t>Rationale 11</w:t>
        </w:r>
        <w:r w:rsidR="001A5DA3">
          <w:rPr>
            <w:webHidden/>
          </w:rPr>
          <w:tab/>
        </w:r>
        <w:r w:rsidR="001A5DA3">
          <w:rPr>
            <w:webHidden/>
          </w:rPr>
          <w:fldChar w:fldCharType="begin"/>
        </w:r>
        <w:r w:rsidR="001A5DA3">
          <w:rPr>
            <w:webHidden/>
          </w:rPr>
          <w:instrText xml:space="preserve"> PAGEREF _Toc67952237 \h </w:instrText>
        </w:r>
        <w:r w:rsidR="001A5DA3">
          <w:rPr>
            <w:webHidden/>
          </w:rPr>
        </w:r>
        <w:r w:rsidR="001A5DA3">
          <w:rPr>
            <w:webHidden/>
          </w:rPr>
          <w:fldChar w:fldCharType="separate"/>
        </w:r>
        <w:r w:rsidR="00832059">
          <w:rPr>
            <w:webHidden/>
          </w:rPr>
          <w:t>54</w:t>
        </w:r>
        <w:r w:rsidR="001A5DA3">
          <w:rPr>
            <w:webHidden/>
          </w:rPr>
          <w:fldChar w:fldCharType="end"/>
        </w:r>
      </w:hyperlink>
    </w:p>
    <w:p w14:paraId="36F6A8B9" w14:textId="6F4E54A0" w:rsidR="001A5DA3" w:rsidRDefault="000B63BB">
      <w:pPr>
        <w:pStyle w:val="TOC2"/>
        <w:rPr>
          <w:rFonts w:eastAsiaTheme="minorEastAsia" w:cstheme="minorBidi"/>
        </w:rPr>
      </w:pPr>
      <w:hyperlink w:anchor="_Toc67952238" w:history="1">
        <w:r w:rsidR="001A5DA3" w:rsidRPr="00E638DB">
          <w:rPr>
            <w:rStyle w:val="Hyperlink"/>
          </w:rPr>
          <w:t>7.4</w:t>
        </w:r>
        <w:r w:rsidR="001A5DA3">
          <w:rPr>
            <w:rFonts w:eastAsiaTheme="minorEastAsia" w:cstheme="minorBidi"/>
          </w:rPr>
          <w:tab/>
        </w:r>
        <w:r w:rsidR="001A5DA3" w:rsidRPr="00E638DB">
          <w:rPr>
            <w:rStyle w:val="Hyperlink"/>
          </w:rPr>
          <w:t xml:space="preserve">Recommendation 12 - </w:t>
        </w:r>
        <w:r w:rsidR="001A5DA3" w:rsidRPr="00E638DB">
          <w:rPr>
            <w:rStyle w:val="Hyperlink"/>
            <w:lang w:val="en-GB"/>
          </w:rPr>
          <w:t>Introduce case conference items for allied health professionals (AHPs) and nurse practitioners</w:t>
        </w:r>
        <w:r w:rsidR="001A5DA3">
          <w:rPr>
            <w:webHidden/>
          </w:rPr>
          <w:tab/>
        </w:r>
        <w:r w:rsidR="001A5DA3">
          <w:rPr>
            <w:webHidden/>
          </w:rPr>
          <w:fldChar w:fldCharType="begin"/>
        </w:r>
        <w:r w:rsidR="001A5DA3">
          <w:rPr>
            <w:webHidden/>
          </w:rPr>
          <w:instrText xml:space="preserve"> PAGEREF _Toc67952238 \h </w:instrText>
        </w:r>
        <w:r w:rsidR="001A5DA3">
          <w:rPr>
            <w:webHidden/>
          </w:rPr>
        </w:r>
        <w:r w:rsidR="001A5DA3">
          <w:rPr>
            <w:webHidden/>
          </w:rPr>
          <w:fldChar w:fldCharType="separate"/>
        </w:r>
        <w:r w:rsidR="00832059">
          <w:rPr>
            <w:webHidden/>
          </w:rPr>
          <w:t>55</w:t>
        </w:r>
        <w:r w:rsidR="001A5DA3">
          <w:rPr>
            <w:webHidden/>
          </w:rPr>
          <w:fldChar w:fldCharType="end"/>
        </w:r>
      </w:hyperlink>
    </w:p>
    <w:p w14:paraId="2FB39966" w14:textId="55D5548B" w:rsidR="001A5DA3" w:rsidRDefault="000B63BB">
      <w:pPr>
        <w:pStyle w:val="TOC2"/>
        <w:rPr>
          <w:rFonts w:eastAsiaTheme="minorEastAsia" w:cstheme="minorBidi"/>
        </w:rPr>
      </w:pPr>
      <w:hyperlink w:anchor="_Toc67952239" w:history="1">
        <w:r w:rsidR="001A5DA3" w:rsidRPr="00E638DB">
          <w:rPr>
            <w:rStyle w:val="Hyperlink"/>
          </w:rPr>
          <w:t>7.5</w:t>
        </w:r>
        <w:r w:rsidR="001A5DA3">
          <w:rPr>
            <w:rFonts w:eastAsiaTheme="minorEastAsia" w:cstheme="minorBidi"/>
          </w:rPr>
          <w:tab/>
        </w:r>
        <w:r w:rsidR="001A5DA3" w:rsidRPr="00E638DB">
          <w:rPr>
            <w:rStyle w:val="Hyperlink"/>
          </w:rPr>
          <w:t>Rationale 12</w:t>
        </w:r>
        <w:r w:rsidR="001A5DA3">
          <w:rPr>
            <w:webHidden/>
          </w:rPr>
          <w:tab/>
        </w:r>
        <w:r w:rsidR="001A5DA3">
          <w:rPr>
            <w:webHidden/>
          </w:rPr>
          <w:fldChar w:fldCharType="begin"/>
        </w:r>
        <w:r w:rsidR="001A5DA3">
          <w:rPr>
            <w:webHidden/>
          </w:rPr>
          <w:instrText xml:space="preserve"> PAGEREF _Toc67952239 \h </w:instrText>
        </w:r>
        <w:r w:rsidR="001A5DA3">
          <w:rPr>
            <w:webHidden/>
          </w:rPr>
        </w:r>
        <w:r w:rsidR="001A5DA3">
          <w:rPr>
            <w:webHidden/>
          </w:rPr>
          <w:fldChar w:fldCharType="separate"/>
        </w:r>
        <w:r w:rsidR="00832059">
          <w:rPr>
            <w:webHidden/>
          </w:rPr>
          <w:t>55</w:t>
        </w:r>
        <w:r w:rsidR="001A5DA3">
          <w:rPr>
            <w:webHidden/>
          </w:rPr>
          <w:fldChar w:fldCharType="end"/>
        </w:r>
      </w:hyperlink>
    </w:p>
    <w:p w14:paraId="1810AFE1" w14:textId="057C011E" w:rsidR="001A5DA3" w:rsidRDefault="000B63BB">
      <w:pPr>
        <w:pStyle w:val="TOC2"/>
        <w:rPr>
          <w:rFonts w:eastAsiaTheme="minorEastAsia" w:cstheme="minorBidi"/>
        </w:rPr>
      </w:pPr>
      <w:hyperlink w:anchor="_Toc67952240" w:history="1">
        <w:r w:rsidR="001A5DA3" w:rsidRPr="00E638DB">
          <w:rPr>
            <w:rStyle w:val="Hyperlink"/>
          </w:rPr>
          <w:t>7.6</w:t>
        </w:r>
        <w:r w:rsidR="001A5DA3">
          <w:rPr>
            <w:rFonts w:eastAsiaTheme="minorEastAsia" w:cstheme="minorBidi"/>
          </w:rPr>
          <w:tab/>
        </w:r>
        <w:r w:rsidR="001A5DA3" w:rsidRPr="00E638DB">
          <w:rPr>
            <w:rStyle w:val="Hyperlink"/>
          </w:rPr>
          <w:t>Recommendation 13 – Referral for examination of informed financial consent</w:t>
        </w:r>
        <w:r w:rsidR="001A5DA3">
          <w:rPr>
            <w:webHidden/>
          </w:rPr>
          <w:tab/>
        </w:r>
        <w:r w:rsidR="001A5DA3">
          <w:rPr>
            <w:webHidden/>
          </w:rPr>
          <w:fldChar w:fldCharType="begin"/>
        </w:r>
        <w:r w:rsidR="001A5DA3">
          <w:rPr>
            <w:webHidden/>
          </w:rPr>
          <w:instrText xml:space="preserve"> PAGEREF _Toc67952240 \h </w:instrText>
        </w:r>
        <w:r w:rsidR="001A5DA3">
          <w:rPr>
            <w:webHidden/>
          </w:rPr>
        </w:r>
        <w:r w:rsidR="001A5DA3">
          <w:rPr>
            <w:webHidden/>
          </w:rPr>
          <w:fldChar w:fldCharType="separate"/>
        </w:r>
        <w:r w:rsidR="00832059">
          <w:rPr>
            <w:webHidden/>
          </w:rPr>
          <w:t>56</w:t>
        </w:r>
        <w:r w:rsidR="001A5DA3">
          <w:rPr>
            <w:webHidden/>
          </w:rPr>
          <w:fldChar w:fldCharType="end"/>
        </w:r>
      </w:hyperlink>
    </w:p>
    <w:p w14:paraId="53380BB3" w14:textId="16D1F3B5" w:rsidR="001A5DA3" w:rsidRDefault="000B63BB">
      <w:pPr>
        <w:pStyle w:val="TOC2"/>
        <w:rPr>
          <w:rFonts w:eastAsiaTheme="minorEastAsia" w:cstheme="minorBidi"/>
        </w:rPr>
      </w:pPr>
      <w:hyperlink w:anchor="_Toc67952241" w:history="1">
        <w:r w:rsidR="001A5DA3" w:rsidRPr="00E638DB">
          <w:rPr>
            <w:rStyle w:val="Hyperlink"/>
          </w:rPr>
          <w:t>7.7</w:t>
        </w:r>
        <w:r w:rsidR="001A5DA3">
          <w:rPr>
            <w:rFonts w:eastAsiaTheme="minorEastAsia" w:cstheme="minorBidi"/>
          </w:rPr>
          <w:tab/>
        </w:r>
        <w:r w:rsidR="001A5DA3" w:rsidRPr="00E638DB">
          <w:rPr>
            <w:rStyle w:val="Hyperlink"/>
          </w:rPr>
          <w:t>Rationale 13</w:t>
        </w:r>
        <w:r w:rsidR="001A5DA3">
          <w:rPr>
            <w:webHidden/>
          </w:rPr>
          <w:tab/>
        </w:r>
        <w:r w:rsidR="001A5DA3">
          <w:rPr>
            <w:webHidden/>
          </w:rPr>
          <w:fldChar w:fldCharType="begin"/>
        </w:r>
        <w:r w:rsidR="001A5DA3">
          <w:rPr>
            <w:webHidden/>
          </w:rPr>
          <w:instrText xml:space="preserve"> PAGEREF _Toc67952241 \h </w:instrText>
        </w:r>
        <w:r w:rsidR="001A5DA3">
          <w:rPr>
            <w:webHidden/>
          </w:rPr>
        </w:r>
        <w:r w:rsidR="001A5DA3">
          <w:rPr>
            <w:webHidden/>
          </w:rPr>
          <w:fldChar w:fldCharType="separate"/>
        </w:r>
        <w:r w:rsidR="00832059">
          <w:rPr>
            <w:webHidden/>
          </w:rPr>
          <w:t>56</w:t>
        </w:r>
        <w:r w:rsidR="001A5DA3">
          <w:rPr>
            <w:webHidden/>
          </w:rPr>
          <w:fldChar w:fldCharType="end"/>
        </w:r>
      </w:hyperlink>
    </w:p>
    <w:p w14:paraId="2825BE60" w14:textId="1A9CA0EB" w:rsidR="001A5DA3" w:rsidRDefault="000B63BB">
      <w:pPr>
        <w:pStyle w:val="TOC1"/>
        <w:rPr>
          <w:rFonts w:eastAsiaTheme="minorEastAsia" w:cstheme="minorBidi"/>
          <w:b w:val="0"/>
        </w:rPr>
      </w:pPr>
      <w:hyperlink w:anchor="_Toc67952242" w:history="1">
        <w:r w:rsidR="001A5DA3" w:rsidRPr="00E638DB">
          <w:rPr>
            <w:rStyle w:val="Hyperlink"/>
          </w:rPr>
          <w:t>8</w:t>
        </w:r>
        <w:r w:rsidR="001A5DA3">
          <w:rPr>
            <w:rFonts w:eastAsiaTheme="minorEastAsia" w:cstheme="minorBidi"/>
            <w:b w:val="0"/>
          </w:rPr>
          <w:tab/>
        </w:r>
        <w:r w:rsidR="001A5DA3" w:rsidRPr="00E638DB">
          <w:rPr>
            <w:rStyle w:val="Hyperlink"/>
          </w:rPr>
          <w:t>Use of data to inform quality care and patient informed choice and consent recommendations</w:t>
        </w:r>
        <w:r w:rsidR="001A5DA3">
          <w:rPr>
            <w:webHidden/>
          </w:rPr>
          <w:tab/>
        </w:r>
        <w:r w:rsidR="001A5DA3">
          <w:rPr>
            <w:webHidden/>
          </w:rPr>
          <w:fldChar w:fldCharType="begin"/>
        </w:r>
        <w:r w:rsidR="001A5DA3">
          <w:rPr>
            <w:webHidden/>
          </w:rPr>
          <w:instrText xml:space="preserve"> PAGEREF _Toc67952242 \h </w:instrText>
        </w:r>
        <w:r w:rsidR="001A5DA3">
          <w:rPr>
            <w:webHidden/>
          </w:rPr>
        </w:r>
        <w:r w:rsidR="001A5DA3">
          <w:rPr>
            <w:webHidden/>
          </w:rPr>
          <w:fldChar w:fldCharType="separate"/>
        </w:r>
        <w:r w:rsidR="00832059">
          <w:rPr>
            <w:webHidden/>
          </w:rPr>
          <w:t>57</w:t>
        </w:r>
        <w:r w:rsidR="001A5DA3">
          <w:rPr>
            <w:webHidden/>
          </w:rPr>
          <w:fldChar w:fldCharType="end"/>
        </w:r>
      </w:hyperlink>
    </w:p>
    <w:p w14:paraId="4B053560" w14:textId="031E1DE5" w:rsidR="001A5DA3" w:rsidRDefault="000B63BB">
      <w:pPr>
        <w:pStyle w:val="TOC2"/>
        <w:rPr>
          <w:rFonts w:eastAsiaTheme="minorEastAsia" w:cstheme="minorBidi"/>
        </w:rPr>
      </w:pPr>
      <w:hyperlink w:anchor="_Toc67952243" w:history="1">
        <w:r w:rsidR="001A5DA3" w:rsidRPr="00E638DB">
          <w:rPr>
            <w:rStyle w:val="Hyperlink"/>
            <w:lang w:val="en-GB"/>
          </w:rPr>
          <w:t>8.1</w:t>
        </w:r>
        <w:r w:rsidR="001A5DA3">
          <w:rPr>
            <w:rFonts w:eastAsiaTheme="minorEastAsia" w:cstheme="minorBidi"/>
          </w:rPr>
          <w:tab/>
        </w:r>
        <w:r w:rsidR="001A5DA3" w:rsidRPr="00E638DB">
          <w:rPr>
            <w:rStyle w:val="Hyperlink"/>
            <w:lang w:val="en-GB"/>
          </w:rPr>
          <w:t>The role of data in patient care</w:t>
        </w:r>
        <w:r w:rsidR="001A5DA3">
          <w:rPr>
            <w:webHidden/>
          </w:rPr>
          <w:tab/>
        </w:r>
        <w:r w:rsidR="001A5DA3">
          <w:rPr>
            <w:webHidden/>
          </w:rPr>
          <w:fldChar w:fldCharType="begin"/>
        </w:r>
        <w:r w:rsidR="001A5DA3">
          <w:rPr>
            <w:webHidden/>
          </w:rPr>
          <w:instrText xml:space="preserve"> PAGEREF _Toc67952243 \h </w:instrText>
        </w:r>
        <w:r w:rsidR="001A5DA3">
          <w:rPr>
            <w:webHidden/>
          </w:rPr>
        </w:r>
        <w:r w:rsidR="001A5DA3">
          <w:rPr>
            <w:webHidden/>
          </w:rPr>
          <w:fldChar w:fldCharType="separate"/>
        </w:r>
        <w:r w:rsidR="00832059">
          <w:rPr>
            <w:webHidden/>
          </w:rPr>
          <w:t>57</w:t>
        </w:r>
        <w:r w:rsidR="001A5DA3">
          <w:rPr>
            <w:webHidden/>
          </w:rPr>
          <w:fldChar w:fldCharType="end"/>
        </w:r>
      </w:hyperlink>
    </w:p>
    <w:p w14:paraId="21DD8F2D" w14:textId="476934A7" w:rsidR="001A5DA3" w:rsidRDefault="000B63BB">
      <w:pPr>
        <w:pStyle w:val="TOC2"/>
        <w:rPr>
          <w:rFonts w:eastAsiaTheme="minorEastAsia" w:cstheme="minorBidi"/>
        </w:rPr>
      </w:pPr>
      <w:hyperlink w:anchor="_Toc67952244" w:history="1">
        <w:r w:rsidR="001A5DA3" w:rsidRPr="00E638DB">
          <w:rPr>
            <w:rStyle w:val="Hyperlink"/>
          </w:rPr>
          <w:t>8.2</w:t>
        </w:r>
        <w:r w:rsidR="001A5DA3">
          <w:rPr>
            <w:rFonts w:eastAsiaTheme="minorEastAsia" w:cstheme="minorBidi"/>
          </w:rPr>
          <w:tab/>
        </w:r>
        <w:r w:rsidR="001A5DA3" w:rsidRPr="00E638DB">
          <w:rPr>
            <w:rStyle w:val="Hyperlink"/>
          </w:rPr>
          <w:t xml:space="preserve">Recommendation 14 - </w:t>
        </w:r>
        <w:r w:rsidR="001A5DA3" w:rsidRPr="00E638DB">
          <w:rPr>
            <w:rStyle w:val="Hyperlink"/>
            <w:lang w:val="en-GB"/>
          </w:rPr>
          <w:t>Establish a national minimum data set to inform evidence-based clinical practice and inform patient choice</w:t>
        </w:r>
        <w:r w:rsidR="001A5DA3">
          <w:rPr>
            <w:webHidden/>
          </w:rPr>
          <w:tab/>
        </w:r>
        <w:r w:rsidR="001A5DA3">
          <w:rPr>
            <w:webHidden/>
          </w:rPr>
          <w:fldChar w:fldCharType="begin"/>
        </w:r>
        <w:r w:rsidR="001A5DA3">
          <w:rPr>
            <w:webHidden/>
          </w:rPr>
          <w:instrText xml:space="preserve"> PAGEREF _Toc67952244 \h </w:instrText>
        </w:r>
        <w:r w:rsidR="001A5DA3">
          <w:rPr>
            <w:webHidden/>
          </w:rPr>
        </w:r>
        <w:r w:rsidR="001A5DA3">
          <w:rPr>
            <w:webHidden/>
          </w:rPr>
          <w:fldChar w:fldCharType="separate"/>
        </w:r>
        <w:r w:rsidR="00832059">
          <w:rPr>
            <w:webHidden/>
          </w:rPr>
          <w:t>57</w:t>
        </w:r>
        <w:r w:rsidR="001A5DA3">
          <w:rPr>
            <w:webHidden/>
          </w:rPr>
          <w:fldChar w:fldCharType="end"/>
        </w:r>
      </w:hyperlink>
    </w:p>
    <w:p w14:paraId="4BCA6905" w14:textId="200981EF" w:rsidR="001A5DA3" w:rsidRDefault="000B63BB">
      <w:pPr>
        <w:pStyle w:val="TOC2"/>
        <w:rPr>
          <w:rFonts w:eastAsiaTheme="minorEastAsia" w:cstheme="minorBidi"/>
        </w:rPr>
      </w:pPr>
      <w:hyperlink w:anchor="_Toc67952245" w:history="1">
        <w:r w:rsidR="001A5DA3" w:rsidRPr="00E638DB">
          <w:rPr>
            <w:rStyle w:val="Hyperlink"/>
          </w:rPr>
          <w:t>8.3</w:t>
        </w:r>
        <w:r w:rsidR="001A5DA3">
          <w:rPr>
            <w:rFonts w:eastAsiaTheme="minorEastAsia" w:cstheme="minorBidi"/>
          </w:rPr>
          <w:tab/>
        </w:r>
        <w:r w:rsidR="001A5DA3" w:rsidRPr="00E638DB">
          <w:rPr>
            <w:rStyle w:val="Hyperlink"/>
          </w:rPr>
          <w:t>Rationale 14</w:t>
        </w:r>
        <w:r w:rsidR="001A5DA3">
          <w:rPr>
            <w:webHidden/>
          </w:rPr>
          <w:tab/>
        </w:r>
        <w:r w:rsidR="001A5DA3">
          <w:rPr>
            <w:webHidden/>
          </w:rPr>
          <w:fldChar w:fldCharType="begin"/>
        </w:r>
        <w:r w:rsidR="001A5DA3">
          <w:rPr>
            <w:webHidden/>
          </w:rPr>
          <w:instrText xml:space="preserve"> PAGEREF _Toc67952245 \h </w:instrText>
        </w:r>
        <w:r w:rsidR="001A5DA3">
          <w:rPr>
            <w:webHidden/>
          </w:rPr>
        </w:r>
        <w:r w:rsidR="001A5DA3">
          <w:rPr>
            <w:webHidden/>
          </w:rPr>
          <w:fldChar w:fldCharType="separate"/>
        </w:r>
        <w:r w:rsidR="00832059">
          <w:rPr>
            <w:webHidden/>
          </w:rPr>
          <w:t>58</w:t>
        </w:r>
        <w:r w:rsidR="001A5DA3">
          <w:rPr>
            <w:webHidden/>
          </w:rPr>
          <w:fldChar w:fldCharType="end"/>
        </w:r>
      </w:hyperlink>
    </w:p>
    <w:p w14:paraId="2F2BBD15" w14:textId="1EE32085" w:rsidR="001A5DA3" w:rsidRDefault="000B63BB">
      <w:pPr>
        <w:pStyle w:val="TOC2"/>
        <w:rPr>
          <w:rFonts w:eastAsiaTheme="minorEastAsia" w:cstheme="minorBidi"/>
        </w:rPr>
      </w:pPr>
      <w:hyperlink w:anchor="_Toc67952246" w:history="1">
        <w:r w:rsidR="001A5DA3" w:rsidRPr="00E638DB">
          <w:rPr>
            <w:rStyle w:val="Hyperlink"/>
          </w:rPr>
          <w:t>8.4</w:t>
        </w:r>
        <w:r w:rsidR="001A5DA3">
          <w:rPr>
            <w:rFonts w:eastAsiaTheme="minorEastAsia" w:cstheme="minorBidi"/>
          </w:rPr>
          <w:tab/>
        </w:r>
        <w:r w:rsidR="001A5DA3" w:rsidRPr="00E638DB">
          <w:rPr>
            <w:rStyle w:val="Hyperlink"/>
          </w:rPr>
          <w:t xml:space="preserve">Recommendation 15 – Provide </w:t>
        </w:r>
        <w:r w:rsidR="001A5DA3" w:rsidRPr="00E638DB">
          <w:rPr>
            <w:rStyle w:val="Hyperlink"/>
            <w:lang w:val="en-GB"/>
          </w:rPr>
          <w:t>transparency on the cost and quality of consultant specialist services</w:t>
        </w:r>
        <w:r w:rsidR="001A5DA3">
          <w:rPr>
            <w:webHidden/>
          </w:rPr>
          <w:tab/>
        </w:r>
        <w:r w:rsidR="001A5DA3">
          <w:rPr>
            <w:webHidden/>
          </w:rPr>
          <w:fldChar w:fldCharType="begin"/>
        </w:r>
        <w:r w:rsidR="001A5DA3">
          <w:rPr>
            <w:webHidden/>
          </w:rPr>
          <w:instrText xml:space="preserve"> PAGEREF _Toc67952246 \h </w:instrText>
        </w:r>
        <w:r w:rsidR="001A5DA3">
          <w:rPr>
            <w:webHidden/>
          </w:rPr>
        </w:r>
        <w:r w:rsidR="001A5DA3">
          <w:rPr>
            <w:webHidden/>
          </w:rPr>
          <w:fldChar w:fldCharType="separate"/>
        </w:r>
        <w:r w:rsidR="00832059">
          <w:rPr>
            <w:webHidden/>
          </w:rPr>
          <w:t>58</w:t>
        </w:r>
        <w:r w:rsidR="001A5DA3">
          <w:rPr>
            <w:webHidden/>
          </w:rPr>
          <w:fldChar w:fldCharType="end"/>
        </w:r>
      </w:hyperlink>
    </w:p>
    <w:p w14:paraId="3C01A76B" w14:textId="1EFC421B" w:rsidR="001A5DA3" w:rsidRDefault="000B63BB">
      <w:pPr>
        <w:pStyle w:val="TOC2"/>
        <w:rPr>
          <w:rFonts w:eastAsiaTheme="minorEastAsia" w:cstheme="minorBidi"/>
        </w:rPr>
      </w:pPr>
      <w:hyperlink w:anchor="_Toc67952247" w:history="1">
        <w:r w:rsidR="001A5DA3" w:rsidRPr="00E638DB">
          <w:rPr>
            <w:rStyle w:val="Hyperlink"/>
          </w:rPr>
          <w:t>8.5</w:t>
        </w:r>
        <w:r w:rsidR="001A5DA3">
          <w:rPr>
            <w:rFonts w:eastAsiaTheme="minorEastAsia" w:cstheme="minorBidi"/>
          </w:rPr>
          <w:tab/>
        </w:r>
        <w:r w:rsidR="001A5DA3" w:rsidRPr="00E638DB">
          <w:rPr>
            <w:rStyle w:val="Hyperlink"/>
          </w:rPr>
          <w:t>Rationale 15</w:t>
        </w:r>
        <w:r w:rsidR="001A5DA3">
          <w:rPr>
            <w:webHidden/>
          </w:rPr>
          <w:tab/>
        </w:r>
        <w:r w:rsidR="001A5DA3">
          <w:rPr>
            <w:webHidden/>
          </w:rPr>
          <w:fldChar w:fldCharType="begin"/>
        </w:r>
        <w:r w:rsidR="001A5DA3">
          <w:rPr>
            <w:webHidden/>
          </w:rPr>
          <w:instrText xml:space="preserve"> PAGEREF _Toc67952247 \h </w:instrText>
        </w:r>
        <w:r w:rsidR="001A5DA3">
          <w:rPr>
            <w:webHidden/>
          </w:rPr>
        </w:r>
        <w:r w:rsidR="001A5DA3">
          <w:rPr>
            <w:webHidden/>
          </w:rPr>
          <w:fldChar w:fldCharType="separate"/>
        </w:r>
        <w:r w:rsidR="00832059">
          <w:rPr>
            <w:webHidden/>
          </w:rPr>
          <w:t>59</w:t>
        </w:r>
        <w:r w:rsidR="001A5DA3">
          <w:rPr>
            <w:webHidden/>
          </w:rPr>
          <w:fldChar w:fldCharType="end"/>
        </w:r>
      </w:hyperlink>
    </w:p>
    <w:p w14:paraId="26809714" w14:textId="3FE002AF" w:rsidR="001A5DA3" w:rsidRDefault="000B63BB">
      <w:pPr>
        <w:pStyle w:val="TOC2"/>
        <w:rPr>
          <w:rFonts w:eastAsiaTheme="minorEastAsia" w:cstheme="minorBidi"/>
        </w:rPr>
      </w:pPr>
      <w:hyperlink w:anchor="_Toc67952248" w:history="1">
        <w:r w:rsidR="001A5DA3" w:rsidRPr="00E638DB">
          <w:rPr>
            <w:rStyle w:val="Hyperlink"/>
          </w:rPr>
          <w:t>8.6</w:t>
        </w:r>
        <w:r w:rsidR="001A5DA3">
          <w:rPr>
            <w:rFonts w:eastAsiaTheme="minorEastAsia" w:cstheme="minorBidi"/>
          </w:rPr>
          <w:tab/>
        </w:r>
        <w:r w:rsidR="001A5DA3" w:rsidRPr="00E638DB">
          <w:rPr>
            <w:rStyle w:val="Hyperlink"/>
          </w:rPr>
          <w:t xml:space="preserve">Recommendation 16 - </w:t>
        </w:r>
        <w:r w:rsidR="001A5DA3" w:rsidRPr="00E638DB">
          <w:rPr>
            <w:rStyle w:val="Hyperlink"/>
            <w:lang w:val="en-GB"/>
          </w:rPr>
          <w:t>Improve informed comprehensive patient consent and shared decision-making practices</w:t>
        </w:r>
        <w:r w:rsidR="001A5DA3">
          <w:rPr>
            <w:webHidden/>
          </w:rPr>
          <w:tab/>
        </w:r>
        <w:r w:rsidR="001A5DA3">
          <w:rPr>
            <w:webHidden/>
          </w:rPr>
          <w:fldChar w:fldCharType="begin"/>
        </w:r>
        <w:r w:rsidR="001A5DA3">
          <w:rPr>
            <w:webHidden/>
          </w:rPr>
          <w:instrText xml:space="preserve"> PAGEREF _Toc67952248 \h </w:instrText>
        </w:r>
        <w:r w:rsidR="001A5DA3">
          <w:rPr>
            <w:webHidden/>
          </w:rPr>
        </w:r>
        <w:r w:rsidR="001A5DA3">
          <w:rPr>
            <w:webHidden/>
          </w:rPr>
          <w:fldChar w:fldCharType="separate"/>
        </w:r>
        <w:r w:rsidR="00832059">
          <w:rPr>
            <w:webHidden/>
          </w:rPr>
          <w:t>59</w:t>
        </w:r>
        <w:r w:rsidR="001A5DA3">
          <w:rPr>
            <w:webHidden/>
          </w:rPr>
          <w:fldChar w:fldCharType="end"/>
        </w:r>
      </w:hyperlink>
    </w:p>
    <w:p w14:paraId="2E30A0A0" w14:textId="4DA41459" w:rsidR="001A5DA3" w:rsidRDefault="000B63BB">
      <w:pPr>
        <w:pStyle w:val="TOC2"/>
        <w:rPr>
          <w:rFonts w:eastAsiaTheme="minorEastAsia" w:cstheme="minorBidi"/>
        </w:rPr>
      </w:pPr>
      <w:hyperlink w:anchor="_Toc67952249" w:history="1">
        <w:r w:rsidR="001A5DA3" w:rsidRPr="00E638DB">
          <w:rPr>
            <w:rStyle w:val="Hyperlink"/>
          </w:rPr>
          <w:t>8.7</w:t>
        </w:r>
        <w:r w:rsidR="001A5DA3">
          <w:rPr>
            <w:rFonts w:eastAsiaTheme="minorEastAsia" w:cstheme="minorBidi"/>
          </w:rPr>
          <w:tab/>
        </w:r>
        <w:r w:rsidR="001A5DA3" w:rsidRPr="00E638DB">
          <w:rPr>
            <w:rStyle w:val="Hyperlink"/>
          </w:rPr>
          <w:t>Rationale 16</w:t>
        </w:r>
        <w:r w:rsidR="001A5DA3">
          <w:rPr>
            <w:webHidden/>
          </w:rPr>
          <w:tab/>
        </w:r>
        <w:r w:rsidR="001A5DA3">
          <w:rPr>
            <w:webHidden/>
          </w:rPr>
          <w:fldChar w:fldCharType="begin"/>
        </w:r>
        <w:r w:rsidR="001A5DA3">
          <w:rPr>
            <w:webHidden/>
          </w:rPr>
          <w:instrText xml:space="preserve"> PAGEREF _Toc67952249 \h </w:instrText>
        </w:r>
        <w:r w:rsidR="001A5DA3">
          <w:rPr>
            <w:webHidden/>
          </w:rPr>
        </w:r>
        <w:r w:rsidR="001A5DA3">
          <w:rPr>
            <w:webHidden/>
          </w:rPr>
          <w:fldChar w:fldCharType="separate"/>
        </w:r>
        <w:r w:rsidR="00832059">
          <w:rPr>
            <w:webHidden/>
          </w:rPr>
          <w:t>60</w:t>
        </w:r>
        <w:r w:rsidR="001A5DA3">
          <w:rPr>
            <w:webHidden/>
          </w:rPr>
          <w:fldChar w:fldCharType="end"/>
        </w:r>
      </w:hyperlink>
    </w:p>
    <w:p w14:paraId="1A8EE31C" w14:textId="5D65359A" w:rsidR="001A5DA3" w:rsidRDefault="000B63BB">
      <w:pPr>
        <w:pStyle w:val="TOC1"/>
        <w:rPr>
          <w:rFonts w:eastAsiaTheme="minorEastAsia" w:cstheme="minorBidi"/>
          <w:b w:val="0"/>
        </w:rPr>
      </w:pPr>
      <w:hyperlink w:anchor="_Toc67952250" w:history="1">
        <w:r w:rsidR="001A5DA3" w:rsidRPr="00E638DB">
          <w:rPr>
            <w:rStyle w:val="Hyperlink"/>
          </w:rPr>
          <w:t>9</w:t>
        </w:r>
        <w:r w:rsidR="001A5DA3">
          <w:rPr>
            <w:rFonts w:eastAsiaTheme="minorEastAsia" w:cstheme="minorBidi"/>
            <w:b w:val="0"/>
          </w:rPr>
          <w:tab/>
        </w:r>
        <w:r w:rsidR="001A5DA3" w:rsidRPr="00E638DB">
          <w:rPr>
            <w:rStyle w:val="Hyperlink"/>
          </w:rPr>
          <w:t>My Health Record recommendations</w:t>
        </w:r>
        <w:r w:rsidR="001A5DA3">
          <w:rPr>
            <w:webHidden/>
          </w:rPr>
          <w:tab/>
        </w:r>
        <w:r w:rsidR="001A5DA3">
          <w:rPr>
            <w:webHidden/>
          </w:rPr>
          <w:fldChar w:fldCharType="begin"/>
        </w:r>
        <w:r w:rsidR="001A5DA3">
          <w:rPr>
            <w:webHidden/>
          </w:rPr>
          <w:instrText xml:space="preserve"> PAGEREF _Toc67952250 \h </w:instrText>
        </w:r>
        <w:r w:rsidR="001A5DA3">
          <w:rPr>
            <w:webHidden/>
          </w:rPr>
        </w:r>
        <w:r w:rsidR="001A5DA3">
          <w:rPr>
            <w:webHidden/>
          </w:rPr>
          <w:fldChar w:fldCharType="separate"/>
        </w:r>
        <w:r w:rsidR="00832059">
          <w:rPr>
            <w:webHidden/>
          </w:rPr>
          <w:t>61</w:t>
        </w:r>
        <w:r w:rsidR="001A5DA3">
          <w:rPr>
            <w:webHidden/>
          </w:rPr>
          <w:fldChar w:fldCharType="end"/>
        </w:r>
      </w:hyperlink>
    </w:p>
    <w:p w14:paraId="76AB597F" w14:textId="6409262C" w:rsidR="001A5DA3" w:rsidRDefault="000B63BB">
      <w:pPr>
        <w:pStyle w:val="TOC2"/>
        <w:rPr>
          <w:rFonts w:eastAsiaTheme="minorEastAsia" w:cstheme="minorBidi"/>
        </w:rPr>
      </w:pPr>
      <w:hyperlink w:anchor="_Toc67952251" w:history="1">
        <w:r w:rsidR="001A5DA3" w:rsidRPr="00E638DB">
          <w:rPr>
            <w:rStyle w:val="Hyperlink"/>
          </w:rPr>
          <w:t>9.1</w:t>
        </w:r>
        <w:r w:rsidR="001A5DA3">
          <w:rPr>
            <w:rFonts w:eastAsiaTheme="minorEastAsia" w:cstheme="minorBidi"/>
          </w:rPr>
          <w:tab/>
        </w:r>
        <w:r w:rsidR="001A5DA3" w:rsidRPr="00E638DB">
          <w:rPr>
            <w:rStyle w:val="Hyperlink"/>
          </w:rPr>
          <w:t>My Health Record</w:t>
        </w:r>
        <w:r w:rsidR="001A5DA3">
          <w:rPr>
            <w:webHidden/>
          </w:rPr>
          <w:tab/>
        </w:r>
        <w:r w:rsidR="001A5DA3">
          <w:rPr>
            <w:webHidden/>
          </w:rPr>
          <w:fldChar w:fldCharType="begin"/>
        </w:r>
        <w:r w:rsidR="001A5DA3">
          <w:rPr>
            <w:webHidden/>
          </w:rPr>
          <w:instrText xml:space="preserve"> PAGEREF _Toc67952251 \h </w:instrText>
        </w:r>
        <w:r w:rsidR="001A5DA3">
          <w:rPr>
            <w:webHidden/>
          </w:rPr>
        </w:r>
        <w:r w:rsidR="001A5DA3">
          <w:rPr>
            <w:webHidden/>
          </w:rPr>
          <w:fldChar w:fldCharType="separate"/>
        </w:r>
        <w:r w:rsidR="00832059">
          <w:rPr>
            <w:webHidden/>
          </w:rPr>
          <w:t>61</w:t>
        </w:r>
        <w:r w:rsidR="001A5DA3">
          <w:rPr>
            <w:webHidden/>
          </w:rPr>
          <w:fldChar w:fldCharType="end"/>
        </w:r>
      </w:hyperlink>
    </w:p>
    <w:p w14:paraId="26956369" w14:textId="7D756E55" w:rsidR="001A5DA3" w:rsidRDefault="000B63BB">
      <w:pPr>
        <w:pStyle w:val="TOC2"/>
        <w:rPr>
          <w:rFonts w:eastAsiaTheme="minorEastAsia" w:cstheme="minorBidi"/>
        </w:rPr>
      </w:pPr>
      <w:hyperlink w:anchor="_Toc67952252" w:history="1">
        <w:r w:rsidR="001A5DA3" w:rsidRPr="00E638DB">
          <w:rPr>
            <w:rStyle w:val="Hyperlink"/>
          </w:rPr>
          <w:t>9.2</w:t>
        </w:r>
        <w:r w:rsidR="001A5DA3">
          <w:rPr>
            <w:rFonts w:eastAsiaTheme="minorEastAsia" w:cstheme="minorBidi"/>
          </w:rPr>
          <w:tab/>
        </w:r>
        <w:r w:rsidR="001A5DA3" w:rsidRPr="00E638DB">
          <w:rPr>
            <w:rStyle w:val="Hyperlink"/>
          </w:rPr>
          <w:t>Barriers to uptake of My Health Record by consultant specialists</w:t>
        </w:r>
        <w:r w:rsidR="001A5DA3">
          <w:rPr>
            <w:webHidden/>
          </w:rPr>
          <w:tab/>
        </w:r>
        <w:r w:rsidR="001A5DA3">
          <w:rPr>
            <w:webHidden/>
          </w:rPr>
          <w:fldChar w:fldCharType="begin"/>
        </w:r>
        <w:r w:rsidR="001A5DA3">
          <w:rPr>
            <w:webHidden/>
          </w:rPr>
          <w:instrText xml:space="preserve"> PAGEREF _Toc67952252 \h </w:instrText>
        </w:r>
        <w:r w:rsidR="001A5DA3">
          <w:rPr>
            <w:webHidden/>
          </w:rPr>
        </w:r>
        <w:r w:rsidR="001A5DA3">
          <w:rPr>
            <w:webHidden/>
          </w:rPr>
          <w:fldChar w:fldCharType="separate"/>
        </w:r>
        <w:r w:rsidR="00832059">
          <w:rPr>
            <w:webHidden/>
          </w:rPr>
          <w:t>61</w:t>
        </w:r>
        <w:r w:rsidR="001A5DA3">
          <w:rPr>
            <w:webHidden/>
          </w:rPr>
          <w:fldChar w:fldCharType="end"/>
        </w:r>
      </w:hyperlink>
    </w:p>
    <w:p w14:paraId="4C1379CD" w14:textId="0C67ECCA" w:rsidR="001A5DA3" w:rsidRDefault="000B63BB">
      <w:pPr>
        <w:pStyle w:val="TOC2"/>
        <w:rPr>
          <w:rFonts w:eastAsiaTheme="minorEastAsia" w:cstheme="minorBidi"/>
        </w:rPr>
      </w:pPr>
      <w:hyperlink w:anchor="_Toc67952253" w:history="1">
        <w:r w:rsidR="001A5DA3" w:rsidRPr="00E638DB">
          <w:rPr>
            <w:rStyle w:val="Hyperlink"/>
          </w:rPr>
          <w:t>9.3</w:t>
        </w:r>
        <w:r w:rsidR="001A5DA3">
          <w:rPr>
            <w:rFonts w:eastAsiaTheme="minorEastAsia" w:cstheme="minorBidi"/>
          </w:rPr>
          <w:tab/>
        </w:r>
        <w:r w:rsidR="001A5DA3" w:rsidRPr="00E638DB">
          <w:rPr>
            <w:rStyle w:val="Hyperlink"/>
          </w:rPr>
          <w:t>Recommendation 17 – Incentivise adoption of My Health Record</w:t>
        </w:r>
        <w:r w:rsidR="001A5DA3">
          <w:rPr>
            <w:webHidden/>
          </w:rPr>
          <w:tab/>
        </w:r>
        <w:r w:rsidR="001A5DA3">
          <w:rPr>
            <w:webHidden/>
          </w:rPr>
          <w:fldChar w:fldCharType="begin"/>
        </w:r>
        <w:r w:rsidR="001A5DA3">
          <w:rPr>
            <w:webHidden/>
          </w:rPr>
          <w:instrText xml:space="preserve"> PAGEREF _Toc67952253 \h </w:instrText>
        </w:r>
        <w:r w:rsidR="001A5DA3">
          <w:rPr>
            <w:webHidden/>
          </w:rPr>
        </w:r>
        <w:r w:rsidR="001A5DA3">
          <w:rPr>
            <w:webHidden/>
          </w:rPr>
          <w:fldChar w:fldCharType="separate"/>
        </w:r>
        <w:r w:rsidR="00832059">
          <w:rPr>
            <w:webHidden/>
          </w:rPr>
          <w:t>61</w:t>
        </w:r>
        <w:r w:rsidR="001A5DA3">
          <w:rPr>
            <w:webHidden/>
          </w:rPr>
          <w:fldChar w:fldCharType="end"/>
        </w:r>
      </w:hyperlink>
    </w:p>
    <w:p w14:paraId="22349254" w14:textId="68A7287A" w:rsidR="001A5DA3" w:rsidRDefault="000B63BB">
      <w:pPr>
        <w:pStyle w:val="TOC2"/>
        <w:rPr>
          <w:rFonts w:eastAsiaTheme="minorEastAsia" w:cstheme="minorBidi"/>
        </w:rPr>
      </w:pPr>
      <w:hyperlink w:anchor="_Toc67952254" w:history="1">
        <w:r w:rsidR="001A5DA3" w:rsidRPr="00E638DB">
          <w:rPr>
            <w:rStyle w:val="Hyperlink"/>
          </w:rPr>
          <w:t>9.4</w:t>
        </w:r>
        <w:r w:rsidR="001A5DA3">
          <w:rPr>
            <w:rFonts w:eastAsiaTheme="minorEastAsia" w:cstheme="minorBidi"/>
          </w:rPr>
          <w:tab/>
        </w:r>
        <w:r w:rsidR="001A5DA3" w:rsidRPr="00E638DB">
          <w:rPr>
            <w:rStyle w:val="Hyperlink"/>
          </w:rPr>
          <w:t>Rationale 17</w:t>
        </w:r>
        <w:r w:rsidR="001A5DA3">
          <w:rPr>
            <w:webHidden/>
          </w:rPr>
          <w:tab/>
        </w:r>
        <w:r w:rsidR="001A5DA3">
          <w:rPr>
            <w:webHidden/>
          </w:rPr>
          <w:fldChar w:fldCharType="begin"/>
        </w:r>
        <w:r w:rsidR="001A5DA3">
          <w:rPr>
            <w:webHidden/>
          </w:rPr>
          <w:instrText xml:space="preserve"> PAGEREF _Toc67952254 \h </w:instrText>
        </w:r>
        <w:r w:rsidR="001A5DA3">
          <w:rPr>
            <w:webHidden/>
          </w:rPr>
        </w:r>
        <w:r w:rsidR="001A5DA3">
          <w:rPr>
            <w:webHidden/>
          </w:rPr>
          <w:fldChar w:fldCharType="separate"/>
        </w:r>
        <w:r w:rsidR="00832059">
          <w:rPr>
            <w:webHidden/>
          </w:rPr>
          <w:t>61</w:t>
        </w:r>
        <w:r w:rsidR="001A5DA3">
          <w:rPr>
            <w:webHidden/>
          </w:rPr>
          <w:fldChar w:fldCharType="end"/>
        </w:r>
      </w:hyperlink>
    </w:p>
    <w:p w14:paraId="55DE66B9" w14:textId="011D8E18" w:rsidR="001A5DA3" w:rsidRDefault="000B63BB">
      <w:pPr>
        <w:pStyle w:val="TOC2"/>
        <w:rPr>
          <w:rFonts w:eastAsiaTheme="minorEastAsia" w:cstheme="minorBidi"/>
        </w:rPr>
      </w:pPr>
      <w:hyperlink w:anchor="_Toc67952255" w:history="1">
        <w:r w:rsidR="001A5DA3" w:rsidRPr="00E638DB">
          <w:rPr>
            <w:rStyle w:val="Hyperlink"/>
          </w:rPr>
          <w:t>9.5</w:t>
        </w:r>
        <w:r w:rsidR="001A5DA3">
          <w:rPr>
            <w:rFonts w:eastAsiaTheme="minorEastAsia" w:cstheme="minorBidi"/>
          </w:rPr>
          <w:tab/>
        </w:r>
        <w:r w:rsidR="001A5DA3" w:rsidRPr="00E638DB">
          <w:rPr>
            <w:rStyle w:val="Hyperlink"/>
          </w:rPr>
          <w:t>Recommendation 18 –Use of My Health Record for case conferences and complex plans</w:t>
        </w:r>
        <w:r w:rsidR="001A5DA3">
          <w:rPr>
            <w:webHidden/>
          </w:rPr>
          <w:tab/>
        </w:r>
        <w:r w:rsidR="001A5DA3">
          <w:rPr>
            <w:webHidden/>
          </w:rPr>
          <w:fldChar w:fldCharType="begin"/>
        </w:r>
        <w:r w:rsidR="001A5DA3">
          <w:rPr>
            <w:webHidden/>
          </w:rPr>
          <w:instrText xml:space="preserve"> PAGEREF _Toc67952255 \h </w:instrText>
        </w:r>
        <w:r w:rsidR="001A5DA3">
          <w:rPr>
            <w:webHidden/>
          </w:rPr>
        </w:r>
        <w:r w:rsidR="001A5DA3">
          <w:rPr>
            <w:webHidden/>
          </w:rPr>
          <w:fldChar w:fldCharType="separate"/>
        </w:r>
        <w:r w:rsidR="00832059">
          <w:rPr>
            <w:webHidden/>
          </w:rPr>
          <w:t>62</w:t>
        </w:r>
        <w:r w:rsidR="001A5DA3">
          <w:rPr>
            <w:webHidden/>
          </w:rPr>
          <w:fldChar w:fldCharType="end"/>
        </w:r>
      </w:hyperlink>
    </w:p>
    <w:p w14:paraId="5017A89D" w14:textId="00FBD6B3" w:rsidR="001A5DA3" w:rsidRDefault="000B63BB">
      <w:pPr>
        <w:pStyle w:val="TOC2"/>
        <w:rPr>
          <w:rFonts w:eastAsiaTheme="minorEastAsia" w:cstheme="minorBidi"/>
        </w:rPr>
      </w:pPr>
      <w:hyperlink w:anchor="_Toc67952256" w:history="1">
        <w:r w:rsidR="001A5DA3" w:rsidRPr="00E638DB">
          <w:rPr>
            <w:rStyle w:val="Hyperlink"/>
          </w:rPr>
          <w:t>9.6</w:t>
        </w:r>
        <w:r w:rsidR="001A5DA3">
          <w:rPr>
            <w:rFonts w:eastAsiaTheme="minorEastAsia" w:cstheme="minorBidi"/>
          </w:rPr>
          <w:tab/>
        </w:r>
        <w:r w:rsidR="001A5DA3" w:rsidRPr="00E638DB">
          <w:rPr>
            <w:rStyle w:val="Hyperlink"/>
          </w:rPr>
          <w:t>Rationale 18</w:t>
        </w:r>
        <w:r w:rsidR="001A5DA3">
          <w:rPr>
            <w:webHidden/>
          </w:rPr>
          <w:tab/>
        </w:r>
        <w:r w:rsidR="001A5DA3">
          <w:rPr>
            <w:webHidden/>
          </w:rPr>
          <w:fldChar w:fldCharType="begin"/>
        </w:r>
        <w:r w:rsidR="001A5DA3">
          <w:rPr>
            <w:webHidden/>
          </w:rPr>
          <w:instrText xml:space="preserve"> PAGEREF _Toc67952256 \h </w:instrText>
        </w:r>
        <w:r w:rsidR="001A5DA3">
          <w:rPr>
            <w:webHidden/>
          </w:rPr>
        </w:r>
        <w:r w:rsidR="001A5DA3">
          <w:rPr>
            <w:webHidden/>
          </w:rPr>
          <w:fldChar w:fldCharType="separate"/>
        </w:r>
        <w:r w:rsidR="00832059">
          <w:rPr>
            <w:webHidden/>
          </w:rPr>
          <w:t>62</w:t>
        </w:r>
        <w:r w:rsidR="001A5DA3">
          <w:rPr>
            <w:webHidden/>
          </w:rPr>
          <w:fldChar w:fldCharType="end"/>
        </w:r>
      </w:hyperlink>
    </w:p>
    <w:p w14:paraId="36AC6DF8" w14:textId="3554E0CD" w:rsidR="001A5DA3" w:rsidRDefault="000B63BB">
      <w:pPr>
        <w:pStyle w:val="TOC2"/>
        <w:rPr>
          <w:rFonts w:eastAsiaTheme="minorEastAsia" w:cstheme="minorBidi"/>
        </w:rPr>
      </w:pPr>
      <w:hyperlink w:anchor="_Toc67952257" w:history="1">
        <w:r w:rsidR="001A5DA3" w:rsidRPr="00E638DB">
          <w:rPr>
            <w:rStyle w:val="Hyperlink"/>
          </w:rPr>
          <w:t>9.7</w:t>
        </w:r>
        <w:r w:rsidR="001A5DA3">
          <w:rPr>
            <w:rFonts w:eastAsiaTheme="minorEastAsia" w:cstheme="minorBidi"/>
          </w:rPr>
          <w:tab/>
        </w:r>
        <w:r w:rsidR="001A5DA3" w:rsidRPr="00E638DB">
          <w:rPr>
            <w:rStyle w:val="Hyperlink"/>
          </w:rPr>
          <w:t>Recommendation 19 – Encourage adoption of My Health Record</w:t>
        </w:r>
        <w:r w:rsidR="001A5DA3">
          <w:rPr>
            <w:webHidden/>
          </w:rPr>
          <w:tab/>
        </w:r>
        <w:r w:rsidR="001A5DA3">
          <w:rPr>
            <w:webHidden/>
          </w:rPr>
          <w:fldChar w:fldCharType="begin"/>
        </w:r>
        <w:r w:rsidR="001A5DA3">
          <w:rPr>
            <w:webHidden/>
          </w:rPr>
          <w:instrText xml:space="preserve"> PAGEREF _Toc67952257 \h </w:instrText>
        </w:r>
        <w:r w:rsidR="001A5DA3">
          <w:rPr>
            <w:webHidden/>
          </w:rPr>
        </w:r>
        <w:r w:rsidR="001A5DA3">
          <w:rPr>
            <w:webHidden/>
          </w:rPr>
          <w:fldChar w:fldCharType="separate"/>
        </w:r>
        <w:r w:rsidR="00832059">
          <w:rPr>
            <w:webHidden/>
          </w:rPr>
          <w:t>62</w:t>
        </w:r>
        <w:r w:rsidR="001A5DA3">
          <w:rPr>
            <w:webHidden/>
          </w:rPr>
          <w:fldChar w:fldCharType="end"/>
        </w:r>
      </w:hyperlink>
    </w:p>
    <w:p w14:paraId="1003A242" w14:textId="1A187EB0" w:rsidR="001A5DA3" w:rsidRDefault="000B63BB">
      <w:pPr>
        <w:pStyle w:val="TOC2"/>
        <w:rPr>
          <w:rFonts w:eastAsiaTheme="minorEastAsia" w:cstheme="minorBidi"/>
        </w:rPr>
      </w:pPr>
      <w:hyperlink w:anchor="_Toc67952258" w:history="1">
        <w:r w:rsidR="001A5DA3" w:rsidRPr="00E638DB">
          <w:rPr>
            <w:rStyle w:val="Hyperlink"/>
          </w:rPr>
          <w:t>9.8</w:t>
        </w:r>
        <w:r w:rsidR="001A5DA3">
          <w:rPr>
            <w:rFonts w:eastAsiaTheme="minorEastAsia" w:cstheme="minorBidi"/>
          </w:rPr>
          <w:tab/>
        </w:r>
        <w:r w:rsidR="001A5DA3" w:rsidRPr="00E638DB">
          <w:rPr>
            <w:rStyle w:val="Hyperlink"/>
          </w:rPr>
          <w:t>Rationale 19</w:t>
        </w:r>
        <w:r w:rsidR="001A5DA3">
          <w:rPr>
            <w:webHidden/>
          </w:rPr>
          <w:tab/>
        </w:r>
        <w:r w:rsidR="001A5DA3">
          <w:rPr>
            <w:webHidden/>
          </w:rPr>
          <w:fldChar w:fldCharType="begin"/>
        </w:r>
        <w:r w:rsidR="001A5DA3">
          <w:rPr>
            <w:webHidden/>
          </w:rPr>
          <w:instrText xml:space="preserve"> PAGEREF _Toc67952258 \h </w:instrText>
        </w:r>
        <w:r w:rsidR="001A5DA3">
          <w:rPr>
            <w:webHidden/>
          </w:rPr>
        </w:r>
        <w:r w:rsidR="001A5DA3">
          <w:rPr>
            <w:webHidden/>
          </w:rPr>
          <w:fldChar w:fldCharType="separate"/>
        </w:r>
        <w:r w:rsidR="00832059">
          <w:rPr>
            <w:webHidden/>
          </w:rPr>
          <w:t>62</w:t>
        </w:r>
        <w:r w:rsidR="001A5DA3">
          <w:rPr>
            <w:webHidden/>
          </w:rPr>
          <w:fldChar w:fldCharType="end"/>
        </w:r>
      </w:hyperlink>
    </w:p>
    <w:p w14:paraId="42B500C4" w14:textId="77777777" w:rsidR="00577C77" w:rsidRDefault="00577C77">
      <w:pPr>
        <w:spacing w:before="0" w:after="0"/>
        <w:rPr>
          <w:b/>
          <w:noProof/>
          <w:szCs w:val="22"/>
        </w:rPr>
      </w:pPr>
      <w:r>
        <w:rPr>
          <w:noProof/>
        </w:rPr>
        <w:br w:type="page"/>
      </w:r>
    </w:p>
    <w:p w14:paraId="76746550" w14:textId="58FA0DD6" w:rsidR="001A5DA3" w:rsidRDefault="000B63BB">
      <w:pPr>
        <w:pStyle w:val="TOC1"/>
        <w:rPr>
          <w:rFonts w:eastAsiaTheme="minorEastAsia" w:cstheme="minorBidi"/>
          <w:b w:val="0"/>
        </w:rPr>
      </w:pPr>
      <w:hyperlink w:anchor="_Toc67952259" w:history="1">
        <w:r w:rsidR="001A5DA3" w:rsidRPr="00E638DB">
          <w:rPr>
            <w:rStyle w:val="Hyperlink"/>
          </w:rPr>
          <w:t>10</w:t>
        </w:r>
        <w:r w:rsidR="001A5DA3">
          <w:rPr>
            <w:rFonts w:eastAsiaTheme="minorEastAsia" w:cstheme="minorBidi"/>
            <w:b w:val="0"/>
          </w:rPr>
          <w:tab/>
        </w:r>
        <w:r w:rsidR="001A5DA3" w:rsidRPr="00E638DB">
          <w:rPr>
            <w:rStyle w:val="Hyperlink"/>
          </w:rPr>
          <w:t>Referral practices recommendations</w:t>
        </w:r>
        <w:r w:rsidR="001A5DA3">
          <w:rPr>
            <w:webHidden/>
          </w:rPr>
          <w:tab/>
        </w:r>
        <w:r w:rsidR="001A5DA3">
          <w:rPr>
            <w:webHidden/>
          </w:rPr>
          <w:fldChar w:fldCharType="begin"/>
        </w:r>
        <w:r w:rsidR="001A5DA3">
          <w:rPr>
            <w:webHidden/>
          </w:rPr>
          <w:instrText xml:space="preserve"> PAGEREF _Toc67952259 \h </w:instrText>
        </w:r>
        <w:r w:rsidR="001A5DA3">
          <w:rPr>
            <w:webHidden/>
          </w:rPr>
        </w:r>
        <w:r w:rsidR="001A5DA3">
          <w:rPr>
            <w:webHidden/>
          </w:rPr>
          <w:fldChar w:fldCharType="separate"/>
        </w:r>
        <w:r w:rsidR="00832059">
          <w:rPr>
            <w:webHidden/>
          </w:rPr>
          <w:t>64</w:t>
        </w:r>
        <w:r w:rsidR="001A5DA3">
          <w:rPr>
            <w:webHidden/>
          </w:rPr>
          <w:fldChar w:fldCharType="end"/>
        </w:r>
      </w:hyperlink>
    </w:p>
    <w:p w14:paraId="6A5F95C3" w14:textId="4F6F035F" w:rsidR="001A5DA3" w:rsidRDefault="000B63BB">
      <w:pPr>
        <w:pStyle w:val="TOC2"/>
        <w:rPr>
          <w:rFonts w:eastAsiaTheme="minorEastAsia" w:cstheme="minorBidi"/>
        </w:rPr>
      </w:pPr>
      <w:hyperlink w:anchor="_Toc67952260" w:history="1">
        <w:r w:rsidR="001A5DA3" w:rsidRPr="00E638DB">
          <w:rPr>
            <w:rStyle w:val="Hyperlink"/>
          </w:rPr>
          <w:t>10.1</w:t>
        </w:r>
        <w:r w:rsidR="001A5DA3">
          <w:rPr>
            <w:rFonts w:eastAsiaTheme="minorEastAsia" w:cstheme="minorBidi"/>
          </w:rPr>
          <w:tab/>
        </w:r>
        <w:r w:rsidR="001A5DA3" w:rsidRPr="00E638DB">
          <w:rPr>
            <w:rStyle w:val="Hyperlink"/>
          </w:rPr>
          <w:t>Recommendation 20 (Not agreed) – Extend the current specialist to specialist referral validity period</w:t>
        </w:r>
        <w:r w:rsidR="001A5DA3">
          <w:rPr>
            <w:webHidden/>
          </w:rPr>
          <w:tab/>
        </w:r>
        <w:r w:rsidR="001A5DA3">
          <w:rPr>
            <w:webHidden/>
          </w:rPr>
          <w:fldChar w:fldCharType="begin"/>
        </w:r>
        <w:r w:rsidR="001A5DA3">
          <w:rPr>
            <w:webHidden/>
          </w:rPr>
          <w:instrText xml:space="preserve"> PAGEREF _Toc67952260 \h </w:instrText>
        </w:r>
        <w:r w:rsidR="001A5DA3">
          <w:rPr>
            <w:webHidden/>
          </w:rPr>
        </w:r>
        <w:r w:rsidR="001A5DA3">
          <w:rPr>
            <w:webHidden/>
          </w:rPr>
          <w:fldChar w:fldCharType="separate"/>
        </w:r>
        <w:r w:rsidR="00832059">
          <w:rPr>
            <w:webHidden/>
          </w:rPr>
          <w:t>64</w:t>
        </w:r>
        <w:r w:rsidR="001A5DA3">
          <w:rPr>
            <w:webHidden/>
          </w:rPr>
          <w:fldChar w:fldCharType="end"/>
        </w:r>
      </w:hyperlink>
    </w:p>
    <w:p w14:paraId="700142A9" w14:textId="0939AB82" w:rsidR="001A5DA3" w:rsidRDefault="000B63BB">
      <w:pPr>
        <w:pStyle w:val="TOC2"/>
        <w:rPr>
          <w:rFonts w:eastAsiaTheme="minorEastAsia" w:cstheme="minorBidi"/>
        </w:rPr>
      </w:pPr>
      <w:hyperlink w:anchor="_Toc67952261" w:history="1">
        <w:r w:rsidR="001A5DA3" w:rsidRPr="00E638DB">
          <w:rPr>
            <w:rStyle w:val="Hyperlink"/>
          </w:rPr>
          <w:t>10.2</w:t>
        </w:r>
        <w:r w:rsidR="001A5DA3">
          <w:rPr>
            <w:rFonts w:eastAsiaTheme="minorEastAsia" w:cstheme="minorBidi"/>
          </w:rPr>
          <w:tab/>
        </w:r>
        <w:r w:rsidR="001A5DA3" w:rsidRPr="00E638DB">
          <w:rPr>
            <w:rStyle w:val="Hyperlink"/>
          </w:rPr>
          <w:t>Rationale 20</w:t>
        </w:r>
        <w:r w:rsidR="001A5DA3">
          <w:rPr>
            <w:webHidden/>
          </w:rPr>
          <w:tab/>
        </w:r>
        <w:r w:rsidR="001A5DA3">
          <w:rPr>
            <w:webHidden/>
          </w:rPr>
          <w:fldChar w:fldCharType="begin"/>
        </w:r>
        <w:r w:rsidR="001A5DA3">
          <w:rPr>
            <w:webHidden/>
          </w:rPr>
          <w:instrText xml:space="preserve"> PAGEREF _Toc67952261 \h </w:instrText>
        </w:r>
        <w:r w:rsidR="001A5DA3">
          <w:rPr>
            <w:webHidden/>
          </w:rPr>
        </w:r>
        <w:r w:rsidR="001A5DA3">
          <w:rPr>
            <w:webHidden/>
          </w:rPr>
          <w:fldChar w:fldCharType="separate"/>
        </w:r>
        <w:r w:rsidR="00832059">
          <w:rPr>
            <w:webHidden/>
          </w:rPr>
          <w:t>64</w:t>
        </w:r>
        <w:r w:rsidR="001A5DA3">
          <w:rPr>
            <w:webHidden/>
          </w:rPr>
          <w:fldChar w:fldCharType="end"/>
        </w:r>
      </w:hyperlink>
    </w:p>
    <w:p w14:paraId="7B675204" w14:textId="25AB279D" w:rsidR="001A5DA3" w:rsidRDefault="000B63BB">
      <w:pPr>
        <w:pStyle w:val="TOC2"/>
        <w:rPr>
          <w:rFonts w:eastAsiaTheme="minorEastAsia" w:cstheme="minorBidi"/>
        </w:rPr>
      </w:pPr>
      <w:hyperlink w:anchor="_Toc67952262" w:history="1">
        <w:r w:rsidR="001A5DA3" w:rsidRPr="00E638DB">
          <w:rPr>
            <w:rStyle w:val="Hyperlink"/>
          </w:rPr>
          <w:t>10.3</w:t>
        </w:r>
        <w:r w:rsidR="001A5DA3">
          <w:rPr>
            <w:rFonts w:eastAsiaTheme="minorEastAsia" w:cstheme="minorBidi"/>
          </w:rPr>
          <w:tab/>
        </w:r>
        <w:r w:rsidR="001A5DA3" w:rsidRPr="00E638DB">
          <w:rPr>
            <w:rStyle w:val="Hyperlink"/>
          </w:rPr>
          <w:t>Recommendation 21 – Introducing a new AHP pathway</w:t>
        </w:r>
        <w:r w:rsidR="001A5DA3">
          <w:rPr>
            <w:webHidden/>
          </w:rPr>
          <w:tab/>
        </w:r>
        <w:r w:rsidR="001A5DA3">
          <w:rPr>
            <w:webHidden/>
          </w:rPr>
          <w:fldChar w:fldCharType="begin"/>
        </w:r>
        <w:r w:rsidR="001A5DA3">
          <w:rPr>
            <w:webHidden/>
          </w:rPr>
          <w:instrText xml:space="preserve"> PAGEREF _Toc67952262 \h </w:instrText>
        </w:r>
        <w:r w:rsidR="001A5DA3">
          <w:rPr>
            <w:webHidden/>
          </w:rPr>
        </w:r>
        <w:r w:rsidR="001A5DA3">
          <w:rPr>
            <w:webHidden/>
          </w:rPr>
          <w:fldChar w:fldCharType="separate"/>
        </w:r>
        <w:r w:rsidR="00832059">
          <w:rPr>
            <w:webHidden/>
          </w:rPr>
          <w:t>65</w:t>
        </w:r>
        <w:r w:rsidR="001A5DA3">
          <w:rPr>
            <w:webHidden/>
          </w:rPr>
          <w:fldChar w:fldCharType="end"/>
        </w:r>
      </w:hyperlink>
    </w:p>
    <w:p w14:paraId="45C250C6" w14:textId="621D4CB9" w:rsidR="001A5DA3" w:rsidRDefault="000B63BB">
      <w:pPr>
        <w:pStyle w:val="TOC2"/>
        <w:rPr>
          <w:rFonts w:eastAsiaTheme="minorEastAsia" w:cstheme="minorBidi"/>
        </w:rPr>
      </w:pPr>
      <w:hyperlink w:anchor="_Toc67952263" w:history="1">
        <w:r w:rsidR="001A5DA3" w:rsidRPr="00E638DB">
          <w:rPr>
            <w:rStyle w:val="Hyperlink"/>
          </w:rPr>
          <w:t>10.4</w:t>
        </w:r>
        <w:r w:rsidR="001A5DA3">
          <w:rPr>
            <w:rFonts w:eastAsiaTheme="minorEastAsia" w:cstheme="minorBidi"/>
          </w:rPr>
          <w:tab/>
        </w:r>
        <w:r w:rsidR="001A5DA3" w:rsidRPr="00E638DB">
          <w:rPr>
            <w:rStyle w:val="Hyperlink"/>
          </w:rPr>
          <w:t>Rationale 21</w:t>
        </w:r>
        <w:r w:rsidR="001A5DA3">
          <w:rPr>
            <w:webHidden/>
          </w:rPr>
          <w:tab/>
        </w:r>
        <w:r w:rsidR="001A5DA3">
          <w:rPr>
            <w:webHidden/>
          </w:rPr>
          <w:fldChar w:fldCharType="begin"/>
        </w:r>
        <w:r w:rsidR="001A5DA3">
          <w:rPr>
            <w:webHidden/>
          </w:rPr>
          <w:instrText xml:space="preserve"> PAGEREF _Toc67952263 \h </w:instrText>
        </w:r>
        <w:r w:rsidR="001A5DA3">
          <w:rPr>
            <w:webHidden/>
          </w:rPr>
        </w:r>
        <w:r w:rsidR="001A5DA3">
          <w:rPr>
            <w:webHidden/>
          </w:rPr>
          <w:fldChar w:fldCharType="separate"/>
        </w:r>
        <w:r w:rsidR="00832059">
          <w:rPr>
            <w:webHidden/>
          </w:rPr>
          <w:t>65</w:t>
        </w:r>
        <w:r w:rsidR="001A5DA3">
          <w:rPr>
            <w:webHidden/>
          </w:rPr>
          <w:fldChar w:fldCharType="end"/>
        </w:r>
      </w:hyperlink>
    </w:p>
    <w:p w14:paraId="4AA1965E" w14:textId="5F3E9410" w:rsidR="001A5DA3" w:rsidRDefault="000B63BB">
      <w:pPr>
        <w:pStyle w:val="TOC1"/>
        <w:rPr>
          <w:rFonts w:eastAsiaTheme="minorEastAsia" w:cstheme="minorBidi"/>
          <w:b w:val="0"/>
        </w:rPr>
      </w:pPr>
      <w:hyperlink w:anchor="_Toc67952264" w:history="1">
        <w:r w:rsidR="001A5DA3" w:rsidRPr="00E638DB">
          <w:rPr>
            <w:rStyle w:val="Hyperlink"/>
            <w:lang w:val="en-GB"/>
          </w:rPr>
          <w:t>11</w:t>
        </w:r>
        <w:r w:rsidR="001A5DA3">
          <w:rPr>
            <w:rFonts w:eastAsiaTheme="minorEastAsia" w:cstheme="minorBidi"/>
            <w:b w:val="0"/>
          </w:rPr>
          <w:tab/>
        </w:r>
        <w:r w:rsidR="001A5DA3" w:rsidRPr="00E638DB">
          <w:rPr>
            <w:rStyle w:val="Hyperlink"/>
            <w:lang w:val="en-GB"/>
          </w:rPr>
          <w:t>Impact statement</w:t>
        </w:r>
        <w:r w:rsidR="001A5DA3">
          <w:rPr>
            <w:webHidden/>
          </w:rPr>
          <w:tab/>
        </w:r>
        <w:r w:rsidR="001A5DA3">
          <w:rPr>
            <w:webHidden/>
          </w:rPr>
          <w:fldChar w:fldCharType="begin"/>
        </w:r>
        <w:r w:rsidR="001A5DA3">
          <w:rPr>
            <w:webHidden/>
          </w:rPr>
          <w:instrText xml:space="preserve"> PAGEREF _Toc67952264 \h </w:instrText>
        </w:r>
        <w:r w:rsidR="001A5DA3">
          <w:rPr>
            <w:webHidden/>
          </w:rPr>
        </w:r>
        <w:r w:rsidR="001A5DA3">
          <w:rPr>
            <w:webHidden/>
          </w:rPr>
          <w:fldChar w:fldCharType="separate"/>
        </w:r>
        <w:r w:rsidR="00832059">
          <w:rPr>
            <w:webHidden/>
          </w:rPr>
          <w:t>66</w:t>
        </w:r>
        <w:r w:rsidR="001A5DA3">
          <w:rPr>
            <w:webHidden/>
          </w:rPr>
          <w:fldChar w:fldCharType="end"/>
        </w:r>
      </w:hyperlink>
    </w:p>
    <w:p w14:paraId="34127734" w14:textId="1A02B442" w:rsidR="001A5DA3" w:rsidRDefault="000B63BB">
      <w:pPr>
        <w:pStyle w:val="TOC2"/>
        <w:rPr>
          <w:rFonts w:eastAsiaTheme="minorEastAsia" w:cstheme="minorBidi"/>
        </w:rPr>
      </w:pPr>
      <w:hyperlink w:anchor="_Toc67952265" w:history="1">
        <w:r w:rsidR="001A5DA3" w:rsidRPr="00E638DB">
          <w:rPr>
            <w:rStyle w:val="Hyperlink"/>
          </w:rPr>
          <w:t>11.1</w:t>
        </w:r>
        <w:r w:rsidR="001A5DA3">
          <w:rPr>
            <w:rFonts w:eastAsiaTheme="minorEastAsia" w:cstheme="minorBidi"/>
          </w:rPr>
          <w:tab/>
        </w:r>
        <w:r w:rsidR="001A5DA3" w:rsidRPr="00E638DB">
          <w:rPr>
            <w:rStyle w:val="Hyperlink"/>
          </w:rPr>
          <w:t>Introductory notes</w:t>
        </w:r>
        <w:r w:rsidR="001A5DA3">
          <w:rPr>
            <w:webHidden/>
          </w:rPr>
          <w:tab/>
        </w:r>
        <w:r w:rsidR="001A5DA3">
          <w:rPr>
            <w:webHidden/>
          </w:rPr>
          <w:fldChar w:fldCharType="begin"/>
        </w:r>
        <w:r w:rsidR="001A5DA3">
          <w:rPr>
            <w:webHidden/>
          </w:rPr>
          <w:instrText xml:space="preserve"> PAGEREF _Toc67952265 \h </w:instrText>
        </w:r>
        <w:r w:rsidR="001A5DA3">
          <w:rPr>
            <w:webHidden/>
          </w:rPr>
        </w:r>
        <w:r w:rsidR="001A5DA3">
          <w:rPr>
            <w:webHidden/>
          </w:rPr>
          <w:fldChar w:fldCharType="separate"/>
        </w:r>
        <w:r w:rsidR="00832059">
          <w:rPr>
            <w:webHidden/>
          </w:rPr>
          <w:t>66</w:t>
        </w:r>
        <w:r w:rsidR="001A5DA3">
          <w:rPr>
            <w:webHidden/>
          </w:rPr>
          <w:fldChar w:fldCharType="end"/>
        </w:r>
      </w:hyperlink>
    </w:p>
    <w:p w14:paraId="4373E4AD" w14:textId="0427DE29" w:rsidR="001A5DA3" w:rsidRDefault="000B63BB">
      <w:pPr>
        <w:pStyle w:val="TOC2"/>
        <w:rPr>
          <w:rFonts w:eastAsiaTheme="minorEastAsia" w:cstheme="minorBidi"/>
        </w:rPr>
      </w:pPr>
      <w:hyperlink w:anchor="_Toc67952266" w:history="1">
        <w:r w:rsidR="001A5DA3" w:rsidRPr="00E638DB">
          <w:rPr>
            <w:rStyle w:val="Hyperlink"/>
          </w:rPr>
          <w:t>11.2</w:t>
        </w:r>
        <w:r w:rsidR="001A5DA3">
          <w:rPr>
            <w:rFonts w:eastAsiaTheme="minorEastAsia" w:cstheme="minorBidi"/>
          </w:rPr>
          <w:tab/>
        </w:r>
        <w:r w:rsidR="001A5DA3" w:rsidRPr="00E638DB">
          <w:rPr>
            <w:rStyle w:val="Hyperlink"/>
          </w:rPr>
          <w:t>Standard attendance recommendations</w:t>
        </w:r>
        <w:r w:rsidR="001A5DA3">
          <w:rPr>
            <w:webHidden/>
          </w:rPr>
          <w:tab/>
        </w:r>
        <w:r w:rsidR="001A5DA3">
          <w:rPr>
            <w:webHidden/>
          </w:rPr>
          <w:fldChar w:fldCharType="begin"/>
        </w:r>
        <w:r w:rsidR="001A5DA3">
          <w:rPr>
            <w:webHidden/>
          </w:rPr>
          <w:instrText xml:space="preserve"> PAGEREF _Toc67952266 \h </w:instrText>
        </w:r>
        <w:r w:rsidR="001A5DA3">
          <w:rPr>
            <w:webHidden/>
          </w:rPr>
        </w:r>
        <w:r w:rsidR="001A5DA3">
          <w:rPr>
            <w:webHidden/>
          </w:rPr>
          <w:fldChar w:fldCharType="separate"/>
        </w:r>
        <w:r w:rsidR="00832059">
          <w:rPr>
            <w:webHidden/>
          </w:rPr>
          <w:t>66</w:t>
        </w:r>
        <w:r w:rsidR="001A5DA3">
          <w:rPr>
            <w:webHidden/>
          </w:rPr>
          <w:fldChar w:fldCharType="end"/>
        </w:r>
      </w:hyperlink>
    </w:p>
    <w:p w14:paraId="50189212" w14:textId="11EECBE9" w:rsidR="001A5DA3" w:rsidRDefault="000B63BB">
      <w:pPr>
        <w:pStyle w:val="TOC2"/>
        <w:rPr>
          <w:rFonts w:eastAsiaTheme="minorEastAsia" w:cstheme="minorBidi"/>
        </w:rPr>
      </w:pPr>
      <w:hyperlink w:anchor="_Toc67952267" w:history="1">
        <w:r w:rsidR="001A5DA3" w:rsidRPr="00E638DB">
          <w:rPr>
            <w:rStyle w:val="Hyperlink"/>
          </w:rPr>
          <w:t>11.3</w:t>
        </w:r>
        <w:r w:rsidR="001A5DA3">
          <w:rPr>
            <w:rFonts w:eastAsiaTheme="minorEastAsia" w:cstheme="minorBidi"/>
          </w:rPr>
          <w:tab/>
        </w:r>
        <w:r w:rsidR="001A5DA3" w:rsidRPr="00E638DB">
          <w:rPr>
            <w:rStyle w:val="Hyperlink"/>
          </w:rPr>
          <w:t>Complex plan recommendations:</w:t>
        </w:r>
        <w:r w:rsidR="001A5DA3">
          <w:rPr>
            <w:webHidden/>
          </w:rPr>
          <w:tab/>
        </w:r>
        <w:r w:rsidR="001A5DA3">
          <w:rPr>
            <w:webHidden/>
          </w:rPr>
          <w:fldChar w:fldCharType="begin"/>
        </w:r>
        <w:r w:rsidR="001A5DA3">
          <w:rPr>
            <w:webHidden/>
          </w:rPr>
          <w:instrText xml:space="preserve"> PAGEREF _Toc67952267 \h </w:instrText>
        </w:r>
        <w:r w:rsidR="001A5DA3">
          <w:rPr>
            <w:webHidden/>
          </w:rPr>
        </w:r>
        <w:r w:rsidR="001A5DA3">
          <w:rPr>
            <w:webHidden/>
          </w:rPr>
          <w:fldChar w:fldCharType="separate"/>
        </w:r>
        <w:r w:rsidR="00832059">
          <w:rPr>
            <w:webHidden/>
          </w:rPr>
          <w:t>66</w:t>
        </w:r>
        <w:r w:rsidR="001A5DA3">
          <w:rPr>
            <w:webHidden/>
          </w:rPr>
          <w:fldChar w:fldCharType="end"/>
        </w:r>
      </w:hyperlink>
    </w:p>
    <w:p w14:paraId="59A8927B" w14:textId="62D4F86E" w:rsidR="001A5DA3" w:rsidRDefault="000B63BB">
      <w:pPr>
        <w:pStyle w:val="TOC2"/>
        <w:rPr>
          <w:rFonts w:eastAsiaTheme="minorEastAsia" w:cstheme="minorBidi"/>
        </w:rPr>
      </w:pPr>
      <w:hyperlink w:anchor="_Toc67952268" w:history="1">
        <w:r w:rsidR="001A5DA3" w:rsidRPr="00E638DB">
          <w:rPr>
            <w:rStyle w:val="Hyperlink"/>
          </w:rPr>
          <w:t>11.4</w:t>
        </w:r>
        <w:r w:rsidR="001A5DA3">
          <w:rPr>
            <w:rFonts w:eastAsiaTheme="minorEastAsia" w:cstheme="minorBidi"/>
          </w:rPr>
          <w:tab/>
        </w:r>
        <w:r w:rsidR="001A5DA3" w:rsidRPr="00E638DB">
          <w:rPr>
            <w:rStyle w:val="Hyperlink"/>
          </w:rPr>
          <w:t>Telehealth recommendations (referred to the Taskforce’s Telehealth Working Group for consideration)</w:t>
        </w:r>
        <w:r w:rsidR="001A5DA3">
          <w:rPr>
            <w:webHidden/>
          </w:rPr>
          <w:tab/>
        </w:r>
        <w:r w:rsidR="001A5DA3">
          <w:rPr>
            <w:webHidden/>
          </w:rPr>
          <w:fldChar w:fldCharType="begin"/>
        </w:r>
        <w:r w:rsidR="001A5DA3">
          <w:rPr>
            <w:webHidden/>
          </w:rPr>
          <w:instrText xml:space="preserve"> PAGEREF _Toc67952268 \h </w:instrText>
        </w:r>
        <w:r w:rsidR="001A5DA3">
          <w:rPr>
            <w:webHidden/>
          </w:rPr>
        </w:r>
        <w:r w:rsidR="001A5DA3">
          <w:rPr>
            <w:webHidden/>
          </w:rPr>
          <w:fldChar w:fldCharType="separate"/>
        </w:r>
        <w:r w:rsidR="00832059">
          <w:rPr>
            <w:webHidden/>
          </w:rPr>
          <w:t>67</w:t>
        </w:r>
        <w:r w:rsidR="001A5DA3">
          <w:rPr>
            <w:webHidden/>
          </w:rPr>
          <w:fldChar w:fldCharType="end"/>
        </w:r>
      </w:hyperlink>
    </w:p>
    <w:p w14:paraId="33085FA3" w14:textId="301B70F8" w:rsidR="001A5DA3" w:rsidRDefault="000B63BB">
      <w:pPr>
        <w:pStyle w:val="TOC2"/>
        <w:rPr>
          <w:rFonts w:eastAsiaTheme="minorEastAsia" w:cstheme="minorBidi"/>
        </w:rPr>
      </w:pPr>
      <w:hyperlink w:anchor="_Toc67952269" w:history="1">
        <w:r w:rsidR="001A5DA3" w:rsidRPr="00E638DB">
          <w:rPr>
            <w:rStyle w:val="Hyperlink"/>
          </w:rPr>
          <w:t>11.5</w:t>
        </w:r>
        <w:r w:rsidR="001A5DA3">
          <w:rPr>
            <w:rFonts w:eastAsiaTheme="minorEastAsia" w:cstheme="minorBidi"/>
          </w:rPr>
          <w:tab/>
        </w:r>
        <w:r w:rsidR="001A5DA3" w:rsidRPr="00E638DB">
          <w:rPr>
            <w:rStyle w:val="Hyperlink"/>
          </w:rPr>
          <w:t>Case conference recommendations</w:t>
        </w:r>
        <w:r w:rsidR="001A5DA3">
          <w:rPr>
            <w:webHidden/>
          </w:rPr>
          <w:tab/>
        </w:r>
        <w:r w:rsidR="001A5DA3">
          <w:rPr>
            <w:webHidden/>
          </w:rPr>
          <w:fldChar w:fldCharType="begin"/>
        </w:r>
        <w:r w:rsidR="001A5DA3">
          <w:rPr>
            <w:webHidden/>
          </w:rPr>
          <w:instrText xml:space="preserve"> PAGEREF _Toc67952269 \h </w:instrText>
        </w:r>
        <w:r w:rsidR="001A5DA3">
          <w:rPr>
            <w:webHidden/>
          </w:rPr>
        </w:r>
        <w:r w:rsidR="001A5DA3">
          <w:rPr>
            <w:webHidden/>
          </w:rPr>
          <w:fldChar w:fldCharType="separate"/>
        </w:r>
        <w:r w:rsidR="00832059">
          <w:rPr>
            <w:webHidden/>
          </w:rPr>
          <w:t>67</w:t>
        </w:r>
        <w:r w:rsidR="001A5DA3">
          <w:rPr>
            <w:webHidden/>
          </w:rPr>
          <w:fldChar w:fldCharType="end"/>
        </w:r>
      </w:hyperlink>
    </w:p>
    <w:p w14:paraId="6349B9B8" w14:textId="7C0F1746" w:rsidR="001A5DA3" w:rsidRDefault="000B63BB">
      <w:pPr>
        <w:pStyle w:val="TOC2"/>
        <w:rPr>
          <w:rFonts w:eastAsiaTheme="minorEastAsia" w:cstheme="minorBidi"/>
        </w:rPr>
      </w:pPr>
      <w:hyperlink w:anchor="_Toc67952270" w:history="1">
        <w:r w:rsidR="001A5DA3" w:rsidRPr="00E638DB">
          <w:rPr>
            <w:rStyle w:val="Hyperlink"/>
          </w:rPr>
          <w:t>11.6</w:t>
        </w:r>
        <w:r w:rsidR="001A5DA3">
          <w:rPr>
            <w:rFonts w:eastAsiaTheme="minorEastAsia" w:cstheme="minorBidi"/>
          </w:rPr>
          <w:tab/>
        </w:r>
        <w:r w:rsidR="001A5DA3" w:rsidRPr="00E638DB">
          <w:rPr>
            <w:rStyle w:val="Hyperlink"/>
          </w:rPr>
          <w:t>Use of data to inform quality care and informed patient choice and consent</w:t>
        </w:r>
        <w:r w:rsidR="001A5DA3">
          <w:rPr>
            <w:webHidden/>
          </w:rPr>
          <w:tab/>
        </w:r>
        <w:r w:rsidR="001A5DA3">
          <w:rPr>
            <w:webHidden/>
          </w:rPr>
          <w:fldChar w:fldCharType="begin"/>
        </w:r>
        <w:r w:rsidR="001A5DA3">
          <w:rPr>
            <w:webHidden/>
          </w:rPr>
          <w:instrText xml:space="preserve"> PAGEREF _Toc67952270 \h </w:instrText>
        </w:r>
        <w:r w:rsidR="001A5DA3">
          <w:rPr>
            <w:webHidden/>
          </w:rPr>
        </w:r>
        <w:r w:rsidR="001A5DA3">
          <w:rPr>
            <w:webHidden/>
          </w:rPr>
          <w:fldChar w:fldCharType="separate"/>
        </w:r>
        <w:r w:rsidR="00832059">
          <w:rPr>
            <w:webHidden/>
          </w:rPr>
          <w:t>68</w:t>
        </w:r>
        <w:r w:rsidR="001A5DA3">
          <w:rPr>
            <w:webHidden/>
          </w:rPr>
          <w:fldChar w:fldCharType="end"/>
        </w:r>
      </w:hyperlink>
    </w:p>
    <w:p w14:paraId="1E66A8F4" w14:textId="24268F91" w:rsidR="001A5DA3" w:rsidRDefault="000B63BB">
      <w:pPr>
        <w:pStyle w:val="TOC2"/>
        <w:rPr>
          <w:rFonts w:eastAsiaTheme="minorEastAsia" w:cstheme="minorBidi"/>
        </w:rPr>
      </w:pPr>
      <w:hyperlink w:anchor="_Toc67952271" w:history="1">
        <w:r w:rsidR="001A5DA3" w:rsidRPr="00E638DB">
          <w:rPr>
            <w:rStyle w:val="Hyperlink"/>
          </w:rPr>
          <w:t>11.7</w:t>
        </w:r>
        <w:r w:rsidR="001A5DA3">
          <w:rPr>
            <w:rFonts w:eastAsiaTheme="minorEastAsia" w:cstheme="minorBidi"/>
          </w:rPr>
          <w:tab/>
        </w:r>
        <w:r w:rsidR="001A5DA3" w:rsidRPr="00E638DB">
          <w:rPr>
            <w:rStyle w:val="Hyperlink"/>
          </w:rPr>
          <w:t>My Health Record recommendations</w:t>
        </w:r>
        <w:r w:rsidR="001A5DA3">
          <w:rPr>
            <w:webHidden/>
          </w:rPr>
          <w:tab/>
        </w:r>
        <w:r w:rsidR="001A5DA3">
          <w:rPr>
            <w:webHidden/>
          </w:rPr>
          <w:fldChar w:fldCharType="begin"/>
        </w:r>
        <w:r w:rsidR="001A5DA3">
          <w:rPr>
            <w:webHidden/>
          </w:rPr>
          <w:instrText xml:space="preserve"> PAGEREF _Toc67952271 \h </w:instrText>
        </w:r>
        <w:r w:rsidR="001A5DA3">
          <w:rPr>
            <w:webHidden/>
          </w:rPr>
        </w:r>
        <w:r w:rsidR="001A5DA3">
          <w:rPr>
            <w:webHidden/>
          </w:rPr>
          <w:fldChar w:fldCharType="separate"/>
        </w:r>
        <w:r w:rsidR="00832059">
          <w:rPr>
            <w:webHidden/>
          </w:rPr>
          <w:t>68</w:t>
        </w:r>
        <w:r w:rsidR="001A5DA3">
          <w:rPr>
            <w:webHidden/>
          </w:rPr>
          <w:fldChar w:fldCharType="end"/>
        </w:r>
      </w:hyperlink>
    </w:p>
    <w:p w14:paraId="636C5BB3" w14:textId="1F8AF248" w:rsidR="001A5DA3" w:rsidRDefault="000B63BB">
      <w:pPr>
        <w:pStyle w:val="TOC1"/>
        <w:rPr>
          <w:rFonts w:eastAsiaTheme="minorEastAsia" w:cstheme="minorBidi"/>
          <w:b w:val="0"/>
        </w:rPr>
      </w:pPr>
      <w:hyperlink w:anchor="_Toc67952272" w:history="1">
        <w:r w:rsidR="001A5DA3" w:rsidRPr="00E638DB">
          <w:rPr>
            <w:rStyle w:val="Hyperlink"/>
          </w:rPr>
          <w:t>12</w:t>
        </w:r>
        <w:r w:rsidR="001A5DA3">
          <w:rPr>
            <w:rFonts w:eastAsiaTheme="minorEastAsia" w:cstheme="minorBidi"/>
            <w:b w:val="0"/>
          </w:rPr>
          <w:tab/>
        </w:r>
        <w:r w:rsidR="001A5DA3" w:rsidRPr="00E638DB">
          <w:rPr>
            <w:rStyle w:val="Hyperlink"/>
          </w:rPr>
          <w:t xml:space="preserve"> References</w:t>
        </w:r>
        <w:r w:rsidR="001A5DA3">
          <w:rPr>
            <w:webHidden/>
          </w:rPr>
          <w:tab/>
        </w:r>
        <w:r w:rsidR="001A5DA3">
          <w:rPr>
            <w:webHidden/>
          </w:rPr>
          <w:fldChar w:fldCharType="begin"/>
        </w:r>
        <w:r w:rsidR="001A5DA3">
          <w:rPr>
            <w:webHidden/>
          </w:rPr>
          <w:instrText xml:space="preserve"> PAGEREF _Toc67952272 \h </w:instrText>
        </w:r>
        <w:r w:rsidR="001A5DA3">
          <w:rPr>
            <w:webHidden/>
          </w:rPr>
        </w:r>
        <w:r w:rsidR="001A5DA3">
          <w:rPr>
            <w:webHidden/>
          </w:rPr>
          <w:fldChar w:fldCharType="separate"/>
        </w:r>
        <w:r w:rsidR="00832059">
          <w:rPr>
            <w:webHidden/>
          </w:rPr>
          <w:t>69</w:t>
        </w:r>
        <w:r w:rsidR="001A5DA3">
          <w:rPr>
            <w:webHidden/>
          </w:rPr>
          <w:fldChar w:fldCharType="end"/>
        </w:r>
      </w:hyperlink>
    </w:p>
    <w:p w14:paraId="4F06D1AB" w14:textId="55794979" w:rsidR="001A5DA3" w:rsidRDefault="000B63BB">
      <w:pPr>
        <w:pStyle w:val="TOC1"/>
        <w:rPr>
          <w:rFonts w:eastAsiaTheme="minorEastAsia" w:cstheme="minorBidi"/>
          <w:b w:val="0"/>
        </w:rPr>
      </w:pPr>
      <w:hyperlink w:anchor="_Toc67952273" w:history="1">
        <w:r w:rsidR="001A5DA3" w:rsidRPr="00E638DB">
          <w:rPr>
            <w:rStyle w:val="Hyperlink"/>
            <w:lang w:val="en-GB"/>
          </w:rPr>
          <w:t>13</w:t>
        </w:r>
        <w:r w:rsidR="001A5DA3">
          <w:rPr>
            <w:rFonts w:eastAsiaTheme="minorEastAsia" w:cstheme="minorBidi"/>
            <w:b w:val="0"/>
          </w:rPr>
          <w:tab/>
        </w:r>
        <w:r w:rsidR="001A5DA3" w:rsidRPr="00E638DB">
          <w:rPr>
            <w:rStyle w:val="Hyperlink"/>
            <w:lang w:val="en-GB"/>
          </w:rPr>
          <w:t>Glossary</w:t>
        </w:r>
        <w:r w:rsidR="001A5DA3">
          <w:rPr>
            <w:webHidden/>
          </w:rPr>
          <w:tab/>
        </w:r>
        <w:r w:rsidR="001A5DA3">
          <w:rPr>
            <w:webHidden/>
          </w:rPr>
          <w:fldChar w:fldCharType="begin"/>
        </w:r>
        <w:r w:rsidR="001A5DA3">
          <w:rPr>
            <w:webHidden/>
          </w:rPr>
          <w:instrText xml:space="preserve"> PAGEREF _Toc67952273 \h </w:instrText>
        </w:r>
        <w:r w:rsidR="001A5DA3">
          <w:rPr>
            <w:webHidden/>
          </w:rPr>
        </w:r>
        <w:r w:rsidR="001A5DA3">
          <w:rPr>
            <w:webHidden/>
          </w:rPr>
          <w:fldChar w:fldCharType="separate"/>
        </w:r>
        <w:r w:rsidR="00832059">
          <w:rPr>
            <w:webHidden/>
          </w:rPr>
          <w:t>71</w:t>
        </w:r>
        <w:r w:rsidR="001A5DA3">
          <w:rPr>
            <w:webHidden/>
          </w:rPr>
          <w:fldChar w:fldCharType="end"/>
        </w:r>
      </w:hyperlink>
    </w:p>
    <w:p w14:paraId="53A67FB0" w14:textId="2C666870" w:rsidR="001A5DA3" w:rsidRDefault="000B63BB">
      <w:pPr>
        <w:pStyle w:val="TOC1"/>
        <w:tabs>
          <w:tab w:val="left" w:pos="1474"/>
        </w:tabs>
        <w:rPr>
          <w:rFonts w:eastAsiaTheme="minorEastAsia" w:cstheme="minorBidi"/>
          <w:b w:val="0"/>
        </w:rPr>
      </w:pPr>
      <w:hyperlink w:anchor="_Toc67952274" w:history="1">
        <w:r w:rsidR="001A5DA3" w:rsidRPr="00E638DB">
          <w:rPr>
            <w:rStyle w:val="Hyperlink"/>
            <w:lang w:val="en-GB"/>
            <w14:scene3d>
              <w14:camera w14:prst="orthographicFront"/>
              <w14:lightRig w14:rig="threePt" w14:dir="t">
                <w14:rot w14:lat="0" w14:lon="0" w14:rev="0"/>
              </w14:lightRig>
            </w14:scene3d>
          </w:rPr>
          <w:t>Appendix A</w:t>
        </w:r>
        <w:r w:rsidR="001A5DA3">
          <w:rPr>
            <w:rFonts w:eastAsiaTheme="minorEastAsia" w:cstheme="minorBidi"/>
            <w:b w:val="0"/>
          </w:rPr>
          <w:tab/>
        </w:r>
        <w:r w:rsidR="001A5DA3" w:rsidRPr="00E638DB">
          <w:rPr>
            <w:rStyle w:val="Hyperlink"/>
            <w:lang w:val="en-GB"/>
          </w:rPr>
          <w:t>Index of items</w:t>
        </w:r>
        <w:r w:rsidR="001A5DA3">
          <w:rPr>
            <w:webHidden/>
          </w:rPr>
          <w:tab/>
        </w:r>
        <w:r w:rsidR="001A5DA3">
          <w:rPr>
            <w:webHidden/>
          </w:rPr>
          <w:fldChar w:fldCharType="begin"/>
        </w:r>
        <w:r w:rsidR="001A5DA3">
          <w:rPr>
            <w:webHidden/>
          </w:rPr>
          <w:instrText xml:space="preserve"> PAGEREF _Toc67952274 \h </w:instrText>
        </w:r>
        <w:r w:rsidR="001A5DA3">
          <w:rPr>
            <w:webHidden/>
          </w:rPr>
        </w:r>
        <w:r w:rsidR="001A5DA3">
          <w:rPr>
            <w:webHidden/>
          </w:rPr>
          <w:fldChar w:fldCharType="separate"/>
        </w:r>
        <w:r w:rsidR="00832059">
          <w:rPr>
            <w:webHidden/>
          </w:rPr>
          <w:t>74</w:t>
        </w:r>
        <w:r w:rsidR="001A5DA3">
          <w:rPr>
            <w:webHidden/>
          </w:rPr>
          <w:fldChar w:fldCharType="end"/>
        </w:r>
      </w:hyperlink>
    </w:p>
    <w:p w14:paraId="357D525D" w14:textId="694BD848" w:rsidR="001A5DA3" w:rsidRDefault="000B63BB">
      <w:pPr>
        <w:pStyle w:val="TOC2"/>
        <w:rPr>
          <w:rFonts w:eastAsiaTheme="minorEastAsia" w:cstheme="minorBidi"/>
        </w:rPr>
      </w:pPr>
      <w:hyperlink w:anchor="_Toc67952275" w:history="1">
        <w:r w:rsidR="001A5DA3" w:rsidRPr="00E638DB">
          <w:rPr>
            <w:rStyle w:val="Hyperlink"/>
            <w:lang w:val="en-GB"/>
          </w:rPr>
          <w:t>A.1. Standard attendance items</w:t>
        </w:r>
        <w:r w:rsidR="001A5DA3">
          <w:rPr>
            <w:webHidden/>
          </w:rPr>
          <w:tab/>
        </w:r>
        <w:r w:rsidR="001A5DA3">
          <w:rPr>
            <w:webHidden/>
          </w:rPr>
          <w:fldChar w:fldCharType="begin"/>
        </w:r>
        <w:r w:rsidR="001A5DA3">
          <w:rPr>
            <w:webHidden/>
          </w:rPr>
          <w:instrText xml:space="preserve"> PAGEREF _Toc67952275 \h </w:instrText>
        </w:r>
        <w:r w:rsidR="001A5DA3">
          <w:rPr>
            <w:webHidden/>
          </w:rPr>
        </w:r>
        <w:r w:rsidR="001A5DA3">
          <w:rPr>
            <w:webHidden/>
          </w:rPr>
          <w:fldChar w:fldCharType="separate"/>
        </w:r>
        <w:r w:rsidR="00832059">
          <w:rPr>
            <w:webHidden/>
          </w:rPr>
          <w:t>74</w:t>
        </w:r>
        <w:r w:rsidR="001A5DA3">
          <w:rPr>
            <w:webHidden/>
          </w:rPr>
          <w:fldChar w:fldCharType="end"/>
        </w:r>
      </w:hyperlink>
    </w:p>
    <w:p w14:paraId="23CD81F1" w14:textId="4D63993B" w:rsidR="001A5DA3" w:rsidRDefault="000B63BB">
      <w:pPr>
        <w:pStyle w:val="TOC2"/>
        <w:rPr>
          <w:rFonts w:eastAsiaTheme="minorEastAsia" w:cstheme="minorBidi"/>
        </w:rPr>
      </w:pPr>
      <w:hyperlink w:anchor="_Toc67952276" w:history="1">
        <w:r w:rsidR="001A5DA3" w:rsidRPr="00E638DB">
          <w:rPr>
            <w:rStyle w:val="Hyperlink"/>
            <w:lang w:val="en-GB"/>
          </w:rPr>
          <w:t>A.2. Complex management plans attendance items</w:t>
        </w:r>
        <w:r w:rsidR="001A5DA3">
          <w:rPr>
            <w:webHidden/>
          </w:rPr>
          <w:tab/>
        </w:r>
        <w:r w:rsidR="001A5DA3">
          <w:rPr>
            <w:webHidden/>
          </w:rPr>
          <w:fldChar w:fldCharType="begin"/>
        </w:r>
        <w:r w:rsidR="001A5DA3">
          <w:rPr>
            <w:webHidden/>
          </w:rPr>
          <w:instrText xml:space="preserve"> PAGEREF _Toc67952276 \h </w:instrText>
        </w:r>
        <w:r w:rsidR="001A5DA3">
          <w:rPr>
            <w:webHidden/>
          </w:rPr>
        </w:r>
        <w:r w:rsidR="001A5DA3">
          <w:rPr>
            <w:webHidden/>
          </w:rPr>
          <w:fldChar w:fldCharType="separate"/>
        </w:r>
        <w:r w:rsidR="00832059">
          <w:rPr>
            <w:webHidden/>
          </w:rPr>
          <w:t>88</w:t>
        </w:r>
        <w:r w:rsidR="001A5DA3">
          <w:rPr>
            <w:webHidden/>
          </w:rPr>
          <w:fldChar w:fldCharType="end"/>
        </w:r>
      </w:hyperlink>
    </w:p>
    <w:p w14:paraId="1DFED152" w14:textId="1ED960E9" w:rsidR="001A5DA3" w:rsidRDefault="000B63BB">
      <w:pPr>
        <w:pStyle w:val="TOC2"/>
        <w:rPr>
          <w:rFonts w:eastAsiaTheme="minorEastAsia" w:cstheme="minorBidi"/>
        </w:rPr>
      </w:pPr>
      <w:hyperlink w:anchor="_Toc67952277" w:history="1">
        <w:r w:rsidR="001A5DA3" w:rsidRPr="00E638DB">
          <w:rPr>
            <w:rStyle w:val="Hyperlink"/>
            <w:lang w:val="en-GB"/>
          </w:rPr>
          <w:t>A.3. Telehealth attendance items (referred to the Taskforce’s Telehealth Working Group for consideration)</w:t>
        </w:r>
        <w:r w:rsidR="001A5DA3">
          <w:rPr>
            <w:webHidden/>
          </w:rPr>
          <w:tab/>
        </w:r>
        <w:r w:rsidR="001A5DA3">
          <w:rPr>
            <w:webHidden/>
          </w:rPr>
          <w:fldChar w:fldCharType="begin"/>
        </w:r>
        <w:r w:rsidR="001A5DA3">
          <w:rPr>
            <w:webHidden/>
          </w:rPr>
          <w:instrText xml:space="preserve"> PAGEREF _Toc67952277 \h </w:instrText>
        </w:r>
        <w:r w:rsidR="001A5DA3">
          <w:rPr>
            <w:webHidden/>
          </w:rPr>
        </w:r>
        <w:r w:rsidR="001A5DA3">
          <w:rPr>
            <w:webHidden/>
          </w:rPr>
          <w:fldChar w:fldCharType="separate"/>
        </w:r>
        <w:r w:rsidR="00832059">
          <w:rPr>
            <w:webHidden/>
          </w:rPr>
          <w:t>96</w:t>
        </w:r>
        <w:r w:rsidR="001A5DA3">
          <w:rPr>
            <w:webHidden/>
          </w:rPr>
          <w:fldChar w:fldCharType="end"/>
        </w:r>
      </w:hyperlink>
    </w:p>
    <w:p w14:paraId="53B0F74D" w14:textId="64A5A2AC" w:rsidR="001A5DA3" w:rsidRDefault="000B63BB">
      <w:pPr>
        <w:pStyle w:val="TOC2"/>
        <w:rPr>
          <w:rFonts w:eastAsiaTheme="minorEastAsia" w:cstheme="minorBidi"/>
        </w:rPr>
      </w:pPr>
      <w:hyperlink w:anchor="_Toc67952278" w:history="1">
        <w:r w:rsidR="001A5DA3" w:rsidRPr="00E638DB">
          <w:rPr>
            <w:rStyle w:val="Hyperlink"/>
            <w:lang w:val="en-GB"/>
          </w:rPr>
          <w:t>A.4. Case conference attendance items</w:t>
        </w:r>
        <w:r w:rsidR="001A5DA3">
          <w:rPr>
            <w:webHidden/>
          </w:rPr>
          <w:tab/>
        </w:r>
        <w:r w:rsidR="001A5DA3">
          <w:rPr>
            <w:webHidden/>
          </w:rPr>
          <w:fldChar w:fldCharType="begin"/>
        </w:r>
        <w:r w:rsidR="001A5DA3">
          <w:rPr>
            <w:webHidden/>
          </w:rPr>
          <w:instrText xml:space="preserve"> PAGEREF _Toc67952278 \h </w:instrText>
        </w:r>
        <w:r w:rsidR="001A5DA3">
          <w:rPr>
            <w:webHidden/>
          </w:rPr>
        </w:r>
        <w:r w:rsidR="001A5DA3">
          <w:rPr>
            <w:webHidden/>
          </w:rPr>
          <w:fldChar w:fldCharType="separate"/>
        </w:r>
        <w:r w:rsidR="00832059">
          <w:rPr>
            <w:webHidden/>
          </w:rPr>
          <w:t>101</w:t>
        </w:r>
        <w:r w:rsidR="001A5DA3">
          <w:rPr>
            <w:webHidden/>
          </w:rPr>
          <w:fldChar w:fldCharType="end"/>
        </w:r>
      </w:hyperlink>
    </w:p>
    <w:p w14:paraId="470C2DDF" w14:textId="608BE3AA" w:rsidR="001A5DA3" w:rsidRDefault="000B63BB">
      <w:pPr>
        <w:pStyle w:val="TOC2"/>
        <w:rPr>
          <w:rFonts w:eastAsiaTheme="minorEastAsia" w:cstheme="minorBidi"/>
        </w:rPr>
      </w:pPr>
      <w:hyperlink w:anchor="_Toc67952279" w:history="1">
        <w:r w:rsidR="001A5DA3" w:rsidRPr="00E638DB">
          <w:rPr>
            <w:rStyle w:val="Hyperlink"/>
            <w:lang w:val="en-GB"/>
          </w:rPr>
          <w:t>A.5. Group therapy attendance items</w:t>
        </w:r>
        <w:r w:rsidR="001A5DA3">
          <w:rPr>
            <w:webHidden/>
          </w:rPr>
          <w:tab/>
        </w:r>
        <w:r w:rsidR="001A5DA3">
          <w:rPr>
            <w:webHidden/>
          </w:rPr>
          <w:fldChar w:fldCharType="begin"/>
        </w:r>
        <w:r w:rsidR="001A5DA3">
          <w:rPr>
            <w:webHidden/>
          </w:rPr>
          <w:instrText xml:space="preserve"> PAGEREF _Toc67952279 \h </w:instrText>
        </w:r>
        <w:r w:rsidR="001A5DA3">
          <w:rPr>
            <w:webHidden/>
          </w:rPr>
        </w:r>
        <w:r w:rsidR="001A5DA3">
          <w:rPr>
            <w:webHidden/>
          </w:rPr>
          <w:fldChar w:fldCharType="separate"/>
        </w:r>
        <w:r w:rsidR="00832059">
          <w:rPr>
            <w:webHidden/>
          </w:rPr>
          <w:t>107</w:t>
        </w:r>
        <w:r w:rsidR="001A5DA3">
          <w:rPr>
            <w:webHidden/>
          </w:rPr>
          <w:fldChar w:fldCharType="end"/>
        </w:r>
      </w:hyperlink>
    </w:p>
    <w:p w14:paraId="3948A93E" w14:textId="1F152479" w:rsidR="001A5DA3" w:rsidRDefault="000B63BB">
      <w:pPr>
        <w:pStyle w:val="TOC1"/>
        <w:tabs>
          <w:tab w:val="left" w:pos="1474"/>
        </w:tabs>
        <w:rPr>
          <w:rFonts w:eastAsiaTheme="minorEastAsia" w:cstheme="minorBidi"/>
          <w:b w:val="0"/>
        </w:rPr>
      </w:pPr>
      <w:hyperlink w:anchor="_Toc67952280" w:history="1">
        <w:r w:rsidR="001A5DA3" w:rsidRPr="00E638DB">
          <w:rPr>
            <w:rStyle w:val="Hyperlink"/>
            <w:lang w:val="en-GB"/>
            <w14:scene3d>
              <w14:camera w14:prst="orthographicFront"/>
              <w14:lightRig w14:rig="threePt" w14:dir="t">
                <w14:rot w14:lat="0" w14:lon="0" w14:rev="0"/>
              </w14:lightRig>
            </w14:scene3d>
          </w:rPr>
          <w:t>Appendix B</w:t>
        </w:r>
        <w:r w:rsidR="001A5DA3">
          <w:rPr>
            <w:rFonts w:eastAsiaTheme="minorEastAsia" w:cstheme="minorBidi"/>
            <w:b w:val="0"/>
          </w:rPr>
          <w:tab/>
        </w:r>
        <w:r w:rsidR="001A5DA3" w:rsidRPr="00E638DB">
          <w:rPr>
            <w:rStyle w:val="Hyperlink"/>
            <w:lang w:val="en-GB"/>
          </w:rPr>
          <w:t>List of Recommendations</w:t>
        </w:r>
        <w:r w:rsidR="001A5DA3">
          <w:rPr>
            <w:webHidden/>
          </w:rPr>
          <w:tab/>
        </w:r>
        <w:r w:rsidR="001A5DA3">
          <w:rPr>
            <w:webHidden/>
          </w:rPr>
          <w:fldChar w:fldCharType="begin"/>
        </w:r>
        <w:r w:rsidR="001A5DA3">
          <w:rPr>
            <w:webHidden/>
          </w:rPr>
          <w:instrText xml:space="preserve"> PAGEREF _Toc67952280 \h </w:instrText>
        </w:r>
        <w:r w:rsidR="001A5DA3">
          <w:rPr>
            <w:webHidden/>
          </w:rPr>
        </w:r>
        <w:r w:rsidR="001A5DA3">
          <w:rPr>
            <w:webHidden/>
          </w:rPr>
          <w:fldChar w:fldCharType="separate"/>
        </w:r>
        <w:r w:rsidR="00832059">
          <w:rPr>
            <w:webHidden/>
          </w:rPr>
          <w:t>109</w:t>
        </w:r>
        <w:r w:rsidR="001A5DA3">
          <w:rPr>
            <w:webHidden/>
          </w:rPr>
          <w:fldChar w:fldCharType="end"/>
        </w:r>
      </w:hyperlink>
    </w:p>
    <w:p w14:paraId="33917236" w14:textId="6AFBF7E3" w:rsidR="001A5DA3" w:rsidRDefault="000B63BB">
      <w:pPr>
        <w:pStyle w:val="TOC1"/>
        <w:tabs>
          <w:tab w:val="left" w:pos="1474"/>
        </w:tabs>
        <w:rPr>
          <w:rFonts w:eastAsiaTheme="minorEastAsia" w:cstheme="minorBidi"/>
          <w:b w:val="0"/>
        </w:rPr>
      </w:pPr>
      <w:hyperlink w:anchor="_Toc67952281" w:history="1">
        <w:r w:rsidR="001A5DA3" w:rsidRPr="00E638DB">
          <w:rPr>
            <w:rStyle w:val="Hyperlink"/>
            <w:lang w:val="en-GB"/>
            <w14:scene3d>
              <w14:camera w14:prst="orthographicFront"/>
              <w14:lightRig w14:rig="threePt" w14:dir="t">
                <w14:rot w14:lat="0" w14:lon="0" w14:rev="0"/>
              </w14:lightRig>
            </w14:scene3d>
          </w:rPr>
          <w:t>Appendix C</w:t>
        </w:r>
        <w:r w:rsidR="001A5DA3">
          <w:rPr>
            <w:rFonts w:eastAsiaTheme="minorEastAsia" w:cstheme="minorBidi"/>
            <w:b w:val="0"/>
          </w:rPr>
          <w:tab/>
        </w:r>
        <w:r w:rsidR="001A5DA3" w:rsidRPr="00E638DB">
          <w:rPr>
            <w:rStyle w:val="Hyperlink"/>
            <w:lang w:val="en-GB"/>
          </w:rPr>
          <w:t>Working group membership</w:t>
        </w:r>
        <w:r w:rsidR="001A5DA3">
          <w:rPr>
            <w:webHidden/>
          </w:rPr>
          <w:tab/>
        </w:r>
        <w:r w:rsidR="001A5DA3">
          <w:rPr>
            <w:webHidden/>
          </w:rPr>
          <w:fldChar w:fldCharType="begin"/>
        </w:r>
        <w:r w:rsidR="001A5DA3">
          <w:rPr>
            <w:webHidden/>
          </w:rPr>
          <w:instrText xml:space="preserve"> PAGEREF _Toc67952281 \h </w:instrText>
        </w:r>
        <w:r w:rsidR="001A5DA3">
          <w:rPr>
            <w:webHidden/>
          </w:rPr>
        </w:r>
        <w:r w:rsidR="001A5DA3">
          <w:rPr>
            <w:webHidden/>
          </w:rPr>
          <w:fldChar w:fldCharType="separate"/>
        </w:r>
        <w:r w:rsidR="00832059">
          <w:rPr>
            <w:webHidden/>
          </w:rPr>
          <w:t>129</w:t>
        </w:r>
        <w:r w:rsidR="001A5DA3">
          <w:rPr>
            <w:webHidden/>
          </w:rPr>
          <w:fldChar w:fldCharType="end"/>
        </w:r>
      </w:hyperlink>
    </w:p>
    <w:p w14:paraId="6DD74E6B" w14:textId="4111B6C0" w:rsidR="001A5DA3" w:rsidRDefault="000B63BB">
      <w:pPr>
        <w:pStyle w:val="TOC2"/>
        <w:rPr>
          <w:rFonts w:eastAsiaTheme="minorEastAsia" w:cstheme="minorBidi"/>
        </w:rPr>
      </w:pPr>
      <w:hyperlink w:anchor="_Toc67952282" w:history="1">
        <w:r w:rsidR="001A5DA3" w:rsidRPr="00E638DB">
          <w:rPr>
            <w:rStyle w:val="Hyperlink"/>
            <w:lang w:val="en-GB"/>
          </w:rPr>
          <w:t>Table C.1: Time-tiered attendances</w:t>
        </w:r>
        <w:r w:rsidR="001A5DA3">
          <w:rPr>
            <w:webHidden/>
          </w:rPr>
          <w:tab/>
        </w:r>
        <w:r w:rsidR="001A5DA3">
          <w:rPr>
            <w:webHidden/>
          </w:rPr>
          <w:fldChar w:fldCharType="begin"/>
        </w:r>
        <w:r w:rsidR="001A5DA3">
          <w:rPr>
            <w:webHidden/>
          </w:rPr>
          <w:instrText xml:space="preserve"> PAGEREF _Toc67952282 \h </w:instrText>
        </w:r>
        <w:r w:rsidR="001A5DA3">
          <w:rPr>
            <w:webHidden/>
          </w:rPr>
        </w:r>
        <w:r w:rsidR="001A5DA3">
          <w:rPr>
            <w:webHidden/>
          </w:rPr>
          <w:fldChar w:fldCharType="separate"/>
        </w:r>
        <w:r w:rsidR="00832059">
          <w:rPr>
            <w:webHidden/>
          </w:rPr>
          <w:t>129</w:t>
        </w:r>
        <w:r w:rsidR="001A5DA3">
          <w:rPr>
            <w:webHidden/>
          </w:rPr>
          <w:fldChar w:fldCharType="end"/>
        </w:r>
      </w:hyperlink>
    </w:p>
    <w:p w14:paraId="77E83FAD" w14:textId="1CF0E6B5" w:rsidR="001A5DA3" w:rsidRDefault="000B63BB">
      <w:pPr>
        <w:pStyle w:val="TOC2"/>
        <w:rPr>
          <w:rFonts w:eastAsiaTheme="minorEastAsia" w:cstheme="minorBidi"/>
        </w:rPr>
      </w:pPr>
      <w:hyperlink w:anchor="_Toc67952283" w:history="1">
        <w:r w:rsidR="001A5DA3" w:rsidRPr="00E638DB">
          <w:rPr>
            <w:rStyle w:val="Hyperlink"/>
            <w:lang w:val="en-GB"/>
          </w:rPr>
          <w:t>Table C.2: Telehealth</w:t>
        </w:r>
        <w:r w:rsidR="001A5DA3">
          <w:rPr>
            <w:webHidden/>
          </w:rPr>
          <w:tab/>
        </w:r>
        <w:r w:rsidR="001A5DA3">
          <w:rPr>
            <w:webHidden/>
          </w:rPr>
          <w:fldChar w:fldCharType="begin"/>
        </w:r>
        <w:r w:rsidR="001A5DA3">
          <w:rPr>
            <w:webHidden/>
          </w:rPr>
          <w:instrText xml:space="preserve"> PAGEREF _Toc67952283 \h </w:instrText>
        </w:r>
        <w:r w:rsidR="001A5DA3">
          <w:rPr>
            <w:webHidden/>
          </w:rPr>
        </w:r>
        <w:r w:rsidR="001A5DA3">
          <w:rPr>
            <w:webHidden/>
          </w:rPr>
          <w:fldChar w:fldCharType="separate"/>
        </w:r>
        <w:r w:rsidR="00832059">
          <w:rPr>
            <w:webHidden/>
          </w:rPr>
          <w:t>129</w:t>
        </w:r>
        <w:r w:rsidR="001A5DA3">
          <w:rPr>
            <w:webHidden/>
          </w:rPr>
          <w:fldChar w:fldCharType="end"/>
        </w:r>
      </w:hyperlink>
    </w:p>
    <w:p w14:paraId="23DFC3C4" w14:textId="12CE5833" w:rsidR="001A5DA3" w:rsidRDefault="000B63BB">
      <w:pPr>
        <w:pStyle w:val="TOC2"/>
        <w:rPr>
          <w:rFonts w:eastAsiaTheme="minorEastAsia" w:cstheme="minorBidi"/>
        </w:rPr>
      </w:pPr>
      <w:hyperlink w:anchor="_Toc67952284" w:history="1">
        <w:r w:rsidR="001A5DA3" w:rsidRPr="00E638DB">
          <w:rPr>
            <w:rStyle w:val="Hyperlink"/>
            <w:lang w:val="en-GB"/>
          </w:rPr>
          <w:t>Table C.3: Contemporary roles of medical practitioners</w:t>
        </w:r>
        <w:r w:rsidR="001A5DA3">
          <w:rPr>
            <w:webHidden/>
          </w:rPr>
          <w:tab/>
        </w:r>
        <w:r w:rsidR="001A5DA3">
          <w:rPr>
            <w:webHidden/>
          </w:rPr>
          <w:fldChar w:fldCharType="begin"/>
        </w:r>
        <w:r w:rsidR="001A5DA3">
          <w:rPr>
            <w:webHidden/>
          </w:rPr>
          <w:instrText xml:space="preserve"> PAGEREF _Toc67952284 \h </w:instrText>
        </w:r>
        <w:r w:rsidR="001A5DA3">
          <w:rPr>
            <w:webHidden/>
          </w:rPr>
        </w:r>
        <w:r w:rsidR="001A5DA3">
          <w:rPr>
            <w:webHidden/>
          </w:rPr>
          <w:fldChar w:fldCharType="separate"/>
        </w:r>
        <w:r w:rsidR="00832059">
          <w:rPr>
            <w:webHidden/>
          </w:rPr>
          <w:t>129</w:t>
        </w:r>
        <w:r w:rsidR="001A5DA3">
          <w:rPr>
            <w:webHidden/>
          </w:rPr>
          <w:fldChar w:fldCharType="end"/>
        </w:r>
      </w:hyperlink>
    </w:p>
    <w:p w14:paraId="5A65E9AD" w14:textId="38A471BC" w:rsidR="001A5DA3" w:rsidRDefault="000B63BB">
      <w:pPr>
        <w:pStyle w:val="TOC2"/>
        <w:rPr>
          <w:rFonts w:eastAsiaTheme="minorEastAsia" w:cstheme="minorBidi"/>
        </w:rPr>
      </w:pPr>
      <w:hyperlink w:anchor="_Toc67952285" w:history="1">
        <w:r w:rsidR="001A5DA3" w:rsidRPr="00E638DB">
          <w:rPr>
            <w:rStyle w:val="Hyperlink"/>
            <w:lang w:val="en-GB"/>
          </w:rPr>
          <w:t>Table C.4: Use of data to inform quality care and patient choice</w:t>
        </w:r>
        <w:r w:rsidR="001A5DA3">
          <w:rPr>
            <w:webHidden/>
          </w:rPr>
          <w:tab/>
        </w:r>
        <w:r w:rsidR="001A5DA3">
          <w:rPr>
            <w:webHidden/>
          </w:rPr>
          <w:fldChar w:fldCharType="begin"/>
        </w:r>
        <w:r w:rsidR="001A5DA3">
          <w:rPr>
            <w:webHidden/>
          </w:rPr>
          <w:instrText xml:space="preserve"> PAGEREF _Toc67952285 \h </w:instrText>
        </w:r>
        <w:r w:rsidR="001A5DA3">
          <w:rPr>
            <w:webHidden/>
          </w:rPr>
        </w:r>
        <w:r w:rsidR="001A5DA3">
          <w:rPr>
            <w:webHidden/>
          </w:rPr>
          <w:fldChar w:fldCharType="separate"/>
        </w:r>
        <w:r w:rsidR="00832059">
          <w:rPr>
            <w:webHidden/>
          </w:rPr>
          <w:t>130</w:t>
        </w:r>
        <w:r w:rsidR="001A5DA3">
          <w:rPr>
            <w:webHidden/>
          </w:rPr>
          <w:fldChar w:fldCharType="end"/>
        </w:r>
      </w:hyperlink>
    </w:p>
    <w:p w14:paraId="12C289E3" w14:textId="3FA9146A" w:rsidR="001A5DA3" w:rsidRDefault="000B63BB">
      <w:pPr>
        <w:pStyle w:val="TOC2"/>
        <w:rPr>
          <w:rFonts w:eastAsiaTheme="minorEastAsia" w:cstheme="minorBidi"/>
        </w:rPr>
      </w:pPr>
      <w:hyperlink w:anchor="_Toc67952286" w:history="1">
        <w:r w:rsidR="001A5DA3" w:rsidRPr="00E638DB">
          <w:rPr>
            <w:rStyle w:val="Hyperlink"/>
            <w:lang w:val="en-GB"/>
          </w:rPr>
          <w:t>Table C.5: Encouraging use of case conference items</w:t>
        </w:r>
        <w:r w:rsidR="001A5DA3">
          <w:rPr>
            <w:webHidden/>
          </w:rPr>
          <w:tab/>
        </w:r>
        <w:r w:rsidR="001A5DA3">
          <w:rPr>
            <w:webHidden/>
          </w:rPr>
          <w:fldChar w:fldCharType="begin"/>
        </w:r>
        <w:r w:rsidR="001A5DA3">
          <w:rPr>
            <w:webHidden/>
          </w:rPr>
          <w:instrText xml:space="preserve"> PAGEREF _Toc67952286 \h </w:instrText>
        </w:r>
        <w:r w:rsidR="001A5DA3">
          <w:rPr>
            <w:webHidden/>
          </w:rPr>
        </w:r>
        <w:r w:rsidR="001A5DA3">
          <w:rPr>
            <w:webHidden/>
          </w:rPr>
          <w:fldChar w:fldCharType="separate"/>
        </w:r>
        <w:r w:rsidR="00832059">
          <w:rPr>
            <w:webHidden/>
          </w:rPr>
          <w:t>130</w:t>
        </w:r>
        <w:r w:rsidR="001A5DA3">
          <w:rPr>
            <w:webHidden/>
          </w:rPr>
          <w:fldChar w:fldCharType="end"/>
        </w:r>
      </w:hyperlink>
    </w:p>
    <w:p w14:paraId="4C307C7E" w14:textId="713127F2" w:rsidR="001A5DA3" w:rsidRDefault="000B63BB">
      <w:pPr>
        <w:pStyle w:val="TOC2"/>
        <w:rPr>
          <w:rFonts w:eastAsiaTheme="minorEastAsia" w:cstheme="minorBidi"/>
        </w:rPr>
      </w:pPr>
      <w:hyperlink w:anchor="_Toc67952287" w:history="1">
        <w:r w:rsidR="001A5DA3" w:rsidRPr="00E638DB">
          <w:rPr>
            <w:rStyle w:val="Hyperlink"/>
            <w:lang w:val="en-GB"/>
          </w:rPr>
          <w:t>Table C.6: Acute attendances</w:t>
        </w:r>
        <w:r w:rsidR="001A5DA3">
          <w:rPr>
            <w:webHidden/>
          </w:rPr>
          <w:tab/>
        </w:r>
        <w:r w:rsidR="001A5DA3">
          <w:rPr>
            <w:webHidden/>
          </w:rPr>
          <w:fldChar w:fldCharType="begin"/>
        </w:r>
        <w:r w:rsidR="001A5DA3">
          <w:rPr>
            <w:webHidden/>
          </w:rPr>
          <w:instrText xml:space="preserve"> PAGEREF _Toc67952287 \h </w:instrText>
        </w:r>
        <w:r w:rsidR="001A5DA3">
          <w:rPr>
            <w:webHidden/>
          </w:rPr>
        </w:r>
        <w:r w:rsidR="001A5DA3">
          <w:rPr>
            <w:webHidden/>
          </w:rPr>
          <w:fldChar w:fldCharType="separate"/>
        </w:r>
        <w:r w:rsidR="00832059">
          <w:rPr>
            <w:webHidden/>
          </w:rPr>
          <w:t>131</w:t>
        </w:r>
        <w:r w:rsidR="001A5DA3">
          <w:rPr>
            <w:webHidden/>
          </w:rPr>
          <w:fldChar w:fldCharType="end"/>
        </w:r>
      </w:hyperlink>
    </w:p>
    <w:p w14:paraId="7B24BBFF" w14:textId="0BB16369" w:rsidR="001A5DA3" w:rsidRDefault="000B63BB">
      <w:pPr>
        <w:pStyle w:val="TOC2"/>
        <w:rPr>
          <w:rFonts w:eastAsiaTheme="minorEastAsia" w:cstheme="minorBidi"/>
        </w:rPr>
      </w:pPr>
      <w:hyperlink w:anchor="_Toc67952288" w:history="1">
        <w:r w:rsidR="001A5DA3" w:rsidRPr="00E638DB">
          <w:rPr>
            <w:rStyle w:val="Hyperlink"/>
            <w:lang w:val="en-GB"/>
          </w:rPr>
          <w:t>Table C.7: Case conference cost-shifting</w:t>
        </w:r>
        <w:r w:rsidR="001A5DA3">
          <w:rPr>
            <w:webHidden/>
          </w:rPr>
          <w:tab/>
        </w:r>
        <w:r w:rsidR="001A5DA3">
          <w:rPr>
            <w:webHidden/>
          </w:rPr>
          <w:fldChar w:fldCharType="begin"/>
        </w:r>
        <w:r w:rsidR="001A5DA3">
          <w:rPr>
            <w:webHidden/>
          </w:rPr>
          <w:instrText xml:space="preserve"> PAGEREF _Toc67952288 \h </w:instrText>
        </w:r>
        <w:r w:rsidR="001A5DA3">
          <w:rPr>
            <w:webHidden/>
          </w:rPr>
        </w:r>
        <w:r w:rsidR="001A5DA3">
          <w:rPr>
            <w:webHidden/>
          </w:rPr>
          <w:fldChar w:fldCharType="separate"/>
        </w:r>
        <w:r w:rsidR="00832059">
          <w:rPr>
            <w:webHidden/>
          </w:rPr>
          <w:t>131</w:t>
        </w:r>
        <w:r w:rsidR="001A5DA3">
          <w:rPr>
            <w:webHidden/>
          </w:rPr>
          <w:fldChar w:fldCharType="end"/>
        </w:r>
      </w:hyperlink>
    </w:p>
    <w:p w14:paraId="4B4D17C1" w14:textId="2C6AE94B" w:rsidR="001A5DA3" w:rsidRDefault="000B63BB">
      <w:pPr>
        <w:pStyle w:val="TOC2"/>
        <w:rPr>
          <w:rFonts w:eastAsiaTheme="minorEastAsia" w:cstheme="minorBidi"/>
        </w:rPr>
      </w:pPr>
      <w:hyperlink w:anchor="_Toc67952289" w:history="1">
        <w:r w:rsidR="001A5DA3" w:rsidRPr="00E638DB">
          <w:rPr>
            <w:rStyle w:val="Hyperlink"/>
            <w:lang w:val="en-GB"/>
          </w:rPr>
          <w:t>Table C.8: Fetal alcohol spectrum disorder and other complex neurodevelopmental disorders</w:t>
        </w:r>
        <w:r w:rsidR="001A5DA3">
          <w:rPr>
            <w:webHidden/>
          </w:rPr>
          <w:tab/>
        </w:r>
        <w:r w:rsidR="001A5DA3">
          <w:rPr>
            <w:webHidden/>
          </w:rPr>
          <w:fldChar w:fldCharType="begin"/>
        </w:r>
        <w:r w:rsidR="001A5DA3">
          <w:rPr>
            <w:webHidden/>
          </w:rPr>
          <w:instrText xml:space="preserve"> PAGEREF _Toc67952289 \h </w:instrText>
        </w:r>
        <w:r w:rsidR="001A5DA3">
          <w:rPr>
            <w:webHidden/>
          </w:rPr>
        </w:r>
        <w:r w:rsidR="001A5DA3">
          <w:rPr>
            <w:webHidden/>
          </w:rPr>
          <w:fldChar w:fldCharType="separate"/>
        </w:r>
        <w:r w:rsidR="00832059">
          <w:rPr>
            <w:webHidden/>
          </w:rPr>
          <w:t>131</w:t>
        </w:r>
        <w:r w:rsidR="001A5DA3">
          <w:rPr>
            <w:webHidden/>
          </w:rPr>
          <w:fldChar w:fldCharType="end"/>
        </w:r>
      </w:hyperlink>
    </w:p>
    <w:p w14:paraId="6795132A" w14:textId="26428271" w:rsidR="001A5DA3" w:rsidRDefault="000B63BB">
      <w:pPr>
        <w:pStyle w:val="TOC1"/>
        <w:tabs>
          <w:tab w:val="left" w:pos="1474"/>
        </w:tabs>
        <w:rPr>
          <w:rFonts w:eastAsiaTheme="minorEastAsia" w:cstheme="minorBidi"/>
          <w:b w:val="0"/>
        </w:rPr>
      </w:pPr>
      <w:hyperlink w:anchor="_Toc67952290" w:history="1">
        <w:r w:rsidR="001A5DA3" w:rsidRPr="00E638DB">
          <w:rPr>
            <w:rStyle w:val="Hyperlink"/>
            <w14:scene3d>
              <w14:camera w14:prst="orthographicFront"/>
              <w14:lightRig w14:rig="threePt" w14:dir="t">
                <w14:rot w14:lat="0" w14:lon="0" w14:rev="0"/>
              </w14:lightRig>
            </w14:scene3d>
          </w:rPr>
          <w:t>Appendix D</w:t>
        </w:r>
        <w:r w:rsidR="001A5DA3">
          <w:rPr>
            <w:rFonts w:eastAsiaTheme="minorEastAsia" w:cstheme="minorBidi"/>
            <w:b w:val="0"/>
          </w:rPr>
          <w:tab/>
        </w:r>
        <w:r w:rsidR="001A5DA3" w:rsidRPr="00E638DB">
          <w:rPr>
            <w:rStyle w:val="Hyperlink"/>
          </w:rPr>
          <w:t>Summary for consumers</w:t>
        </w:r>
        <w:r w:rsidR="001A5DA3">
          <w:rPr>
            <w:webHidden/>
          </w:rPr>
          <w:tab/>
        </w:r>
        <w:r w:rsidR="001A5DA3">
          <w:rPr>
            <w:webHidden/>
          </w:rPr>
          <w:fldChar w:fldCharType="begin"/>
        </w:r>
        <w:r w:rsidR="001A5DA3">
          <w:rPr>
            <w:webHidden/>
          </w:rPr>
          <w:instrText xml:space="preserve"> PAGEREF _Toc67952290 \h </w:instrText>
        </w:r>
        <w:r w:rsidR="001A5DA3">
          <w:rPr>
            <w:webHidden/>
          </w:rPr>
        </w:r>
        <w:r w:rsidR="001A5DA3">
          <w:rPr>
            <w:webHidden/>
          </w:rPr>
          <w:fldChar w:fldCharType="separate"/>
        </w:r>
        <w:r w:rsidR="00832059">
          <w:rPr>
            <w:webHidden/>
          </w:rPr>
          <w:t>133</w:t>
        </w:r>
        <w:r w:rsidR="001A5DA3">
          <w:rPr>
            <w:webHidden/>
          </w:rPr>
          <w:fldChar w:fldCharType="end"/>
        </w:r>
      </w:hyperlink>
    </w:p>
    <w:p w14:paraId="5D0D1A1B" w14:textId="7DFA8F03" w:rsidR="001A5DA3" w:rsidRDefault="000B63BB">
      <w:pPr>
        <w:pStyle w:val="TOC2"/>
        <w:rPr>
          <w:rFonts w:eastAsiaTheme="minorEastAsia" w:cstheme="minorBidi"/>
        </w:rPr>
      </w:pPr>
      <w:hyperlink w:anchor="_Toc67952291" w:history="1">
        <w:r w:rsidR="001A5DA3" w:rsidRPr="00E638DB">
          <w:rPr>
            <w:rStyle w:val="Hyperlink"/>
            <w:lang w:val="en-GB"/>
          </w:rPr>
          <w:t>Table D.1. Standard attendance items</w:t>
        </w:r>
        <w:r w:rsidR="001A5DA3">
          <w:rPr>
            <w:webHidden/>
          </w:rPr>
          <w:tab/>
        </w:r>
        <w:r w:rsidR="001A5DA3">
          <w:rPr>
            <w:webHidden/>
          </w:rPr>
          <w:fldChar w:fldCharType="begin"/>
        </w:r>
        <w:r w:rsidR="001A5DA3">
          <w:rPr>
            <w:webHidden/>
          </w:rPr>
          <w:instrText xml:space="preserve"> PAGEREF _Toc67952291 \h </w:instrText>
        </w:r>
        <w:r w:rsidR="001A5DA3">
          <w:rPr>
            <w:webHidden/>
          </w:rPr>
        </w:r>
        <w:r w:rsidR="001A5DA3">
          <w:rPr>
            <w:webHidden/>
          </w:rPr>
          <w:fldChar w:fldCharType="separate"/>
        </w:r>
        <w:r w:rsidR="00832059">
          <w:rPr>
            <w:webHidden/>
          </w:rPr>
          <w:t>133</w:t>
        </w:r>
        <w:r w:rsidR="001A5DA3">
          <w:rPr>
            <w:webHidden/>
          </w:rPr>
          <w:fldChar w:fldCharType="end"/>
        </w:r>
      </w:hyperlink>
    </w:p>
    <w:p w14:paraId="5AAF7492" w14:textId="03F58173" w:rsidR="001A5DA3" w:rsidRDefault="000B63BB">
      <w:pPr>
        <w:pStyle w:val="TOC2"/>
        <w:rPr>
          <w:rFonts w:eastAsiaTheme="minorEastAsia" w:cstheme="minorBidi"/>
        </w:rPr>
      </w:pPr>
      <w:hyperlink w:anchor="_Toc67952292" w:history="1">
        <w:r w:rsidR="001A5DA3" w:rsidRPr="00E638DB">
          <w:rPr>
            <w:rStyle w:val="Hyperlink"/>
            <w:lang w:val="en-GB"/>
          </w:rPr>
          <w:t>Table D.2. Complex management plans attendance items</w:t>
        </w:r>
        <w:r w:rsidR="001A5DA3">
          <w:rPr>
            <w:webHidden/>
          </w:rPr>
          <w:tab/>
        </w:r>
        <w:r w:rsidR="001A5DA3">
          <w:rPr>
            <w:webHidden/>
          </w:rPr>
          <w:fldChar w:fldCharType="begin"/>
        </w:r>
        <w:r w:rsidR="001A5DA3">
          <w:rPr>
            <w:webHidden/>
          </w:rPr>
          <w:instrText xml:space="preserve"> PAGEREF _Toc67952292 \h </w:instrText>
        </w:r>
        <w:r w:rsidR="001A5DA3">
          <w:rPr>
            <w:webHidden/>
          </w:rPr>
        </w:r>
        <w:r w:rsidR="001A5DA3">
          <w:rPr>
            <w:webHidden/>
          </w:rPr>
          <w:fldChar w:fldCharType="separate"/>
        </w:r>
        <w:r w:rsidR="00832059">
          <w:rPr>
            <w:webHidden/>
          </w:rPr>
          <w:t>143</w:t>
        </w:r>
        <w:r w:rsidR="001A5DA3">
          <w:rPr>
            <w:webHidden/>
          </w:rPr>
          <w:fldChar w:fldCharType="end"/>
        </w:r>
      </w:hyperlink>
    </w:p>
    <w:p w14:paraId="1817DB0F" w14:textId="7FFCDBF7" w:rsidR="001A5DA3" w:rsidRDefault="000B63BB">
      <w:pPr>
        <w:pStyle w:val="TOC2"/>
        <w:rPr>
          <w:rFonts w:eastAsiaTheme="minorEastAsia" w:cstheme="minorBidi"/>
        </w:rPr>
      </w:pPr>
      <w:hyperlink w:anchor="_Toc67952293" w:history="1">
        <w:r w:rsidR="001A5DA3" w:rsidRPr="00E638DB">
          <w:rPr>
            <w:rStyle w:val="Hyperlink"/>
            <w:lang w:val="en-GB"/>
          </w:rPr>
          <w:t>D.3. Telehealth attendance items (referred to the Taskforce’s Telehealth Working Group for consideration)</w:t>
        </w:r>
        <w:r w:rsidR="001A5DA3">
          <w:rPr>
            <w:webHidden/>
          </w:rPr>
          <w:tab/>
        </w:r>
        <w:r w:rsidR="001A5DA3">
          <w:rPr>
            <w:webHidden/>
          </w:rPr>
          <w:fldChar w:fldCharType="begin"/>
        </w:r>
        <w:r w:rsidR="001A5DA3">
          <w:rPr>
            <w:webHidden/>
          </w:rPr>
          <w:instrText xml:space="preserve"> PAGEREF _Toc67952293 \h </w:instrText>
        </w:r>
        <w:r w:rsidR="001A5DA3">
          <w:rPr>
            <w:webHidden/>
          </w:rPr>
        </w:r>
        <w:r w:rsidR="001A5DA3">
          <w:rPr>
            <w:webHidden/>
          </w:rPr>
          <w:fldChar w:fldCharType="separate"/>
        </w:r>
        <w:r w:rsidR="00832059">
          <w:rPr>
            <w:webHidden/>
          </w:rPr>
          <w:t>149</w:t>
        </w:r>
        <w:r w:rsidR="001A5DA3">
          <w:rPr>
            <w:webHidden/>
          </w:rPr>
          <w:fldChar w:fldCharType="end"/>
        </w:r>
      </w:hyperlink>
    </w:p>
    <w:p w14:paraId="663B9601" w14:textId="782476A8" w:rsidR="001A5DA3" w:rsidRDefault="000B63BB">
      <w:pPr>
        <w:pStyle w:val="TOC2"/>
        <w:rPr>
          <w:rFonts w:eastAsiaTheme="minorEastAsia" w:cstheme="minorBidi"/>
        </w:rPr>
      </w:pPr>
      <w:hyperlink w:anchor="_Toc67952294" w:history="1">
        <w:r w:rsidR="001A5DA3" w:rsidRPr="00E638DB">
          <w:rPr>
            <w:rStyle w:val="Hyperlink"/>
            <w:lang w:val="en-GB"/>
          </w:rPr>
          <w:t>Table D.4. Case conference attendance items</w:t>
        </w:r>
        <w:r w:rsidR="001A5DA3">
          <w:rPr>
            <w:webHidden/>
          </w:rPr>
          <w:tab/>
        </w:r>
        <w:r w:rsidR="001A5DA3">
          <w:rPr>
            <w:webHidden/>
          </w:rPr>
          <w:fldChar w:fldCharType="begin"/>
        </w:r>
        <w:r w:rsidR="001A5DA3">
          <w:rPr>
            <w:webHidden/>
          </w:rPr>
          <w:instrText xml:space="preserve"> PAGEREF _Toc67952294 \h </w:instrText>
        </w:r>
        <w:r w:rsidR="001A5DA3">
          <w:rPr>
            <w:webHidden/>
          </w:rPr>
        </w:r>
        <w:r w:rsidR="001A5DA3">
          <w:rPr>
            <w:webHidden/>
          </w:rPr>
          <w:fldChar w:fldCharType="separate"/>
        </w:r>
        <w:r w:rsidR="00832059">
          <w:rPr>
            <w:webHidden/>
          </w:rPr>
          <w:t>156</w:t>
        </w:r>
        <w:r w:rsidR="001A5DA3">
          <w:rPr>
            <w:webHidden/>
          </w:rPr>
          <w:fldChar w:fldCharType="end"/>
        </w:r>
      </w:hyperlink>
    </w:p>
    <w:p w14:paraId="16F6901D" w14:textId="69C8CC57" w:rsidR="001A5DA3" w:rsidRDefault="000B63BB">
      <w:pPr>
        <w:pStyle w:val="TOC2"/>
        <w:rPr>
          <w:rFonts w:eastAsiaTheme="minorEastAsia" w:cstheme="minorBidi"/>
        </w:rPr>
      </w:pPr>
      <w:hyperlink w:anchor="_Toc67952295" w:history="1">
        <w:r w:rsidR="001A5DA3" w:rsidRPr="00E638DB">
          <w:rPr>
            <w:rStyle w:val="Hyperlink"/>
            <w:lang w:val="en-GB"/>
          </w:rPr>
          <w:t>Table D.5. Group therapy attendance items</w:t>
        </w:r>
        <w:r w:rsidR="001A5DA3">
          <w:rPr>
            <w:webHidden/>
          </w:rPr>
          <w:tab/>
        </w:r>
        <w:r w:rsidR="001A5DA3">
          <w:rPr>
            <w:webHidden/>
          </w:rPr>
          <w:fldChar w:fldCharType="begin"/>
        </w:r>
        <w:r w:rsidR="001A5DA3">
          <w:rPr>
            <w:webHidden/>
          </w:rPr>
          <w:instrText xml:space="preserve"> PAGEREF _Toc67952295 \h </w:instrText>
        </w:r>
        <w:r w:rsidR="001A5DA3">
          <w:rPr>
            <w:webHidden/>
          </w:rPr>
        </w:r>
        <w:r w:rsidR="001A5DA3">
          <w:rPr>
            <w:webHidden/>
          </w:rPr>
          <w:fldChar w:fldCharType="separate"/>
        </w:r>
        <w:r w:rsidR="00832059">
          <w:rPr>
            <w:webHidden/>
          </w:rPr>
          <w:t>175</w:t>
        </w:r>
        <w:r w:rsidR="001A5DA3">
          <w:rPr>
            <w:webHidden/>
          </w:rPr>
          <w:fldChar w:fldCharType="end"/>
        </w:r>
      </w:hyperlink>
    </w:p>
    <w:p w14:paraId="0C0363A8" w14:textId="5118F4EF" w:rsidR="001A5DA3" w:rsidRDefault="000B63BB">
      <w:pPr>
        <w:pStyle w:val="TOC2"/>
        <w:rPr>
          <w:rFonts w:eastAsiaTheme="minorEastAsia" w:cstheme="minorBidi"/>
        </w:rPr>
      </w:pPr>
      <w:hyperlink w:anchor="_Toc67952296" w:history="1">
        <w:r w:rsidR="001A5DA3" w:rsidRPr="00E638DB">
          <w:rPr>
            <w:rStyle w:val="Hyperlink"/>
            <w:lang w:val="en-GB"/>
          </w:rPr>
          <w:t>Table D.6. Other Recommendations</w:t>
        </w:r>
        <w:r w:rsidR="001A5DA3">
          <w:rPr>
            <w:webHidden/>
          </w:rPr>
          <w:tab/>
        </w:r>
        <w:r w:rsidR="001A5DA3">
          <w:rPr>
            <w:webHidden/>
          </w:rPr>
          <w:fldChar w:fldCharType="begin"/>
        </w:r>
        <w:r w:rsidR="001A5DA3">
          <w:rPr>
            <w:webHidden/>
          </w:rPr>
          <w:instrText xml:space="preserve"> PAGEREF _Toc67952296 \h </w:instrText>
        </w:r>
        <w:r w:rsidR="001A5DA3">
          <w:rPr>
            <w:webHidden/>
          </w:rPr>
        </w:r>
        <w:r w:rsidR="001A5DA3">
          <w:rPr>
            <w:webHidden/>
          </w:rPr>
          <w:fldChar w:fldCharType="separate"/>
        </w:r>
        <w:r w:rsidR="00832059">
          <w:rPr>
            <w:webHidden/>
          </w:rPr>
          <w:t>175</w:t>
        </w:r>
        <w:r w:rsidR="001A5DA3">
          <w:rPr>
            <w:webHidden/>
          </w:rPr>
          <w:fldChar w:fldCharType="end"/>
        </w:r>
      </w:hyperlink>
    </w:p>
    <w:p w14:paraId="02495D66" w14:textId="785115B3" w:rsidR="00B50BED" w:rsidRDefault="00A0282E" w:rsidP="00887DB8">
      <w:pPr>
        <w:pStyle w:val="TableofFigures"/>
        <w:tabs>
          <w:tab w:val="left" w:pos="1100"/>
          <w:tab w:val="right" w:leader="dot" w:pos="9016"/>
        </w:tabs>
        <w:ind w:left="0" w:hanging="14"/>
        <w:rPr>
          <w:noProof/>
        </w:rPr>
      </w:pPr>
      <w:r w:rsidRPr="00C33C0B">
        <w:rPr>
          <w:sz w:val="22"/>
          <w:szCs w:val="22"/>
          <w:lang w:val="en-GB"/>
        </w:rPr>
        <w:fldChar w:fldCharType="end"/>
      </w:r>
      <w:r w:rsidR="00681471" w:rsidRPr="00C33C0B">
        <w:rPr>
          <w:lang w:val="en-GB"/>
        </w:rPr>
        <w:br w:type="page"/>
      </w:r>
      <w:r w:rsidR="0011166D" w:rsidRPr="00C33C0B">
        <w:rPr>
          <w:b/>
          <w:bCs/>
          <w:color w:val="01653F"/>
          <w:sz w:val="32"/>
          <w:szCs w:val="32"/>
          <w:lang w:val="en-GB"/>
        </w:rPr>
        <w:t xml:space="preserve">List of </w:t>
      </w:r>
      <w:r w:rsidR="00875B90" w:rsidRPr="00C33C0B">
        <w:rPr>
          <w:b/>
          <w:bCs/>
          <w:color w:val="01653F"/>
          <w:sz w:val="32"/>
          <w:szCs w:val="32"/>
          <w:lang w:val="en-GB"/>
        </w:rPr>
        <w:t>t</w:t>
      </w:r>
      <w:r w:rsidR="0011166D" w:rsidRPr="00C33C0B">
        <w:rPr>
          <w:b/>
          <w:bCs/>
          <w:color w:val="01653F"/>
          <w:sz w:val="32"/>
          <w:szCs w:val="32"/>
          <w:lang w:val="en-GB"/>
        </w:rPr>
        <w:t>ables</w:t>
      </w:r>
      <w:r w:rsidR="00240E05" w:rsidRPr="00C33C0B">
        <w:rPr>
          <w:lang w:val="en-GB"/>
        </w:rPr>
        <w:fldChar w:fldCharType="begin"/>
      </w:r>
      <w:r w:rsidR="0011166D" w:rsidRPr="00C33C0B">
        <w:rPr>
          <w:lang w:val="en-GB"/>
        </w:rPr>
        <w:instrText xml:space="preserve"> TOC \h \z \c "Table" </w:instrText>
      </w:r>
      <w:r w:rsidR="00240E05" w:rsidRPr="00C33C0B">
        <w:rPr>
          <w:lang w:val="en-GB"/>
        </w:rPr>
        <w:fldChar w:fldCharType="separate"/>
      </w:r>
    </w:p>
    <w:p w14:paraId="5390C348" w14:textId="6CD2EF27" w:rsidR="00440AC0" w:rsidRDefault="000B63BB" w:rsidP="00440AC0">
      <w:pPr>
        <w:pStyle w:val="TableofFigures"/>
        <w:tabs>
          <w:tab w:val="right" w:leader="dot" w:pos="8302"/>
        </w:tabs>
        <w:rPr>
          <w:noProof/>
          <w:sz w:val="22"/>
        </w:rPr>
      </w:pPr>
      <w:hyperlink w:anchor="_Toc529028295" w:history="1">
        <w:r w:rsidR="00B50BED" w:rsidRPr="005D32C7">
          <w:rPr>
            <w:rStyle w:val="Hyperlink"/>
            <w:noProof/>
            <w:sz w:val="22"/>
            <w:lang w:val="en-GB"/>
          </w:rPr>
          <w:t>Table 1: Specialist and Consultant Physician Consultation Clinical Committee members</w:t>
        </w:r>
        <w:r w:rsidR="00B50BED" w:rsidRPr="005D32C7">
          <w:rPr>
            <w:noProof/>
            <w:webHidden/>
            <w:sz w:val="22"/>
          </w:rPr>
          <w:tab/>
        </w:r>
        <w:r w:rsidR="00B50BED" w:rsidRPr="005D32C7">
          <w:rPr>
            <w:noProof/>
            <w:webHidden/>
            <w:sz w:val="22"/>
          </w:rPr>
          <w:fldChar w:fldCharType="begin"/>
        </w:r>
        <w:r w:rsidR="00B50BED" w:rsidRPr="005D32C7">
          <w:rPr>
            <w:noProof/>
            <w:webHidden/>
            <w:sz w:val="22"/>
          </w:rPr>
          <w:instrText xml:space="preserve"> PAGEREF _Toc529028295 \h </w:instrText>
        </w:r>
        <w:r w:rsidR="00B50BED" w:rsidRPr="005D32C7">
          <w:rPr>
            <w:noProof/>
            <w:webHidden/>
            <w:sz w:val="22"/>
          </w:rPr>
        </w:r>
        <w:r w:rsidR="00B50BED" w:rsidRPr="005D32C7">
          <w:rPr>
            <w:noProof/>
            <w:webHidden/>
            <w:sz w:val="22"/>
          </w:rPr>
          <w:fldChar w:fldCharType="separate"/>
        </w:r>
        <w:r w:rsidR="00832059">
          <w:rPr>
            <w:noProof/>
            <w:webHidden/>
            <w:sz w:val="22"/>
          </w:rPr>
          <w:t>15</w:t>
        </w:r>
        <w:r w:rsidR="00B50BED" w:rsidRPr="005D32C7">
          <w:rPr>
            <w:noProof/>
            <w:webHidden/>
            <w:sz w:val="22"/>
          </w:rPr>
          <w:fldChar w:fldCharType="end"/>
        </w:r>
      </w:hyperlink>
    </w:p>
    <w:p w14:paraId="73A087F5" w14:textId="351506E2" w:rsidR="00440AC0" w:rsidRDefault="000B63BB" w:rsidP="00440AC0">
      <w:pPr>
        <w:pStyle w:val="TableofFigures"/>
        <w:tabs>
          <w:tab w:val="right" w:leader="dot" w:pos="8302"/>
        </w:tabs>
        <w:rPr>
          <w:noProof/>
          <w:sz w:val="22"/>
        </w:rPr>
      </w:pPr>
      <w:hyperlink w:anchor="_Toc529028435" w:history="1">
        <w:r w:rsidR="00440AC0">
          <w:rPr>
            <w:rStyle w:val="Hyperlink"/>
            <w:rFonts w:cstheme="minorHAnsi"/>
            <w:noProof/>
            <w:sz w:val="22"/>
            <w:lang w:val="en-GB"/>
          </w:rPr>
          <w:t>Table 2</w:t>
        </w:r>
        <w:r w:rsidR="00440AC0" w:rsidRPr="00440AC0">
          <w:rPr>
            <w:rStyle w:val="Hyperlink"/>
            <w:rFonts w:cstheme="minorHAnsi"/>
            <w:noProof/>
            <w:sz w:val="22"/>
            <w:lang w:val="en-GB"/>
          </w:rPr>
          <w:t>: Priority issues to address in the committee’s review</w:t>
        </w:r>
        <w:r w:rsidR="00440AC0" w:rsidRPr="00440AC0">
          <w:rPr>
            <w:noProof/>
            <w:webHidden/>
            <w:sz w:val="22"/>
          </w:rPr>
          <w:tab/>
        </w:r>
        <w:r w:rsidR="00440AC0" w:rsidRPr="00440AC0">
          <w:rPr>
            <w:noProof/>
            <w:webHidden/>
            <w:sz w:val="22"/>
          </w:rPr>
          <w:fldChar w:fldCharType="begin"/>
        </w:r>
        <w:r w:rsidR="00440AC0" w:rsidRPr="00440AC0">
          <w:rPr>
            <w:noProof/>
            <w:webHidden/>
            <w:sz w:val="22"/>
          </w:rPr>
          <w:instrText xml:space="preserve"> PAGEREF _Toc529028435 \h </w:instrText>
        </w:r>
        <w:r w:rsidR="00440AC0" w:rsidRPr="00440AC0">
          <w:rPr>
            <w:noProof/>
            <w:webHidden/>
            <w:sz w:val="22"/>
          </w:rPr>
        </w:r>
        <w:r w:rsidR="00440AC0" w:rsidRPr="00440AC0">
          <w:rPr>
            <w:noProof/>
            <w:webHidden/>
            <w:sz w:val="22"/>
          </w:rPr>
          <w:fldChar w:fldCharType="separate"/>
        </w:r>
        <w:r w:rsidR="00832059">
          <w:rPr>
            <w:noProof/>
            <w:webHidden/>
            <w:sz w:val="22"/>
          </w:rPr>
          <w:t>19</w:t>
        </w:r>
        <w:r w:rsidR="00440AC0" w:rsidRPr="00440AC0">
          <w:rPr>
            <w:noProof/>
            <w:webHidden/>
            <w:sz w:val="22"/>
          </w:rPr>
          <w:fldChar w:fldCharType="end"/>
        </w:r>
      </w:hyperlink>
    </w:p>
    <w:p w14:paraId="708CBAEF" w14:textId="182915E1" w:rsidR="00440AC0" w:rsidRPr="00440AC0" w:rsidRDefault="000B63BB" w:rsidP="00440AC0">
      <w:pPr>
        <w:pStyle w:val="TableofFigures"/>
        <w:tabs>
          <w:tab w:val="right" w:leader="dot" w:pos="8302"/>
        </w:tabs>
        <w:rPr>
          <w:noProof/>
          <w:sz w:val="24"/>
        </w:rPr>
      </w:pPr>
      <w:hyperlink w:anchor="_Toc529028436" w:history="1">
        <w:r w:rsidR="00440AC0">
          <w:rPr>
            <w:rStyle w:val="Hyperlink"/>
            <w:rFonts w:cstheme="minorHAnsi"/>
            <w:noProof/>
            <w:sz w:val="22"/>
            <w:lang w:val="en-GB"/>
          </w:rPr>
          <w:t>Table 3</w:t>
        </w:r>
        <w:r w:rsidR="00440AC0" w:rsidRPr="00440AC0">
          <w:rPr>
            <w:rStyle w:val="Hyperlink"/>
            <w:rFonts w:cstheme="minorHAnsi"/>
            <w:noProof/>
            <w:sz w:val="22"/>
            <w:lang w:val="en-GB"/>
          </w:rPr>
          <w:t>: Current specialist and consultant physician access to attendance items</w:t>
        </w:r>
        <w:r w:rsidR="00440AC0" w:rsidRPr="00440AC0">
          <w:rPr>
            <w:noProof/>
            <w:webHidden/>
            <w:sz w:val="22"/>
          </w:rPr>
          <w:tab/>
        </w:r>
        <w:r w:rsidR="00440AC0" w:rsidRPr="00440AC0">
          <w:rPr>
            <w:noProof/>
            <w:webHidden/>
            <w:sz w:val="22"/>
          </w:rPr>
          <w:fldChar w:fldCharType="begin"/>
        </w:r>
        <w:r w:rsidR="00440AC0" w:rsidRPr="00440AC0">
          <w:rPr>
            <w:noProof/>
            <w:webHidden/>
            <w:sz w:val="22"/>
          </w:rPr>
          <w:instrText xml:space="preserve"> PAGEREF _Toc529028436 \h </w:instrText>
        </w:r>
        <w:r w:rsidR="00440AC0" w:rsidRPr="00440AC0">
          <w:rPr>
            <w:noProof/>
            <w:webHidden/>
            <w:sz w:val="22"/>
          </w:rPr>
        </w:r>
        <w:r w:rsidR="00440AC0" w:rsidRPr="00440AC0">
          <w:rPr>
            <w:noProof/>
            <w:webHidden/>
            <w:sz w:val="22"/>
          </w:rPr>
          <w:fldChar w:fldCharType="separate"/>
        </w:r>
        <w:r w:rsidR="00832059">
          <w:rPr>
            <w:noProof/>
            <w:webHidden/>
            <w:sz w:val="22"/>
          </w:rPr>
          <w:t>23</w:t>
        </w:r>
        <w:r w:rsidR="00440AC0" w:rsidRPr="00440AC0">
          <w:rPr>
            <w:noProof/>
            <w:webHidden/>
            <w:sz w:val="22"/>
          </w:rPr>
          <w:fldChar w:fldCharType="end"/>
        </w:r>
      </w:hyperlink>
    </w:p>
    <w:p w14:paraId="61EC699E" w14:textId="58DB2888" w:rsidR="00B50BED" w:rsidRPr="005D32C7" w:rsidRDefault="000B63BB">
      <w:pPr>
        <w:pStyle w:val="TableofFigures"/>
        <w:tabs>
          <w:tab w:val="right" w:leader="dot" w:pos="8302"/>
        </w:tabs>
        <w:rPr>
          <w:rFonts w:eastAsiaTheme="minorEastAsia" w:cstheme="minorBidi"/>
          <w:noProof/>
          <w:sz w:val="24"/>
          <w:szCs w:val="22"/>
        </w:rPr>
      </w:pPr>
      <w:hyperlink w:anchor="_Toc529028296" w:history="1">
        <w:r w:rsidR="00440AC0">
          <w:rPr>
            <w:rStyle w:val="Hyperlink"/>
            <w:noProof/>
            <w:sz w:val="22"/>
            <w:lang w:val="en-GB"/>
          </w:rPr>
          <w:t>Table 4</w:t>
        </w:r>
        <w:r w:rsidR="00B50BED" w:rsidRPr="005D32C7">
          <w:rPr>
            <w:rStyle w:val="Hyperlink"/>
            <w:noProof/>
            <w:sz w:val="22"/>
            <w:lang w:val="en-GB"/>
          </w:rPr>
          <w:t>: Recommended item descriptors for time-tiered attendance items</w:t>
        </w:r>
        <w:r w:rsidR="00B50BED" w:rsidRPr="005D32C7">
          <w:rPr>
            <w:noProof/>
            <w:webHidden/>
            <w:sz w:val="22"/>
          </w:rPr>
          <w:tab/>
        </w:r>
        <w:r w:rsidR="00B50BED" w:rsidRPr="005D32C7">
          <w:rPr>
            <w:noProof/>
            <w:webHidden/>
            <w:sz w:val="22"/>
          </w:rPr>
          <w:fldChar w:fldCharType="begin"/>
        </w:r>
        <w:r w:rsidR="00B50BED" w:rsidRPr="005D32C7">
          <w:rPr>
            <w:noProof/>
            <w:webHidden/>
            <w:sz w:val="22"/>
          </w:rPr>
          <w:instrText xml:space="preserve"> PAGEREF _Toc529028296 \h </w:instrText>
        </w:r>
        <w:r w:rsidR="00B50BED" w:rsidRPr="005D32C7">
          <w:rPr>
            <w:noProof/>
            <w:webHidden/>
            <w:sz w:val="22"/>
          </w:rPr>
        </w:r>
        <w:r w:rsidR="00B50BED" w:rsidRPr="005D32C7">
          <w:rPr>
            <w:noProof/>
            <w:webHidden/>
            <w:sz w:val="22"/>
          </w:rPr>
          <w:fldChar w:fldCharType="separate"/>
        </w:r>
        <w:r w:rsidR="00832059">
          <w:rPr>
            <w:noProof/>
            <w:webHidden/>
            <w:sz w:val="22"/>
          </w:rPr>
          <w:t>28</w:t>
        </w:r>
        <w:r w:rsidR="00B50BED" w:rsidRPr="005D32C7">
          <w:rPr>
            <w:noProof/>
            <w:webHidden/>
            <w:sz w:val="22"/>
          </w:rPr>
          <w:fldChar w:fldCharType="end"/>
        </w:r>
      </w:hyperlink>
    </w:p>
    <w:p w14:paraId="459CC9E9" w14:textId="4DD595F0" w:rsidR="00B50BED" w:rsidRPr="005D32C7" w:rsidRDefault="000B63BB">
      <w:pPr>
        <w:pStyle w:val="TableofFigures"/>
        <w:tabs>
          <w:tab w:val="right" w:leader="dot" w:pos="8302"/>
        </w:tabs>
        <w:rPr>
          <w:rFonts w:eastAsiaTheme="minorEastAsia" w:cstheme="minorBidi"/>
          <w:noProof/>
          <w:sz w:val="24"/>
          <w:szCs w:val="22"/>
        </w:rPr>
      </w:pPr>
      <w:hyperlink w:anchor="_Toc529028297" w:history="1">
        <w:r w:rsidR="00440AC0">
          <w:rPr>
            <w:rStyle w:val="Hyperlink"/>
            <w:noProof/>
            <w:sz w:val="22"/>
          </w:rPr>
          <w:t>Table 5</w:t>
        </w:r>
        <w:r w:rsidR="00B50BED" w:rsidRPr="005D32C7">
          <w:rPr>
            <w:rStyle w:val="Hyperlink"/>
            <w:noProof/>
            <w:sz w:val="22"/>
          </w:rPr>
          <w:t>: Acute attendance item descriptors</w:t>
        </w:r>
        <w:r w:rsidR="00B50BED" w:rsidRPr="005D32C7">
          <w:rPr>
            <w:noProof/>
            <w:webHidden/>
            <w:sz w:val="22"/>
          </w:rPr>
          <w:tab/>
        </w:r>
        <w:r w:rsidR="00B50BED" w:rsidRPr="005D32C7">
          <w:rPr>
            <w:noProof/>
            <w:webHidden/>
            <w:sz w:val="22"/>
          </w:rPr>
          <w:fldChar w:fldCharType="begin"/>
        </w:r>
        <w:r w:rsidR="00B50BED" w:rsidRPr="005D32C7">
          <w:rPr>
            <w:noProof/>
            <w:webHidden/>
            <w:sz w:val="22"/>
          </w:rPr>
          <w:instrText xml:space="preserve"> PAGEREF _Toc529028297 \h </w:instrText>
        </w:r>
        <w:r w:rsidR="00B50BED" w:rsidRPr="005D32C7">
          <w:rPr>
            <w:noProof/>
            <w:webHidden/>
            <w:sz w:val="22"/>
          </w:rPr>
        </w:r>
        <w:r w:rsidR="00B50BED" w:rsidRPr="005D32C7">
          <w:rPr>
            <w:noProof/>
            <w:webHidden/>
            <w:sz w:val="22"/>
          </w:rPr>
          <w:fldChar w:fldCharType="separate"/>
        </w:r>
        <w:r w:rsidR="00832059">
          <w:rPr>
            <w:noProof/>
            <w:webHidden/>
            <w:sz w:val="22"/>
          </w:rPr>
          <w:t>34</w:t>
        </w:r>
        <w:r w:rsidR="00B50BED" w:rsidRPr="005D32C7">
          <w:rPr>
            <w:noProof/>
            <w:webHidden/>
            <w:sz w:val="22"/>
          </w:rPr>
          <w:fldChar w:fldCharType="end"/>
        </w:r>
      </w:hyperlink>
    </w:p>
    <w:p w14:paraId="2AFABE9F" w14:textId="31660982" w:rsidR="00B50BED" w:rsidRPr="005D32C7" w:rsidRDefault="000B63BB">
      <w:pPr>
        <w:pStyle w:val="TableofFigures"/>
        <w:tabs>
          <w:tab w:val="right" w:leader="dot" w:pos="8302"/>
        </w:tabs>
        <w:rPr>
          <w:rFonts w:eastAsiaTheme="minorEastAsia" w:cstheme="minorBidi"/>
          <w:noProof/>
          <w:sz w:val="24"/>
          <w:szCs w:val="22"/>
        </w:rPr>
      </w:pPr>
      <w:hyperlink w:anchor="_Toc529028298" w:history="1">
        <w:r w:rsidR="00440AC0">
          <w:rPr>
            <w:rStyle w:val="Hyperlink"/>
            <w:noProof/>
            <w:sz w:val="22"/>
          </w:rPr>
          <w:t>Table 6</w:t>
        </w:r>
        <w:r w:rsidR="00B50BED" w:rsidRPr="005D32C7">
          <w:rPr>
            <w:rStyle w:val="Hyperlink"/>
            <w:noProof/>
            <w:sz w:val="22"/>
          </w:rPr>
          <w:t>: Telehea</w:t>
        </w:r>
        <w:r w:rsidR="00B50BED" w:rsidRPr="00300461">
          <w:rPr>
            <w:rStyle w:val="Hyperlink"/>
            <w:noProof/>
          </w:rPr>
          <w:t>lth attendance i</w:t>
        </w:r>
        <w:r w:rsidR="00B50BED" w:rsidRPr="005D32C7">
          <w:rPr>
            <w:rStyle w:val="Hyperlink"/>
            <w:noProof/>
            <w:sz w:val="22"/>
          </w:rPr>
          <w:t>tem descriptors</w:t>
        </w:r>
        <w:r w:rsidR="00B50BED" w:rsidRPr="005D32C7">
          <w:rPr>
            <w:noProof/>
            <w:webHidden/>
            <w:sz w:val="22"/>
          </w:rPr>
          <w:tab/>
        </w:r>
        <w:r w:rsidR="00B50BED" w:rsidRPr="005D32C7">
          <w:rPr>
            <w:noProof/>
            <w:webHidden/>
            <w:sz w:val="22"/>
          </w:rPr>
          <w:fldChar w:fldCharType="begin"/>
        </w:r>
        <w:r w:rsidR="00B50BED" w:rsidRPr="005D32C7">
          <w:rPr>
            <w:noProof/>
            <w:webHidden/>
            <w:sz w:val="22"/>
          </w:rPr>
          <w:instrText xml:space="preserve"> PAGEREF _Toc529028298 \h </w:instrText>
        </w:r>
        <w:r w:rsidR="00B50BED" w:rsidRPr="005D32C7">
          <w:rPr>
            <w:noProof/>
            <w:webHidden/>
            <w:sz w:val="22"/>
          </w:rPr>
        </w:r>
        <w:r w:rsidR="00B50BED" w:rsidRPr="005D32C7">
          <w:rPr>
            <w:noProof/>
            <w:webHidden/>
            <w:sz w:val="22"/>
          </w:rPr>
          <w:fldChar w:fldCharType="separate"/>
        </w:r>
        <w:r w:rsidR="00832059">
          <w:rPr>
            <w:noProof/>
            <w:webHidden/>
            <w:sz w:val="22"/>
          </w:rPr>
          <w:t>44</w:t>
        </w:r>
        <w:r w:rsidR="00B50BED" w:rsidRPr="005D32C7">
          <w:rPr>
            <w:noProof/>
            <w:webHidden/>
            <w:sz w:val="22"/>
          </w:rPr>
          <w:fldChar w:fldCharType="end"/>
        </w:r>
      </w:hyperlink>
    </w:p>
    <w:p w14:paraId="706F9E78" w14:textId="178A4BB6" w:rsidR="00B50BED" w:rsidRPr="005D32C7" w:rsidRDefault="000B63BB">
      <w:pPr>
        <w:pStyle w:val="TableofFigures"/>
        <w:tabs>
          <w:tab w:val="right" w:leader="dot" w:pos="8302"/>
        </w:tabs>
        <w:rPr>
          <w:rFonts w:eastAsiaTheme="minorEastAsia" w:cstheme="minorBidi"/>
          <w:noProof/>
          <w:sz w:val="24"/>
          <w:szCs w:val="22"/>
        </w:rPr>
      </w:pPr>
      <w:hyperlink w:anchor="_Toc529028299" w:history="1">
        <w:r w:rsidR="00440AC0">
          <w:rPr>
            <w:rStyle w:val="Hyperlink"/>
            <w:noProof/>
            <w:sz w:val="22"/>
          </w:rPr>
          <w:t>Table 7</w:t>
        </w:r>
        <w:r w:rsidR="00B50BED" w:rsidRPr="005D32C7">
          <w:rPr>
            <w:rStyle w:val="Hyperlink"/>
            <w:noProof/>
            <w:sz w:val="22"/>
          </w:rPr>
          <w:t xml:space="preserve">: </w:t>
        </w:r>
        <w:r w:rsidR="00B50BED" w:rsidRPr="005D32C7">
          <w:rPr>
            <w:rStyle w:val="Hyperlink"/>
            <w:noProof/>
            <w:sz w:val="22"/>
            <w:lang w:val="en-GB"/>
          </w:rPr>
          <w:t>Case conference item descriptors</w:t>
        </w:r>
        <w:r w:rsidR="00B50BED" w:rsidRPr="005D32C7">
          <w:rPr>
            <w:noProof/>
            <w:webHidden/>
            <w:sz w:val="22"/>
          </w:rPr>
          <w:tab/>
        </w:r>
        <w:r w:rsidR="00B50BED" w:rsidRPr="005D32C7">
          <w:rPr>
            <w:noProof/>
            <w:webHidden/>
            <w:sz w:val="22"/>
          </w:rPr>
          <w:fldChar w:fldCharType="begin"/>
        </w:r>
        <w:r w:rsidR="00B50BED" w:rsidRPr="005D32C7">
          <w:rPr>
            <w:noProof/>
            <w:webHidden/>
            <w:sz w:val="22"/>
          </w:rPr>
          <w:instrText xml:space="preserve"> PAGEREF _Toc529028299 \h </w:instrText>
        </w:r>
        <w:r w:rsidR="00B50BED" w:rsidRPr="005D32C7">
          <w:rPr>
            <w:noProof/>
            <w:webHidden/>
            <w:sz w:val="22"/>
          </w:rPr>
        </w:r>
        <w:r w:rsidR="00B50BED" w:rsidRPr="005D32C7">
          <w:rPr>
            <w:noProof/>
            <w:webHidden/>
            <w:sz w:val="22"/>
          </w:rPr>
          <w:fldChar w:fldCharType="separate"/>
        </w:r>
        <w:r w:rsidR="00832059">
          <w:rPr>
            <w:noProof/>
            <w:webHidden/>
            <w:sz w:val="22"/>
          </w:rPr>
          <w:t>52</w:t>
        </w:r>
        <w:r w:rsidR="00B50BED" w:rsidRPr="005D32C7">
          <w:rPr>
            <w:noProof/>
            <w:webHidden/>
            <w:sz w:val="22"/>
          </w:rPr>
          <w:fldChar w:fldCharType="end"/>
        </w:r>
      </w:hyperlink>
    </w:p>
    <w:p w14:paraId="68B09EF5" w14:textId="59A6C01B" w:rsidR="00BC53AC" w:rsidRPr="00C33C0B" w:rsidRDefault="00240E05" w:rsidP="000D63FB">
      <w:pPr>
        <w:pStyle w:val="TableofFigures"/>
        <w:tabs>
          <w:tab w:val="left" w:pos="1100"/>
          <w:tab w:val="right" w:leader="dot" w:pos="9016"/>
        </w:tabs>
        <w:ind w:left="0" w:firstLine="0"/>
        <w:rPr>
          <w:lang w:val="en-GB"/>
        </w:rPr>
      </w:pPr>
      <w:r w:rsidRPr="00C33C0B">
        <w:rPr>
          <w:lang w:val="en-GB"/>
        </w:rPr>
        <w:fldChar w:fldCharType="end"/>
      </w:r>
    </w:p>
    <w:p w14:paraId="5ACF06BA" w14:textId="77777777" w:rsidR="000F73A5" w:rsidRDefault="000F73A5" w:rsidP="000D63FB">
      <w:pPr>
        <w:pStyle w:val="TableofFigures"/>
        <w:tabs>
          <w:tab w:val="left" w:pos="1100"/>
          <w:tab w:val="right" w:leader="dot" w:pos="9016"/>
        </w:tabs>
        <w:ind w:left="0" w:firstLine="0"/>
        <w:rPr>
          <w:lang w:val="en-GB"/>
        </w:rPr>
        <w:sectPr w:rsidR="000F73A5" w:rsidSect="00DF09CD">
          <w:headerReference w:type="default" r:id="rId12"/>
          <w:endnotePr>
            <w:numFmt w:val="decimal"/>
          </w:endnotePr>
          <w:pgSz w:w="11906" w:h="16838" w:code="9"/>
          <w:pgMar w:top="1440" w:right="1797" w:bottom="1440" w:left="1797" w:header="720" w:footer="720" w:gutter="0"/>
          <w:cols w:space="720"/>
          <w:docGrid w:linePitch="326"/>
        </w:sectPr>
      </w:pPr>
    </w:p>
    <w:p w14:paraId="5341F2B9" w14:textId="77777777" w:rsidR="00BC53AC" w:rsidRPr="00C33C0B" w:rsidRDefault="00BC53AC" w:rsidP="000D63FB">
      <w:pPr>
        <w:pStyle w:val="TableofFigures"/>
        <w:tabs>
          <w:tab w:val="left" w:pos="1100"/>
          <w:tab w:val="right" w:leader="dot" w:pos="9016"/>
        </w:tabs>
        <w:ind w:left="0" w:firstLine="0"/>
        <w:rPr>
          <w:lang w:val="en-GB"/>
        </w:rPr>
      </w:pPr>
    </w:p>
    <w:p w14:paraId="2409854A" w14:textId="77777777" w:rsidR="00BC53AC" w:rsidRPr="00C33C0B" w:rsidRDefault="00BC53AC" w:rsidP="000D63FB">
      <w:pPr>
        <w:pStyle w:val="TableofFigures"/>
        <w:tabs>
          <w:tab w:val="left" w:pos="1100"/>
          <w:tab w:val="right" w:leader="dot" w:pos="9016"/>
        </w:tabs>
        <w:ind w:left="0" w:firstLine="0"/>
        <w:rPr>
          <w:lang w:val="en-GB"/>
        </w:rPr>
      </w:pPr>
      <w:r w:rsidRPr="00C33C0B">
        <w:rPr>
          <w:b/>
          <w:bCs/>
          <w:color w:val="01653F"/>
          <w:sz w:val="32"/>
          <w:szCs w:val="32"/>
          <w:lang w:val="en-GB"/>
        </w:rPr>
        <w:t xml:space="preserve">List of </w:t>
      </w:r>
      <w:r w:rsidR="00240B1E">
        <w:rPr>
          <w:b/>
          <w:bCs/>
          <w:color w:val="01653F"/>
          <w:sz w:val="32"/>
          <w:szCs w:val="32"/>
          <w:lang w:val="en-GB"/>
        </w:rPr>
        <w:t>figures</w:t>
      </w:r>
    </w:p>
    <w:p w14:paraId="1C4B38CF" w14:textId="74BD8C6B" w:rsidR="00B50BED" w:rsidRPr="00784F55" w:rsidRDefault="00BC53AC" w:rsidP="00784F55">
      <w:pPr>
        <w:pStyle w:val="TableofFigures"/>
        <w:tabs>
          <w:tab w:val="left" w:pos="1100"/>
          <w:tab w:val="right" w:leader="dot" w:pos="9016"/>
        </w:tabs>
        <w:ind w:left="0" w:hanging="14"/>
        <w:rPr>
          <w:noProof/>
        </w:rPr>
      </w:pPr>
      <w:r w:rsidRPr="00784F55">
        <w:rPr>
          <w:noProof/>
        </w:rPr>
        <w:fldChar w:fldCharType="begin"/>
      </w:r>
      <w:r w:rsidRPr="00784F55">
        <w:rPr>
          <w:noProof/>
        </w:rPr>
        <w:instrText xml:space="preserve"> TOC \h \z \t "60 exh normal,1" </w:instrText>
      </w:r>
      <w:r w:rsidRPr="00784F55">
        <w:rPr>
          <w:noProof/>
        </w:rPr>
        <w:fldChar w:fldCharType="separate"/>
      </w:r>
      <w:hyperlink w:anchor="_Toc529028433" w:history="1">
        <w:r w:rsidR="00B50BED" w:rsidRPr="00784F55">
          <w:rPr>
            <w:noProof/>
          </w:rPr>
          <w:t>Figure 1: Prioritisation matrix</w:t>
        </w:r>
        <w:r w:rsidR="00B50BED" w:rsidRPr="00440AC0">
          <w:rPr>
            <w:noProof/>
            <w:webHidden/>
          </w:rPr>
          <w:tab/>
        </w:r>
        <w:r w:rsidR="00B50BED" w:rsidRPr="00440AC0">
          <w:rPr>
            <w:noProof/>
            <w:webHidden/>
          </w:rPr>
          <w:fldChar w:fldCharType="begin"/>
        </w:r>
        <w:r w:rsidR="00B50BED" w:rsidRPr="00440AC0">
          <w:rPr>
            <w:noProof/>
            <w:webHidden/>
          </w:rPr>
          <w:instrText xml:space="preserve"> PAGEREF _Toc529028433 \h </w:instrText>
        </w:r>
        <w:r w:rsidR="00B50BED" w:rsidRPr="00440AC0">
          <w:rPr>
            <w:noProof/>
            <w:webHidden/>
          </w:rPr>
        </w:r>
        <w:r w:rsidR="00B50BED" w:rsidRPr="00440AC0">
          <w:rPr>
            <w:noProof/>
            <w:webHidden/>
          </w:rPr>
          <w:fldChar w:fldCharType="separate"/>
        </w:r>
        <w:r w:rsidR="00832059">
          <w:rPr>
            <w:noProof/>
            <w:webHidden/>
          </w:rPr>
          <w:t>14</w:t>
        </w:r>
        <w:r w:rsidR="00B50BED" w:rsidRPr="00440AC0">
          <w:rPr>
            <w:noProof/>
            <w:webHidden/>
          </w:rPr>
          <w:fldChar w:fldCharType="end"/>
        </w:r>
      </w:hyperlink>
    </w:p>
    <w:p w14:paraId="0CCF1746" w14:textId="4F606FD3" w:rsidR="00B50BED" w:rsidRPr="00784F55" w:rsidRDefault="000B63BB" w:rsidP="00784F55">
      <w:pPr>
        <w:pStyle w:val="TableofFigures"/>
        <w:tabs>
          <w:tab w:val="left" w:pos="1100"/>
          <w:tab w:val="right" w:leader="dot" w:pos="9016"/>
        </w:tabs>
        <w:ind w:left="0" w:hanging="14"/>
        <w:rPr>
          <w:noProof/>
        </w:rPr>
      </w:pPr>
      <w:hyperlink w:anchor="_Toc529028434" w:history="1">
        <w:r w:rsidR="00B50BED" w:rsidRPr="00784F55">
          <w:rPr>
            <w:noProof/>
          </w:rPr>
          <w:t>Figure 2: Drivers of benefit growth - 2011/12 to 2016/17</w:t>
        </w:r>
        <w:r w:rsidR="00B50BED" w:rsidRPr="00440AC0">
          <w:rPr>
            <w:noProof/>
            <w:webHidden/>
          </w:rPr>
          <w:tab/>
        </w:r>
        <w:r w:rsidR="00B50BED" w:rsidRPr="00440AC0">
          <w:rPr>
            <w:noProof/>
            <w:webHidden/>
          </w:rPr>
          <w:fldChar w:fldCharType="begin"/>
        </w:r>
        <w:r w:rsidR="00B50BED" w:rsidRPr="00440AC0">
          <w:rPr>
            <w:noProof/>
            <w:webHidden/>
          </w:rPr>
          <w:instrText xml:space="preserve"> PAGEREF _Toc529028434 \h </w:instrText>
        </w:r>
        <w:r w:rsidR="00B50BED" w:rsidRPr="00440AC0">
          <w:rPr>
            <w:noProof/>
            <w:webHidden/>
          </w:rPr>
        </w:r>
        <w:r w:rsidR="00B50BED" w:rsidRPr="00440AC0">
          <w:rPr>
            <w:noProof/>
            <w:webHidden/>
          </w:rPr>
          <w:fldChar w:fldCharType="separate"/>
        </w:r>
        <w:r w:rsidR="00832059">
          <w:rPr>
            <w:noProof/>
            <w:webHidden/>
          </w:rPr>
          <w:t>18</w:t>
        </w:r>
        <w:r w:rsidR="00B50BED" w:rsidRPr="00440AC0">
          <w:rPr>
            <w:noProof/>
            <w:webHidden/>
          </w:rPr>
          <w:fldChar w:fldCharType="end"/>
        </w:r>
      </w:hyperlink>
    </w:p>
    <w:p w14:paraId="7FBC8323" w14:textId="6957173A" w:rsidR="00B50BED" w:rsidRPr="00784F55" w:rsidRDefault="000B63BB" w:rsidP="00784F55">
      <w:pPr>
        <w:pStyle w:val="TableofFigures"/>
        <w:tabs>
          <w:tab w:val="left" w:pos="1100"/>
          <w:tab w:val="right" w:leader="dot" w:pos="9016"/>
        </w:tabs>
        <w:ind w:left="14" w:hanging="14"/>
        <w:rPr>
          <w:noProof/>
        </w:rPr>
      </w:pPr>
      <w:hyperlink w:anchor="_Toc529028437" w:history="1">
        <w:r w:rsidR="00B57D33" w:rsidRPr="00784F55">
          <w:rPr>
            <w:noProof/>
          </w:rPr>
          <w:t>Figure 3</w:t>
        </w:r>
        <w:r w:rsidR="00B50BED" w:rsidRPr="00784F55">
          <w:rPr>
            <w:noProof/>
          </w:rPr>
          <w:t>: Percentage MBS income from standard attendan</w:t>
        </w:r>
        <w:r w:rsidR="00784F55">
          <w:rPr>
            <w:noProof/>
          </w:rPr>
          <w:t>ce items, consultant physicians</w:t>
        </w:r>
        <w:r w:rsidR="00B57D33" w:rsidRPr="00784F55">
          <w:rPr>
            <w:noProof/>
          </w:rPr>
          <w:t xml:space="preserve"> </w:t>
        </w:r>
        <w:r w:rsidR="00B50BED" w:rsidRPr="00784F55">
          <w:rPr>
            <w:noProof/>
          </w:rPr>
          <w:t>versus</w:t>
        </w:r>
        <w:r w:rsidR="00784F55">
          <w:rPr>
            <w:noProof/>
          </w:rPr>
          <w:t xml:space="preserve"> </w:t>
        </w:r>
        <w:r w:rsidR="00B50BED" w:rsidRPr="00784F55">
          <w:rPr>
            <w:noProof/>
          </w:rPr>
          <w:t>specialists (%)</w:t>
        </w:r>
        <w:r w:rsidR="00B50BED" w:rsidRPr="00440AC0">
          <w:rPr>
            <w:noProof/>
            <w:webHidden/>
          </w:rPr>
          <w:tab/>
        </w:r>
        <w:r w:rsidR="00B50BED" w:rsidRPr="00440AC0">
          <w:rPr>
            <w:noProof/>
            <w:webHidden/>
          </w:rPr>
          <w:fldChar w:fldCharType="begin"/>
        </w:r>
        <w:r w:rsidR="00B50BED" w:rsidRPr="00440AC0">
          <w:rPr>
            <w:noProof/>
            <w:webHidden/>
          </w:rPr>
          <w:instrText xml:space="preserve"> PAGEREF _Toc529028437 \h </w:instrText>
        </w:r>
        <w:r w:rsidR="00B50BED" w:rsidRPr="00440AC0">
          <w:rPr>
            <w:noProof/>
            <w:webHidden/>
          </w:rPr>
        </w:r>
        <w:r w:rsidR="00B50BED" w:rsidRPr="00440AC0">
          <w:rPr>
            <w:noProof/>
            <w:webHidden/>
          </w:rPr>
          <w:fldChar w:fldCharType="separate"/>
        </w:r>
        <w:r w:rsidR="00832059">
          <w:rPr>
            <w:noProof/>
            <w:webHidden/>
          </w:rPr>
          <w:t>26</w:t>
        </w:r>
        <w:r w:rsidR="00B50BED" w:rsidRPr="00440AC0">
          <w:rPr>
            <w:noProof/>
            <w:webHidden/>
          </w:rPr>
          <w:fldChar w:fldCharType="end"/>
        </w:r>
      </w:hyperlink>
    </w:p>
    <w:p w14:paraId="7DFFC415" w14:textId="54640D8F" w:rsidR="00B50BED" w:rsidRPr="00784F55" w:rsidRDefault="000B63BB" w:rsidP="00784F55">
      <w:pPr>
        <w:pStyle w:val="TableofFigures"/>
        <w:tabs>
          <w:tab w:val="left" w:pos="1100"/>
          <w:tab w:val="right" w:leader="dot" w:pos="9016"/>
        </w:tabs>
        <w:ind w:left="0" w:hanging="14"/>
        <w:rPr>
          <w:noProof/>
        </w:rPr>
      </w:pPr>
      <w:hyperlink w:anchor="_Toc529028438" w:history="1">
        <w:r w:rsidR="00B57D33" w:rsidRPr="00784F55">
          <w:rPr>
            <w:noProof/>
          </w:rPr>
          <w:t>Figure 4</w:t>
        </w:r>
        <w:r w:rsidR="00B50BED" w:rsidRPr="00784F55">
          <w:rPr>
            <w:noProof/>
          </w:rPr>
          <w:t>: Average patient out-of-pocket cost for an initial attendance, consultant physicians versus specialists ($)</w:t>
        </w:r>
        <w:r w:rsidR="00784F55">
          <w:rPr>
            <w:noProof/>
          </w:rPr>
          <w:tab/>
        </w:r>
        <w:r w:rsidR="00B50BED" w:rsidRPr="00440AC0">
          <w:rPr>
            <w:noProof/>
            <w:webHidden/>
          </w:rPr>
          <w:tab/>
        </w:r>
        <w:r w:rsidR="00B50BED" w:rsidRPr="00440AC0">
          <w:rPr>
            <w:noProof/>
            <w:webHidden/>
          </w:rPr>
          <w:fldChar w:fldCharType="begin"/>
        </w:r>
        <w:r w:rsidR="00B50BED" w:rsidRPr="00440AC0">
          <w:rPr>
            <w:noProof/>
            <w:webHidden/>
          </w:rPr>
          <w:instrText xml:space="preserve"> PAGEREF _Toc529028438 \h </w:instrText>
        </w:r>
        <w:r w:rsidR="00B50BED" w:rsidRPr="00440AC0">
          <w:rPr>
            <w:noProof/>
            <w:webHidden/>
          </w:rPr>
        </w:r>
        <w:r w:rsidR="00B50BED" w:rsidRPr="00440AC0">
          <w:rPr>
            <w:noProof/>
            <w:webHidden/>
          </w:rPr>
          <w:fldChar w:fldCharType="separate"/>
        </w:r>
        <w:r w:rsidR="00832059">
          <w:rPr>
            <w:noProof/>
            <w:webHidden/>
          </w:rPr>
          <w:t>26</w:t>
        </w:r>
        <w:r w:rsidR="00B50BED" w:rsidRPr="00440AC0">
          <w:rPr>
            <w:noProof/>
            <w:webHidden/>
          </w:rPr>
          <w:fldChar w:fldCharType="end"/>
        </w:r>
      </w:hyperlink>
    </w:p>
    <w:p w14:paraId="581248E5" w14:textId="607B351D" w:rsidR="00B50BED" w:rsidRPr="00784F55" w:rsidRDefault="000B63BB" w:rsidP="00784F55">
      <w:pPr>
        <w:pStyle w:val="TableofFigures"/>
        <w:tabs>
          <w:tab w:val="left" w:pos="1100"/>
          <w:tab w:val="right" w:leader="dot" w:pos="9016"/>
        </w:tabs>
        <w:ind w:left="0" w:hanging="14"/>
        <w:rPr>
          <w:noProof/>
        </w:rPr>
      </w:pPr>
      <w:hyperlink w:anchor="_Toc529028439" w:history="1">
        <w:r w:rsidR="00B57D33" w:rsidRPr="00784F55">
          <w:rPr>
            <w:noProof/>
          </w:rPr>
          <w:t>Figure 5</w:t>
        </w:r>
        <w:r w:rsidR="00B50BED" w:rsidRPr="00784F55">
          <w:rPr>
            <w:noProof/>
          </w:rPr>
          <w:t>: How are telehealth attendances reimbursed in other geographies?</w:t>
        </w:r>
        <w:r w:rsidR="00B50BED" w:rsidRPr="00440AC0">
          <w:rPr>
            <w:noProof/>
            <w:webHidden/>
          </w:rPr>
          <w:tab/>
        </w:r>
        <w:r w:rsidR="00B50BED" w:rsidRPr="00440AC0">
          <w:rPr>
            <w:noProof/>
            <w:webHidden/>
          </w:rPr>
          <w:fldChar w:fldCharType="begin"/>
        </w:r>
        <w:r w:rsidR="00B50BED" w:rsidRPr="00440AC0">
          <w:rPr>
            <w:noProof/>
            <w:webHidden/>
          </w:rPr>
          <w:instrText xml:space="preserve"> PAGEREF _Toc529028439 \h </w:instrText>
        </w:r>
        <w:r w:rsidR="00B50BED" w:rsidRPr="00440AC0">
          <w:rPr>
            <w:noProof/>
            <w:webHidden/>
          </w:rPr>
        </w:r>
        <w:r w:rsidR="00B50BED" w:rsidRPr="00440AC0">
          <w:rPr>
            <w:noProof/>
            <w:webHidden/>
          </w:rPr>
          <w:fldChar w:fldCharType="separate"/>
        </w:r>
        <w:r w:rsidR="00832059">
          <w:rPr>
            <w:noProof/>
            <w:webHidden/>
          </w:rPr>
          <w:t>48</w:t>
        </w:r>
        <w:r w:rsidR="00B50BED" w:rsidRPr="00440AC0">
          <w:rPr>
            <w:noProof/>
            <w:webHidden/>
          </w:rPr>
          <w:fldChar w:fldCharType="end"/>
        </w:r>
      </w:hyperlink>
    </w:p>
    <w:p w14:paraId="5D53BAB1" w14:textId="79EC1EA9" w:rsidR="00262127" w:rsidRPr="00C33C0B" w:rsidRDefault="00BC53AC" w:rsidP="00DA1AEC">
      <w:pPr>
        <w:pStyle w:val="TableofFigures"/>
        <w:tabs>
          <w:tab w:val="left" w:pos="1100"/>
          <w:tab w:val="right" w:leader="dot" w:pos="9016"/>
        </w:tabs>
        <w:ind w:left="0" w:hanging="14"/>
        <w:rPr>
          <w:lang w:val="en-GB"/>
        </w:rPr>
      </w:pPr>
      <w:r w:rsidRPr="00784F55">
        <w:rPr>
          <w:noProof/>
        </w:rPr>
        <w:fldChar w:fldCharType="end"/>
      </w:r>
    </w:p>
    <w:p w14:paraId="702E00D3" w14:textId="14CE863B" w:rsidR="00DF09CD" w:rsidRPr="00300461" w:rsidRDefault="00DF09CD" w:rsidP="00300461">
      <w:pPr>
        <w:pStyle w:val="Heading1"/>
        <w:numPr>
          <w:ilvl w:val="0"/>
          <w:numId w:val="167"/>
        </w:numPr>
        <w:rPr>
          <w:lang w:val="en-GB"/>
        </w:rPr>
      </w:pPr>
      <w:bookmarkStart w:id="3" w:name="_Toc67952179"/>
      <w:bookmarkStart w:id="4" w:name="_Toc485295724"/>
      <w:bookmarkStart w:id="5" w:name="_Toc456045432"/>
      <w:bookmarkEnd w:id="2"/>
      <w:r w:rsidRPr="00300461">
        <w:rPr>
          <w:lang w:val="en-GB"/>
        </w:rPr>
        <w:t>Executive summary</w:t>
      </w:r>
      <w:bookmarkEnd w:id="3"/>
    </w:p>
    <w:p w14:paraId="2FE28767" w14:textId="77777777" w:rsidR="00DF09CD" w:rsidRPr="00C33C0B" w:rsidRDefault="00DF09CD" w:rsidP="00DF09CD">
      <w:pPr>
        <w:rPr>
          <w:lang w:val="en-GB"/>
        </w:rPr>
      </w:pPr>
      <w:r w:rsidRPr="00C33C0B">
        <w:rPr>
          <w:lang w:val="en-GB"/>
        </w:rPr>
        <w:t>The Medicare Benefits Schedule (MBS) Review Taskforce (the Taskforce) is undertaking a program of work that considers how more than 5,700 items on the MBS can be aligned with contemporary cl</w:t>
      </w:r>
      <w:r w:rsidR="00580CCE" w:rsidRPr="00C33C0B">
        <w:rPr>
          <w:lang w:val="en-GB"/>
        </w:rPr>
        <w:t xml:space="preserve">inical evidence and practice </w:t>
      </w:r>
      <w:r w:rsidRPr="00C33C0B">
        <w:rPr>
          <w:lang w:val="en-GB"/>
        </w:rPr>
        <w:t xml:space="preserve">to improve health outcomes for patients. The Taskforce </w:t>
      </w:r>
      <w:r w:rsidR="00150566">
        <w:rPr>
          <w:lang w:val="en-GB"/>
        </w:rPr>
        <w:t xml:space="preserve">will </w:t>
      </w:r>
      <w:r w:rsidRPr="00C33C0B">
        <w:rPr>
          <w:lang w:val="en-GB"/>
        </w:rPr>
        <w:t>also seek to identify any services that may be unnecessary, outdated</w:t>
      </w:r>
      <w:r w:rsidR="00637A1B" w:rsidRPr="00C33C0B">
        <w:rPr>
          <w:lang w:val="en-GB"/>
        </w:rPr>
        <w:t>,</w:t>
      </w:r>
      <w:r w:rsidRPr="00C33C0B">
        <w:rPr>
          <w:lang w:val="en-GB"/>
        </w:rPr>
        <w:t xml:space="preserve"> or potentially unsafe. </w:t>
      </w:r>
    </w:p>
    <w:p w14:paraId="207151DD" w14:textId="77777777" w:rsidR="00DF09CD" w:rsidRPr="00C33C0B" w:rsidRDefault="00DF09CD" w:rsidP="00DF09CD">
      <w:pPr>
        <w:rPr>
          <w:lang w:val="en-GB"/>
        </w:rPr>
      </w:pPr>
      <w:r w:rsidRPr="00C33C0B">
        <w:rPr>
          <w:lang w:val="en-GB"/>
        </w:rPr>
        <w:t>The Taskforce is committed to providing recommendations to the Minister for Health</w:t>
      </w:r>
      <w:r w:rsidR="009E13D5">
        <w:rPr>
          <w:lang w:val="en-GB"/>
        </w:rPr>
        <w:t xml:space="preserve"> (the Minister)</w:t>
      </w:r>
      <w:r w:rsidRPr="00C33C0B">
        <w:rPr>
          <w:lang w:val="en-GB"/>
        </w:rPr>
        <w:t xml:space="preserve"> that will allow the MBS to deliver on </w:t>
      </w:r>
      <w:r w:rsidR="009E13D5">
        <w:rPr>
          <w:lang w:val="en-GB"/>
        </w:rPr>
        <w:t>each of these four</w:t>
      </w:r>
      <w:r w:rsidRPr="00C33C0B">
        <w:rPr>
          <w:lang w:val="en-GB"/>
        </w:rPr>
        <w:t xml:space="preserve"> key goals:</w:t>
      </w:r>
    </w:p>
    <w:p w14:paraId="365E3DCA" w14:textId="77777777" w:rsidR="00DF09CD" w:rsidRPr="00C33C0B" w:rsidRDefault="00353987" w:rsidP="00DF09CD">
      <w:pPr>
        <w:pStyle w:val="Bullet-green"/>
        <w:rPr>
          <w:lang w:val="en-GB"/>
        </w:rPr>
      </w:pPr>
      <w:r w:rsidRPr="00C33C0B">
        <w:rPr>
          <w:lang w:val="en-GB"/>
        </w:rPr>
        <w:t>Affordable and universal access</w:t>
      </w:r>
      <w:r w:rsidR="00AC10E8">
        <w:rPr>
          <w:lang w:val="en-GB"/>
        </w:rPr>
        <w:t>.</w:t>
      </w:r>
    </w:p>
    <w:p w14:paraId="58753231" w14:textId="77777777" w:rsidR="00DF09CD" w:rsidRPr="00C33C0B" w:rsidRDefault="00353987" w:rsidP="00DF09CD">
      <w:pPr>
        <w:pStyle w:val="Bullet-green"/>
        <w:rPr>
          <w:lang w:val="en-GB"/>
        </w:rPr>
      </w:pPr>
      <w:r w:rsidRPr="00C33C0B">
        <w:rPr>
          <w:lang w:val="en-GB"/>
        </w:rPr>
        <w:t>Best-practice health services</w:t>
      </w:r>
      <w:r w:rsidR="00AC10E8">
        <w:rPr>
          <w:lang w:val="en-GB"/>
        </w:rPr>
        <w:t>.</w:t>
      </w:r>
    </w:p>
    <w:p w14:paraId="23136A67" w14:textId="77777777" w:rsidR="00DF09CD" w:rsidRPr="00C33C0B" w:rsidRDefault="00DF09CD" w:rsidP="00DF09CD">
      <w:pPr>
        <w:pStyle w:val="Bullet-green"/>
        <w:rPr>
          <w:lang w:val="en-GB"/>
        </w:rPr>
      </w:pPr>
      <w:r w:rsidRPr="00C33C0B">
        <w:rPr>
          <w:lang w:val="en-GB"/>
        </w:rPr>
        <w:t>V</w:t>
      </w:r>
      <w:r w:rsidR="00353987" w:rsidRPr="00C33C0B">
        <w:rPr>
          <w:lang w:val="en-GB"/>
        </w:rPr>
        <w:t>alue for the individual patient</w:t>
      </w:r>
      <w:r w:rsidR="00AC10E8">
        <w:rPr>
          <w:lang w:val="en-GB"/>
        </w:rPr>
        <w:t>.</w:t>
      </w:r>
    </w:p>
    <w:p w14:paraId="3AE5BAC6" w14:textId="77777777" w:rsidR="00DF09CD" w:rsidRPr="00C33C0B" w:rsidRDefault="00353987" w:rsidP="00DF09CD">
      <w:pPr>
        <w:pStyle w:val="Bullet-green"/>
        <w:rPr>
          <w:lang w:val="en-GB"/>
        </w:rPr>
      </w:pPr>
      <w:r w:rsidRPr="00C33C0B">
        <w:rPr>
          <w:lang w:val="en-GB"/>
        </w:rPr>
        <w:t>Value for the health system</w:t>
      </w:r>
      <w:r w:rsidR="00AC10E8">
        <w:rPr>
          <w:lang w:val="en-GB"/>
        </w:rPr>
        <w:t>.</w:t>
      </w:r>
    </w:p>
    <w:p w14:paraId="1A3B111A" w14:textId="6053B820" w:rsidR="00DF09CD" w:rsidRPr="00C33C0B" w:rsidRDefault="00DF09CD" w:rsidP="00916F9F">
      <w:pPr>
        <w:rPr>
          <w:lang w:val="en-GB"/>
        </w:rPr>
      </w:pPr>
      <w:r w:rsidRPr="00C33C0B">
        <w:rPr>
          <w:lang w:val="en-GB"/>
        </w:rPr>
        <w:t xml:space="preserve">The Taskforce has endorsed a methodology whereby the necessary clinical review of MBS items is undertaken by </w:t>
      </w:r>
      <w:r w:rsidR="00AC10E8">
        <w:rPr>
          <w:lang w:val="en-GB"/>
        </w:rPr>
        <w:t>c</w:t>
      </w:r>
      <w:r w:rsidRPr="00C33C0B">
        <w:rPr>
          <w:lang w:val="en-GB"/>
        </w:rPr>
        <w:t xml:space="preserve">linical </w:t>
      </w:r>
      <w:r w:rsidR="00AC10E8">
        <w:rPr>
          <w:lang w:val="en-GB"/>
        </w:rPr>
        <w:t>c</w:t>
      </w:r>
      <w:r w:rsidRPr="00C33C0B">
        <w:rPr>
          <w:lang w:val="en-GB"/>
        </w:rPr>
        <w:t xml:space="preserve">ommittees and </w:t>
      </w:r>
      <w:r w:rsidR="00B73CC3">
        <w:rPr>
          <w:lang w:val="en-GB"/>
        </w:rPr>
        <w:t>working</w:t>
      </w:r>
      <w:r w:rsidRPr="00C33C0B">
        <w:rPr>
          <w:lang w:val="en-GB"/>
        </w:rPr>
        <w:t xml:space="preserve"> </w:t>
      </w:r>
      <w:r w:rsidR="00AC10E8">
        <w:rPr>
          <w:lang w:val="en-GB"/>
        </w:rPr>
        <w:t>g</w:t>
      </w:r>
      <w:r w:rsidR="00011713">
        <w:rPr>
          <w:lang w:val="en-GB"/>
        </w:rPr>
        <w:t>roups.</w:t>
      </w:r>
    </w:p>
    <w:p w14:paraId="670BDDBF" w14:textId="77777777" w:rsidR="00DF09CD" w:rsidRDefault="00DF09CD" w:rsidP="00DF09CD">
      <w:pPr>
        <w:rPr>
          <w:lang w:val="en-GB"/>
        </w:rPr>
      </w:pPr>
      <w:r w:rsidRPr="00C33C0B">
        <w:rPr>
          <w:lang w:val="en-GB"/>
        </w:rPr>
        <w:t xml:space="preserve">The Specialist and Consultant Physician Consultation Clinical Committee (the Committee) </w:t>
      </w:r>
      <w:bookmarkStart w:id="6" w:name="_Hlk522625010"/>
      <w:r w:rsidRPr="00C33C0B">
        <w:rPr>
          <w:lang w:val="en-GB"/>
        </w:rPr>
        <w:t xml:space="preserve">was established in May 2018 to make recommendations to the Taskforce </w:t>
      </w:r>
      <w:r w:rsidR="00094628">
        <w:rPr>
          <w:lang w:val="en-GB"/>
        </w:rPr>
        <w:t>on</w:t>
      </w:r>
      <w:r w:rsidR="00094628" w:rsidRPr="00C33C0B">
        <w:rPr>
          <w:lang w:val="en-GB"/>
        </w:rPr>
        <w:t xml:space="preserve"> </w:t>
      </w:r>
      <w:r w:rsidRPr="00C33C0B">
        <w:rPr>
          <w:lang w:val="en-GB"/>
        </w:rPr>
        <w:t xml:space="preserve">MBS items </w:t>
      </w:r>
      <w:bookmarkEnd w:id="6"/>
      <w:r w:rsidRPr="00C33C0B">
        <w:rPr>
          <w:lang w:val="en-GB"/>
        </w:rPr>
        <w:t xml:space="preserve">in </w:t>
      </w:r>
      <w:r w:rsidR="00460DBC">
        <w:rPr>
          <w:lang w:val="en-GB"/>
        </w:rPr>
        <w:t>its</w:t>
      </w:r>
      <w:r w:rsidRPr="00C33C0B">
        <w:rPr>
          <w:lang w:val="en-GB"/>
        </w:rPr>
        <w:t xml:space="preserve"> area of responsibility, based on rapid evidence review</w:t>
      </w:r>
      <w:r w:rsidR="004A13A9">
        <w:rPr>
          <w:lang w:val="en-GB"/>
        </w:rPr>
        <w:t xml:space="preserve"> and clinical expertise</w:t>
      </w:r>
      <w:r w:rsidRPr="00C33C0B">
        <w:rPr>
          <w:lang w:val="en-GB"/>
        </w:rPr>
        <w:t xml:space="preserve">. The Taskforce asked the Committee to review </w:t>
      </w:r>
      <w:r w:rsidR="001D2000" w:rsidRPr="00C33C0B">
        <w:rPr>
          <w:lang w:val="en-GB"/>
        </w:rPr>
        <w:t>143</w:t>
      </w:r>
      <w:r w:rsidRPr="00C33C0B">
        <w:rPr>
          <w:lang w:val="en-GB"/>
        </w:rPr>
        <w:t xml:space="preserve"> items related to attendanc</w:t>
      </w:r>
      <w:r w:rsidR="00BD25D6" w:rsidRPr="00C33C0B">
        <w:rPr>
          <w:lang w:val="en-GB"/>
        </w:rPr>
        <w:t>es</w:t>
      </w:r>
      <w:r w:rsidR="006673A0">
        <w:rPr>
          <w:lang w:val="en-GB"/>
        </w:rPr>
        <w:t xml:space="preserve">, along with </w:t>
      </w:r>
      <w:r w:rsidR="00241F9A">
        <w:rPr>
          <w:lang w:val="en-GB"/>
        </w:rPr>
        <w:t>seven priority issues that are largely structural in nature</w:t>
      </w:r>
      <w:r w:rsidR="00BD25D6" w:rsidRPr="00C33C0B">
        <w:rPr>
          <w:lang w:val="en-GB"/>
        </w:rPr>
        <w:t>.</w:t>
      </w:r>
      <w:r w:rsidR="00241F9A">
        <w:rPr>
          <w:lang w:val="en-GB"/>
        </w:rPr>
        <w:t xml:space="preserve"> The Taskforce referred two further issues to the Committee, as requested by the Minister</w:t>
      </w:r>
      <w:r w:rsidR="00CB1AB6">
        <w:rPr>
          <w:lang w:val="en-GB"/>
        </w:rPr>
        <w:t>-</w:t>
      </w:r>
      <w:r w:rsidR="00241F9A">
        <w:rPr>
          <w:lang w:val="en-GB"/>
        </w:rPr>
        <w:t xml:space="preserve"> referral practices</w:t>
      </w:r>
      <w:r w:rsidR="00CB1AB6">
        <w:rPr>
          <w:lang w:val="en-GB"/>
        </w:rPr>
        <w:t>,</w:t>
      </w:r>
      <w:r w:rsidR="00241F9A">
        <w:rPr>
          <w:lang w:val="en-GB"/>
        </w:rPr>
        <w:t xml:space="preserve"> and</w:t>
      </w:r>
      <w:r w:rsidR="00CB1AB6">
        <w:rPr>
          <w:lang w:val="en-GB"/>
        </w:rPr>
        <w:t xml:space="preserve"> incentivising the</w:t>
      </w:r>
      <w:r w:rsidR="00241F9A">
        <w:rPr>
          <w:lang w:val="en-GB"/>
        </w:rPr>
        <w:t xml:space="preserve"> uptake of My Health Record</w:t>
      </w:r>
      <w:r w:rsidR="00CB1AB6">
        <w:rPr>
          <w:lang w:val="en-GB"/>
        </w:rPr>
        <w:t xml:space="preserve"> by clinicians and consumers</w:t>
      </w:r>
      <w:r w:rsidR="00241F9A">
        <w:rPr>
          <w:lang w:val="en-GB"/>
        </w:rPr>
        <w:t>.</w:t>
      </w:r>
      <w:r w:rsidR="00BD25D6" w:rsidRPr="00C33C0B">
        <w:rPr>
          <w:lang w:val="en-GB"/>
        </w:rPr>
        <w:t xml:space="preserve"> </w:t>
      </w:r>
    </w:p>
    <w:p w14:paraId="4D46D748" w14:textId="77777777" w:rsidR="00DF09CD" w:rsidRPr="00C33C0B" w:rsidRDefault="007835DF" w:rsidP="00DF5455">
      <w:pPr>
        <w:pStyle w:val="Heading2"/>
        <w:ind w:left="426" w:hanging="426"/>
        <w:rPr>
          <w:lang w:val="en-GB"/>
        </w:rPr>
      </w:pPr>
      <w:bookmarkStart w:id="7" w:name="_Toc67952180"/>
      <w:r>
        <w:rPr>
          <w:lang w:val="en-GB"/>
        </w:rPr>
        <w:t>Key</w:t>
      </w:r>
      <w:r w:rsidR="00FD6FA8" w:rsidRPr="00C33C0B">
        <w:rPr>
          <w:lang w:val="en-GB"/>
        </w:rPr>
        <w:t xml:space="preserve"> </w:t>
      </w:r>
      <w:r w:rsidR="00DF09CD" w:rsidRPr="00C33C0B">
        <w:rPr>
          <w:lang w:val="en-GB"/>
        </w:rPr>
        <w:t>recommendations</w:t>
      </w:r>
      <w:bookmarkEnd w:id="7"/>
    </w:p>
    <w:p w14:paraId="31BDB867" w14:textId="674D73CB" w:rsidR="007835DF" w:rsidRPr="00C33C0B" w:rsidRDefault="007835DF" w:rsidP="007835DF">
      <w:pPr>
        <w:rPr>
          <w:lang w:val="en-GB"/>
        </w:rPr>
      </w:pPr>
      <w:r w:rsidRPr="00C33C0B">
        <w:rPr>
          <w:lang w:val="en-GB"/>
        </w:rPr>
        <w:t>Detailed recommendations and rationales can be found in Section</w:t>
      </w:r>
      <w:r>
        <w:rPr>
          <w:lang w:val="en-GB"/>
        </w:rPr>
        <w:t>s</w:t>
      </w:r>
      <w:r w:rsidRPr="00C33C0B">
        <w:rPr>
          <w:lang w:val="en-GB"/>
        </w:rPr>
        <w:t xml:space="preserve"> 4</w:t>
      </w:r>
      <w:r>
        <w:rPr>
          <w:lang w:val="en-GB"/>
        </w:rPr>
        <w:t xml:space="preserve"> to 11</w:t>
      </w:r>
      <w:r w:rsidRPr="00C33C0B">
        <w:rPr>
          <w:lang w:val="en-GB"/>
        </w:rPr>
        <w:t xml:space="preserve">, </w:t>
      </w:r>
      <w:r>
        <w:rPr>
          <w:lang w:val="en-GB"/>
        </w:rPr>
        <w:t>and</w:t>
      </w:r>
      <w:r w:rsidRPr="00C33C0B">
        <w:rPr>
          <w:lang w:val="en-GB"/>
        </w:rPr>
        <w:t xml:space="preserve"> a complete list of in-scope items and recommendations </w:t>
      </w:r>
      <w:r>
        <w:rPr>
          <w:lang w:val="en-GB"/>
        </w:rPr>
        <w:t xml:space="preserve">is </w:t>
      </w:r>
      <w:r w:rsidRPr="00C33C0B">
        <w:rPr>
          <w:lang w:val="en-GB"/>
        </w:rPr>
        <w:t xml:space="preserve">provided in Appendix A. </w:t>
      </w:r>
      <w:r>
        <w:rPr>
          <w:lang w:val="en-GB"/>
        </w:rPr>
        <w:t>A summary of the report’s key recommendations is provided below.</w:t>
      </w:r>
    </w:p>
    <w:p w14:paraId="565819B0" w14:textId="77777777" w:rsidR="007835DF" w:rsidRPr="007835DF" w:rsidRDefault="007835DF" w:rsidP="000831A1">
      <w:pPr>
        <w:numPr>
          <w:ilvl w:val="2"/>
          <w:numId w:val="15"/>
        </w:numPr>
        <w:rPr>
          <w:b/>
          <w:bCs/>
          <w:lang w:val="en-US"/>
        </w:rPr>
      </w:pPr>
      <w:r w:rsidRPr="007835DF">
        <w:rPr>
          <w:b/>
          <w:bCs/>
          <w:lang w:val="en-US"/>
        </w:rPr>
        <w:t>Standard attendance recommendations</w:t>
      </w:r>
    </w:p>
    <w:p w14:paraId="0CDE5FB7" w14:textId="77777777" w:rsidR="007835DF" w:rsidRPr="003A1F27" w:rsidRDefault="00A15EEE" w:rsidP="00607BDA">
      <w:pPr>
        <w:pStyle w:val="Bullet-green"/>
        <w:numPr>
          <w:ilvl w:val="0"/>
          <w:numId w:val="0"/>
        </w:numPr>
        <w:rPr>
          <w:lang w:val="en-GB"/>
        </w:rPr>
      </w:pPr>
      <w:r w:rsidRPr="00C33C0B">
        <w:rPr>
          <w:lang w:val="en-GB"/>
        </w:rPr>
        <w:t xml:space="preserve">Many of the items for </w:t>
      </w:r>
      <w:r w:rsidR="003A1F27">
        <w:rPr>
          <w:lang w:val="en-GB"/>
        </w:rPr>
        <w:t>consultant specialist</w:t>
      </w:r>
      <w:r w:rsidRPr="00C33C0B">
        <w:rPr>
          <w:lang w:val="en-GB"/>
        </w:rPr>
        <w:t xml:space="preserve"> attendances have not been reviewed since their introduction in the 1970s and are based on </w:t>
      </w:r>
      <w:r w:rsidR="00B4577D" w:rsidRPr="00C33C0B">
        <w:rPr>
          <w:lang w:val="en-GB"/>
        </w:rPr>
        <w:t>a rationale that is increasingly disso</w:t>
      </w:r>
      <w:r w:rsidR="00B07987" w:rsidRPr="00C33C0B">
        <w:rPr>
          <w:lang w:val="en-GB"/>
        </w:rPr>
        <w:t xml:space="preserve">ciated from </w:t>
      </w:r>
      <w:r w:rsidR="00CB1AB6">
        <w:rPr>
          <w:lang w:val="en-GB"/>
        </w:rPr>
        <w:t xml:space="preserve">standard </w:t>
      </w:r>
      <w:r w:rsidR="00B07987" w:rsidRPr="00C33C0B">
        <w:rPr>
          <w:lang w:val="en-GB"/>
        </w:rPr>
        <w:t xml:space="preserve">clinical practice. During the course of </w:t>
      </w:r>
      <w:r w:rsidR="005B774B">
        <w:rPr>
          <w:lang w:val="en-GB"/>
        </w:rPr>
        <w:t xml:space="preserve">its </w:t>
      </w:r>
      <w:r w:rsidR="00B07987" w:rsidRPr="00C33C0B">
        <w:rPr>
          <w:lang w:val="en-GB"/>
        </w:rPr>
        <w:t xml:space="preserve">discussions, </w:t>
      </w:r>
      <w:r w:rsidR="005B774B">
        <w:rPr>
          <w:lang w:val="en-GB"/>
        </w:rPr>
        <w:t xml:space="preserve">the Committee </w:t>
      </w:r>
      <w:r w:rsidR="00BF3F60">
        <w:rPr>
          <w:lang w:val="en-GB"/>
        </w:rPr>
        <w:t xml:space="preserve">agreed </w:t>
      </w:r>
      <w:r w:rsidR="00B07987" w:rsidRPr="00C33C0B">
        <w:rPr>
          <w:lang w:val="en-GB"/>
        </w:rPr>
        <w:t xml:space="preserve">that </w:t>
      </w:r>
      <w:r w:rsidR="00194FB3" w:rsidRPr="00C33C0B">
        <w:rPr>
          <w:lang w:val="en-GB"/>
        </w:rPr>
        <w:t xml:space="preserve">the </w:t>
      </w:r>
      <w:r w:rsidR="003E1611" w:rsidRPr="00C33C0B">
        <w:rPr>
          <w:lang w:val="en-GB"/>
        </w:rPr>
        <w:t xml:space="preserve">current </w:t>
      </w:r>
      <w:r w:rsidR="00194FB3" w:rsidRPr="00C33C0B">
        <w:rPr>
          <w:lang w:val="en-GB"/>
        </w:rPr>
        <w:t>structure of attendance items</w:t>
      </w:r>
      <w:r w:rsidR="007835DF">
        <w:rPr>
          <w:lang w:val="en-GB"/>
        </w:rPr>
        <w:t xml:space="preserve"> d</w:t>
      </w:r>
      <w:r w:rsidR="0004725A" w:rsidRPr="00C33C0B">
        <w:rPr>
          <w:lang w:val="en-GB"/>
        </w:rPr>
        <w:t>oes not a</w:t>
      </w:r>
      <w:r w:rsidR="00194FB3" w:rsidRPr="00C33C0B">
        <w:rPr>
          <w:lang w:val="en-GB"/>
        </w:rPr>
        <w:t>ccurately reflect</w:t>
      </w:r>
      <w:r w:rsidR="00D52248">
        <w:rPr>
          <w:lang w:val="en-GB"/>
        </w:rPr>
        <w:t xml:space="preserve"> the</w:t>
      </w:r>
      <w:r w:rsidR="00194FB3" w:rsidRPr="00C33C0B">
        <w:rPr>
          <w:lang w:val="en-GB"/>
        </w:rPr>
        <w:t xml:space="preserve"> contemporary roles of </w:t>
      </w:r>
      <w:r w:rsidR="00CF064A">
        <w:rPr>
          <w:lang w:val="en-GB"/>
        </w:rPr>
        <w:t>specialist</w:t>
      </w:r>
      <w:r w:rsidR="00974498" w:rsidRPr="00C33C0B">
        <w:rPr>
          <w:lang w:val="en-GB"/>
        </w:rPr>
        <w:t xml:space="preserve">s and </w:t>
      </w:r>
      <w:r w:rsidR="00CF064A">
        <w:rPr>
          <w:lang w:val="en-GB"/>
        </w:rPr>
        <w:t>consultant physician</w:t>
      </w:r>
      <w:r w:rsidR="00974498" w:rsidRPr="00C33C0B">
        <w:rPr>
          <w:lang w:val="en-GB"/>
        </w:rPr>
        <w:t>s and the balance of consultative and procedural work</w:t>
      </w:r>
      <w:r w:rsidR="00E80C90" w:rsidRPr="00C33C0B">
        <w:rPr>
          <w:lang w:val="en-GB"/>
        </w:rPr>
        <w:t xml:space="preserve"> </w:t>
      </w:r>
      <w:r w:rsidR="00DF3C16" w:rsidRPr="00C33C0B">
        <w:rPr>
          <w:lang w:val="en-GB"/>
        </w:rPr>
        <w:t>across specialties</w:t>
      </w:r>
      <w:r w:rsidR="007835DF">
        <w:rPr>
          <w:lang w:val="en-GB"/>
        </w:rPr>
        <w:t>, d</w:t>
      </w:r>
      <w:r w:rsidR="007835DF" w:rsidRPr="00C33C0B">
        <w:rPr>
          <w:lang w:val="en-GB"/>
        </w:rPr>
        <w:t>oes not sufficiently support clinicians to invest in consultative care over procedural work</w:t>
      </w:r>
      <w:r w:rsidR="007835DF">
        <w:rPr>
          <w:lang w:val="en-GB"/>
        </w:rPr>
        <w:t>; and does not provide consumers with transparency on the cost or the quality of their chosen institution or consultant specialist.</w:t>
      </w:r>
    </w:p>
    <w:p w14:paraId="4A0A9CBD" w14:textId="77777777" w:rsidR="00B003F1" w:rsidRPr="00C33C0B" w:rsidRDefault="0004725A" w:rsidP="00B003F1">
      <w:pPr>
        <w:rPr>
          <w:lang w:val="en-GB"/>
        </w:rPr>
      </w:pPr>
      <w:r w:rsidRPr="00C33C0B">
        <w:rPr>
          <w:lang w:val="en-GB"/>
        </w:rPr>
        <w:t xml:space="preserve">The </w:t>
      </w:r>
      <w:r w:rsidR="003E1611" w:rsidRPr="00C33C0B">
        <w:rPr>
          <w:lang w:val="en-GB"/>
        </w:rPr>
        <w:t xml:space="preserve">Committee </w:t>
      </w:r>
      <w:r w:rsidR="00040E88" w:rsidRPr="00C33C0B">
        <w:rPr>
          <w:lang w:val="en-GB"/>
        </w:rPr>
        <w:t>recommends</w:t>
      </w:r>
      <w:r w:rsidR="003E1611" w:rsidRPr="00C33C0B">
        <w:rPr>
          <w:lang w:val="en-GB"/>
        </w:rPr>
        <w:t xml:space="preserve"> </w:t>
      </w:r>
      <w:r w:rsidR="00E537B6" w:rsidRPr="00C33C0B">
        <w:rPr>
          <w:lang w:val="en-GB"/>
        </w:rPr>
        <w:t>a new model for attendance items that is</w:t>
      </w:r>
      <w:r w:rsidR="00564473">
        <w:rPr>
          <w:lang w:val="en-GB"/>
        </w:rPr>
        <w:t xml:space="preserve"> greatly</w:t>
      </w:r>
      <w:r w:rsidR="00422385">
        <w:rPr>
          <w:lang w:val="en-GB"/>
        </w:rPr>
        <w:t xml:space="preserve"> </w:t>
      </w:r>
      <w:r w:rsidR="00564473">
        <w:rPr>
          <w:lang w:val="en-GB"/>
        </w:rPr>
        <w:t>simplified</w:t>
      </w:r>
      <w:r w:rsidR="003056CB">
        <w:rPr>
          <w:lang w:val="en-GB"/>
        </w:rPr>
        <w:t xml:space="preserve"> </w:t>
      </w:r>
      <w:r w:rsidR="00564473">
        <w:rPr>
          <w:lang w:val="en-GB"/>
        </w:rPr>
        <w:t>(</w:t>
      </w:r>
      <w:r w:rsidR="004075A4">
        <w:rPr>
          <w:lang w:val="en-GB"/>
        </w:rPr>
        <w:t>removing over 60 per cent of items</w:t>
      </w:r>
      <w:r w:rsidR="00564473">
        <w:rPr>
          <w:lang w:val="en-GB"/>
        </w:rPr>
        <w:t xml:space="preserve">), </w:t>
      </w:r>
      <w:r w:rsidR="00CB1AB6">
        <w:rPr>
          <w:lang w:val="en-GB"/>
        </w:rPr>
        <w:t xml:space="preserve">is </w:t>
      </w:r>
      <w:r w:rsidR="003056CB">
        <w:rPr>
          <w:lang w:val="en-GB"/>
        </w:rPr>
        <w:t>more equitable, and enables consistent patient rebates for similar services</w:t>
      </w:r>
      <w:r w:rsidR="0013698A">
        <w:rPr>
          <w:lang w:val="en-GB"/>
        </w:rPr>
        <w:t>.</w:t>
      </w:r>
      <w:r w:rsidR="00CB2933" w:rsidRPr="00C33C0B">
        <w:rPr>
          <w:lang w:val="en-GB"/>
        </w:rPr>
        <w:t xml:space="preserve"> </w:t>
      </w:r>
      <w:r w:rsidR="00743B01" w:rsidRPr="00C33C0B">
        <w:rPr>
          <w:lang w:val="en-GB"/>
        </w:rPr>
        <w:t>At the core of the</w:t>
      </w:r>
      <w:r w:rsidR="00CB2933" w:rsidRPr="00C33C0B">
        <w:rPr>
          <w:lang w:val="en-GB"/>
        </w:rPr>
        <w:t xml:space="preserve"> new model is </w:t>
      </w:r>
      <w:r w:rsidR="00040E88" w:rsidRPr="00C33C0B">
        <w:rPr>
          <w:lang w:val="en-GB"/>
        </w:rPr>
        <w:t xml:space="preserve">a </w:t>
      </w:r>
      <w:r w:rsidR="00CB2933" w:rsidRPr="00C33C0B">
        <w:rPr>
          <w:lang w:val="en-GB"/>
        </w:rPr>
        <w:t xml:space="preserve">recommendation to </w:t>
      </w:r>
      <w:r w:rsidR="00072904">
        <w:rPr>
          <w:lang w:val="en-GB"/>
        </w:rPr>
        <w:t>set</w:t>
      </w:r>
      <w:r w:rsidR="00B003F1" w:rsidRPr="00C33C0B">
        <w:rPr>
          <w:lang w:val="en-GB"/>
        </w:rPr>
        <w:t xml:space="preserve"> </w:t>
      </w:r>
      <w:r w:rsidR="0013698A">
        <w:rPr>
          <w:lang w:val="en-GB"/>
        </w:rPr>
        <w:t xml:space="preserve">standard </w:t>
      </w:r>
      <w:r w:rsidR="00B003F1" w:rsidRPr="00C33C0B">
        <w:rPr>
          <w:lang w:val="en-GB"/>
        </w:rPr>
        <w:t xml:space="preserve">attendance </w:t>
      </w:r>
      <w:r w:rsidR="00180343">
        <w:rPr>
          <w:lang w:val="en-GB"/>
        </w:rPr>
        <w:t>schedule fees</w:t>
      </w:r>
      <w:r w:rsidR="00072904">
        <w:rPr>
          <w:lang w:val="en-GB"/>
        </w:rPr>
        <w:t xml:space="preserve"> based on time</w:t>
      </w:r>
      <w:r w:rsidR="00B003F1" w:rsidRPr="00C33C0B">
        <w:rPr>
          <w:lang w:val="en-GB"/>
        </w:rPr>
        <w:t xml:space="preserve">. There is consensus within the Committee that using time as a basis for </w:t>
      </w:r>
      <w:r w:rsidR="001A4DC2">
        <w:rPr>
          <w:lang w:val="en-GB"/>
        </w:rPr>
        <w:t>setting schedule fees</w:t>
      </w:r>
      <w:r w:rsidR="00B003F1" w:rsidRPr="00C33C0B">
        <w:rPr>
          <w:lang w:val="en-GB"/>
        </w:rPr>
        <w:t xml:space="preserve"> is applicable within </w:t>
      </w:r>
      <w:r w:rsidR="00BC4BC9">
        <w:rPr>
          <w:lang w:val="en-GB"/>
        </w:rPr>
        <w:t>standard</w:t>
      </w:r>
      <w:r w:rsidR="00BC4BC9" w:rsidRPr="00C33C0B">
        <w:rPr>
          <w:lang w:val="en-GB"/>
        </w:rPr>
        <w:t xml:space="preserve"> </w:t>
      </w:r>
      <w:r w:rsidR="00B003F1" w:rsidRPr="00C33C0B">
        <w:rPr>
          <w:lang w:val="en-GB"/>
        </w:rPr>
        <w:t>clinical practice across all specialties</w:t>
      </w:r>
      <w:r w:rsidR="007835DF">
        <w:rPr>
          <w:lang w:val="en-GB"/>
        </w:rPr>
        <w:t>;</w:t>
      </w:r>
      <w:r w:rsidR="00B003F1" w:rsidRPr="00C33C0B">
        <w:rPr>
          <w:lang w:val="en-GB"/>
        </w:rPr>
        <w:t xml:space="preserve"> and </w:t>
      </w:r>
      <w:r w:rsidR="001661F9" w:rsidRPr="00C33C0B">
        <w:rPr>
          <w:lang w:val="en-GB"/>
        </w:rPr>
        <w:t>can account for</w:t>
      </w:r>
      <w:r w:rsidR="00B003F1" w:rsidRPr="00C33C0B">
        <w:rPr>
          <w:lang w:val="en-GB"/>
        </w:rPr>
        <w:t xml:space="preserve"> distinct activities of varying complexity.</w:t>
      </w:r>
      <w:r w:rsidR="00313126">
        <w:rPr>
          <w:lang w:val="en-GB"/>
        </w:rPr>
        <w:t xml:space="preserve"> A time-based model also </w:t>
      </w:r>
      <w:r w:rsidR="00CB1AB6">
        <w:rPr>
          <w:lang w:val="en-GB"/>
        </w:rPr>
        <w:t xml:space="preserve">strengthens the capacity of </w:t>
      </w:r>
      <w:r w:rsidR="00313126">
        <w:rPr>
          <w:lang w:val="en-GB"/>
        </w:rPr>
        <w:t>consumers to give informed financial consent.</w:t>
      </w:r>
      <w:r w:rsidR="003D361C">
        <w:rPr>
          <w:lang w:val="en-GB"/>
        </w:rPr>
        <w:t xml:space="preserve"> The Committee has recommended reviewing the potential impact of time</w:t>
      </w:r>
      <w:r w:rsidR="003D361C">
        <w:rPr>
          <w:lang w:val="en-GB"/>
        </w:rPr>
        <w:noBreakHyphen/>
        <w:t>tiering on distant outreach services.</w:t>
      </w:r>
    </w:p>
    <w:p w14:paraId="142BCD6A" w14:textId="6B0D0CFC" w:rsidR="00280517" w:rsidRPr="00C33C0B" w:rsidRDefault="00280517" w:rsidP="00B003F1">
      <w:pPr>
        <w:rPr>
          <w:lang w:val="en-GB"/>
        </w:rPr>
      </w:pPr>
      <w:r w:rsidRPr="00C33C0B">
        <w:rPr>
          <w:lang w:val="en-GB"/>
        </w:rPr>
        <w:t>The Committee has</w:t>
      </w:r>
      <w:r w:rsidR="00EE7385" w:rsidRPr="00C33C0B">
        <w:rPr>
          <w:lang w:val="en-GB"/>
        </w:rPr>
        <w:t xml:space="preserve"> also</w:t>
      </w:r>
      <w:r w:rsidRPr="00C33C0B">
        <w:rPr>
          <w:lang w:val="en-GB"/>
        </w:rPr>
        <w:t xml:space="preserve"> made recommendations </w:t>
      </w:r>
      <w:r w:rsidR="00356CF7" w:rsidRPr="00C33C0B">
        <w:rPr>
          <w:lang w:val="en-GB"/>
        </w:rPr>
        <w:t xml:space="preserve">on </w:t>
      </w:r>
      <w:r w:rsidR="00CB1AB6">
        <w:rPr>
          <w:lang w:val="en-GB"/>
        </w:rPr>
        <w:t>related</w:t>
      </w:r>
      <w:r w:rsidR="00356CF7" w:rsidRPr="00C33C0B">
        <w:rPr>
          <w:lang w:val="en-GB"/>
        </w:rPr>
        <w:t xml:space="preserve"> attendance items</w:t>
      </w:r>
      <w:r w:rsidR="00EE7385" w:rsidRPr="00C33C0B">
        <w:rPr>
          <w:lang w:val="en-GB"/>
        </w:rPr>
        <w:t xml:space="preserve"> such </w:t>
      </w:r>
      <w:r w:rsidR="001B20EE" w:rsidRPr="00C33C0B">
        <w:rPr>
          <w:lang w:val="en-GB"/>
        </w:rPr>
        <w:t xml:space="preserve">as </w:t>
      </w:r>
      <w:r w:rsidR="003056CB">
        <w:rPr>
          <w:lang w:val="en-GB"/>
        </w:rPr>
        <w:t>telehealth</w:t>
      </w:r>
      <w:r w:rsidR="00CB1AB6">
        <w:rPr>
          <w:lang w:val="en-GB"/>
        </w:rPr>
        <w:t xml:space="preserve"> and</w:t>
      </w:r>
      <w:r w:rsidR="003056CB">
        <w:rPr>
          <w:lang w:val="en-GB"/>
        </w:rPr>
        <w:t xml:space="preserve"> case conferencing, and the use of da</w:t>
      </w:r>
      <w:r w:rsidR="00267FA1">
        <w:rPr>
          <w:lang w:val="en-GB"/>
        </w:rPr>
        <w:t>ta to inform quality care and p</w:t>
      </w:r>
      <w:r w:rsidR="003056CB">
        <w:rPr>
          <w:lang w:val="en-GB"/>
        </w:rPr>
        <w:t>atient choice</w:t>
      </w:r>
      <w:r w:rsidR="001661F9" w:rsidRPr="00C33C0B">
        <w:rPr>
          <w:lang w:val="en-GB"/>
        </w:rPr>
        <w:t>. T</w:t>
      </w:r>
      <w:r w:rsidR="001B20EE" w:rsidRPr="00C33C0B">
        <w:rPr>
          <w:lang w:val="en-GB"/>
        </w:rPr>
        <w:t xml:space="preserve">he </w:t>
      </w:r>
      <w:r w:rsidR="00F57DF1" w:rsidRPr="00C33C0B">
        <w:rPr>
          <w:lang w:val="en-GB"/>
        </w:rPr>
        <w:t xml:space="preserve">intention </w:t>
      </w:r>
      <w:r w:rsidR="001661F9" w:rsidRPr="00C33C0B">
        <w:rPr>
          <w:lang w:val="en-GB"/>
        </w:rPr>
        <w:t xml:space="preserve">is to increase </w:t>
      </w:r>
      <w:r w:rsidR="00F57DF1" w:rsidRPr="00C33C0B">
        <w:rPr>
          <w:lang w:val="en-GB"/>
        </w:rPr>
        <w:t>patient access to these</w:t>
      </w:r>
      <w:r w:rsidR="00C22EB7">
        <w:rPr>
          <w:lang w:val="en-GB"/>
        </w:rPr>
        <w:t xml:space="preserve"> items</w:t>
      </w:r>
      <w:r w:rsidR="00F57DF1" w:rsidRPr="00C33C0B">
        <w:rPr>
          <w:lang w:val="en-GB"/>
        </w:rPr>
        <w:t xml:space="preserve">, </w:t>
      </w:r>
      <w:r w:rsidR="001661F9" w:rsidRPr="00C33C0B">
        <w:rPr>
          <w:lang w:val="en-GB"/>
        </w:rPr>
        <w:t xml:space="preserve">and to encourage </w:t>
      </w:r>
      <w:r w:rsidR="00F57DF1" w:rsidRPr="00C33C0B">
        <w:rPr>
          <w:lang w:val="en-GB"/>
        </w:rPr>
        <w:t>integrated care</w:t>
      </w:r>
      <w:r w:rsidR="001B20EE" w:rsidRPr="00C33C0B">
        <w:rPr>
          <w:lang w:val="en-GB"/>
        </w:rPr>
        <w:t xml:space="preserve"> </w:t>
      </w:r>
      <w:r w:rsidR="00F57DF1" w:rsidRPr="00C33C0B">
        <w:rPr>
          <w:lang w:val="en-GB"/>
        </w:rPr>
        <w:t>and shared decision</w:t>
      </w:r>
      <w:r w:rsidR="001969DA">
        <w:rPr>
          <w:lang w:val="en-GB"/>
        </w:rPr>
        <w:t>-</w:t>
      </w:r>
      <w:r w:rsidR="00BE7064">
        <w:rPr>
          <w:lang w:val="en-GB"/>
        </w:rPr>
        <w:t>making.</w:t>
      </w:r>
    </w:p>
    <w:p w14:paraId="6F740B4F" w14:textId="77777777" w:rsidR="00CF7235" w:rsidRPr="00C33C0B" w:rsidRDefault="005D5559" w:rsidP="00784F55">
      <w:pPr>
        <w:rPr>
          <w:lang w:val="en-GB"/>
        </w:rPr>
      </w:pPr>
      <w:r w:rsidRPr="00C33C0B">
        <w:rPr>
          <w:lang w:val="en-GB"/>
        </w:rPr>
        <w:t xml:space="preserve">The Committee recommends introducing </w:t>
      </w:r>
      <w:r w:rsidR="00DF09CD" w:rsidRPr="00C33C0B">
        <w:rPr>
          <w:lang w:val="en-GB"/>
        </w:rPr>
        <w:t xml:space="preserve">time-tiered attendance items with </w:t>
      </w:r>
      <w:r w:rsidR="002153C5" w:rsidRPr="00C33C0B">
        <w:rPr>
          <w:lang w:val="en-GB"/>
        </w:rPr>
        <w:t xml:space="preserve">descriptors </w:t>
      </w:r>
      <w:r w:rsidR="00CB1AB6">
        <w:rPr>
          <w:lang w:val="en-GB"/>
        </w:rPr>
        <w:t xml:space="preserve">including </w:t>
      </w:r>
      <w:r w:rsidR="002153C5" w:rsidRPr="00C33C0B">
        <w:rPr>
          <w:lang w:val="en-GB"/>
        </w:rPr>
        <w:t>activities to be performed in each time</w:t>
      </w:r>
      <w:r w:rsidR="0065684D">
        <w:rPr>
          <w:lang w:val="en-GB"/>
        </w:rPr>
        <w:t xml:space="preserve"> </w:t>
      </w:r>
      <w:r w:rsidR="002153C5" w:rsidRPr="00C33C0B">
        <w:rPr>
          <w:lang w:val="en-GB"/>
        </w:rPr>
        <w:t>tier</w:t>
      </w:r>
      <w:r w:rsidR="0092294A" w:rsidRPr="00C33C0B">
        <w:rPr>
          <w:lang w:val="en-GB"/>
        </w:rPr>
        <w:t xml:space="preserve">. </w:t>
      </w:r>
      <w:r w:rsidR="00CF7235" w:rsidRPr="00C33C0B">
        <w:rPr>
          <w:lang w:val="en-GB"/>
        </w:rPr>
        <w:t xml:space="preserve">These items replace existing </w:t>
      </w:r>
      <w:r w:rsidR="00FB0E53" w:rsidRPr="00C33C0B">
        <w:rPr>
          <w:lang w:val="en-GB"/>
        </w:rPr>
        <w:t xml:space="preserve">standard attendance items and </w:t>
      </w:r>
      <w:r w:rsidR="00E069A3">
        <w:rPr>
          <w:lang w:val="en-GB"/>
        </w:rPr>
        <w:t xml:space="preserve">will </w:t>
      </w:r>
      <w:r w:rsidR="00FB0E53" w:rsidRPr="00C33C0B">
        <w:rPr>
          <w:lang w:val="en-GB"/>
        </w:rPr>
        <w:t xml:space="preserve">be accessed by all </w:t>
      </w:r>
      <w:r w:rsidR="008C78CE">
        <w:rPr>
          <w:lang w:val="en-GB"/>
        </w:rPr>
        <w:t>consultant specialists</w:t>
      </w:r>
      <w:r w:rsidR="00C93095" w:rsidRPr="00C33C0B">
        <w:rPr>
          <w:lang w:val="en-GB"/>
        </w:rPr>
        <w:t>.</w:t>
      </w:r>
    </w:p>
    <w:p w14:paraId="51E2D18E" w14:textId="77777777" w:rsidR="0073152D" w:rsidRPr="00C33C0B" w:rsidRDefault="0073152D" w:rsidP="0073152D">
      <w:pPr>
        <w:rPr>
          <w:lang w:val="en-GB"/>
        </w:rPr>
      </w:pPr>
      <w:r w:rsidRPr="00C33C0B">
        <w:rPr>
          <w:lang w:val="en-GB"/>
        </w:rPr>
        <w:t xml:space="preserve">The Committee also recommends </w:t>
      </w:r>
      <w:r w:rsidR="00062DCA">
        <w:rPr>
          <w:lang w:val="en-GB"/>
        </w:rPr>
        <w:t>introducing</w:t>
      </w:r>
      <w:r w:rsidRPr="00C33C0B">
        <w:rPr>
          <w:lang w:val="en-GB"/>
        </w:rPr>
        <w:t xml:space="preserve"> </w:t>
      </w:r>
      <w:r w:rsidR="00CB1AB6">
        <w:rPr>
          <w:lang w:val="en-GB"/>
        </w:rPr>
        <w:t xml:space="preserve">a parallel structure </w:t>
      </w:r>
      <w:r w:rsidR="00764C09">
        <w:rPr>
          <w:lang w:val="en-GB"/>
        </w:rPr>
        <w:t>of attendance</w:t>
      </w:r>
      <w:r w:rsidRPr="00C33C0B">
        <w:rPr>
          <w:lang w:val="en-GB"/>
        </w:rPr>
        <w:t xml:space="preserve"> </w:t>
      </w:r>
      <w:r w:rsidR="00E069A3">
        <w:rPr>
          <w:lang w:val="en-GB"/>
        </w:rPr>
        <w:t xml:space="preserve">items </w:t>
      </w:r>
      <w:r w:rsidR="00CB1AB6">
        <w:rPr>
          <w:lang w:val="en-GB"/>
        </w:rPr>
        <w:t>that cover</w:t>
      </w:r>
      <w:r w:rsidR="00A80A78">
        <w:rPr>
          <w:lang w:val="en-GB"/>
        </w:rPr>
        <w:t xml:space="preserve"> </w:t>
      </w:r>
      <w:r w:rsidR="00E069A3">
        <w:rPr>
          <w:lang w:val="en-GB"/>
        </w:rPr>
        <w:t xml:space="preserve">acute, </w:t>
      </w:r>
      <w:r w:rsidRPr="00C33C0B">
        <w:rPr>
          <w:lang w:val="en-GB"/>
        </w:rPr>
        <w:t>urgent</w:t>
      </w:r>
      <w:r w:rsidR="00E069A3">
        <w:rPr>
          <w:lang w:val="en-GB"/>
        </w:rPr>
        <w:t xml:space="preserve">, and unplanned </w:t>
      </w:r>
      <w:r w:rsidRPr="00C33C0B">
        <w:rPr>
          <w:lang w:val="en-GB"/>
        </w:rPr>
        <w:t xml:space="preserve">attendances occurring outside </w:t>
      </w:r>
      <w:r w:rsidR="005C40C7">
        <w:rPr>
          <w:lang w:val="en-GB"/>
        </w:rPr>
        <w:t>a</w:t>
      </w:r>
      <w:r w:rsidRPr="00C33C0B">
        <w:rPr>
          <w:lang w:val="en-GB"/>
        </w:rPr>
        <w:t xml:space="preserve"> </w:t>
      </w:r>
      <w:r w:rsidR="00AA329D">
        <w:rPr>
          <w:lang w:val="en-GB" w:eastAsia="en-US"/>
        </w:rPr>
        <w:t>consultant specialist</w:t>
      </w:r>
      <w:r w:rsidRPr="00C33C0B">
        <w:rPr>
          <w:lang w:val="en-GB" w:eastAsia="en-US"/>
        </w:rPr>
        <w:t xml:space="preserve">’s </w:t>
      </w:r>
      <w:r w:rsidRPr="00C33C0B">
        <w:rPr>
          <w:lang w:val="en-GB"/>
        </w:rPr>
        <w:t>consulting rooms.</w:t>
      </w:r>
      <w:r w:rsidR="00E069A3">
        <w:rPr>
          <w:lang w:val="en-GB"/>
        </w:rPr>
        <w:t xml:space="preserve"> </w:t>
      </w:r>
      <w:r w:rsidR="00182826">
        <w:rPr>
          <w:lang w:val="en-GB"/>
        </w:rPr>
        <w:t>The Committee recommends</w:t>
      </w:r>
      <w:r w:rsidRPr="00C33C0B">
        <w:rPr>
          <w:lang w:val="en-GB"/>
        </w:rPr>
        <w:t xml:space="preserve"> a </w:t>
      </w:r>
      <w:r w:rsidR="00E069A3">
        <w:rPr>
          <w:lang w:val="en-GB"/>
        </w:rPr>
        <w:t xml:space="preserve">higher schedule fee for these items compared to </w:t>
      </w:r>
      <w:r w:rsidR="00182826">
        <w:rPr>
          <w:lang w:val="en-GB"/>
        </w:rPr>
        <w:t xml:space="preserve">its </w:t>
      </w:r>
      <w:r w:rsidR="00E069A3">
        <w:rPr>
          <w:lang w:val="en-GB"/>
        </w:rPr>
        <w:t xml:space="preserve">equivalent standard </w:t>
      </w:r>
      <w:r w:rsidR="00182826">
        <w:rPr>
          <w:lang w:val="en-GB"/>
        </w:rPr>
        <w:t>time</w:t>
      </w:r>
      <w:r w:rsidR="00ED4B15">
        <w:rPr>
          <w:lang w:val="en-GB"/>
        </w:rPr>
        <w:t>-</w:t>
      </w:r>
      <w:r w:rsidR="00182826">
        <w:rPr>
          <w:lang w:val="en-GB"/>
        </w:rPr>
        <w:t xml:space="preserve">tiered </w:t>
      </w:r>
      <w:r w:rsidR="00E069A3">
        <w:rPr>
          <w:lang w:val="en-GB"/>
        </w:rPr>
        <w:t>attendance item</w:t>
      </w:r>
      <w:r w:rsidR="00CB1AB6">
        <w:rPr>
          <w:lang w:val="en-GB"/>
        </w:rPr>
        <w:t>, reflective of the disruption and consequently higher inputs of these attendances</w:t>
      </w:r>
      <w:r w:rsidR="00E52391">
        <w:rPr>
          <w:lang w:val="en-GB"/>
        </w:rPr>
        <w:t>.</w:t>
      </w:r>
      <w:r w:rsidR="00E069A3">
        <w:rPr>
          <w:lang w:val="en-GB"/>
        </w:rPr>
        <w:t xml:space="preserve"> </w:t>
      </w:r>
    </w:p>
    <w:p w14:paraId="058E182B" w14:textId="77777777" w:rsidR="0063055E" w:rsidRPr="00C33C0B" w:rsidRDefault="0063055E" w:rsidP="0063055E">
      <w:pPr>
        <w:pStyle w:val="Heading3"/>
      </w:pPr>
      <w:bookmarkStart w:id="8" w:name="_Toc67952181"/>
      <w:r w:rsidRPr="00C33C0B">
        <w:t xml:space="preserve">Complex plan </w:t>
      </w:r>
      <w:r>
        <w:t>recommendations</w:t>
      </w:r>
      <w:bookmarkEnd w:id="8"/>
    </w:p>
    <w:p w14:paraId="3741EC75" w14:textId="77777777" w:rsidR="003D41BC" w:rsidRDefault="00182826" w:rsidP="00182826">
      <w:pPr>
        <w:pStyle w:val="Bullet-green"/>
        <w:numPr>
          <w:ilvl w:val="0"/>
          <w:numId w:val="0"/>
        </w:numPr>
        <w:rPr>
          <w:lang w:val="en-GB"/>
        </w:rPr>
      </w:pPr>
      <w:r>
        <w:rPr>
          <w:lang w:val="en-GB"/>
        </w:rPr>
        <w:t>The Committee recommends removing complex plan items</w:t>
      </w:r>
      <w:r w:rsidR="003D41BC">
        <w:rPr>
          <w:lang w:val="en-GB"/>
        </w:rPr>
        <w:t xml:space="preserve"> from the MBS</w:t>
      </w:r>
      <w:r>
        <w:rPr>
          <w:lang w:val="en-GB"/>
        </w:rPr>
        <w:t xml:space="preserve"> for </w:t>
      </w:r>
      <w:r w:rsidRPr="00182826">
        <w:rPr>
          <w:lang w:val="en-GB"/>
        </w:rPr>
        <w:t>consultant physician</w:t>
      </w:r>
      <w:r>
        <w:rPr>
          <w:lang w:val="en-GB"/>
        </w:rPr>
        <w:t>s (</w:t>
      </w:r>
      <w:r w:rsidR="007835DF">
        <w:rPr>
          <w:lang w:val="en-GB"/>
        </w:rPr>
        <w:t xml:space="preserve">items </w:t>
      </w:r>
      <w:r>
        <w:rPr>
          <w:lang w:val="en-GB"/>
        </w:rPr>
        <w:t>132 and 133)</w:t>
      </w:r>
      <w:r w:rsidRPr="00182826">
        <w:rPr>
          <w:lang w:val="en-GB"/>
        </w:rPr>
        <w:t>, addiction medicine</w:t>
      </w:r>
      <w:r>
        <w:rPr>
          <w:lang w:val="en-GB"/>
        </w:rPr>
        <w:t xml:space="preserve"> specialists (</w:t>
      </w:r>
      <w:r w:rsidR="007835DF">
        <w:rPr>
          <w:lang w:val="en-GB"/>
        </w:rPr>
        <w:t xml:space="preserve">items </w:t>
      </w:r>
      <w:r>
        <w:rPr>
          <w:lang w:val="en-GB"/>
        </w:rPr>
        <w:t>6023 and 6024)</w:t>
      </w:r>
      <w:r w:rsidRPr="00182826">
        <w:rPr>
          <w:lang w:val="en-GB"/>
        </w:rPr>
        <w:t xml:space="preserve">, and sexual health medicine </w:t>
      </w:r>
      <w:r>
        <w:rPr>
          <w:lang w:val="en-GB"/>
        </w:rPr>
        <w:t>specialists (</w:t>
      </w:r>
      <w:r w:rsidR="007835DF">
        <w:rPr>
          <w:lang w:val="en-GB"/>
        </w:rPr>
        <w:t xml:space="preserve">items </w:t>
      </w:r>
      <w:r>
        <w:rPr>
          <w:lang w:val="en-GB"/>
        </w:rPr>
        <w:t>6057 and 6058)</w:t>
      </w:r>
      <w:r w:rsidR="003D41BC">
        <w:rPr>
          <w:lang w:val="en-GB"/>
        </w:rPr>
        <w:t>.</w:t>
      </w:r>
      <w:r w:rsidR="00FF2271">
        <w:rPr>
          <w:lang w:val="en-GB"/>
        </w:rPr>
        <w:t xml:space="preserve"> These complex plan services</w:t>
      </w:r>
      <w:r w:rsidR="00D01B22">
        <w:rPr>
          <w:lang w:val="en-GB"/>
        </w:rPr>
        <w:t xml:space="preserve"> should instead be </w:t>
      </w:r>
      <w:r w:rsidR="009417F6">
        <w:rPr>
          <w:lang w:val="en-GB"/>
        </w:rPr>
        <w:t xml:space="preserve">itemised </w:t>
      </w:r>
      <w:r w:rsidR="00D01B22">
        <w:rPr>
          <w:lang w:val="en-GB"/>
        </w:rPr>
        <w:t>using the new standard time</w:t>
      </w:r>
      <w:r w:rsidR="00ED4B15">
        <w:rPr>
          <w:lang w:val="en-GB"/>
        </w:rPr>
        <w:t>-</w:t>
      </w:r>
      <w:r w:rsidR="00D01B22">
        <w:rPr>
          <w:lang w:val="en-GB"/>
        </w:rPr>
        <w:t>tiered attendance items.</w:t>
      </w:r>
    </w:p>
    <w:p w14:paraId="77191F3D" w14:textId="18DA0DA1" w:rsidR="003D41BC" w:rsidRDefault="00D01B22" w:rsidP="00607BDA">
      <w:pPr>
        <w:pStyle w:val="Bullet-green"/>
        <w:numPr>
          <w:ilvl w:val="0"/>
          <w:numId w:val="0"/>
        </w:numPr>
        <w:rPr>
          <w:lang w:val="en-GB"/>
        </w:rPr>
      </w:pPr>
      <w:r w:rsidRPr="00191C66">
        <w:t>Complex</w:t>
      </w:r>
      <w:r>
        <w:rPr>
          <w:lang w:val="en-GB"/>
        </w:rPr>
        <w:t xml:space="preserve"> plan items were </w:t>
      </w:r>
      <w:r w:rsidR="00E52391">
        <w:rPr>
          <w:lang w:val="en-GB"/>
        </w:rPr>
        <w:t xml:space="preserve">initially </w:t>
      </w:r>
      <w:r>
        <w:rPr>
          <w:lang w:val="en-GB"/>
        </w:rPr>
        <w:t xml:space="preserve">created to support the referring practitioner (usually the GP) </w:t>
      </w:r>
      <w:r w:rsidR="00E52391">
        <w:rPr>
          <w:lang w:val="en-GB"/>
        </w:rPr>
        <w:t xml:space="preserve">in </w:t>
      </w:r>
      <w:r>
        <w:rPr>
          <w:lang w:val="en-GB"/>
        </w:rPr>
        <w:t>manag</w:t>
      </w:r>
      <w:r w:rsidR="00E52391">
        <w:rPr>
          <w:lang w:val="en-GB"/>
        </w:rPr>
        <w:t>ing</w:t>
      </w:r>
      <w:r>
        <w:rPr>
          <w:lang w:val="en-GB"/>
        </w:rPr>
        <w:t xml:space="preserve"> complex patient</w:t>
      </w:r>
      <w:r w:rsidR="00191C66">
        <w:rPr>
          <w:lang w:val="en-GB"/>
        </w:rPr>
        <w:t>s</w:t>
      </w:r>
      <w:r>
        <w:rPr>
          <w:lang w:val="en-GB"/>
        </w:rPr>
        <w:t>. However, e</w:t>
      </w:r>
      <w:r w:rsidR="003D41BC" w:rsidRPr="00C33C0B">
        <w:rPr>
          <w:lang w:val="en-GB"/>
        </w:rPr>
        <w:t xml:space="preserve">vidence suggests that </w:t>
      </w:r>
      <w:r w:rsidR="00191C66">
        <w:rPr>
          <w:lang w:val="en-GB"/>
        </w:rPr>
        <w:t xml:space="preserve">these items are </w:t>
      </w:r>
      <w:r>
        <w:rPr>
          <w:lang w:val="en-GB"/>
        </w:rPr>
        <w:t xml:space="preserve">instead being use </w:t>
      </w:r>
      <w:r w:rsidR="00191C66">
        <w:rPr>
          <w:lang w:val="en-GB"/>
        </w:rPr>
        <w:t xml:space="preserve">as a proxy for a long consultation. For example, 41 per cent of patients </w:t>
      </w:r>
      <w:r w:rsidR="003D41BC">
        <w:rPr>
          <w:lang w:val="en-GB"/>
        </w:rPr>
        <w:t xml:space="preserve">receiving </w:t>
      </w:r>
      <w:r w:rsidR="00191C66">
        <w:rPr>
          <w:lang w:val="en-GB"/>
        </w:rPr>
        <w:t xml:space="preserve">a complex plan from a consultant physician (item 132) do not see their referring </w:t>
      </w:r>
      <w:r w:rsidR="00BE7064">
        <w:rPr>
          <w:lang w:val="en-GB"/>
        </w:rPr>
        <w:t xml:space="preserve">practitioner in the following six </w:t>
      </w:r>
      <w:r w:rsidR="00191C66">
        <w:rPr>
          <w:lang w:val="en-GB"/>
        </w:rPr>
        <w:t>months.</w:t>
      </w:r>
    </w:p>
    <w:p w14:paraId="19D06617" w14:textId="77777777" w:rsidR="003856AA" w:rsidRDefault="00191C66" w:rsidP="00607BDA">
      <w:pPr>
        <w:pStyle w:val="Bullet-green"/>
        <w:numPr>
          <w:ilvl w:val="0"/>
          <w:numId w:val="0"/>
        </w:numPr>
        <w:rPr>
          <w:lang w:val="en-GB"/>
        </w:rPr>
      </w:pPr>
      <w:r>
        <w:rPr>
          <w:lang w:val="en-GB"/>
        </w:rPr>
        <w:t>The Committee recommends keeping paediatric complex plan item</w:t>
      </w:r>
      <w:r w:rsidR="00541141">
        <w:rPr>
          <w:lang w:val="en-GB"/>
        </w:rPr>
        <w:t>s</w:t>
      </w:r>
      <w:r>
        <w:rPr>
          <w:lang w:val="en-GB"/>
        </w:rPr>
        <w:t xml:space="preserve"> 135 and 137 in the MBS as these items pertain to specific patient population groups (</w:t>
      </w:r>
      <w:r w:rsidR="005743D3">
        <w:rPr>
          <w:lang w:val="en-GB"/>
        </w:rPr>
        <w:t>e.g., children with autism spectrum disorder) a</w:t>
      </w:r>
      <w:r w:rsidR="00731B5C">
        <w:rPr>
          <w:lang w:val="en-GB"/>
        </w:rPr>
        <w:t xml:space="preserve">nd are linked to </w:t>
      </w:r>
      <w:r w:rsidR="00B547A4">
        <w:rPr>
          <w:lang w:val="en-GB"/>
        </w:rPr>
        <w:t>an</w:t>
      </w:r>
      <w:r w:rsidR="00731B5C">
        <w:rPr>
          <w:lang w:val="en-GB"/>
        </w:rPr>
        <w:t xml:space="preserve"> </w:t>
      </w:r>
      <w:r w:rsidR="0004538D">
        <w:rPr>
          <w:lang w:val="en-GB"/>
        </w:rPr>
        <w:t>allied health professional (AHP)</w:t>
      </w:r>
      <w:r w:rsidR="00731B5C">
        <w:rPr>
          <w:lang w:val="en-GB"/>
        </w:rPr>
        <w:t xml:space="preserve"> pathway.</w:t>
      </w:r>
      <w:r w:rsidR="00541141">
        <w:rPr>
          <w:lang w:val="en-GB"/>
        </w:rPr>
        <w:t xml:space="preserve"> The Committee recommends the </w:t>
      </w:r>
      <w:r w:rsidR="007835DF">
        <w:rPr>
          <w:lang w:val="en-GB"/>
        </w:rPr>
        <w:t>changes</w:t>
      </w:r>
      <w:r w:rsidR="00541141">
        <w:rPr>
          <w:lang w:val="en-GB"/>
        </w:rPr>
        <w:t xml:space="preserve"> to these items</w:t>
      </w:r>
      <w:r w:rsidR="007835DF">
        <w:rPr>
          <w:lang w:val="en-GB"/>
        </w:rPr>
        <w:t xml:space="preserve"> to ensure they align with best practice and effective treatment. </w:t>
      </w:r>
      <w:r w:rsidR="003856AA" w:rsidRPr="00607BDA">
        <w:rPr>
          <w:lang w:val="en-GB"/>
        </w:rPr>
        <w:t>Due to very high complexity and severity of the conditions being assessed and the multidisciplinary domains considered, the schedule fee should be set at equal to or greater than level E.</w:t>
      </w:r>
    </w:p>
    <w:p w14:paraId="6AE94ECE" w14:textId="77777777" w:rsidR="0081111E" w:rsidRPr="00607BDA" w:rsidRDefault="0081111E" w:rsidP="00607BDA">
      <w:pPr>
        <w:pStyle w:val="Bullet-green"/>
        <w:numPr>
          <w:ilvl w:val="0"/>
          <w:numId w:val="0"/>
        </w:numPr>
        <w:rPr>
          <w:lang w:val="en-GB"/>
        </w:rPr>
      </w:pPr>
      <w:r>
        <w:rPr>
          <w:lang w:val="en-GB"/>
        </w:rPr>
        <w:t>The Committee also recommends retaining comprehensive geriatric assessment and management plan items 141, 143, 145 and 147</w:t>
      </w:r>
      <w:r w:rsidR="00C035DF">
        <w:rPr>
          <w:lang w:val="en-GB"/>
        </w:rPr>
        <w:t xml:space="preserve"> </w:t>
      </w:r>
      <w:r w:rsidR="00C035DF" w:rsidRPr="005A5C4E">
        <w:rPr>
          <w:lang w:val="en-GB"/>
        </w:rPr>
        <w:t>given there are a number of unique, specific requirements.</w:t>
      </w:r>
    </w:p>
    <w:p w14:paraId="205947C9" w14:textId="426F0766" w:rsidR="00937297" w:rsidRPr="00C33C0B" w:rsidRDefault="00BD5C7A" w:rsidP="00937297">
      <w:pPr>
        <w:pStyle w:val="Heading3"/>
      </w:pPr>
      <w:bookmarkStart w:id="9" w:name="_Toc67952182"/>
      <w:r w:rsidRPr="00C33C0B">
        <w:t xml:space="preserve">Telehealth </w:t>
      </w:r>
      <w:r w:rsidR="0000476B">
        <w:t>recommendations</w:t>
      </w:r>
      <w:bookmarkEnd w:id="9"/>
    </w:p>
    <w:p w14:paraId="06198337" w14:textId="77777777" w:rsidR="00DA1AEC" w:rsidRPr="00DA1AEC" w:rsidRDefault="00DA1AEC" w:rsidP="00DA1AEC">
      <w:pPr>
        <w:pStyle w:val="BoxNormal"/>
        <w:rPr>
          <w:lang w:val="en-GB"/>
        </w:rPr>
      </w:pPr>
      <w:r w:rsidRPr="00DA1AEC">
        <w:rPr>
          <w:lang w:val="en-GB"/>
        </w:rPr>
        <w:t>Taskforce Note</w:t>
      </w:r>
    </w:p>
    <w:p w14:paraId="0A20C3B2" w14:textId="1BCB8B3B" w:rsidR="00DA1AEC" w:rsidRDefault="00DA1AEC" w:rsidP="00DA1AEC">
      <w:pPr>
        <w:pStyle w:val="BoxNormal"/>
        <w:rPr>
          <w:lang w:val="en-GB"/>
        </w:rPr>
      </w:pPr>
      <w:r w:rsidRPr="00DA1AEC">
        <w:rPr>
          <w:lang w:val="en-GB"/>
        </w:rPr>
        <w:t>The Taskforce referred the SCPCCC’s telehealth recommendations to its Telehealth Working Group, which considered the remaining telehealth recommendations from across the MBS Review and developed guiding principles and recommendations to underpin future use and reform of telehealth. These are set out in the Taskforce’s Telehealth Report.</w:t>
      </w:r>
    </w:p>
    <w:p w14:paraId="5A2268E6" w14:textId="64FE4819" w:rsidR="00971319" w:rsidRDefault="00971319" w:rsidP="00C2199E">
      <w:pPr>
        <w:pStyle w:val="Bullet-green"/>
        <w:numPr>
          <w:ilvl w:val="0"/>
          <w:numId w:val="0"/>
        </w:numPr>
        <w:spacing w:before="120"/>
        <w:rPr>
          <w:lang w:val="en-GB"/>
        </w:rPr>
      </w:pPr>
      <w:r>
        <w:rPr>
          <w:lang w:val="en-GB"/>
        </w:rPr>
        <w:t xml:space="preserve">The Committee has </w:t>
      </w:r>
      <w:r w:rsidR="004123A0">
        <w:rPr>
          <w:lang w:val="en-GB"/>
        </w:rPr>
        <w:t xml:space="preserve">made </w:t>
      </w:r>
      <w:r>
        <w:rPr>
          <w:lang w:val="en-GB"/>
        </w:rPr>
        <w:t>recommendations</w:t>
      </w:r>
      <w:r w:rsidR="004123A0">
        <w:rPr>
          <w:lang w:val="en-GB"/>
        </w:rPr>
        <w:t xml:space="preserve"> on MBS telehealth items </w:t>
      </w:r>
      <w:r w:rsidR="007835DF">
        <w:rPr>
          <w:lang w:val="en-GB"/>
        </w:rPr>
        <w:t>to phase out the incentive loading</w:t>
      </w:r>
      <w:r w:rsidR="00EA0868">
        <w:rPr>
          <w:lang w:val="en-GB"/>
        </w:rPr>
        <w:t xml:space="preserve"> by</w:t>
      </w:r>
      <w:r w:rsidR="007835DF">
        <w:rPr>
          <w:lang w:val="en-GB"/>
        </w:rPr>
        <w:t xml:space="preserve"> </w:t>
      </w:r>
      <w:r w:rsidR="00F16A7E">
        <w:rPr>
          <w:lang w:val="en-GB"/>
        </w:rPr>
        <w:t>i</w:t>
      </w:r>
      <w:r w:rsidR="007835DF" w:rsidRPr="00971319">
        <w:rPr>
          <w:lang w:val="en-GB"/>
        </w:rPr>
        <w:t>ncrementally reduc</w:t>
      </w:r>
      <w:r w:rsidR="005D32C7">
        <w:rPr>
          <w:lang w:val="en-GB"/>
        </w:rPr>
        <w:t>ing the derived fee</w:t>
      </w:r>
      <w:r w:rsidR="007835DF">
        <w:rPr>
          <w:lang w:val="en-GB"/>
        </w:rPr>
        <w:t xml:space="preserve"> </w:t>
      </w:r>
      <w:r w:rsidR="007835DF" w:rsidRPr="00971319">
        <w:rPr>
          <w:lang w:val="en-GB"/>
        </w:rPr>
        <w:t>for th</w:t>
      </w:r>
      <w:r w:rsidR="007835DF">
        <w:rPr>
          <w:lang w:val="en-GB"/>
        </w:rPr>
        <w:t>e nine telehealth loading items</w:t>
      </w:r>
      <w:r w:rsidR="007835DF" w:rsidRPr="00971319">
        <w:rPr>
          <w:lang w:val="en-GB"/>
        </w:rPr>
        <w:t xml:space="preserve"> to zero</w:t>
      </w:r>
      <w:r w:rsidR="005D32C7">
        <w:rPr>
          <w:lang w:val="en-GB"/>
        </w:rPr>
        <w:t xml:space="preserve">, </w:t>
      </w:r>
      <w:r w:rsidR="007835DF" w:rsidRPr="00971319">
        <w:rPr>
          <w:lang w:val="en-GB"/>
        </w:rPr>
        <w:t xml:space="preserve">with annual analysis of its effects </w:t>
      </w:r>
      <w:r w:rsidR="007835DF">
        <w:rPr>
          <w:lang w:val="en-GB"/>
        </w:rPr>
        <w:t>to identify</w:t>
      </w:r>
      <w:r w:rsidR="007835DF" w:rsidRPr="00971319">
        <w:rPr>
          <w:lang w:val="en-GB"/>
        </w:rPr>
        <w:t xml:space="preserve"> potential unintended consequences</w:t>
      </w:r>
      <w:r w:rsidR="007835DF">
        <w:rPr>
          <w:lang w:val="en-GB"/>
        </w:rPr>
        <w:t>. This is a recognition that the loading was envisaged to</w:t>
      </w:r>
      <w:r w:rsidR="00F16A7E">
        <w:rPr>
          <w:lang w:val="en-GB"/>
        </w:rPr>
        <w:t xml:space="preserve"> be</w:t>
      </w:r>
      <w:r w:rsidR="007835DF">
        <w:rPr>
          <w:lang w:val="en-GB"/>
        </w:rPr>
        <w:t xml:space="preserve"> time limited and its success to date in encouraging telehealth usage.</w:t>
      </w:r>
    </w:p>
    <w:p w14:paraId="751F2F7F" w14:textId="77777777" w:rsidR="00971319" w:rsidRDefault="007835DF" w:rsidP="00607BDA">
      <w:pPr>
        <w:pStyle w:val="Bullet-green"/>
        <w:numPr>
          <w:ilvl w:val="0"/>
          <w:numId w:val="0"/>
        </w:numPr>
        <w:rPr>
          <w:lang w:val="en-GB"/>
        </w:rPr>
      </w:pPr>
      <w:r>
        <w:rPr>
          <w:lang w:val="en-GB"/>
        </w:rPr>
        <w:t xml:space="preserve">Further the Committee has recommended </w:t>
      </w:r>
      <w:r w:rsidR="00971319" w:rsidRPr="00971319">
        <w:rPr>
          <w:lang w:val="en-GB"/>
        </w:rPr>
        <w:t xml:space="preserve">new telehealth-specific attendance items (after the nine loading items have been removed) </w:t>
      </w:r>
      <w:r w:rsidR="000F7F35">
        <w:rPr>
          <w:lang w:val="en-GB"/>
        </w:rPr>
        <w:t>that mirror the</w:t>
      </w:r>
      <w:r w:rsidR="00971319" w:rsidRPr="00971319">
        <w:rPr>
          <w:lang w:val="en-GB"/>
        </w:rPr>
        <w:t xml:space="preserve"> standard time</w:t>
      </w:r>
      <w:r w:rsidR="000F7F35">
        <w:rPr>
          <w:lang w:val="en-GB"/>
        </w:rPr>
        <w:t>-</w:t>
      </w:r>
      <w:r w:rsidR="00971319" w:rsidRPr="00971319">
        <w:rPr>
          <w:lang w:val="en-GB"/>
        </w:rPr>
        <w:t>tiered attendance items</w:t>
      </w:r>
      <w:r w:rsidR="000F7F35">
        <w:rPr>
          <w:lang w:val="en-GB"/>
        </w:rPr>
        <w:t>, with the same fees,</w:t>
      </w:r>
      <w:r w:rsidR="00971319" w:rsidRPr="00971319">
        <w:rPr>
          <w:lang w:val="en-GB"/>
        </w:rPr>
        <w:t xml:space="preserve"> and with item descriptors that describe activities to be performed in each tier.</w:t>
      </w:r>
    </w:p>
    <w:p w14:paraId="486E0336" w14:textId="77777777" w:rsidR="0004538D" w:rsidRDefault="00971319" w:rsidP="004123A0">
      <w:pPr>
        <w:pStyle w:val="Bullet-green"/>
        <w:numPr>
          <w:ilvl w:val="0"/>
          <w:numId w:val="0"/>
        </w:numPr>
        <w:rPr>
          <w:lang w:val="en-GB"/>
        </w:rPr>
      </w:pPr>
      <w:r>
        <w:rPr>
          <w:lang w:val="en-GB"/>
        </w:rPr>
        <w:t xml:space="preserve">The Committee recommends </w:t>
      </w:r>
      <w:r w:rsidR="004123A0">
        <w:t xml:space="preserve">all </w:t>
      </w:r>
      <w:r w:rsidRPr="00C33C0B">
        <w:t xml:space="preserve">savings from </w:t>
      </w:r>
      <w:r>
        <w:t>removin</w:t>
      </w:r>
      <w:r w:rsidR="004123A0">
        <w:t xml:space="preserve">g the telehealth loading be reinvested </w:t>
      </w:r>
      <w:r w:rsidR="007F500B" w:rsidRPr="00C33C0B">
        <w:rPr>
          <w:lang w:val="en-GB"/>
        </w:rPr>
        <w:t>to</w:t>
      </w:r>
      <w:r w:rsidR="00125AAD" w:rsidRPr="00C33C0B">
        <w:rPr>
          <w:lang w:val="en-GB"/>
        </w:rPr>
        <w:t xml:space="preserve"> </w:t>
      </w:r>
      <w:r w:rsidR="00957037" w:rsidRPr="00C33C0B">
        <w:rPr>
          <w:lang w:val="en-GB"/>
        </w:rPr>
        <w:t>increase</w:t>
      </w:r>
      <w:r w:rsidR="0004538D">
        <w:rPr>
          <w:lang w:val="en-GB"/>
        </w:rPr>
        <w:t>:</w:t>
      </w:r>
    </w:p>
    <w:p w14:paraId="3F7E13FF" w14:textId="77777777" w:rsidR="00C776A8" w:rsidRDefault="0004538D" w:rsidP="0004538D">
      <w:pPr>
        <w:pStyle w:val="Bullet-green"/>
      </w:pPr>
      <w:r>
        <w:t xml:space="preserve">Consumer </w:t>
      </w:r>
      <w:r w:rsidR="000F7F35">
        <w:t>utilisation of</w:t>
      </w:r>
      <w:r w:rsidR="00C776A8">
        <w:t xml:space="preserve"> </w:t>
      </w:r>
      <w:r>
        <w:t xml:space="preserve">and access to </w:t>
      </w:r>
      <w:r w:rsidR="007F500B" w:rsidRPr="00C33C0B">
        <w:t>telehealth services</w:t>
      </w:r>
      <w:r w:rsidR="00482B19">
        <w:t>;</w:t>
      </w:r>
      <w:r w:rsidR="0081111E">
        <w:t xml:space="preserve"> and</w:t>
      </w:r>
    </w:p>
    <w:p w14:paraId="62D1EE42" w14:textId="77777777" w:rsidR="00FC0EF4" w:rsidRDefault="00C776A8" w:rsidP="0004538D">
      <w:pPr>
        <w:pStyle w:val="Bullet-green"/>
      </w:pPr>
      <w:r>
        <w:t xml:space="preserve">Specialist </w:t>
      </w:r>
      <w:r w:rsidR="00013E9E" w:rsidRPr="00C33C0B">
        <w:t xml:space="preserve">supply </w:t>
      </w:r>
      <w:r>
        <w:t>of telehealth services.</w:t>
      </w:r>
    </w:p>
    <w:p w14:paraId="2AAE44E7" w14:textId="77777777" w:rsidR="00D00F98" w:rsidRPr="00C33C0B" w:rsidRDefault="007835DF" w:rsidP="00607BDA">
      <w:pPr>
        <w:pStyle w:val="Bullet-green"/>
        <w:numPr>
          <w:ilvl w:val="0"/>
          <w:numId w:val="0"/>
        </w:numPr>
        <w:rPr>
          <w:lang w:val="en-GB"/>
        </w:rPr>
      </w:pPr>
      <w:r w:rsidRPr="00607BDA">
        <w:rPr>
          <w:lang w:val="en-GB"/>
        </w:rPr>
        <w:t>The Committee recommend</w:t>
      </w:r>
      <w:r w:rsidR="00AA4173">
        <w:rPr>
          <w:lang w:val="en-GB"/>
        </w:rPr>
        <w:t xml:space="preserve">s consideration of both MBS and non-MBS mechanisms to </w:t>
      </w:r>
      <w:r w:rsidRPr="00607BDA">
        <w:rPr>
          <w:lang w:val="en-GB"/>
        </w:rPr>
        <w:t>achiev</w:t>
      </w:r>
      <w:r w:rsidR="00AA4173">
        <w:rPr>
          <w:lang w:val="en-GB"/>
        </w:rPr>
        <w:t>e</w:t>
      </w:r>
      <w:r w:rsidRPr="00607BDA">
        <w:rPr>
          <w:lang w:val="en-GB"/>
        </w:rPr>
        <w:t xml:space="preserve"> greater use of telehealth as a recognised and effective </w:t>
      </w:r>
      <w:r w:rsidR="00D00F98" w:rsidRPr="00607BDA">
        <w:rPr>
          <w:lang w:val="en-GB"/>
        </w:rPr>
        <w:t>tool. Th</w:t>
      </w:r>
      <w:r w:rsidR="00AA4173">
        <w:rPr>
          <w:lang w:val="en-GB"/>
        </w:rPr>
        <w:t>is</w:t>
      </w:r>
      <w:r w:rsidR="00D00F98" w:rsidRPr="00607BDA">
        <w:rPr>
          <w:lang w:val="en-GB"/>
        </w:rPr>
        <w:t xml:space="preserve"> </w:t>
      </w:r>
      <w:r w:rsidR="00AA4173">
        <w:rPr>
          <w:lang w:val="en-GB"/>
        </w:rPr>
        <w:t xml:space="preserve">could </w:t>
      </w:r>
      <w:r w:rsidR="00D00F98" w:rsidRPr="00607BDA">
        <w:rPr>
          <w:lang w:val="en-GB"/>
        </w:rPr>
        <w:t xml:space="preserve">include </w:t>
      </w:r>
      <w:r w:rsidR="00D00F98">
        <w:rPr>
          <w:lang w:val="en-GB"/>
        </w:rPr>
        <w:t>d</w:t>
      </w:r>
      <w:r w:rsidR="00013E9E" w:rsidRPr="00C33C0B">
        <w:rPr>
          <w:lang w:val="en-GB"/>
        </w:rPr>
        <w:t xml:space="preserve">eveloping and sharing the value proposition of telehealth </w:t>
      </w:r>
      <w:r w:rsidR="00975723">
        <w:rPr>
          <w:lang w:val="en-GB"/>
        </w:rPr>
        <w:t>with</w:t>
      </w:r>
      <w:r w:rsidR="00013E9E" w:rsidRPr="00C33C0B">
        <w:rPr>
          <w:lang w:val="en-GB"/>
        </w:rPr>
        <w:t xml:space="preserve"> consumers, including</w:t>
      </w:r>
      <w:r w:rsidR="00E663B7">
        <w:rPr>
          <w:lang w:val="en-GB"/>
        </w:rPr>
        <w:t xml:space="preserve"> when, where and how to use these services</w:t>
      </w:r>
      <w:r w:rsidR="000F7F35">
        <w:rPr>
          <w:lang w:val="en-GB"/>
        </w:rPr>
        <w:t>,</w:t>
      </w:r>
      <w:r w:rsidR="00E663B7">
        <w:rPr>
          <w:lang w:val="en-GB"/>
        </w:rPr>
        <w:t xml:space="preserve"> and their associated health and economic benefit</w:t>
      </w:r>
      <w:r w:rsidR="000F7F35">
        <w:rPr>
          <w:lang w:val="en-GB"/>
        </w:rPr>
        <w:t>s</w:t>
      </w:r>
      <w:r w:rsidR="00D00F98">
        <w:rPr>
          <w:lang w:val="en-GB"/>
        </w:rPr>
        <w:t>, and e</w:t>
      </w:r>
      <w:r w:rsidR="00D00F98" w:rsidRPr="00C33C0B">
        <w:rPr>
          <w:lang w:val="en-GB"/>
        </w:rPr>
        <w:t>ducating GPs</w:t>
      </w:r>
      <w:r w:rsidR="00D00F98">
        <w:rPr>
          <w:lang w:val="en-GB"/>
        </w:rPr>
        <w:t xml:space="preserve">, </w:t>
      </w:r>
      <w:r w:rsidR="00D00F98" w:rsidRPr="00C33C0B">
        <w:rPr>
          <w:lang w:val="en-GB"/>
        </w:rPr>
        <w:t>PHNs</w:t>
      </w:r>
      <w:r w:rsidR="00D00F98">
        <w:rPr>
          <w:lang w:val="en-GB"/>
        </w:rPr>
        <w:t xml:space="preserve"> and consultant specialists</w:t>
      </w:r>
      <w:r w:rsidR="00D00F98" w:rsidRPr="00C33C0B">
        <w:rPr>
          <w:lang w:val="en-GB"/>
        </w:rPr>
        <w:t xml:space="preserve"> to identify patient population groups that would most benefit from </w:t>
      </w:r>
      <w:r w:rsidR="00D00F98">
        <w:rPr>
          <w:lang w:val="en-GB"/>
        </w:rPr>
        <w:t>telehealth and facilitate access to these services.</w:t>
      </w:r>
    </w:p>
    <w:p w14:paraId="7A960D1C" w14:textId="77777777" w:rsidR="00DF09CD" w:rsidRPr="00C33C0B" w:rsidRDefault="00DF09CD">
      <w:pPr>
        <w:pStyle w:val="Heading3"/>
      </w:pPr>
      <w:bookmarkStart w:id="10" w:name="_Toc528950707"/>
      <w:bookmarkStart w:id="11" w:name="_Toc529027985"/>
      <w:bookmarkStart w:id="12" w:name="_Toc530121826"/>
      <w:bookmarkStart w:id="13" w:name="_Toc530122003"/>
      <w:bookmarkStart w:id="14" w:name="_Toc528950710"/>
      <w:bookmarkStart w:id="15" w:name="_Toc529027988"/>
      <w:bookmarkStart w:id="16" w:name="_Toc530121829"/>
      <w:bookmarkStart w:id="17" w:name="_Toc530122006"/>
      <w:bookmarkStart w:id="18" w:name="_Toc528950711"/>
      <w:bookmarkStart w:id="19" w:name="_Toc529027989"/>
      <w:bookmarkStart w:id="20" w:name="_Toc530121830"/>
      <w:bookmarkStart w:id="21" w:name="_Toc530122007"/>
      <w:bookmarkStart w:id="22" w:name="_Toc67952183"/>
      <w:bookmarkEnd w:id="10"/>
      <w:bookmarkEnd w:id="11"/>
      <w:bookmarkEnd w:id="12"/>
      <w:bookmarkEnd w:id="13"/>
      <w:bookmarkEnd w:id="14"/>
      <w:bookmarkEnd w:id="15"/>
      <w:bookmarkEnd w:id="16"/>
      <w:bookmarkEnd w:id="17"/>
      <w:bookmarkEnd w:id="18"/>
      <w:bookmarkEnd w:id="19"/>
      <w:bookmarkEnd w:id="20"/>
      <w:bookmarkEnd w:id="21"/>
      <w:r w:rsidRPr="00C33C0B">
        <w:t xml:space="preserve">Case conference </w:t>
      </w:r>
      <w:r w:rsidR="00D6783D">
        <w:t>recommendations</w:t>
      </w:r>
      <w:bookmarkEnd w:id="22"/>
      <w:r w:rsidR="00D6783D" w:rsidRPr="00C33C0B">
        <w:t xml:space="preserve"> </w:t>
      </w:r>
    </w:p>
    <w:p w14:paraId="6981D80A" w14:textId="77777777" w:rsidR="00CF3CDF" w:rsidRPr="00C33C0B" w:rsidRDefault="004B0B34" w:rsidP="00CF3CDF">
      <w:pPr>
        <w:rPr>
          <w:lang w:val="en-GB"/>
        </w:rPr>
      </w:pPr>
      <w:r>
        <w:rPr>
          <w:lang w:val="en-GB"/>
        </w:rPr>
        <w:t>The Committee recommends</w:t>
      </w:r>
      <w:r w:rsidRPr="00C33C0B">
        <w:rPr>
          <w:lang w:val="en-GB"/>
        </w:rPr>
        <w:t xml:space="preserve"> </w:t>
      </w:r>
      <w:r w:rsidR="00CF3CDF" w:rsidRPr="00C33C0B">
        <w:rPr>
          <w:lang w:val="en-GB"/>
        </w:rPr>
        <w:t xml:space="preserve">a new framework for case conference items consisting of three </w:t>
      </w:r>
      <w:r w:rsidR="000F7F35" w:rsidRPr="00C33C0B">
        <w:rPr>
          <w:lang w:val="en-GB"/>
        </w:rPr>
        <w:t>simpl</w:t>
      </w:r>
      <w:r w:rsidR="000F7F35">
        <w:rPr>
          <w:lang w:val="en-GB"/>
        </w:rPr>
        <w:t>ified</w:t>
      </w:r>
      <w:r w:rsidR="000F7F35" w:rsidRPr="00C33C0B">
        <w:rPr>
          <w:lang w:val="en-GB"/>
        </w:rPr>
        <w:t xml:space="preserve"> </w:t>
      </w:r>
      <w:r w:rsidR="00CF3CDF" w:rsidRPr="00C33C0B">
        <w:rPr>
          <w:lang w:val="en-GB"/>
        </w:rPr>
        <w:t>categories:</w:t>
      </w:r>
    </w:p>
    <w:p w14:paraId="3549F4FD" w14:textId="77777777" w:rsidR="00CF3CDF" w:rsidRPr="00482B19" w:rsidRDefault="00CF3CDF" w:rsidP="00482B19">
      <w:pPr>
        <w:pStyle w:val="Bullet-green"/>
        <w:rPr>
          <w:lang w:val="en-GB"/>
        </w:rPr>
      </w:pPr>
      <w:r w:rsidRPr="00C33C0B">
        <w:rPr>
          <w:lang w:val="en-GB"/>
        </w:rPr>
        <w:t>Discharge planning case conferences</w:t>
      </w:r>
      <w:r w:rsidR="000F7F35">
        <w:rPr>
          <w:lang w:val="en-GB"/>
        </w:rPr>
        <w:t xml:space="preserve">- a case </w:t>
      </w:r>
      <w:r w:rsidR="00482B19">
        <w:rPr>
          <w:lang w:val="en-GB"/>
        </w:rPr>
        <w:t>conference to facilitate better</w:t>
      </w:r>
      <w:r w:rsidR="00482B19">
        <w:rPr>
          <w:lang w:val="en-GB"/>
        </w:rPr>
        <w:br/>
      </w:r>
      <w:r w:rsidR="000F7F35" w:rsidRPr="00482B19">
        <w:rPr>
          <w:lang w:val="en-GB"/>
        </w:rPr>
        <w:t>post-discharge care and communication</w:t>
      </w:r>
      <w:r w:rsidR="00C72F36" w:rsidRPr="00482B19">
        <w:rPr>
          <w:lang w:val="en-GB"/>
        </w:rPr>
        <w:t>.</w:t>
      </w:r>
    </w:p>
    <w:p w14:paraId="71486353" w14:textId="77777777" w:rsidR="00CF3CDF" w:rsidRPr="00C33C0B" w:rsidRDefault="00CF3CDF" w:rsidP="00BE6F84">
      <w:pPr>
        <w:pStyle w:val="Bullet-green"/>
        <w:rPr>
          <w:lang w:val="en-GB"/>
        </w:rPr>
      </w:pPr>
      <w:r w:rsidRPr="00C33C0B">
        <w:rPr>
          <w:lang w:val="en-GB"/>
        </w:rPr>
        <w:t>Community case conferences</w:t>
      </w:r>
      <w:r w:rsidR="000F7F35">
        <w:rPr>
          <w:lang w:val="en-GB"/>
        </w:rPr>
        <w:t>- a case conference held to facilitate the provision of better multidisciplinary</w:t>
      </w:r>
      <w:r w:rsidR="00475F44">
        <w:rPr>
          <w:lang w:val="en-GB"/>
        </w:rPr>
        <w:t xml:space="preserve"> </w:t>
      </w:r>
      <w:r w:rsidR="000F7F35">
        <w:rPr>
          <w:lang w:val="en-GB"/>
        </w:rPr>
        <w:t>care</w:t>
      </w:r>
      <w:r w:rsidR="00C72F36">
        <w:rPr>
          <w:lang w:val="en-GB"/>
        </w:rPr>
        <w:t>.</w:t>
      </w:r>
    </w:p>
    <w:p w14:paraId="01176A0E" w14:textId="77777777" w:rsidR="000B60E6" w:rsidRPr="00C33C0B" w:rsidRDefault="00CF3CDF" w:rsidP="00BE6F84">
      <w:pPr>
        <w:pStyle w:val="Bullet-green"/>
        <w:rPr>
          <w:lang w:val="en-GB"/>
        </w:rPr>
      </w:pPr>
      <w:r w:rsidRPr="00C33C0B">
        <w:rPr>
          <w:lang w:val="en-GB"/>
        </w:rPr>
        <w:t>Treatment planning case conferences (new)</w:t>
      </w:r>
      <w:r w:rsidR="00DA4927">
        <w:rPr>
          <w:lang w:val="en-GB"/>
        </w:rPr>
        <w:t xml:space="preserve"> </w:t>
      </w:r>
      <w:r w:rsidR="000F7F35">
        <w:rPr>
          <w:lang w:val="en-GB"/>
        </w:rPr>
        <w:t>- a case conference that explores and analyses potential treatment options and their respective benefits</w:t>
      </w:r>
      <w:r w:rsidR="00C72F36">
        <w:rPr>
          <w:lang w:val="en-GB"/>
        </w:rPr>
        <w:t>.</w:t>
      </w:r>
    </w:p>
    <w:p w14:paraId="7A4C5B25" w14:textId="77777777" w:rsidR="00A54FAA" w:rsidRPr="00C33C0B" w:rsidRDefault="00A54FAA" w:rsidP="00607BDA">
      <w:pPr>
        <w:rPr>
          <w:lang w:val="en-GB"/>
        </w:rPr>
      </w:pPr>
      <w:r>
        <w:rPr>
          <w:lang w:val="en-GB"/>
        </w:rPr>
        <w:t xml:space="preserve">The Committee </w:t>
      </w:r>
      <w:r w:rsidR="00D00F98">
        <w:rPr>
          <w:lang w:val="en-GB"/>
        </w:rPr>
        <w:t xml:space="preserve">has also </w:t>
      </w:r>
      <w:r>
        <w:rPr>
          <w:lang w:val="en-GB"/>
        </w:rPr>
        <w:t>recommend</w:t>
      </w:r>
      <w:r w:rsidR="00D00F98">
        <w:rPr>
          <w:lang w:val="en-GB"/>
        </w:rPr>
        <w:t>ed</w:t>
      </w:r>
      <w:r>
        <w:rPr>
          <w:lang w:val="en-GB"/>
        </w:rPr>
        <w:t xml:space="preserve"> </w:t>
      </w:r>
      <w:r w:rsidR="00D00F98">
        <w:rPr>
          <w:lang w:val="en-GB"/>
        </w:rPr>
        <w:t>a series of enhancements to ensure case conferences are effective, covering issues such as who should participate and the need for review of outcomes</w:t>
      </w:r>
      <w:r w:rsidR="001A0339">
        <w:rPr>
          <w:lang w:val="en-GB"/>
        </w:rPr>
        <w:t>.</w:t>
      </w:r>
    </w:p>
    <w:p w14:paraId="5E51A642" w14:textId="77777777" w:rsidR="00DF09CD" w:rsidRPr="00C33C0B" w:rsidRDefault="00D157E8" w:rsidP="00D010E4">
      <w:pPr>
        <w:pStyle w:val="Heading3"/>
      </w:pPr>
      <w:bookmarkStart w:id="23" w:name="_Toc528950713"/>
      <w:bookmarkStart w:id="24" w:name="_Toc529027991"/>
      <w:bookmarkStart w:id="25" w:name="_Toc530121832"/>
      <w:bookmarkStart w:id="26" w:name="_Toc530122009"/>
      <w:bookmarkStart w:id="27" w:name="_Toc528950715"/>
      <w:bookmarkStart w:id="28" w:name="_Toc529027993"/>
      <w:bookmarkStart w:id="29" w:name="_Toc530121834"/>
      <w:bookmarkStart w:id="30" w:name="_Toc530122011"/>
      <w:bookmarkStart w:id="31" w:name="_Toc528950718"/>
      <w:bookmarkStart w:id="32" w:name="_Toc529027996"/>
      <w:bookmarkStart w:id="33" w:name="_Toc530121837"/>
      <w:bookmarkStart w:id="34" w:name="_Toc530122014"/>
      <w:bookmarkStart w:id="35" w:name="_Toc528950723"/>
      <w:bookmarkStart w:id="36" w:name="_Toc529028001"/>
      <w:bookmarkStart w:id="37" w:name="_Toc530121842"/>
      <w:bookmarkStart w:id="38" w:name="_Toc530122019"/>
      <w:bookmarkStart w:id="39" w:name="_Toc528950724"/>
      <w:bookmarkStart w:id="40" w:name="_Toc529028002"/>
      <w:bookmarkStart w:id="41" w:name="_Toc530121843"/>
      <w:bookmarkStart w:id="42" w:name="_Toc530122020"/>
      <w:bookmarkStart w:id="43" w:name="_Toc528950725"/>
      <w:bookmarkStart w:id="44" w:name="_Toc529028003"/>
      <w:bookmarkStart w:id="45" w:name="_Toc530121844"/>
      <w:bookmarkStart w:id="46" w:name="_Toc530122021"/>
      <w:bookmarkStart w:id="47" w:name="_Toc67952184"/>
      <w:bookmarkStart w:id="48" w:name="_Hlk52485475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t xml:space="preserve">Use of data to </w:t>
      </w:r>
      <w:r w:rsidR="001F6CB0">
        <w:t>inform</w:t>
      </w:r>
      <w:r>
        <w:t xml:space="preserve"> q</w:t>
      </w:r>
      <w:r w:rsidR="00993C3A">
        <w:t xml:space="preserve">uality care and patient-informed </w:t>
      </w:r>
      <w:r w:rsidR="00DF09CD" w:rsidRPr="00C33C0B">
        <w:t>choice</w:t>
      </w:r>
      <w:r w:rsidR="0091727C">
        <w:t xml:space="preserve"> </w:t>
      </w:r>
      <w:r w:rsidR="00993C3A">
        <w:t xml:space="preserve">and consent </w:t>
      </w:r>
      <w:r w:rsidR="0091727C">
        <w:t>recommendations</w:t>
      </w:r>
      <w:bookmarkEnd w:id="47"/>
    </w:p>
    <w:bookmarkEnd w:id="48"/>
    <w:p w14:paraId="7D64151A" w14:textId="77777777" w:rsidR="00994DCB" w:rsidRPr="00C33C0B" w:rsidRDefault="00F45372" w:rsidP="00DF09CD">
      <w:pPr>
        <w:rPr>
          <w:lang w:val="en-GB"/>
        </w:rPr>
      </w:pPr>
      <w:r>
        <w:rPr>
          <w:lang w:val="en-GB"/>
        </w:rPr>
        <w:t>The Committee</w:t>
      </w:r>
      <w:r w:rsidR="00994DCB" w:rsidRPr="00C33C0B">
        <w:rPr>
          <w:lang w:val="en-GB"/>
        </w:rPr>
        <w:t xml:space="preserve"> </w:t>
      </w:r>
      <w:r w:rsidR="00152940" w:rsidRPr="00C33C0B">
        <w:rPr>
          <w:lang w:val="en-GB"/>
        </w:rPr>
        <w:t xml:space="preserve">recommends both MBS and </w:t>
      </w:r>
      <w:r w:rsidR="00994DCB" w:rsidRPr="00C33C0B">
        <w:rPr>
          <w:lang w:val="en-GB"/>
        </w:rPr>
        <w:t>non-MBS mechanisms</w:t>
      </w:r>
      <w:r w:rsidR="00A553DD">
        <w:rPr>
          <w:lang w:val="en-GB"/>
        </w:rPr>
        <w:t xml:space="preserve"> to </w:t>
      </w:r>
      <w:r w:rsidR="00161F3A">
        <w:rPr>
          <w:lang w:val="en-GB"/>
        </w:rPr>
        <w:t xml:space="preserve">encourage </w:t>
      </w:r>
      <w:r w:rsidR="00A553DD">
        <w:rPr>
          <w:lang w:val="en-GB"/>
        </w:rPr>
        <w:t>quality care and patient</w:t>
      </w:r>
      <w:r w:rsidR="001638DC">
        <w:rPr>
          <w:lang w:val="en-GB"/>
        </w:rPr>
        <w:t>-informed choice and consent</w:t>
      </w:r>
      <w:r w:rsidR="00A553DD">
        <w:rPr>
          <w:lang w:val="en-GB"/>
        </w:rPr>
        <w:t>, including</w:t>
      </w:r>
      <w:r w:rsidR="00152940" w:rsidRPr="00C33C0B">
        <w:rPr>
          <w:lang w:val="en-GB"/>
        </w:rPr>
        <w:t>:</w:t>
      </w:r>
    </w:p>
    <w:p w14:paraId="038A9291" w14:textId="77777777" w:rsidR="00345CDC" w:rsidRDefault="00F45372" w:rsidP="00F45372">
      <w:pPr>
        <w:pStyle w:val="Bullet-green"/>
        <w:rPr>
          <w:lang w:val="en-GB"/>
        </w:rPr>
      </w:pPr>
      <w:r w:rsidRPr="00F45372">
        <w:rPr>
          <w:lang w:val="en-GB"/>
        </w:rPr>
        <w:t>Establish</w:t>
      </w:r>
      <w:r w:rsidR="00544BB8">
        <w:rPr>
          <w:lang w:val="en-GB"/>
        </w:rPr>
        <w:t>ing</w:t>
      </w:r>
      <w:r w:rsidRPr="00F45372">
        <w:rPr>
          <w:lang w:val="en-GB"/>
        </w:rPr>
        <w:t xml:space="preserve"> a </w:t>
      </w:r>
      <w:r w:rsidR="005D32C7">
        <w:rPr>
          <w:lang w:val="en-GB"/>
        </w:rPr>
        <w:t xml:space="preserve">national </w:t>
      </w:r>
      <w:r w:rsidRPr="00F45372">
        <w:rPr>
          <w:lang w:val="en-GB"/>
        </w:rPr>
        <w:t>minimum data set to inform evidence-based clinical pra</w:t>
      </w:r>
      <w:r w:rsidR="00482B19">
        <w:rPr>
          <w:lang w:val="en-GB"/>
        </w:rPr>
        <w:t>ctice and inform patient choice;</w:t>
      </w:r>
    </w:p>
    <w:p w14:paraId="76256B90" w14:textId="77777777" w:rsidR="00F45372" w:rsidRDefault="00F45372" w:rsidP="00F45372">
      <w:pPr>
        <w:pStyle w:val="Bullet-green"/>
        <w:rPr>
          <w:lang w:val="en-GB"/>
        </w:rPr>
      </w:pPr>
      <w:r w:rsidRPr="00F45372">
        <w:rPr>
          <w:lang w:val="en-GB"/>
        </w:rPr>
        <w:t>Provid</w:t>
      </w:r>
      <w:r w:rsidR="00544BB8">
        <w:rPr>
          <w:lang w:val="en-GB"/>
        </w:rPr>
        <w:t>ing</w:t>
      </w:r>
      <w:r w:rsidRPr="00F45372">
        <w:rPr>
          <w:lang w:val="en-GB"/>
        </w:rPr>
        <w:t xml:space="preserve"> patients with transparency on the cost and </w:t>
      </w:r>
      <w:r w:rsidR="001638DC">
        <w:rPr>
          <w:lang w:val="en-GB"/>
        </w:rPr>
        <w:t>outcomes</w:t>
      </w:r>
      <w:r w:rsidRPr="00F45372">
        <w:rPr>
          <w:lang w:val="en-GB"/>
        </w:rPr>
        <w:t xml:space="preserve"> of </w:t>
      </w:r>
      <w:r>
        <w:rPr>
          <w:lang w:val="en-GB"/>
        </w:rPr>
        <w:t>consultant specialists</w:t>
      </w:r>
      <w:r w:rsidR="00161F3A">
        <w:rPr>
          <w:lang w:val="en-GB"/>
        </w:rPr>
        <w:t>’</w:t>
      </w:r>
      <w:r>
        <w:rPr>
          <w:lang w:val="en-GB"/>
        </w:rPr>
        <w:t xml:space="preserve"> </w:t>
      </w:r>
      <w:r w:rsidRPr="00F45372">
        <w:rPr>
          <w:lang w:val="en-GB"/>
        </w:rPr>
        <w:t>services</w:t>
      </w:r>
      <w:r w:rsidR="00A553DD">
        <w:rPr>
          <w:lang w:val="en-GB"/>
        </w:rPr>
        <w:t xml:space="preserve">, </w:t>
      </w:r>
      <w:r w:rsidR="00AA4173">
        <w:rPr>
          <w:lang w:val="en-GB"/>
        </w:rPr>
        <w:t xml:space="preserve">made publicly available and </w:t>
      </w:r>
      <w:r w:rsidR="00A553DD">
        <w:rPr>
          <w:lang w:val="en-GB"/>
        </w:rPr>
        <w:t>shared</w:t>
      </w:r>
      <w:r>
        <w:rPr>
          <w:lang w:val="en-GB"/>
        </w:rPr>
        <w:t xml:space="preserve"> through their GP at the time of referral</w:t>
      </w:r>
      <w:r w:rsidR="00482B19">
        <w:rPr>
          <w:lang w:val="en-GB"/>
        </w:rPr>
        <w:t>;</w:t>
      </w:r>
      <w:r w:rsidR="00544BB8">
        <w:rPr>
          <w:lang w:val="en-GB"/>
        </w:rPr>
        <w:t xml:space="preserve"> and</w:t>
      </w:r>
    </w:p>
    <w:p w14:paraId="149C5792" w14:textId="77777777" w:rsidR="00544BB8" w:rsidRPr="00F45372" w:rsidRDefault="00544BB8" w:rsidP="00F45372">
      <w:pPr>
        <w:pStyle w:val="Bullet-green"/>
        <w:rPr>
          <w:lang w:val="en-GB"/>
        </w:rPr>
      </w:pPr>
      <w:r w:rsidRPr="00544BB8">
        <w:rPr>
          <w:lang w:val="en-GB"/>
        </w:rPr>
        <w:t>Improve patient consent and shared decision-making by specifying in attendance item descriptors what should be discussed when multiple treatment options are available.</w:t>
      </w:r>
    </w:p>
    <w:p w14:paraId="4CD83103" w14:textId="77777777" w:rsidR="002E65D3" w:rsidRPr="00607BDA" w:rsidRDefault="002E65D3" w:rsidP="00607BDA">
      <w:pPr>
        <w:rPr>
          <w:lang w:val="en-GB"/>
        </w:rPr>
      </w:pPr>
      <w:r w:rsidRPr="00607BDA">
        <w:rPr>
          <w:lang w:val="en-GB"/>
        </w:rPr>
        <w:t xml:space="preserve">The Committee recognises that the integrity </w:t>
      </w:r>
      <w:r w:rsidR="00C0314A" w:rsidRPr="00607BDA">
        <w:rPr>
          <w:lang w:val="en-GB"/>
        </w:rPr>
        <w:t xml:space="preserve">and relevance </w:t>
      </w:r>
      <w:r w:rsidRPr="00607BDA">
        <w:rPr>
          <w:lang w:val="en-GB"/>
        </w:rPr>
        <w:t xml:space="preserve">of </w:t>
      </w:r>
      <w:r w:rsidR="00AA4DAF" w:rsidRPr="00607BDA">
        <w:rPr>
          <w:lang w:val="en-GB"/>
        </w:rPr>
        <w:t>the</w:t>
      </w:r>
      <w:r w:rsidRPr="00607BDA">
        <w:rPr>
          <w:lang w:val="en-GB"/>
        </w:rPr>
        <w:t xml:space="preserve"> data is crucial to this recommendation’s success</w:t>
      </w:r>
      <w:r w:rsidR="00161F3A" w:rsidRPr="00607BDA">
        <w:rPr>
          <w:lang w:val="en-GB"/>
        </w:rPr>
        <w:t>, and its acceptance by the profession, individual clinicians, and consumers</w:t>
      </w:r>
      <w:r w:rsidR="009C2477" w:rsidRPr="00607BDA">
        <w:rPr>
          <w:lang w:val="en-GB"/>
        </w:rPr>
        <w:t>.</w:t>
      </w:r>
      <w:r w:rsidR="00544BB8">
        <w:rPr>
          <w:lang w:val="en-GB"/>
        </w:rPr>
        <w:t xml:space="preserve"> </w:t>
      </w:r>
      <w:r w:rsidR="00C0314A" w:rsidRPr="00607BDA">
        <w:rPr>
          <w:lang w:val="en-GB"/>
        </w:rPr>
        <w:t>The Committee also recommends that clinic</w:t>
      </w:r>
      <w:r w:rsidR="00EA05E0" w:rsidRPr="00607BDA">
        <w:rPr>
          <w:lang w:val="en-GB"/>
        </w:rPr>
        <w:t>i</w:t>
      </w:r>
      <w:r w:rsidR="00C0314A" w:rsidRPr="00607BDA">
        <w:rPr>
          <w:lang w:val="en-GB"/>
        </w:rPr>
        <w:t xml:space="preserve">ans </w:t>
      </w:r>
      <w:r w:rsidR="009C2477" w:rsidRPr="00607BDA">
        <w:rPr>
          <w:lang w:val="en-GB"/>
        </w:rPr>
        <w:t xml:space="preserve">and consumers </w:t>
      </w:r>
      <w:r w:rsidR="00C0314A" w:rsidRPr="00607BDA">
        <w:rPr>
          <w:lang w:val="en-GB"/>
        </w:rPr>
        <w:t xml:space="preserve">be proactively engaged to identify </w:t>
      </w:r>
      <w:r w:rsidR="00EA05E0" w:rsidRPr="00607BDA">
        <w:rPr>
          <w:lang w:val="en-GB"/>
        </w:rPr>
        <w:t xml:space="preserve">and address potential </w:t>
      </w:r>
      <w:r w:rsidR="00161F3A" w:rsidRPr="00607BDA">
        <w:rPr>
          <w:lang w:val="en-GB"/>
        </w:rPr>
        <w:t>risks in</w:t>
      </w:r>
      <w:r w:rsidRPr="00607BDA">
        <w:rPr>
          <w:lang w:val="en-GB"/>
        </w:rPr>
        <w:t xml:space="preserve"> sharing </w:t>
      </w:r>
      <w:r w:rsidR="00EA05E0" w:rsidRPr="00607BDA">
        <w:rPr>
          <w:lang w:val="en-GB"/>
        </w:rPr>
        <w:t>patient outcome data</w:t>
      </w:r>
      <w:r w:rsidR="009C2477" w:rsidRPr="00607BDA">
        <w:rPr>
          <w:lang w:val="en-GB"/>
        </w:rPr>
        <w:t>.</w:t>
      </w:r>
    </w:p>
    <w:p w14:paraId="1CDD2A0A" w14:textId="77777777" w:rsidR="00AF6F9B" w:rsidRPr="00C33C0B" w:rsidRDefault="00AF6F9B">
      <w:pPr>
        <w:pStyle w:val="Heading3"/>
      </w:pPr>
      <w:bookmarkStart w:id="49" w:name="_Toc528950727"/>
      <w:bookmarkStart w:id="50" w:name="_Toc529028005"/>
      <w:bookmarkStart w:id="51" w:name="_Toc530121846"/>
      <w:bookmarkStart w:id="52" w:name="_Toc530122023"/>
      <w:bookmarkStart w:id="53" w:name="_Toc67952185"/>
      <w:bookmarkEnd w:id="49"/>
      <w:bookmarkEnd w:id="50"/>
      <w:bookmarkEnd w:id="51"/>
      <w:bookmarkEnd w:id="52"/>
      <w:r w:rsidRPr="00C33C0B">
        <w:t>My Health Record</w:t>
      </w:r>
      <w:r w:rsidR="00FA18E2">
        <w:t xml:space="preserve"> recommendation</w:t>
      </w:r>
      <w:r w:rsidR="003A528F">
        <w:t>s</w:t>
      </w:r>
      <w:bookmarkEnd w:id="53"/>
    </w:p>
    <w:p w14:paraId="6BA29553" w14:textId="77777777" w:rsidR="00DF09CD" w:rsidRPr="00C33C0B" w:rsidRDefault="009C2477" w:rsidP="00317AC1">
      <w:pPr>
        <w:rPr>
          <w:b/>
          <w:lang w:val="en-GB"/>
        </w:rPr>
      </w:pPr>
      <w:r w:rsidRPr="00C33C0B">
        <w:rPr>
          <w:lang w:val="en-GB"/>
        </w:rPr>
        <w:t xml:space="preserve">The Committee supports the principle that </w:t>
      </w:r>
      <w:r>
        <w:rPr>
          <w:lang w:val="en-GB"/>
        </w:rPr>
        <w:t>e</w:t>
      </w:r>
      <w:r w:rsidRPr="00C33C0B">
        <w:rPr>
          <w:lang w:val="en-GB"/>
        </w:rPr>
        <w:t xml:space="preserve">lectronic </w:t>
      </w:r>
      <w:r>
        <w:rPr>
          <w:lang w:val="en-GB"/>
        </w:rPr>
        <w:t>h</w:t>
      </w:r>
      <w:r w:rsidRPr="00C33C0B">
        <w:rPr>
          <w:lang w:val="en-GB"/>
        </w:rPr>
        <w:t xml:space="preserve">ealth </w:t>
      </w:r>
      <w:r>
        <w:rPr>
          <w:lang w:val="en-GB"/>
        </w:rPr>
        <w:t>r</w:t>
      </w:r>
      <w:r w:rsidRPr="00C33C0B">
        <w:rPr>
          <w:lang w:val="en-GB"/>
        </w:rPr>
        <w:t xml:space="preserve">ecords can </w:t>
      </w:r>
      <w:r>
        <w:rPr>
          <w:lang w:val="en-GB"/>
        </w:rPr>
        <w:t>e</w:t>
      </w:r>
      <w:r w:rsidRPr="00C33C0B">
        <w:rPr>
          <w:lang w:val="en-GB"/>
        </w:rPr>
        <w:t>nhance information sharing between patients and providers</w:t>
      </w:r>
      <w:r>
        <w:rPr>
          <w:lang w:val="en-GB"/>
        </w:rPr>
        <w:t xml:space="preserve"> and thereby promote safe practice, support self-management and </w:t>
      </w:r>
      <w:r w:rsidRPr="00C33C0B">
        <w:rPr>
          <w:lang w:val="en-GB"/>
        </w:rPr>
        <w:t>improve patient care</w:t>
      </w:r>
      <w:r>
        <w:rPr>
          <w:lang w:val="en-GB"/>
        </w:rPr>
        <w:t xml:space="preserve">. </w:t>
      </w:r>
      <w:r w:rsidR="00DF09CD" w:rsidRPr="00C33C0B">
        <w:rPr>
          <w:lang w:val="en-GB"/>
        </w:rPr>
        <w:t xml:space="preserve">The </w:t>
      </w:r>
      <w:r w:rsidR="000E5F6D" w:rsidRPr="00C33C0B">
        <w:rPr>
          <w:lang w:val="en-GB"/>
        </w:rPr>
        <w:t>Committee recommend</w:t>
      </w:r>
      <w:r w:rsidR="00DF09CD" w:rsidRPr="00C33C0B">
        <w:rPr>
          <w:lang w:val="en-GB"/>
        </w:rPr>
        <w:t xml:space="preserve">s </w:t>
      </w:r>
      <w:r w:rsidR="00C20676" w:rsidRPr="00C33C0B">
        <w:rPr>
          <w:lang w:val="en-GB"/>
        </w:rPr>
        <w:t xml:space="preserve">the use of </w:t>
      </w:r>
      <w:r w:rsidR="00317AC1" w:rsidRPr="00C33C0B">
        <w:rPr>
          <w:lang w:val="en-GB"/>
        </w:rPr>
        <w:t>both</w:t>
      </w:r>
      <w:r w:rsidR="00DF09CD" w:rsidRPr="00C33C0B">
        <w:rPr>
          <w:lang w:val="en-GB"/>
        </w:rPr>
        <w:t xml:space="preserve"> MBS </w:t>
      </w:r>
      <w:r w:rsidR="00317AC1" w:rsidRPr="00C33C0B">
        <w:rPr>
          <w:lang w:val="en-GB"/>
        </w:rPr>
        <w:t xml:space="preserve">and non-MBS mechanisms </w:t>
      </w:r>
      <w:r w:rsidR="00DF09CD" w:rsidRPr="00C33C0B">
        <w:rPr>
          <w:lang w:val="en-GB"/>
        </w:rPr>
        <w:t xml:space="preserve">to </w:t>
      </w:r>
      <w:r w:rsidR="00317AC1" w:rsidRPr="00C33C0B">
        <w:rPr>
          <w:lang w:val="en-GB"/>
        </w:rPr>
        <w:t xml:space="preserve">support </w:t>
      </w:r>
      <w:r w:rsidR="00F30EB8">
        <w:rPr>
          <w:lang w:val="en-GB"/>
        </w:rPr>
        <w:t xml:space="preserve">the </w:t>
      </w:r>
      <w:r w:rsidR="00DF09CD" w:rsidRPr="00C33C0B">
        <w:rPr>
          <w:lang w:val="en-GB"/>
        </w:rPr>
        <w:t>adoption of digital record systems</w:t>
      </w:r>
      <w:r w:rsidR="00135D88">
        <w:rPr>
          <w:lang w:val="en-GB"/>
        </w:rPr>
        <w:t>,</w:t>
      </w:r>
      <w:r w:rsidR="00DF09CD" w:rsidRPr="00C33C0B">
        <w:rPr>
          <w:lang w:val="en-GB"/>
        </w:rPr>
        <w:t xml:space="preserve"> </w:t>
      </w:r>
      <w:r w:rsidR="00924096">
        <w:rPr>
          <w:lang w:val="en-GB"/>
        </w:rPr>
        <w:t>cognisant of</w:t>
      </w:r>
      <w:r w:rsidR="00924096" w:rsidRPr="00C33C0B">
        <w:rPr>
          <w:lang w:val="en-GB"/>
        </w:rPr>
        <w:t xml:space="preserve"> </w:t>
      </w:r>
      <w:r w:rsidR="00317AC1" w:rsidRPr="00C33C0B">
        <w:rPr>
          <w:lang w:val="en-GB"/>
        </w:rPr>
        <w:t>the</w:t>
      </w:r>
      <w:r w:rsidR="003C2A00" w:rsidRPr="00C33C0B">
        <w:rPr>
          <w:lang w:val="en-GB"/>
        </w:rPr>
        <w:t xml:space="preserve"> </w:t>
      </w:r>
      <w:r w:rsidR="00317AC1" w:rsidRPr="00C33C0B">
        <w:rPr>
          <w:lang w:val="en-GB"/>
        </w:rPr>
        <w:t xml:space="preserve">current limitations of digital readiness among </w:t>
      </w:r>
      <w:r w:rsidR="00AA329D">
        <w:rPr>
          <w:lang w:val="en-GB"/>
        </w:rPr>
        <w:t>consultant specialist</w:t>
      </w:r>
      <w:r w:rsidR="00317AC1" w:rsidRPr="00C33C0B">
        <w:rPr>
          <w:lang w:val="en-GB"/>
        </w:rPr>
        <w:t>s</w:t>
      </w:r>
      <w:r w:rsidR="008E3960">
        <w:rPr>
          <w:lang w:val="en-GB"/>
        </w:rPr>
        <w:t>.</w:t>
      </w:r>
      <w:r w:rsidR="00317AC1" w:rsidRPr="00C33C0B">
        <w:rPr>
          <w:lang w:val="en-GB"/>
        </w:rPr>
        <w:t xml:space="preserve"> </w:t>
      </w:r>
    </w:p>
    <w:p w14:paraId="57478D3C" w14:textId="03B0AA93" w:rsidR="00772B65" w:rsidRDefault="00772B65" w:rsidP="00607BDA">
      <w:pPr>
        <w:pStyle w:val="Bullet-green"/>
        <w:numPr>
          <w:ilvl w:val="0"/>
          <w:numId w:val="0"/>
        </w:numPr>
      </w:pPr>
      <w:r w:rsidRPr="00772B65">
        <w:rPr>
          <w:lang w:val="en-GB"/>
        </w:rPr>
        <w:t xml:space="preserve">The Committee </w:t>
      </w:r>
      <w:r>
        <w:rPr>
          <w:lang w:val="en-GB"/>
        </w:rPr>
        <w:t>recommends</w:t>
      </w:r>
      <w:r w:rsidRPr="00772B65">
        <w:rPr>
          <w:lang w:val="en-GB"/>
        </w:rPr>
        <w:t xml:space="preserve"> </w:t>
      </w:r>
      <w:r w:rsidRPr="00772B65">
        <w:t xml:space="preserve">outcomes of case conferences </w:t>
      </w:r>
      <w:r>
        <w:t>be uploaded to My Health Record</w:t>
      </w:r>
      <w:r w:rsidR="00544BB8">
        <w:t xml:space="preserve">. Additionally, the Committee also </w:t>
      </w:r>
      <w:r w:rsidR="00544BB8">
        <w:rPr>
          <w:lang w:val="en-GB"/>
        </w:rPr>
        <w:t xml:space="preserve">recommends </w:t>
      </w:r>
      <w:r w:rsidR="00544BB8">
        <w:t>i</w:t>
      </w:r>
      <w:r w:rsidRPr="00772B65">
        <w:t>ntroduc</w:t>
      </w:r>
      <w:r w:rsidR="00544BB8">
        <w:t>ing</w:t>
      </w:r>
      <w:r w:rsidRPr="00772B65">
        <w:t xml:space="preserve"> a single incentive payment to consultant specialists upon the</w:t>
      </w:r>
      <w:r>
        <w:t>ir adoption of My Health Record</w:t>
      </w:r>
      <w:r w:rsidRPr="00772B65">
        <w:rPr>
          <w:lang w:val="en-GB"/>
        </w:rPr>
        <w:t>, triggered by achieving a volume of uploads that is proportional to the number of attendances that the provider performs</w:t>
      </w:r>
      <w:r w:rsidR="00544BB8">
        <w:rPr>
          <w:lang w:val="en-GB"/>
        </w:rPr>
        <w:t>. Other recommendation</w:t>
      </w:r>
      <w:r w:rsidR="00BE7064">
        <w:rPr>
          <w:lang w:val="en-GB"/>
        </w:rPr>
        <w:t>s</w:t>
      </w:r>
      <w:r w:rsidR="00544BB8">
        <w:rPr>
          <w:lang w:val="en-GB"/>
        </w:rPr>
        <w:t xml:space="preserve"> cover </w:t>
      </w:r>
      <w:r w:rsidR="00544BB8" w:rsidRPr="00772B65">
        <w:t>impro</w:t>
      </w:r>
      <w:r w:rsidR="00544BB8">
        <w:t>ving</w:t>
      </w:r>
      <w:r w:rsidRPr="00772B65">
        <w:t xml:space="preserve"> the functionality of My Health Record and educat</w:t>
      </w:r>
      <w:r w:rsidR="00544BB8">
        <w:t>ing</w:t>
      </w:r>
      <w:r w:rsidRPr="00772B65">
        <w:t xml:space="preserve"> consultant specialists on the benefits of its use.</w:t>
      </w:r>
    </w:p>
    <w:p w14:paraId="6F0208D7" w14:textId="77777777" w:rsidR="00DF09CD" w:rsidRPr="00C33C0B" w:rsidRDefault="00DF09CD" w:rsidP="00DF5455">
      <w:pPr>
        <w:pStyle w:val="Heading2"/>
        <w:rPr>
          <w:lang w:val="en-GB"/>
        </w:rPr>
      </w:pPr>
      <w:bookmarkStart w:id="54" w:name="_Toc67952186"/>
      <w:r w:rsidRPr="00C33C0B">
        <w:rPr>
          <w:lang w:val="en-GB"/>
        </w:rPr>
        <w:t>Consumer engagement</w:t>
      </w:r>
      <w:bookmarkEnd w:id="54"/>
    </w:p>
    <w:p w14:paraId="3C1A1C56" w14:textId="77777777" w:rsidR="006722EB" w:rsidRPr="00C33C0B" w:rsidRDefault="006722EB" w:rsidP="006722EB">
      <w:pPr>
        <w:rPr>
          <w:lang w:val="en-GB"/>
        </w:rPr>
      </w:pPr>
      <w:r w:rsidRPr="00C33C0B">
        <w:rPr>
          <w:lang w:val="en-GB"/>
        </w:rPr>
        <w:t xml:space="preserve">The Committee includes two </w:t>
      </w:r>
      <w:r w:rsidR="00213F7E" w:rsidRPr="00C33C0B">
        <w:rPr>
          <w:lang w:val="en-GB"/>
        </w:rPr>
        <w:t>consumer members</w:t>
      </w:r>
      <w:r w:rsidRPr="00C33C0B">
        <w:rPr>
          <w:lang w:val="en-GB"/>
        </w:rPr>
        <w:t xml:space="preserve"> </w:t>
      </w:r>
      <w:r w:rsidR="006A066F" w:rsidRPr="00C33C0B">
        <w:rPr>
          <w:lang w:val="en-GB"/>
        </w:rPr>
        <w:t xml:space="preserve">who have </w:t>
      </w:r>
      <w:r w:rsidRPr="00C33C0B">
        <w:rPr>
          <w:lang w:val="en-GB"/>
        </w:rPr>
        <w:t xml:space="preserve">provided </w:t>
      </w:r>
      <w:r w:rsidR="00AA35F2">
        <w:rPr>
          <w:lang w:val="en-GB"/>
        </w:rPr>
        <w:t xml:space="preserve">a consumer perspective </w:t>
      </w:r>
      <w:r w:rsidR="006F62FC" w:rsidRPr="00C33C0B">
        <w:rPr>
          <w:lang w:val="en-GB"/>
        </w:rPr>
        <w:t>on the recommendations</w:t>
      </w:r>
      <w:r w:rsidR="00D2637A">
        <w:rPr>
          <w:lang w:val="en-GB"/>
        </w:rPr>
        <w:t xml:space="preserve"> in this report</w:t>
      </w:r>
      <w:r w:rsidR="00DF09CD" w:rsidRPr="00C33C0B">
        <w:rPr>
          <w:lang w:val="en-GB"/>
        </w:rPr>
        <w:t>.</w:t>
      </w:r>
      <w:r w:rsidRPr="00C33C0B">
        <w:rPr>
          <w:lang w:val="en-GB"/>
        </w:rPr>
        <w:t xml:space="preserve"> </w:t>
      </w:r>
      <w:r w:rsidR="00491573" w:rsidRPr="00C33C0B">
        <w:rPr>
          <w:lang w:val="en-GB"/>
        </w:rPr>
        <w:t>The Committee</w:t>
      </w:r>
      <w:r w:rsidR="00C035DF">
        <w:rPr>
          <w:lang w:val="en-GB"/>
        </w:rPr>
        <w:t xml:space="preserve"> received over 100 submissions from a variety of stakeholders, including consumer groups.</w:t>
      </w:r>
    </w:p>
    <w:p w14:paraId="50BDEF60" w14:textId="77777777" w:rsidR="005A3395" w:rsidRDefault="005A3395" w:rsidP="00DF5455">
      <w:pPr>
        <w:pStyle w:val="Heading2"/>
        <w:rPr>
          <w:lang w:val="en-GB"/>
        </w:rPr>
      </w:pPr>
      <w:bookmarkStart w:id="55" w:name="_Toc67952187"/>
      <w:bookmarkEnd w:id="4"/>
      <w:bookmarkEnd w:id="5"/>
      <w:r w:rsidRPr="00C33C0B">
        <w:rPr>
          <w:lang w:val="en-GB"/>
        </w:rPr>
        <w:t>Consumer impact summary</w:t>
      </w:r>
      <w:bookmarkEnd w:id="55"/>
    </w:p>
    <w:p w14:paraId="21951171" w14:textId="77777777" w:rsidR="002356E1" w:rsidRPr="0019507E" w:rsidRDefault="00B6680C" w:rsidP="00607BDA">
      <w:pPr>
        <w:rPr>
          <w:lang w:val="en-GB"/>
        </w:rPr>
      </w:pPr>
      <w:r w:rsidRPr="00C33C0B">
        <w:rPr>
          <w:lang w:val="en-GB"/>
        </w:rPr>
        <w:t xml:space="preserve">Both patients and providers are expected to benefit from these recommendations as they address concerns regarding patient access and quality of care, and they take steps to simplify the MBS and make it easier to use and understand. The Committee also considered each recommendation’s impact on provider groups to ensure that any changes were reasonable and fair. </w:t>
      </w:r>
      <w:r w:rsidR="00C035DF">
        <w:rPr>
          <w:lang w:val="en-GB"/>
        </w:rPr>
        <w:t>Where</w:t>
      </w:r>
      <w:r w:rsidRPr="00C33C0B">
        <w:rPr>
          <w:lang w:val="en-GB"/>
        </w:rPr>
        <w:t xml:space="preserve"> the Committee identified evidence of potential item misuse or safety concerns, recommendations were made to encourage best practice, in line with the overarching purpose of the MBS Review.</w:t>
      </w:r>
    </w:p>
    <w:p w14:paraId="7554820A" w14:textId="77777777" w:rsidR="00A921C1" w:rsidRPr="00C33C0B" w:rsidRDefault="00A921C1" w:rsidP="00A921C1">
      <w:pPr>
        <w:pStyle w:val="Heading1"/>
        <w:rPr>
          <w:lang w:val="en-GB"/>
        </w:rPr>
      </w:pPr>
      <w:bookmarkStart w:id="56" w:name="_Toc517690409"/>
      <w:bookmarkStart w:id="57" w:name="_Toc521442190"/>
      <w:bookmarkStart w:id="58" w:name="_Toc67952188"/>
      <w:r w:rsidRPr="00C33C0B">
        <w:rPr>
          <w:lang w:val="en-GB"/>
        </w:rPr>
        <w:t>About the Medicare Benefits Schedule (MBS) Review</w:t>
      </w:r>
      <w:bookmarkStart w:id="59" w:name="_Toc456045425"/>
      <w:bookmarkStart w:id="60" w:name="_Toc457463614"/>
      <w:bookmarkStart w:id="61" w:name="_Toc459996805"/>
      <w:bookmarkStart w:id="62" w:name="_Toc458166993"/>
      <w:bookmarkStart w:id="63" w:name="_Toc468831579"/>
      <w:bookmarkStart w:id="64" w:name="_Toc456045427"/>
      <w:bookmarkEnd w:id="56"/>
      <w:bookmarkEnd w:id="57"/>
      <w:bookmarkEnd w:id="58"/>
    </w:p>
    <w:p w14:paraId="460DB6D7" w14:textId="77777777" w:rsidR="00C7339A" w:rsidRPr="00017A53" w:rsidRDefault="00C7339A" w:rsidP="00C2199E">
      <w:pPr>
        <w:pStyle w:val="Heading2"/>
      </w:pPr>
      <w:bookmarkStart w:id="65" w:name="_Toc485295715"/>
      <w:bookmarkStart w:id="66" w:name="_Toc528843890"/>
      <w:bookmarkStart w:id="67" w:name="_Toc67952189"/>
      <w:bookmarkStart w:id="68" w:name="_Toc521442194"/>
      <w:bookmarkEnd w:id="59"/>
      <w:bookmarkEnd w:id="60"/>
      <w:bookmarkEnd w:id="61"/>
      <w:bookmarkEnd w:id="62"/>
      <w:bookmarkEnd w:id="63"/>
      <w:bookmarkEnd w:id="64"/>
      <w:r w:rsidRPr="00630AFF">
        <w:t>Medicare and the MBS</w:t>
      </w:r>
      <w:bookmarkEnd w:id="65"/>
      <w:bookmarkEnd w:id="66"/>
      <w:bookmarkEnd w:id="67"/>
    </w:p>
    <w:p w14:paraId="172C1DAA" w14:textId="77777777" w:rsidR="00C7339A" w:rsidRPr="00560120" w:rsidRDefault="00C7339A" w:rsidP="00C2199E">
      <w:pPr>
        <w:pStyle w:val="Heading3"/>
      </w:pPr>
      <w:bookmarkStart w:id="69" w:name="_Toc528843891"/>
      <w:bookmarkStart w:id="70" w:name="_Toc67952190"/>
      <w:r w:rsidRPr="00560120">
        <w:t>What is Medicare?</w:t>
      </w:r>
      <w:bookmarkEnd w:id="69"/>
      <w:bookmarkEnd w:id="70"/>
    </w:p>
    <w:p w14:paraId="127AC825" w14:textId="77777777" w:rsidR="00C7339A" w:rsidRPr="00560120" w:rsidRDefault="00C7339A" w:rsidP="00C7339A">
      <w:pPr>
        <w:ind w:right="-330"/>
        <w:rPr>
          <w:rFonts w:cs="Arial"/>
          <w:lang w:eastAsia="en-US"/>
        </w:rPr>
      </w:pPr>
      <w:r w:rsidRPr="00560120">
        <w:rPr>
          <w:rFonts w:cs="Arial"/>
          <w:lang w:eastAsia="en-US"/>
        </w:rPr>
        <w:t xml:space="preserve">Medicare is Australia’s universal health scheme that enables all Australian residents (and some overseas visitors) to have access to a wide range of health services and medicines at little or no cost. </w:t>
      </w:r>
    </w:p>
    <w:p w14:paraId="0B5CEE90" w14:textId="77777777" w:rsidR="00C7339A" w:rsidRPr="00560120" w:rsidRDefault="00C7339A" w:rsidP="00C7339A">
      <w:pPr>
        <w:ind w:right="-329"/>
        <w:rPr>
          <w:rFonts w:cs="Arial"/>
        </w:rPr>
      </w:pPr>
      <w:r w:rsidRPr="00560120">
        <w:rPr>
          <w:rFonts w:cs="Arial"/>
        </w:rPr>
        <w:t xml:space="preserve">Introduced in 1984, Medicare has three components: </w:t>
      </w:r>
    </w:p>
    <w:p w14:paraId="0738C9DB" w14:textId="77777777" w:rsidR="00C7339A" w:rsidRPr="00560120" w:rsidRDefault="00C7339A" w:rsidP="00C7339A">
      <w:pPr>
        <w:pStyle w:val="Bullet-green"/>
      </w:pPr>
      <w:r w:rsidRPr="00560120">
        <w:t>free public hospital services for public patients</w:t>
      </w:r>
      <w:r w:rsidR="00482B19">
        <w:t>;</w:t>
      </w:r>
    </w:p>
    <w:p w14:paraId="28A48B3C" w14:textId="77777777" w:rsidR="00C7339A" w:rsidRPr="00560120" w:rsidRDefault="00C7339A" w:rsidP="00C7339A">
      <w:pPr>
        <w:pStyle w:val="Bullet-green"/>
      </w:pPr>
      <w:r w:rsidRPr="00560120">
        <w:t>subsidised drugs covered by the Pharmaceutical Benefits Scheme (PBS)</w:t>
      </w:r>
      <w:r w:rsidR="00482B19">
        <w:t>;</w:t>
      </w:r>
      <w:r>
        <w:t xml:space="preserve"> and</w:t>
      </w:r>
    </w:p>
    <w:p w14:paraId="4B7E4ADF" w14:textId="77777777" w:rsidR="00C7339A" w:rsidRPr="00560120" w:rsidRDefault="00C7339A" w:rsidP="00C7339A">
      <w:pPr>
        <w:pStyle w:val="Bullet-green"/>
      </w:pPr>
      <w:r w:rsidRPr="00560120">
        <w:t>subsidised health professional services listed on the MBS.</w:t>
      </w:r>
    </w:p>
    <w:p w14:paraId="470B3131" w14:textId="77777777" w:rsidR="00C7339A" w:rsidRPr="00630AFF" w:rsidRDefault="00C7339A" w:rsidP="000831A1">
      <w:pPr>
        <w:pStyle w:val="Heading2"/>
        <w:ind w:left="-284" w:firstLine="275"/>
        <w:rPr>
          <w:i/>
        </w:rPr>
      </w:pPr>
      <w:bookmarkStart w:id="71" w:name="_Toc528843892"/>
      <w:bookmarkStart w:id="72" w:name="_Toc67952191"/>
      <w:r w:rsidRPr="00630AFF">
        <w:t>What is the MBS?</w:t>
      </w:r>
      <w:bookmarkEnd w:id="71"/>
      <w:bookmarkEnd w:id="72"/>
    </w:p>
    <w:p w14:paraId="136AF906" w14:textId="77777777" w:rsidR="00C7339A" w:rsidRPr="00560120" w:rsidRDefault="00C7339A" w:rsidP="00C7339A">
      <w:pPr>
        <w:rPr>
          <w:lang w:eastAsia="en-US"/>
        </w:rPr>
      </w:pPr>
      <w:r w:rsidRPr="00560120">
        <w:rPr>
          <w:lang w:eastAsia="en-US"/>
        </w:rPr>
        <w:t xml:space="preserve">The MBS is a listing of the health professional services subsidised by the Australian Government. There are more than 5,700 MBS items that provide benefits to patients for a comprehensive range of services, including consultations, diagnostic tests and operations. </w:t>
      </w:r>
    </w:p>
    <w:p w14:paraId="09E014F4" w14:textId="77777777" w:rsidR="00C7339A" w:rsidRPr="00630AFF" w:rsidRDefault="00C7339A" w:rsidP="000831A1">
      <w:pPr>
        <w:pStyle w:val="Heading2"/>
        <w:ind w:left="-284" w:firstLine="275"/>
        <w:rPr>
          <w:i/>
        </w:rPr>
      </w:pPr>
      <w:bookmarkStart w:id="73" w:name="_Toc485295716"/>
      <w:bookmarkStart w:id="74" w:name="_Toc528843893"/>
      <w:bookmarkStart w:id="75" w:name="_Toc67952192"/>
      <w:r w:rsidRPr="00630AFF">
        <w:t>What is the MBS Review Taskforce?</w:t>
      </w:r>
      <w:bookmarkEnd w:id="73"/>
      <w:bookmarkEnd w:id="74"/>
      <w:bookmarkEnd w:id="75"/>
    </w:p>
    <w:p w14:paraId="749089D6" w14:textId="77777777" w:rsidR="00C7339A" w:rsidRPr="00560120" w:rsidRDefault="00C7339A" w:rsidP="00C7339A">
      <w:r w:rsidRPr="00560120">
        <w:t xml:space="preserve">The Government established the </w:t>
      </w:r>
      <w:r>
        <w:t xml:space="preserve">MBS Review </w:t>
      </w:r>
      <w:r w:rsidRPr="00560120">
        <w:t xml:space="preserve">Taskforce </w:t>
      </w:r>
      <w:r>
        <w:t xml:space="preserve">(the Taskforce) </w:t>
      </w:r>
      <w:r w:rsidRPr="00560120">
        <w:t xml:space="preserve">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w:t>
      </w:r>
      <w:r>
        <w:t xml:space="preserve">MBS </w:t>
      </w:r>
      <w:r w:rsidRPr="00560120">
        <w:t xml:space="preserve">Review </w:t>
      </w:r>
      <w:r>
        <w:t xml:space="preserve">(the Review) </w:t>
      </w:r>
      <w:r w:rsidRPr="00560120">
        <w:t xml:space="preserve">is clinician-led, and there are no targets for savings attached to the Review. </w:t>
      </w:r>
    </w:p>
    <w:p w14:paraId="6804D598" w14:textId="77777777" w:rsidR="00C7339A" w:rsidRPr="00560120" w:rsidRDefault="00C7339A" w:rsidP="00C2199E">
      <w:pPr>
        <w:pStyle w:val="Heading3"/>
      </w:pPr>
      <w:bookmarkStart w:id="76" w:name="_Toc528843894"/>
      <w:bookmarkStart w:id="77" w:name="_Toc67952193"/>
      <w:r w:rsidRPr="00560120">
        <w:t>What are the goals of the Taskforce?</w:t>
      </w:r>
      <w:bookmarkEnd w:id="76"/>
      <w:bookmarkEnd w:id="77"/>
    </w:p>
    <w:p w14:paraId="1C8315FE" w14:textId="77777777" w:rsidR="00C7339A" w:rsidRPr="00560120" w:rsidRDefault="00C7339A" w:rsidP="00C7339A">
      <w:pPr>
        <w:rPr>
          <w:rFonts w:cs="Arial"/>
        </w:rPr>
      </w:pPr>
      <w:r w:rsidRPr="00560120">
        <w:rPr>
          <w:rFonts w:cs="Arial"/>
        </w:rPr>
        <w:t>The Taskforce is committed to providing recommendations to the Minister that will allow the MBS to deliver on each of four key goals:</w:t>
      </w:r>
    </w:p>
    <w:p w14:paraId="6BEF68B8" w14:textId="77777777" w:rsidR="00C7339A" w:rsidRPr="00560120" w:rsidRDefault="00C7339A" w:rsidP="00C7339A">
      <w:pPr>
        <w:pStyle w:val="Bullet-green"/>
      </w:pPr>
      <w:r w:rsidRPr="00560120">
        <w:rPr>
          <w:rStyle w:val="Boldbullet-greenChar"/>
          <w:rFonts w:eastAsiaTheme="majorEastAsia"/>
        </w:rPr>
        <w:t>Affordable and universal access</w:t>
      </w:r>
      <w:r w:rsidRPr="00560120">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under-serviced.</w:t>
      </w:r>
    </w:p>
    <w:p w14:paraId="5A914491" w14:textId="77777777" w:rsidR="00C7339A" w:rsidRPr="00560120" w:rsidRDefault="00C7339A" w:rsidP="00C7339A">
      <w:pPr>
        <w:pStyle w:val="Bullet-green"/>
      </w:pPr>
      <w:r w:rsidRPr="00560120">
        <w:rPr>
          <w:rStyle w:val="Boldbullet-greenChar"/>
          <w:rFonts w:eastAsiaTheme="majorEastAsia"/>
        </w:rPr>
        <w:t>Best practice health services</w:t>
      </w:r>
      <w:r w:rsidRPr="00560120">
        <w:t>—one of the core objectives of the 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120053E8" w14:textId="77777777" w:rsidR="00C7339A" w:rsidRPr="00560120" w:rsidRDefault="00C7339A" w:rsidP="00C7339A">
      <w:pPr>
        <w:pStyle w:val="Bullet-green"/>
      </w:pPr>
      <w:r w:rsidRPr="00560120">
        <w:rPr>
          <w:rStyle w:val="Boldbullet-greenChar"/>
          <w:rFonts w:eastAsiaTheme="majorEastAsia"/>
        </w:rPr>
        <w:t>Value for the individual patient</w:t>
      </w:r>
      <w:r w:rsidRPr="00560120">
        <w:t xml:space="preserve">—another core objective of the Review is to have an MBS that supports the delivery of services that are appropriate to the patient’s needs, provide real clinical </w:t>
      </w:r>
      <w:r w:rsidR="005A5C4E">
        <w:t xml:space="preserve">value </w:t>
      </w:r>
      <w:r w:rsidRPr="00560120">
        <w:t>and do not expose the patient to unnecessary risk or expense.</w:t>
      </w:r>
    </w:p>
    <w:p w14:paraId="319FADF8" w14:textId="77777777" w:rsidR="00C7339A" w:rsidRPr="00560120" w:rsidRDefault="00C7339A" w:rsidP="00C7339A">
      <w:pPr>
        <w:pStyle w:val="Bullet-green"/>
      </w:pPr>
      <w:r w:rsidRPr="00560120">
        <w:rPr>
          <w:rStyle w:val="Boldbullet-greenChar"/>
          <w:rFonts w:eastAsiaTheme="majorEastAsia"/>
        </w:rPr>
        <w:t>Value for the health system</w:t>
      </w:r>
      <w:r w:rsidRPr="00560120">
        <w:t>—achieving the above elements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55E1CFE5" w14:textId="77777777" w:rsidR="00C7339A" w:rsidRPr="00630AFF" w:rsidRDefault="00C7339A" w:rsidP="000831A1">
      <w:pPr>
        <w:pStyle w:val="Heading2"/>
        <w:ind w:left="-284" w:firstLine="275"/>
        <w:rPr>
          <w:i/>
        </w:rPr>
      </w:pPr>
      <w:bookmarkStart w:id="78" w:name="_Toc485295717"/>
      <w:bookmarkStart w:id="79" w:name="_Toc528843895"/>
      <w:bookmarkStart w:id="80" w:name="_Toc67952194"/>
      <w:r w:rsidRPr="00630AFF">
        <w:t>The Taskforce’s approach</w:t>
      </w:r>
      <w:bookmarkEnd w:id="78"/>
      <w:bookmarkEnd w:id="79"/>
      <w:bookmarkEnd w:id="80"/>
    </w:p>
    <w:p w14:paraId="52F164FF" w14:textId="77777777" w:rsidR="00C7339A" w:rsidRPr="00560120" w:rsidRDefault="00C7339A" w:rsidP="00C7339A">
      <w:r w:rsidRPr="0056012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11BC7E8E" w14:textId="77777777" w:rsidR="00C7339A" w:rsidRPr="00560120" w:rsidRDefault="00C7339A" w:rsidP="00C7339A">
      <w:r w:rsidRPr="0056012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074FC0FE" w14:textId="77777777" w:rsidR="00C7339A" w:rsidRPr="00560120" w:rsidRDefault="00C7339A" w:rsidP="00C7339A">
      <w:r w:rsidRPr="00560120">
        <w:t xml:space="preserve">As the Review is clinician-led, the Taskforce decided that clinical committees should conduct the detailed review of MBS items. The committees are broad-based in their membership, and members have been appointed in an individual capacity, rather than as representatives of any organisation. </w:t>
      </w:r>
    </w:p>
    <w:p w14:paraId="19AB749E" w14:textId="77777777" w:rsidR="00C7339A" w:rsidRPr="00560120" w:rsidRDefault="00C7339A" w:rsidP="00C7339A">
      <w:r w:rsidRPr="00560120">
        <w:t xml:space="preserve">The Taskforce asked the committees to review MBS items using a framework based on Professor Adam Elshaug’s appropriate use criteria </w:t>
      </w:r>
      <w:sdt>
        <w:sdtPr>
          <w:id w:val="-1438513296"/>
          <w:citation/>
        </w:sdtPr>
        <w:sdtContent>
          <w:r w:rsidR="000E7A4F">
            <w:fldChar w:fldCharType="begin"/>
          </w:r>
          <w:r w:rsidR="000E7A4F">
            <w:instrText xml:space="preserve"> CITATION Els12 \l 3081 </w:instrText>
          </w:r>
          <w:r w:rsidR="000E7A4F">
            <w:fldChar w:fldCharType="separate"/>
          </w:r>
          <w:r w:rsidR="000E7A4F">
            <w:rPr>
              <w:noProof/>
            </w:rPr>
            <w:t>(1)</w:t>
          </w:r>
          <w:r w:rsidR="000E7A4F">
            <w:fldChar w:fldCharType="end"/>
          </w:r>
        </w:sdtContent>
      </w:sdt>
      <w:r w:rsidRPr="00560120">
        <w:t xml:space="preserve"> . The framework consists of seven steps:</w:t>
      </w:r>
    </w:p>
    <w:p w14:paraId="61A5888B" w14:textId="77777777" w:rsidR="00C7339A" w:rsidRDefault="00C7339A" w:rsidP="000831A1">
      <w:pPr>
        <w:pStyle w:val="Numbering"/>
        <w:numPr>
          <w:ilvl w:val="0"/>
          <w:numId w:val="25"/>
        </w:numPr>
        <w:rPr>
          <w:lang w:val="en-AU"/>
        </w:rPr>
      </w:pPr>
      <w:r w:rsidRPr="00737A43">
        <w:rPr>
          <w:lang w:val="en-AU"/>
        </w:rPr>
        <w:t xml:space="preserve">Develop an initial fact base for all items under consideration, drawing on the relevant data and literature.  </w:t>
      </w:r>
    </w:p>
    <w:p w14:paraId="41E211C3" w14:textId="77777777" w:rsidR="00BE7064" w:rsidRDefault="00C7339A" w:rsidP="00C7339A">
      <w:pPr>
        <w:pStyle w:val="Numbering"/>
        <w:numPr>
          <w:ilvl w:val="0"/>
          <w:numId w:val="25"/>
        </w:numPr>
        <w:rPr>
          <w:lang w:val="en-AU"/>
        </w:rPr>
      </w:pPr>
      <w:r w:rsidRPr="00737A43">
        <w:rPr>
          <w:lang w:val="en-AU"/>
        </w:rPr>
        <w:t>Identify items that are obsolete, are of questionable clinical value</w:t>
      </w:r>
      <w:r w:rsidRPr="00560120">
        <w:rPr>
          <w:rStyle w:val="FootnoteReference"/>
          <w:lang w:val="en-AU"/>
        </w:rPr>
        <w:footnoteReference w:id="2"/>
      </w:r>
      <w:r w:rsidRPr="00737A43">
        <w:rPr>
          <w:lang w:val="en-AU"/>
        </w:rPr>
        <w:t>, are misused</w:t>
      </w:r>
      <w:r w:rsidRPr="00560120">
        <w:rPr>
          <w:rStyle w:val="FootnoteReference"/>
          <w:lang w:val="en-AU"/>
        </w:rPr>
        <w:footnoteReference w:id="3"/>
      </w:r>
      <w:r w:rsidRPr="00737A43">
        <w:rPr>
          <w:lang w:val="en-AU"/>
        </w:rPr>
        <w:t xml:space="preserve"> and/or pose a risk to patient safety. This step includes prioritising items as “priority 1”, “priority 2”, or “priority 3”, using a prioritisation methodology (described in more detail below).</w:t>
      </w:r>
    </w:p>
    <w:p w14:paraId="527D8564" w14:textId="33143D0C" w:rsidR="00C7339A" w:rsidRDefault="00C7339A" w:rsidP="00C7339A">
      <w:pPr>
        <w:pStyle w:val="Numbering"/>
        <w:numPr>
          <w:ilvl w:val="0"/>
          <w:numId w:val="25"/>
        </w:numPr>
        <w:rPr>
          <w:lang w:val="en-AU"/>
        </w:rPr>
      </w:pPr>
      <w:r w:rsidRPr="00BE7064">
        <w:rPr>
          <w:lang w:val="en-AU"/>
        </w:rPr>
        <w:t>Identify any issues, develop hypotheses for recommendations and create a work plan (including establishing working groups, when required) to arrive at recommendations for each item.</w:t>
      </w:r>
    </w:p>
    <w:p w14:paraId="34732DE9" w14:textId="1122479E" w:rsidR="00C7339A" w:rsidRDefault="00C7339A" w:rsidP="00C7339A">
      <w:pPr>
        <w:pStyle w:val="Numbering"/>
        <w:numPr>
          <w:ilvl w:val="0"/>
          <w:numId w:val="25"/>
        </w:numPr>
        <w:rPr>
          <w:lang w:val="en-AU"/>
        </w:rPr>
      </w:pPr>
      <w:r w:rsidRPr="00BE7064">
        <w:rPr>
          <w:lang w:val="en-AU"/>
        </w:rPr>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41B522A7" w14:textId="4E268E3F" w:rsidR="00C7339A" w:rsidRDefault="00C7339A" w:rsidP="00C7339A">
      <w:pPr>
        <w:pStyle w:val="Numbering"/>
        <w:numPr>
          <w:ilvl w:val="0"/>
          <w:numId w:val="25"/>
        </w:numPr>
        <w:rPr>
          <w:lang w:val="en-AU"/>
        </w:rPr>
      </w:pPr>
      <w:bookmarkStart w:id="81" w:name="_Ref505174405"/>
      <w:r w:rsidRPr="00BE7064">
        <w:rPr>
          <w:lang w:val="en-AU"/>
        </w:rPr>
        <w:t>Review the provisional recommendations and the accompanying rationales, and gather further evidence as required.</w:t>
      </w:r>
      <w:bookmarkEnd w:id="81"/>
    </w:p>
    <w:p w14:paraId="5CFF46CB" w14:textId="54F8750B" w:rsidR="00C7339A" w:rsidRDefault="00C7339A" w:rsidP="00C7339A">
      <w:pPr>
        <w:pStyle w:val="Numbering"/>
        <w:numPr>
          <w:ilvl w:val="0"/>
          <w:numId w:val="25"/>
        </w:numPr>
        <w:rPr>
          <w:lang w:val="en-AU"/>
        </w:rPr>
      </w:pPr>
      <w:r w:rsidRPr="00BE7064">
        <w:rPr>
          <w:lang w:val="en-AU"/>
        </w:rPr>
        <w:t>Finalise the recommendations in preparation for broader stakeholder consultation.</w:t>
      </w:r>
    </w:p>
    <w:p w14:paraId="484BC9B0" w14:textId="185671E8" w:rsidR="00C7339A" w:rsidRPr="00BE7064" w:rsidRDefault="00C7339A" w:rsidP="00C7339A">
      <w:pPr>
        <w:pStyle w:val="Numbering"/>
        <w:numPr>
          <w:ilvl w:val="0"/>
          <w:numId w:val="25"/>
        </w:numPr>
        <w:rPr>
          <w:lang w:val="en-AU"/>
        </w:rPr>
      </w:pPr>
      <w:r w:rsidRPr="00BE7064">
        <w:rPr>
          <w:lang w:val="en-AU"/>
        </w:rPr>
        <w:t xml:space="preserve">Incorporate feedback gathered during stakeholder consultation and finalise a Clinical Review Report, which provides recommendations for the Taskforce. </w:t>
      </w:r>
    </w:p>
    <w:p w14:paraId="1E854D04" w14:textId="77777777" w:rsidR="00C7339A" w:rsidRPr="00560120" w:rsidRDefault="00C7339A" w:rsidP="00C7339A">
      <w:r w:rsidRPr="00560120">
        <w:t>All MBS items will be reviewed during the course of the Review. However, given the breadth of and timeframe for the Review, each clinical committee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7AE85164" w14:textId="77777777" w:rsidR="00C7339A" w:rsidRPr="00560120" w:rsidRDefault="00482B19" w:rsidP="00C7339A">
      <w:pPr>
        <w:pStyle w:val="Bullet-green"/>
      </w:pPr>
      <w:r>
        <w:t>service volume; and</w:t>
      </w:r>
    </w:p>
    <w:p w14:paraId="3D875959" w14:textId="77777777" w:rsidR="00C7339A" w:rsidRPr="00560120" w:rsidRDefault="00482B19" w:rsidP="00C7339A">
      <w:pPr>
        <w:pStyle w:val="Bullet-green"/>
      </w:pPr>
      <w:r>
        <w:t>t</w:t>
      </w:r>
      <w:r w:rsidR="00C7339A" w:rsidRPr="00560120">
        <w:t>he likelihood tha</w:t>
      </w:r>
      <w:r>
        <w:t>t the item needed to be revised;</w:t>
      </w:r>
      <w:r w:rsidR="00C7339A" w:rsidRPr="00560120">
        <w:t xml:space="preserve"> determined by indicators such as identified safety concerns, geographic or temporal variation, delivery irregularity, the potential misuse of indications or other concerns raised by the clinical committee (such as inappropriate co-claiming).</w:t>
      </w:r>
    </w:p>
    <w:p w14:paraId="0C7B7417" w14:textId="751223D5" w:rsidR="00C7339A" w:rsidRPr="00F30EE1" w:rsidRDefault="00DA1AEC" w:rsidP="00DA1AEC">
      <w:pPr>
        <w:pStyle w:val="Caption"/>
      </w:pPr>
      <w:bookmarkStart w:id="82" w:name="_Ref503780508"/>
      <w:bookmarkStart w:id="83" w:name="_Toc503779131"/>
      <w:bookmarkStart w:id="84" w:name="_Toc528844802"/>
      <w:bookmarkStart w:id="85" w:name="_Toc529028433"/>
      <w:r>
        <w:t xml:space="preserve">Figure </w:t>
      </w:r>
      <w:fldSimple w:instr=" SEQ Figure \* ARABIC ">
        <w:r w:rsidR="00832059">
          <w:rPr>
            <w:noProof/>
          </w:rPr>
          <w:t>1</w:t>
        </w:r>
      </w:fldSimple>
      <w:bookmarkEnd w:id="82"/>
      <w:r w:rsidR="00C7339A" w:rsidRPr="00F30EE1">
        <w:t>: Prioritisation matrix</w:t>
      </w:r>
      <w:bookmarkEnd w:id="83"/>
      <w:bookmarkEnd w:id="84"/>
      <w:bookmarkEnd w:id="85"/>
    </w:p>
    <w:p w14:paraId="77215824" w14:textId="77777777" w:rsidR="00C7339A" w:rsidRPr="00560120" w:rsidRDefault="00C7339A" w:rsidP="00C7339A">
      <w:pPr>
        <w:jc w:val="center"/>
        <w:rPr>
          <w:lang w:eastAsia="en-US"/>
        </w:rPr>
      </w:pPr>
      <w:r w:rsidRPr="00560120">
        <w:rPr>
          <w:noProof/>
          <w:lang w:val="en-US" w:eastAsia="en-US"/>
        </w:rPr>
        <w:drawing>
          <wp:inline distT="0" distB="0" distL="0" distR="0" wp14:anchorId="75BE7325" wp14:editId="26543978">
            <wp:extent cx="4476750" cy="3219450"/>
            <wp:effectExtent l="0" t="0" r="0" b="0"/>
            <wp:docPr id="16" name="Picture 16"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553F4959" w14:textId="7569FEB7" w:rsidR="00C7339A" w:rsidRPr="00560120" w:rsidRDefault="00C7339A" w:rsidP="00C7339A">
      <w:r w:rsidRPr="0056012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Pr="00560120">
        <w:fldChar w:fldCharType="begin"/>
      </w:r>
      <w:r w:rsidRPr="00560120">
        <w:instrText xml:space="preserve"> REF _Ref503780508 \h </w:instrText>
      </w:r>
      <w:r w:rsidRPr="00560120">
        <w:fldChar w:fldCharType="separate"/>
      </w:r>
      <w:r w:rsidR="00832059">
        <w:t xml:space="preserve">Figure </w:t>
      </w:r>
      <w:r w:rsidR="00832059">
        <w:rPr>
          <w:noProof/>
        </w:rPr>
        <w:t>1</w:t>
      </w:r>
      <w:r w:rsidRPr="00560120">
        <w:fldChar w:fldCharType="end"/>
      </w:r>
      <w:r w:rsidRPr="00560120">
        <w:t xml:space="preserve">).  Clinical committees use this priority ranking to organise their review of item numbers and apportion the amount of time spent on each item. </w:t>
      </w:r>
    </w:p>
    <w:p w14:paraId="77EDC74D" w14:textId="77777777" w:rsidR="00A921C1" w:rsidRPr="00C33C0B" w:rsidRDefault="00A921C1" w:rsidP="00CF4FE0">
      <w:pPr>
        <w:pStyle w:val="Heading1"/>
        <w:rPr>
          <w:lang w:val="en-GB"/>
        </w:rPr>
      </w:pPr>
      <w:bookmarkStart w:id="86" w:name="_Toc67952195"/>
      <w:r w:rsidRPr="00C33C0B">
        <w:rPr>
          <w:lang w:val="en-GB"/>
        </w:rPr>
        <w:t>About the Specialist and Consultant Physician Consultation Clinical Committee</w:t>
      </w:r>
      <w:bookmarkEnd w:id="68"/>
      <w:bookmarkEnd w:id="86"/>
    </w:p>
    <w:p w14:paraId="7803CB5B" w14:textId="77777777" w:rsidR="0057008A" w:rsidRDefault="0057008A" w:rsidP="00283102">
      <w:pPr>
        <w:rPr>
          <w:lang w:val="en-GB"/>
        </w:rPr>
      </w:pPr>
      <w:bookmarkStart w:id="87" w:name="_Toc468831574"/>
      <w:bookmarkStart w:id="88" w:name="_Toc521442195"/>
      <w:r w:rsidRPr="00C33C0B">
        <w:rPr>
          <w:lang w:val="en-GB"/>
        </w:rPr>
        <w:t xml:space="preserve">The </w:t>
      </w:r>
      <w:r w:rsidR="00D97C56" w:rsidRPr="00C33C0B">
        <w:rPr>
          <w:lang w:val="en-GB"/>
        </w:rPr>
        <w:t xml:space="preserve">Specialist and Consultant Physician Consultation Clinical Committee </w:t>
      </w:r>
      <w:r w:rsidR="00D97C56">
        <w:rPr>
          <w:lang w:val="en-GB"/>
        </w:rPr>
        <w:t xml:space="preserve">(the </w:t>
      </w:r>
      <w:r w:rsidRPr="00C33C0B">
        <w:rPr>
          <w:lang w:val="en-GB"/>
        </w:rPr>
        <w:t>Committee</w:t>
      </w:r>
      <w:r w:rsidR="00D97C56">
        <w:rPr>
          <w:lang w:val="en-GB"/>
        </w:rPr>
        <w:t>)</w:t>
      </w:r>
      <w:r w:rsidRPr="00C33C0B">
        <w:rPr>
          <w:lang w:val="en-GB"/>
        </w:rPr>
        <w:t xml:space="preserve"> is part of the fifth tranche of </w:t>
      </w:r>
      <w:r>
        <w:rPr>
          <w:lang w:val="en-GB"/>
        </w:rPr>
        <w:t>c</w:t>
      </w:r>
      <w:r w:rsidRPr="00C33C0B">
        <w:rPr>
          <w:lang w:val="en-GB"/>
        </w:rPr>
        <w:t xml:space="preserve">linical </w:t>
      </w:r>
      <w:r>
        <w:rPr>
          <w:lang w:val="en-GB"/>
        </w:rPr>
        <w:t>c</w:t>
      </w:r>
      <w:r w:rsidRPr="00C33C0B">
        <w:rPr>
          <w:lang w:val="en-GB"/>
        </w:rPr>
        <w:t xml:space="preserve">ommittees. It was established in May 2018 to make recommendations to the Taskforce on MBS items </w:t>
      </w:r>
      <w:r w:rsidR="00EC3508">
        <w:rPr>
          <w:lang w:val="en-GB"/>
        </w:rPr>
        <w:t>in its area of responsibility</w:t>
      </w:r>
      <w:r w:rsidRPr="00C33C0B">
        <w:rPr>
          <w:lang w:val="en-GB"/>
        </w:rPr>
        <w:t xml:space="preserve">, based on clinical expertise and rapid evidence review. The Taskforce asked the Committee to review MBS items related to professional attendances, </w:t>
      </w:r>
      <w:r>
        <w:rPr>
          <w:lang w:val="en-GB"/>
        </w:rPr>
        <w:t>and to consider</w:t>
      </w:r>
      <w:r w:rsidRPr="00C33C0B">
        <w:rPr>
          <w:lang w:val="en-GB"/>
        </w:rPr>
        <w:t xml:space="preserve"> seven priority issues highlighted by the Taskforce.</w:t>
      </w:r>
    </w:p>
    <w:p w14:paraId="449D61F6" w14:textId="348C1F9A" w:rsidR="005E791E" w:rsidRDefault="00F13731" w:rsidP="00DF5455">
      <w:pPr>
        <w:pStyle w:val="Heading2"/>
        <w:rPr>
          <w:lang w:val="en-GB"/>
        </w:rPr>
      </w:pPr>
      <w:bookmarkStart w:id="89" w:name="_Toc67952196"/>
      <w:r>
        <w:rPr>
          <w:lang w:val="en-GB"/>
        </w:rPr>
        <w:t>S</w:t>
      </w:r>
      <w:r w:rsidR="005E791E">
        <w:rPr>
          <w:lang w:val="en-GB"/>
        </w:rPr>
        <w:t xml:space="preserve">pecialist and Consultant Physician </w:t>
      </w:r>
      <w:r w:rsidR="00680A05">
        <w:rPr>
          <w:lang w:val="en-GB"/>
        </w:rPr>
        <w:t xml:space="preserve">Consultation </w:t>
      </w:r>
      <w:r w:rsidR="005E791E">
        <w:rPr>
          <w:lang w:val="en-GB"/>
        </w:rPr>
        <w:t>Clinical Committee members</w:t>
      </w:r>
      <w:bookmarkEnd w:id="89"/>
    </w:p>
    <w:p w14:paraId="64C3F69A" w14:textId="77777777" w:rsidR="00283102" w:rsidRDefault="00283102" w:rsidP="00283102">
      <w:pPr>
        <w:rPr>
          <w:lang w:val="en-GB"/>
        </w:rPr>
      </w:pPr>
      <w:r w:rsidRPr="00C33C0B">
        <w:rPr>
          <w:lang w:val="en-GB"/>
        </w:rPr>
        <w:t>The Committee consists of 16 members and two ex-officio representatives from the Taskforce. Members’ names, positions/organisations and declared conflicts of in</w:t>
      </w:r>
      <w:r>
        <w:rPr>
          <w:lang w:val="en-GB"/>
        </w:rPr>
        <w:t xml:space="preserve">terest are listed in Table </w:t>
      </w:r>
      <w:r w:rsidR="00B32DAB">
        <w:rPr>
          <w:lang w:val="en-GB"/>
        </w:rPr>
        <w:t>1</w:t>
      </w:r>
      <w:r w:rsidRPr="00C33C0B">
        <w:rPr>
          <w:lang w:val="en-GB"/>
        </w:rPr>
        <w:t>.</w:t>
      </w:r>
    </w:p>
    <w:p w14:paraId="4CD862C9" w14:textId="760A7B1D" w:rsidR="0090213A" w:rsidRDefault="00EB6A44" w:rsidP="004E3894">
      <w:pPr>
        <w:pStyle w:val="Caption"/>
        <w:rPr>
          <w:lang w:val="en-GB"/>
        </w:rPr>
      </w:pPr>
      <w:bookmarkStart w:id="90" w:name="_Ref68011982"/>
      <w:bookmarkStart w:id="91" w:name="_Toc529028295"/>
      <w:r>
        <w:t xml:space="preserve">Table </w:t>
      </w:r>
      <w:fldSimple w:instr=" SEQ Table \* ARABIC ">
        <w:r w:rsidR="00832059">
          <w:rPr>
            <w:noProof/>
          </w:rPr>
          <w:t>1</w:t>
        </w:r>
      </w:fldSimple>
      <w:bookmarkEnd w:id="90"/>
      <w:r w:rsidR="00CA38E2" w:rsidRPr="00C33C0B">
        <w:rPr>
          <w:lang w:val="en-GB"/>
        </w:rPr>
        <w:t>: Specialist and Consultant Physician Consultation Clinical Committee members</w:t>
      </w:r>
      <w:bookmarkEnd w:id="91"/>
    </w:p>
    <w:tbl>
      <w:tblPr>
        <w:tblStyle w:val="GridTable4-Accent3"/>
        <w:tblW w:w="5119" w:type="pct"/>
        <w:tblLook w:val="0620" w:firstRow="1" w:lastRow="0" w:firstColumn="0" w:lastColumn="0" w:noHBand="1" w:noVBand="1"/>
        <w:tblDescription w:val="Table 1 . is a list of Specialist and Consultant Physician Consultation Clinical Committee membersThis table has 3 columns, column 1 (name), column 2 (position/organisation) and column 3 (declared conflict of interest)."/>
      </w:tblPr>
      <w:tblGrid>
        <w:gridCol w:w="1633"/>
        <w:gridCol w:w="4032"/>
        <w:gridCol w:w="2835"/>
      </w:tblGrid>
      <w:tr w:rsidR="00862251" w:rsidRPr="004E3894" w14:paraId="0BEA5315" w14:textId="77777777" w:rsidTr="00975E91">
        <w:trPr>
          <w:cnfStyle w:val="100000000000" w:firstRow="1" w:lastRow="0" w:firstColumn="0" w:lastColumn="0" w:oddVBand="0" w:evenVBand="0" w:oddHBand="0" w:evenHBand="0" w:firstRowFirstColumn="0" w:firstRowLastColumn="0" w:lastRowFirstColumn="0" w:lastRowLastColumn="0"/>
          <w:tblHeader/>
        </w:trPr>
        <w:tc>
          <w:tcPr>
            <w:tcW w:w="1633" w:type="dxa"/>
          </w:tcPr>
          <w:p w14:paraId="2452A7FE" w14:textId="77777777" w:rsidR="00862251" w:rsidRPr="004E3894" w:rsidRDefault="00862251" w:rsidP="000C5F9D">
            <w:pPr>
              <w:pStyle w:val="Tableheading"/>
            </w:pPr>
            <w:r w:rsidRPr="004E3894">
              <w:t>Name</w:t>
            </w:r>
          </w:p>
        </w:tc>
        <w:tc>
          <w:tcPr>
            <w:tcW w:w="4032" w:type="dxa"/>
          </w:tcPr>
          <w:p w14:paraId="12036F20" w14:textId="77777777" w:rsidR="00862251" w:rsidRPr="004E3894" w:rsidRDefault="00862251" w:rsidP="000C5F9D">
            <w:pPr>
              <w:pStyle w:val="Tableheading"/>
            </w:pPr>
            <w:r w:rsidRPr="004E3894">
              <w:t>Position/organisation</w:t>
            </w:r>
          </w:p>
        </w:tc>
        <w:tc>
          <w:tcPr>
            <w:tcW w:w="2835" w:type="dxa"/>
          </w:tcPr>
          <w:p w14:paraId="28CAECC7" w14:textId="77777777" w:rsidR="00862251" w:rsidRPr="004E3894" w:rsidRDefault="00862251" w:rsidP="000C5F9D">
            <w:pPr>
              <w:pStyle w:val="Tableheading"/>
            </w:pPr>
            <w:r w:rsidRPr="004E3894">
              <w:t>Declared conflict</w:t>
            </w:r>
            <w:r w:rsidR="00AF7C91" w:rsidRPr="004E3894">
              <w:t>s</w:t>
            </w:r>
            <w:r w:rsidRPr="004E3894">
              <w:t xml:space="preserve"> of </w:t>
            </w:r>
            <w:r w:rsidR="00AF7C91" w:rsidRPr="004E3894">
              <w:t>interest</w:t>
            </w:r>
          </w:p>
        </w:tc>
      </w:tr>
      <w:tr w:rsidR="00862251" w:rsidRPr="004E3894" w14:paraId="294C99C5" w14:textId="77777777" w:rsidTr="00011713">
        <w:tc>
          <w:tcPr>
            <w:tcW w:w="1633" w:type="dxa"/>
          </w:tcPr>
          <w:p w14:paraId="3781F65D" w14:textId="77777777" w:rsidR="00862251" w:rsidRPr="004E3894" w:rsidRDefault="00862251" w:rsidP="00975E91">
            <w:pPr>
              <w:pStyle w:val="Tabletext"/>
            </w:pPr>
            <w:r w:rsidRPr="004E3894">
              <w:t xml:space="preserve">Prof. </w:t>
            </w:r>
            <w:r w:rsidR="009F4508" w:rsidRPr="004E3894">
              <w:t>Anthony Lawler (Co-C</w:t>
            </w:r>
            <w:r w:rsidRPr="004E3894">
              <w:t>hair)</w:t>
            </w:r>
          </w:p>
        </w:tc>
        <w:tc>
          <w:tcPr>
            <w:tcW w:w="4032" w:type="dxa"/>
          </w:tcPr>
          <w:p w14:paraId="0FD52E4C" w14:textId="77777777" w:rsidR="00862251" w:rsidRPr="004E3894" w:rsidRDefault="00862251" w:rsidP="00975E91">
            <w:pPr>
              <w:pStyle w:val="Tabletext"/>
            </w:pPr>
            <w:r w:rsidRPr="004E3894">
              <w:t>Emergency Physician</w:t>
            </w:r>
            <w:r w:rsidR="00884CF0" w:rsidRPr="004E3894">
              <w:t>; Past P</w:t>
            </w:r>
            <w:r w:rsidRPr="004E3894">
              <w:t>resident of the Australasian College for Emergency Medicine (ACEM)</w:t>
            </w:r>
            <w:r w:rsidR="00884CF0" w:rsidRPr="004E3894">
              <w:t xml:space="preserve">; </w:t>
            </w:r>
            <w:r w:rsidRPr="004E3894">
              <w:t>Chief Medical Officer in Tasmania</w:t>
            </w:r>
          </w:p>
        </w:tc>
        <w:tc>
          <w:tcPr>
            <w:tcW w:w="2835" w:type="dxa"/>
          </w:tcPr>
          <w:p w14:paraId="005DCB4B" w14:textId="77777777" w:rsidR="00862251" w:rsidRPr="004E3894" w:rsidRDefault="00862251" w:rsidP="00975E91">
            <w:pPr>
              <w:pStyle w:val="Tabletext"/>
            </w:pPr>
            <w:r w:rsidRPr="004E3894">
              <w:t>Board member of ACEM</w:t>
            </w:r>
            <w:r w:rsidR="0053789D" w:rsidRPr="004E3894">
              <w:t xml:space="preserve">; </w:t>
            </w:r>
            <w:r w:rsidRPr="004E3894">
              <w:t>Jurisdictional employee in Tasmania</w:t>
            </w:r>
          </w:p>
        </w:tc>
      </w:tr>
      <w:tr w:rsidR="00862251" w:rsidRPr="004E3894" w14:paraId="6F56129E" w14:textId="77777777" w:rsidTr="00011713">
        <w:tc>
          <w:tcPr>
            <w:tcW w:w="1633" w:type="dxa"/>
          </w:tcPr>
          <w:p w14:paraId="7AB3E3C5" w14:textId="77777777" w:rsidR="00862251" w:rsidRPr="004E3894" w:rsidRDefault="00DE1B1D" w:rsidP="00975E91">
            <w:pPr>
              <w:pStyle w:val="Tabletext"/>
            </w:pPr>
            <w:r w:rsidRPr="004E3894">
              <w:t>Dr</w:t>
            </w:r>
            <w:r w:rsidR="008322D0" w:rsidRPr="004E3894">
              <w:t xml:space="preserve"> </w:t>
            </w:r>
            <w:r w:rsidR="00885661" w:rsidRPr="004E3894">
              <w:t>Philip Truskett AM (</w:t>
            </w:r>
            <w:r w:rsidR="008322D0" w:rsidRPr="004E3894">
              <w:t>Co-C</w:t>
            </w:r>
            <w:r w:rsidR="00862251" w:rsidRPr="004E3894">
              <w:t>hair)</w:t>
            </w:r>
          </w:p>
        </w:tc>
        <w:tc>
          <w:tcPr>
            <w:tcW w:w="4032" w:type="dxa"/>
          </w:tcPr>
          <w:p w14:paraId="4B404DF9" w14:textId="1DFCA50D" w:rsidR="00C87458" w:rsidRPr="004E3894" w:rsidRDefault="008322D0" w:rsidP="00975E91">
            <w:pPr>
              <w:pStyle w:val="Tabletext"/>
            </w:pPr>
            <w:r w:rsidRPr="004E3894">
              <w:t>General S</w:t>
            </w:r>
            <w:r w:rsidR="00862251" w:rsidRPr="004E3894">
              <w:t xml:space="preserve">urgeon at </w:t>
            </w:r>
            <w:r w:rsidRPr="004E3894">
              <w:t xml:space="preserve">the </w:t>
            </w:r>
            <w:r w:rsidR="00862251" w:rsidRPr="004E3894">
              <w:t>Prince of Wales Hospital</w:t>
            </w:r>
            <w:r w:rsidRPr="004E3894">
              <w:t>,</w:t>
            </w:r>
            <w:r w:rsidR="00862251" w:rsidRPr="004E3894">
              <w:t xml:space="preserve"> Sydney</w:t>
            </w:r>
          </w:p>
        </w:tc>
        <w:tc>
          <w:tcPr>
            <w:tcW w:w="2835" w:type="dxa"/>
          </w:tcPr>
          <w:p w14:paraId="7CFC1F9F" w14:textId="77777777" w:rsidR="00862251" w:rsidRPr="004E3894" w:rsidRDefault="00C87458" w:rsidP="00975E91">
            <w:pPr>
              <w:pStyle w:val="Tabletext"/>
            </w:pPr>
            <w:r w:rsidRPr="004E3894">
              <w:t>Chair of the Council of Presidents of Medical Colleges</w:t>
            </w:r>
            <w:r w:rsidR="00AA4173" w:rsidRPr="004E3894">
              <w:t>; Chair of Day Hospitals Australia</w:t>
            </w:r>
          </w:p>
        </w:tc>
      </w:tr>
      <w:tr w:rsidR="00862251" w:rsidRPr="004E3894" w14:paraId="1E909AC0" w14:textId="77777777" w:rsidTr="00011713">
        <w:tc>
          <w:tcPr>
            <w:tcW w:w="1633" w:type="dxa"/>
          </w:tcPr>
          <w:p w14:paraId="48B8D218" w14:textId="5BBA433F" w:rsidR="00862251" w:rsidRPr="004E3894" w:rsidRDefault="00DE1B1D" w:rsidP="00975E91">
            <w:pPr>
              <w:pStyle w:val="Tabletext"/>
            </w:pPr>
            <w:r w:rsidRPr="004E3894">
              <w:t>Dr</w:t>
            </w:r>
            <w:r w:rsidR="00862251" w:rsidRPr="004E3894">
              <w:t xml:space="preserve"> Paul Blackman </w:t>
            </w:r>
          </w:p>
        </w:tc>
        <w:tc>
          <w:tcPr>
            <w:tcW w:w="4032" w:type="dxa"/>
          </w:tcPr>
          <w:p w14:paraId="7560C46C" w14:textId="77777777" w:rsidR="00862251" w:rsidRPr="004E3894" w:rsidRDefault="0054602A" w:rsidP="00975E91">
            <w:pPr>
              <w:pStyle w:val="Tabletext"/>
            </w:pPr>
            <w:r w:rsidRPr="004E3894">
              <w:t>Sport and E</w:t>
            </w:r>
            <w:r w:rsidR="00862251" w:rsidRPr="004E3894">
              <w:t>xer</w:t>
            </w:r>
            <w:r w:rsidRPr="004E3894">
              <w:t>cise P</w:t>
            </w:r>
            <w:r w:rsidR="00862251" w:rsidRPr="004E3894">
              <w:t>hysician</w:t>
            </w:r>
            <w:r w:rsidRPr="004E3894">
              <w:t xml:space="preserve">, </w:t>
            </w:r>
            <w:r w:rsidR="00862251" w:rsidRPr="004E3894">
              <w:t xml:space="preserve">Olympic Park Sports Centre Medicine </w:t>
            </w:r>
          </w:p>
        </w:tc>
        <w:tc>
          <w:tcPr>
            <w:tcW w:w="2835" w:type="dxa"/>
          </w:tcPr>
          <w:p w14:paraId="1C5C5E0B" w14:textId="77777777" w:rsidR="00862251" w:rsidRPr="004E3894" w:rsidRDefault="00862251" w:rsidP="00975E91">
            <w:pPr>
              <w:pStyle w:val="Tabletext"/>
            </w:pPr>
            <w:r w:rsidRPr="004E3894">
              <w:t>Board Member of</w:t>
            </w:r>
            <w:r w:rsidR="0054602A" w:rsidRPr="004E3894">
              <w:t xml:space="preserve"> the</w:t>
            </w:r>
            <w:r w:rsidRPr="004E3894">
              <w:t xml:space="preserve"> Australasian College of Sports and Exercise Physicians</w:t>
            </w:r>
          </w:p>
        </w:tc>
      </w:tr>
      <w:tr w:rsidR="00862251" w:rsidRPr="004E3894" w14:paraId="27E849CD" w14:textId="77777777" w:rsidTr="00011713">
        <w:tc>
          <w:tcPr>
            <w:tcW w:w="1633" w:type="dxa"/>
          </w:tcPr>
          <w:p w14:paraId="2C8D678E" w14:textId="77777777" w:rsidR="00862251" w:rsidRPr="004E3894" w:rsidRDefault="00862251" w:rsidP="00975E91">
            <w:pPr>
              <w:pStyle w:val="Tabletext"/>
            </w:pPr>
            <w:r w:rsidRPr="004E3894">
              <w:t>Dr Robert Carroll</w:t>
            </w:r>
          </w:p>
        </w:tc>
        <w:tc>
          <w:tcPr>
            <w:tcW w:w="4032" w:type="dxa"/>
          </w:tcPr>
          <w:p w14:paraId="47CA8814" w14:textId="77777777" w:rsidR="00862251" w:rsidRPr="004E3894" w:rsidRDefault="00862251" w:rsidP="00975E91">
            <w:pPr>
              <w:pStyle w:val="Tabletext"/>
            </w:pPr>
            <w:r w:rsidRPr="004E3894">
              <w:t>Nephrologist, University of Adelaide</w:t>
            </w:r>
          </w:p>
        </w:tc>
        <w:tc>
          <w:tcPr>
            <w:tcW w:w="2835" w:type="dxa"/>
          </w:tcPr>
          <w:p w14:paraId="3FD34AC5" w14:textId="77777777" w:rsidR="00862251" w:rsidRPr="004E3894" w:rsidRDefault="00862251" w:rsidP="00975E91">
            <w:pPr>
              <w:pStyle w:val="Tabletext"/>
            </w:pPr>
            <w:r w:rsidRPr="004E3894">
              <w:t>None</w:t>
            </w:r>
          </w:p>
        </w:tc>
      </w:tr>
      <w:tr w:rsidR="00862251" w:rsidRPr="004E3894" w14:paraId="68D627CE" w14:textId="77777777" w:rsidTr="00011713">
        <w:tc>
          <w:tcPr>
            <w:tcW w:w="1633" w:type="dxa"/>
          </w:tcPr>
          <w:p w14:paraId="36E00349" w14:textId="6C7194C3" w:rsidR="00862251" w:rsidRPr="004E3894" w:rsidRDefault="00862251" w:rsidP="00975E91">
            <w:pPr>
              <w:pStyle w:val="Tabletext"/>
            </w:pPr>
            <w:r w:rsidRPr="004E3894">
              <w:t>Prof. Derek Chew</w:t>
            </w:r>
          </w:p>
        </w:tc>
        <w:tc>
          <w:tcPr>
            <w:tcW w:w="4032" w:type="dxa"/>
          </w:tcPr>
          <w:p w14:paraId="4AEAD957" w14:textId="77777777" w:rsidR="00862251" w:rsidRPr="004E3894" w:rsidRDefault="00862251" w:rsidP="00975E91">
            <w:pPr>
              <w:pStyle w:val="Tabletext"/>
            </w:pPr>
            <w:r w:rsidRPr="004E3894">
              <w:t>Director of Cardiology at Flinders Medical Centre an</w:t>
            </w:r>
            <w:r w:rsidR="007805ED" w:rsidRPr="004E3894">
              <w:t>d A</w:t>
            </w:r>
            <w:r w:rsidRPr="004E3894">
              <w:t xml:space="preserve">cademic at Flinders </w:t>
            </w:r>
            <w:r w:rsidRPr="00975E91">
              <w:t>University</w:t>
            </w:r>
            <w:r w:rsidR="007805ED" w:rsidRPr="00975E91">
              <w:t>; Part of the MBS R</w:t>
            </w:r>
            <w:r w:rsidRPr="00975E91">
              <w:t>eview for Cardiology</w:t>
            </w:r>
            <w:r w:rsidRPr="004E3894">
              <w:t xml:space="preserve"> </w:t>
            </w:r>
          </w:p>
        </w:tc>
        <w:tc>
          <w:tcPr>
            <w:tcW w:w="2835" w:type="dxa"/>
          </w:tcPr>
          <w:p w14:paraId="2EA0C5EF" w14:textId="77777777" w:rsidR="00862251" w:rsidRPr="004E3894" w:rsidRDefault="00862251" w:rsidP="00975E91">
            <w:pPr>
              <w:pStyle w:val="Tabletext"/>
            </w:pPr>
            <w:r w:rsidRPr="004E3894">
              <w:t>None</w:t>
            </w:r>
          </w:p>
        </w:tc>
      </w:tr>
      <w:tr w:rsidR="00862251" w:rsidRPr="004E3894" w14:paraId="46FD79C7" w14:textId="77777777" w:rsidTr="00011713">
        <w:tc>
          <w:tcPr>
            <w:tcW w:w="1633" w:type="dxa"/>
          </w:tcPr>
          <w:p w14:paraId="7AC1FCB3" w14:textId="77777777" w:rsidR="00862251" w:rsidRPr="004E3894" w:rsidRDefault="00DE1B1D" w:rsidP="00975E91">
            <w:pPr>
              <w:pStyle w:val="Tabletext"/>
            </w:pPr>
            <w:r w:rsidRPr="004E3894">
              <w:t>Dr</w:t>
            </w:r>
            <w:r w:rsidR="00862251" w:rsidRPr="004E3894">
              <w:t xml:space="preserve"> Eleanor Chew (Ex-Officio)</w:t>
            </w:r>
          </w:p>
        </w:tc>
        <w:tc>
          <w:tcPr>
            <w:tcW w:w="4032" w:type="dxa"/>
          </w:tcPr>
          <w:p w14:paraId="7F084A52" w14:textId="77777777" w:rsidR="00862251" w:rsidRPr="004E3894" w:rsidRDefault="00862251" w:rsidP="00975E91">
            <w:pPr>
              <w:pStyle w:val="Tabletext"/>
            </w:pPr>
            <w:r w:rsidRPr="004E3894">
              <w:t xml:space="preserve">GP </w:t>
            </w:r>
            <w:r w:rsidR="008A13E2" w:rsidRPr="004E3894">
              <w:t>practising</w:t>
            </w:r>
            <w:r w:rsidRPr="004E3894">
              <w:t xml:space="preserve"> in Brisbane</w:t>
            </w:r>
            <w:r w:rsidR="008A13E2" w:rsidRPr="004E3894">
              <w:t xml:space="preserve">; </w:t>
            </w:r>
            <w:r w:rsidR="0086043B" w:rsidRPr="004E3894">
              <w:t>Member of the MBS R</w:t>
            </w:r>
            <w:r w:rsidRPr="004E3894">
              <w:t>eview Principles and Rules</w:t>
            </w:r>
            <w:r w:rsidR="00A16F34" w:rsidRPr="004E3894">
              <w:t xml:space="preserve"> Committee</w:t>
            </w:r>
            <w:r w:rsidRPr="004E3894">
              <w:t xml:space="preserve"> (PARC) and GP and Primary Care Clinical Committee</w:t>
            </w:r>
          </w:p>
        </w:tc>
        <w:tc>
          <w:tcPr>
            <w:tcW w:w="2835" w:type="dxa"/>
          </w:tcPr>
          <w:p w14:paraId="7C18302F" w14:textId="77777777" w:rsidR="00862251" w:rsidRPr="004E3894" w:rsidRDefault="00862251" w:rsidP="00975E91">
            <w:pPr>
              <w:pStyle w:val="Tabletext"/>
            </w:pPr>
            <w:r w:rsidRPr="004E3894">
              <w:t>M</w:t>
            </w:r>
            <w:r w:rsidR="00587AB6" w:rsidRPr="004E3894">
              <w:t>BS T</w:t>
            </w:r>
            <w:r w:rsidRPr="004E3894">
              <w:t>askforce</w:t>
            </w:r>
            <w:r w:rsidR="00587AB6" w:rsidRPr="004E3894">
              <w:t>; Board M</w:t>
            </w:r>
            <w:r w:rsidRPr="004E3894">
              <w:t xml:space="preserve">ember of </w:t>
            </w:r>
            <w:r w:rsidR="00587AB6" w:rsidRPr="004E3894">
              <w:t xml:space="preserve">the </w:t>
            </w:r>
            <w:r w:rsidRPr="004E3894">
              <w:t>Austral</w:t>
            </w:r>
            <w:r w:rsidR="00E46AE4" w:rsidRPr="004E3894">
              <w:t>ian Digital Health Agency</w:t>
            </w:r>
            <w:r w:rsidR="00587AB6" w:rsidRPr="004E3894">
              <w:t xml:space="preserve">; </w:t>
            </w:r>
            <w:r w:rsidRPr="004E3894">
              <w:t xml:space="preserve">Member of </w:t>
            </w:r>
            <w:r w:rsidR="00587AB6" w:rsidRPr="004E3894">
              <w:t xml:space="preserve">the </w:t>
            </w:r>
            <w:r w:rsidRPr="004E3894">
              <w:t>Professional Services Review Panel</w:t>
            </w:r>
            <w:r w:rsidR="00587AB6" w:rsidRPr="004E3894">
              <w:t xml:space="preserve">; </w:t>
            </w:r>
            <w:r w:rsidRPr="004E3894">
              <w:t xml:space="preserve">Member of </w:t>
            </w:r>
            <w:r w:rsidR="00587AB6" w:rsidRPr="004E3894">
              <w:t xml:space="preserve">the </w:t>
            </w:r>
            <w:r w:rsidRPr="004E3894">
              <w:t>Australian Health Pr</w:t>
            </w:r>
            <w:r w:rsidR="005C1230" w:rsidRPr="004E3894">
              <w:t>actitioner Regulation Agency (AH</w:t>
            </w:r>
            <w:r w:rsidRPr="004E3894">
              <w:t>PRA) panel</w:t>
            </w:r>
          </w:p>
        </w:tc>
      </w:tr>
      <w:tr w:rsidR="00862251" w:rsidRPr="004E3894" w14:paraId="44FB018F" w14:textId="77777777" w:rsidTr="00011713">
        <w:tc>
          <w:tcPr>
            <w:tcW w:w="1633" w:type="dxa"/>
          </w:tcPr>
          <w:p w14:paraId="0535A721" w14:textId="77777777" w:rsidR="00862251" w:rsidRPr="004E3894" w:rsidRDefault="00AC3C6B" w:rsidP="00975E91">
            <w:pPr>
              <w:pStyle w:val="Tabletext"/>
            </w:pPr>
            <w:r w:rsidRPr="004E3894">
              <w:t>Dr</w:t>
            </w:r>
            <w:r w:rsidR="00862251" w:rsidRPr="004E3894">
              <w:t xml:space="preserve"> Stephen De Graaff</w:t>
            </w:r>
          </w:p>
        </w:tc>
        <w:tc>
          <w:tcPr>
            <w:tcW w:w="4032" w:type="dxa"/>
          </w:tcPr>
          <w:p w14:paraId="76595CAD" w14:textId="77777777" w:rsidR="00862251" w:rsidRPr="004E3894" w:rsidRDefault="00862251" w:rsidP="00975E91">
            <w:pPr>
              <w:pStyle w:val="Tabletext"/>
            </w:pPr>
            <w:r w:rsidRPr="004E3894">
              <w:t>Senior Rehabilitation Physician and Director of Pain Services, Epworth HealthCare</w:t>
            </w:r>
            <w:r w:rsidR="00932B93" w:rsidRPr="004E3894">
              <w:t xml:space="preserve">; </w:t>
            </w:r>
            <w:r w:rsidRPr="004E3894">
              <w:t>Past President, Australasian Faculty of Rehabili</w:t>
            </w:r>
            <w:r w:rsidR="00317932" w:rsidRPr="004E3894">
              <w:t>tation Medicine, Royal Australian College of Physicians (RACP)</w:t>
            </w:r>
          </w:p>
        </w:tc>
        <w:tc>
          <w:tcPr>
            <w:tcW w:w="2835" w:type="dxa"/>
          </w:tcPr>
          <w:p w14:paraId="5D4541D2" w14:textId="77777777" w:rsidR="00862251" w:rsidRPr="004E3894" w:rsidRDefault="00932B93" w:rsidP="00975E91">
            <w:pPr>
              <w:pStyle w:val="Tabletext"/>
            </w:pPr>
            <w:r w:rsidRPr="004E3894">
              <w:t>Wife is an allied health p</w:t>
            </w:r>
            <w:r w:rsidR="00862251" w:rsidRPr="004E3894">
              <w:t>rofessional</w:t>
            </w:r>
          </w:p>
        </w:tc>
      </w:tr>
      <w:tr w:rsidR="00862251" w:rsidRPr="004E3894" w14:paraId="6B40476E" w14:textId="77777777" w:rsidTr="00011713">
        <w:tc>
          <w:tcPr>
            <w:tcW w:w="1633" w:type="dxa"/>
          </w:tcPr>
          <w:p w14:paraId="47AE6BE3" w14:textId="27C7DA89" w:rsidR="00862251" w:rsidRPr="004E3894" w:rsidRDefault="00AC3C6B" w:rsidP="00975E91">
            <w:pPr>
              <w:pStyle w:val="Tabletext"/>
            </w:pPr>
            <w:r w:rsidRPr="004E3894">
              <w:t>Dr</w:t>
            </w:r>
            <w:r w:rsidR="00862251" w:rsidRPr="004E3894">
              <w:t xml:space="preserve"> Katie Ellard</w:t>
            </w:r>
          </w:p>
        </w:tc>
        <w:tc>
          <w:tcPr>
            <w:tcW w:w="4032" w:type="dxa"/>
          </w:tcPr>
          <w:p w14:paraId="096DC134" w14:textId="77777777" w:rsidR="00862251" w:rsidRPr="004E3894" w:rsidRDefault="001A2221" w:rsidP="00975E91">
            <w:pPr>
              <w:pStyle w:val="Tabletext"/>
            </w:pPr>
            <w:r w:rsidRPr="004E3894">
              <w:t xml:space="preserve">Gastroenterologist; </w:t>
            </w:r>
            <w:r w:rsidR="00862251" w:rsidRPr="004E3894">
              <w:t>Private practice in Sydney</w:t>
            </w:r>
            <w:r w:rsidRPr="004E3894">
              <w:t xml:space="preserve">; </w:t>
            </w:r>
            <w:r w:rsidR="009E2C8A" w:rsidRPr="004E3894">
              <w:t>Part of the MBS R</w:t>
            </w:r>
            <w:r w:rsidR="00862251" w:rsidRPr="004E3894">
              <w:t xml:space="preserve">eview for Gastroenterology </w:t>
            </w:r>
          </w:p>
        </w:tc>
        <w:tc>
          <w:tcPr>
            <w:tcW w:w="2835" w:type="dxa"/>
          </w:tcPr>
          <w:p w14:paraId="5299A448" w14:textId="77777777" w:rsidR="00862251" w:rsidRPr="004E3894" w:rsidRDefault="00862251" w:rsidP="00975E91">
            <w:pPr>
              <w:pStyle w:val="Tabletext"/>
            </w:pPr>
            <w:r w:rsidRPr="004E3894">
              <w:t>None</w:t>
            </w:r>
          </w:p>
        </w:tc>
      </w:tr>
      <w:tr w:rsidR="00862251" w:rsidRPr="004E3894" w14:paraId="6190A68C" w14:textId="77777777" w:rsidTr="00011713">
        <w:tc>
          <w:tcPr>
            <w:tcW w:w="1633" w:type="dxa"/>
          </w:tcPr>
          <w:p w14:paraId="7381FC90" w14:textId="388F496E" w:rsidR="00862251" w:rsidRPr="004E3894" w:rsidRDefault="00862251" w:rsidP="00975E91">
            <w:pPr>
              <w:pStyle w:val="Tabletext"/>
            </w:pPr>
            <w:r w:rsidRPr="004E3894">
              <w:t>Prof. Elizabeth Elliott</w:t>
            </w:r>
            <w:r w:rsidR="00BD189B" w:rsidRPr="004E3894">
              <w:t xml:space="preserve"> AM</w:t>
            </w:r>
          </w:p>
        </w:tc>
        <w:tc>
          <w:tcPr>
            <w:tcW w:w="4032" w:type="dxa"/>
          </w:tcPr>
          <w:p w14:paraId="5CC31559" w14:textId="77777777" w:rsidR="00862251" w:rsidRPr="004E3894" w:rsidRDefault="003E5CE1" w:rsidP="00975E91">
            <w:pPr>
              <w:pStyle w:val="Tabletext"/>
            </w:pPr>
            <w:r w:rsidRPr="004E3894">
              <w:t>Clinical A</w:t>
            </w:r>
            <w:r w:rsidR="00862251" w:rsidRPr="004E3894">
              <w:t>cademic at the University of Sydney</w:t>
            </w:r>
            <w:r w:rsidRPr="004E3894">
              <w:t>; Consultant P</w:t>
            </w:r>
            <w:r w:rsidR="007E508F" w:rsidRPr="004E3894">
              <w:t>aediatrician Sydney</w:t>
            </w:r>
            <w:r w:rsidR="00862251" w:rsidRPr="004E3894">
              <w:t xml:space="preserve"> Children’s Hospital </w:t>
            </w:r>
            <w:r w:rsidR="007E508F" w:rsidRPr="004E3894">
              <w:t>Network (</w:t>
            </w:r>
            <w:r w:rsidR="00862251" w:rsidRPr="004E3894">
              <w:t>Westmead</w:t>
            </w:r>
            <w:r w:rsidR="007E508F" w:rsidRPr="004E3894">
              <w:t>)</w:t>
            </w:r>
            <w:r w:rsidRPr="004E3894">
              <w:t>;</w:t>
            </w:r>
            <w:r w:rsidR="00862251" w:rsidRPr="004E3894">
              <w:t xml:space="preserve"> </w:t>
            </w:r>
            <w:r w:rsidRPr="004E3894">
              <w:t>R</w:t>
            </w:r>
            <w:r w:rsidR="007747F4" w:rsidRPr="004E3894">
              <w:t>ecent research focus on f</w:t>
            </w:r>
            <w:r w:rsidR="00862251" w:rsidRPr="004E3894">
              <w:t>etal alcohol spectrum disorders</w:t>
            </w:r>
          </w:p>
        </w:tc>
        <w:tc>
          <w:tcPr>
            <w:tcW w:w="2835" w:type="dxa"/>
          </w:tcPr>
          <w:p w14:paraId="4316ED0B" w14:textId="77777777" w:rsidR="00862251" w:rsidRPr="004E3894" w:rsidRDefault="00862251" w:rsidP="00975E91">
            <w:pPr>
              <w:pStyle w:val="Tabletext"/>
            </w:pPr>
            <w:r w:rsidRPr="004E3894">
              <w:t>None</w:t>
            </w:r>
          </w:p>
        </w:tc>
      </w:tr>
      <w:tr w:rsidR="00862251" w:rsidRPr="004E3894" w14:paraId="59046F00" w14:textId="77777777" w:rsidTr="00011713">
        <w:tc>
          <w:tcPr>
            <w:tcW w:w="1633" w:type="dxa"/>
          </w:tcPr>
          <w:p w14:paraId="3B323CE4" w14:textId="78608FEF" w:rsidR="00862251" w:rsidRPr="004E3894" w:rsidRDefault="00AC3C6B" w:rsidP="00975E91">
            <w:pPr>
              <w:pStyle w:val="Tabletext"/>
            </w:pPr>
            <w:r w:rsidRPr="004E3894">
              <w:t>Mr</w:t>
            </w:r>
            <w:r w:rsidR="00862251" w:rsidRPr="004E3894">
              <w:t xml:space="preserve"> Adam Friederich</w:t>
            </w:r>
          </w:p>
        </w:tc>
        <w:tc>
          <w:tcPr>
            <w:tcW w:w="4032" w:type="dxa"/>
          </w:tcPr>
          <w:p w14:paraId="1156BCE4" w14:textId="77777777" w:rsidR="00862251" w:rsidRPr="004E3894" w:rsidRDefault="000C182E" w:rsidP="00975E91">
            <w:pPr>
              <w:pStyle w:val="Tabletext"/>
            </w:pPr>
            <w:r w:rsidRPr="004E3894">
              <w:t>Consumer R</w:t>
            </w:r>
            <w:r w:rsidR="00862251" w:rsidRPr="004E3894">
              <w:t>epresentative</w:t>
            </w:r>
            <w:r w:rsidRPr="004E3894">
              <w:t xml:space="preserve">; </w:t>
            </w:r>
            <w:r w:rsidR="00862251" w:rsidRPr="004E3894">
              <w:t>Works in Australian Public Service</w:t>
            </w:r>
            <w:r w:rsidRPr="004E3894">
              <w:t xml:space="preserve">; </w:t>
            </w:r>
            <w:r w:rsidR="00862251" w:rsidRPr="004E3894">
              <w:t>Strong interest in health consumer issues</w:t>
            </w:r>
            <w:r w:rsidRPr="004E3894">
              <w:t xml:space="preserve">; </w:t>
            </w:r>
            <w:r w:rsidR="00862251" w:rsidRPr="004E3894">
              <w:t>Served o</w:t>
            </w:r>
            <w:r w:rsidRPr="004E3894">
              <w:t>n other committees for the MBS R</w:t>
            </w:r>
            <w:r w:rsidR="00862251" w:rsidRPr="004E3894">
              <w:t>eview</w:t>
            </w:r>
          </w:p>
        </w:tc>
        <w:tc>
          <w:tcPr>
            <w:tcW w:w="2835" w:type="dxa"/>
          </w:tcPr>
          <w:p w14:paraId="479923EF" w14:textId="77777777" w:rsidR="00862251" w:rsidRPr="004E3894" w:rsidRDefault="00862251" w:rsidP="00975E91">
            <w:pPr>
              <w:pStyle w:val="Tabletext"/>
            </w:pPr>
            <w:r w:rsidRPr="004E3894">
              <w:t>None</w:t>
            </w:r>
          </w:p>
        </w:tc>
      </w:tr>
      <w:tr w:rsidR="00862251" w:rsidRPr="004E3894" w14:paraId="60C9BCBB" w14:textId="77777777" w:rsidTr="00011713">
        <w:trPr>
          <w:trHeight w:val="1182"/>
        </w:trPr>
        <w:tc>
          <w:tcPr>
            <w:tcW w:w="1633" w:type="dxa"/>
          </w:tcPr>
          <w:p w14:paraId="532B5DE3" w14:textId="2CAE8FE0" w:rsidR="00862251" w:rsidRPr="004E3894" w:rsidRDefault="00AC3C6B" w:rsidP="00975E91">
            <w:pPr>
              <w:pStyle w:val="Tabletext"/>
            </w:pPr>
            <w:r w:rsidRPr="004E3894">
              <w:t>Dr</w:t>
            </w:r>
            <w:r w:rsidR="00862251" w:rsidRPr="004E3894">
              <w:t xml:space="preserve"> Chris Hayes</w:t>
            </w:r>
          </w:p>
        </w:tc>
        <w:tc>
          <w:tcPr>
            <w:tcW w:w="4032" w:type="dxa"/>
          </w:tcPr>
          <w:p w14:paraId="41BDB803" w14:textId="77777777" w:rsidR="00862251" w:rsidRPr="004E3894" w:rsidRDefault="00862251" w:rsidP="00975E91">
            <w:pPr>
              <w:pStyle w:val="Tabletext"/>
            </w:pPr>
            <w:r w:rsidRPr="004E3894">
              <w:t>Director of Hunter Integrated Pain Se</w:t>
            </w:r>
            <w:r w:rsidR="00327A7E" w:rsidRPr="004E3894">
              <w:t>rvice based at the John Hunter H</w:t>
            </w:r>
            <w:r w:rsidRPr="004E3894">
              <w:t>ospital</w:t>
            </w:r>
            <w:r w:rsidR="00D93ED1" w:rsidRPr="004E3894">
              <w:t xml:space="preserve">; </w:t>
            </w:r>
            <w:r w:rsidRPr="004E3894">
              <w:t>Immediate past Dean, Faculty of Pain Medicine Australian and New Zealand College of Anaesthetists</w:t>
            </w:r>
          </w:p>
        </w:tc>
        <w:tc>
          <w:tcPr>
            <w:tcW w:w="2835" w:type="dxa"/>
          </w:tcPr>
          <w:p w14:paraId="2649302C" w14:textId="77777777" w:rsidR="00862251" w:rsidRPr="004E3894" w:rsidRDefault="00331C02" w:rsidP="00975E91">
            <w:pPr>
              <w:pStyle w:val="Tabletext"/>
            </w:pPr>
            <w:r w:rsidRPr="004E3894">
              <w:t>Member of</w:t>
            </w:r>
            <w:r w:rsidR="00862251" w:rsidRPr="004E3894">
              <w:t xml:space="preserve"> the Australian Advisory Council on Medicinal Use of Cannabis (AACMC)</w:t>
            </w:r>
          </w:p>
        </w:tc>
      </w:tr>
      <w:tr w:rsidR="00862251" w:rsidRPr="004E3894" w14:paraId="4CC79AA8" w14:textId="77777777" w:rsidTr="00011713">
        <w:tc>
          <w:tcPr>
            <w:tcW w:w="1633" w:type="dxa"/>
          </w:tcPr>
          <w:p w14:paraId="4155E2AA" w14:textId="64DC8A87" w:rsidR="00862251" w:rsidRPr="004E3894" w:rsidRDefault="00862251" w:rsidP="00975E91">
            <w:pPr>
              <w:pStyle w:val="Tabletext"/>
            </w:pPr>
            <w:r w:rsidRPr="004E3894">
              <w:t xml:space="preserve">Ms Debra Kay </w:t>
            </w:r>
          </w:p>
        </w:tc>
        <w:tc>
          <w:tcPr>
            <w:tcW w:w="4032" w:type="dxa"/>
          </w:tcPr>
          <w:p w14:paraId="16E5685B" w14:textId="77777777" w:rsidR="00862251" w:rsidRPr="004E3894" w:rsidRDefault="00F6065B" w:rsidP="00975E91">
            <w:pPr>
              <w:pStyle w:val="Tabletext"/>
            </w:pPr>
            <w:r w:rsidRPr="004E3894">
              <w:t>Consumer M</w:t>
            </w:r>
            <w:r w:rsidR="00862251" w:rsidRPr="004E3894">
              <w:t>ember, Medical Services Advisory Committee (MSAC) and Health Technology Assessment Consumer Consultative Committee (CCC)</w:t>
            </w:r>
            <w:r w:rsidRPr="004E3894">
              <w:t xml:space="preserve">; </w:t>
            </w:r>
            <w:r w:rsidR="00862251" w:rsidRPr="004E3894">
              <w:t>Chair</w:t>
            </w:r>
            <w:r w:rsidRPr="004E3894">
              <w:t>,</w:t>
            </w:r>
            <w:r w:rsidR="00862251" w:rsidRPr="004E3894">
              <w:t xml:space="preserve"> MBS Review Consumer Panel</w:t>
            </w:r>
            <w:r w:rsidRPr="004E3894">
              <w:t>; Member of</w:t>
            </w:r>
            <w:r w:rsidR="00A16D59" w:rsidRPr="004E3894">
              <w:t xml:space="preserve"> the </w:t>
            </w:r>
            <w:r w:rsidR="00862251" w:rsidRPr="004E3894">
              <w:t>MBS Review Principles and Rules Committee</w:t>
            </w:r>
          </w:p>
        </w:tc>
        <w:tc>
          <w:tcPr>
            <w:tcW w:w="2835" w:type="dxa"/>
          </w:tcPr>
          <w:p w14:paraId="79E1214E" w14:textId="77777777" w:rsidR="00862251" w:rsidRPr="004E3894" w:rsidRDefault="00862251" w:rsidP="00975E91">
            <w:pPr>
              <w:pStyle w:val="Tabletext"/>
            </w:pPr>
            <w:r w:rsidRPr="004E3894">
              <w:t>None</w:t>
            </w:r>
          </w:p>
        </w:tc>
      </w:tr>
      <w:tr w:rsidR="00862251" w:rsidRPr="004E3894" w14:paraId="556BF0B5" w14:textId="77777777" w:rsidTr="00011713">
        <w:tc>
          <w:tcPr>
            <w:tcW w:w="1633" w:type="dxa"/>
          </w:tcPr>
          <w:p w14:paraId="2084F979" w14:textId="77777777" w:rsidR="00862251" w:rsidRPr="004E3894" w:rsidRDefault="00AC3C6B" w:rsidP="00975E91">
            <w:pPr>
              <w:pStyle w:val="Tabletext"/>
            </w:pPr>
            <w:r w:rsidRPr="004E3894">
              <w:t>Dr</w:t>
            </w:r>
            <w:r w:rsidR="00862251" w:rsidRPr="004E3894">
              <w:t xml:space="preserve"> John North</w:t>
            </w:r>
          </w:p>
        </w:tc>
        <w:tc>
          <w:tcPr>
            <w:tcW w:w="4032" w:type="dxa"/>
          </w:tcPr>
          <w:p w14:paraId="286353A7" w14:textId="77777777" w:rsidR="00862251" w:rsidRPr="004E3894" w:rsidRDefault="00690FC3" w:rsidP="00975E91">
            <w:pPr>
              <w:pStyle w:val="Tabletext"/>
            </w:pPr>
            <w:r w:rsidRPr="004E3894">
              <w:t>Senior Visiting Orthopaedic S</w:t>
            </w:r>
            <w:r w:rsidR="00862251" w:rsidRPr="004E3894">
              <w:t>urgeon</w:t>
            </w:r>
            <w:r w:rsidRPr="004E3894">
              <w:t>;</w:t>
            </w:r>
            <w:r w:rsidR="00862251" w:rsidRPr="004E3894">
              <w:t xml:space="preserve"> Princess Alexandra Hospital</w:t>
            </w:r>
            <w:r w:rsidRPr="004E3894">
              <w:t>,</w:t>
            </w:r>
            <w:r w:rsidR="00862251" w:rsidRPr="004E3894">
              <w:t xml:space="preserve"> Brisbane</w:t>
            </w:r>
            <w:r w:rsidRPr="004E3894">
              <w:t>;</w:t>
            </w:r>
            <w:r w:rsidR="00862251" w:rsidRPr="004E3894">
              <w:t xml:space="preserve"> </w:t>
            </w:r>
            <w:r w:rsidRPr="004E3894">
              <w:t>Senior Visiting Orthopaedic S</w:t>
            </w:r>
            <w:r w:rsidR="00862251" w:rsidRPr="004E3894">
              <w:t>urgeon (Telehealth)</w:t>
            </w:r>
            <w:r w:rsidRPr="004E3894">
              <w:t>,</w:t>
            </w:r>
            <w:r w:rsidR="00862251" w:rsidRPr="004E3894">
              <w:t xml:space="preserve"> Mt Isa Hospital and NWHHS</w:t>
            </w:r>
            <w:r w:rsidRPr="004E3894">
              <w:t xml:space="preserve">; </w:t>
            </w:r>
            <w:r w:rsidR="00862251" w:rsidRPr="004E3894">
              <w:t>Chair of the MBS Review Orthopaedic Committee</w:t>
            </w:r>
          </w:p>
        </w:tc>
        <w:tc>
          <w:tcPr>
            <w:tcW w:w="2835" w:type="dxa"/>
          </w:tcPr>
          <w:p w14:paraId="058CE618" w14:textId="77777777" w:rsidR="00862251" w:rsidRPr="004E3894" w:rsidRDefault="00862251" w:rsidP="00975E91">
            <w:pPr>
              <w:pStyle w:val="Tabletext"/>
            </w:pPr>
            <w:r w:rsidRPr="004E3894">
              <w:t>Panel member for the Australian Health Practitioner Regulation Agency (AHPRA)</w:t>
            </w:r>
          </w:p>
          <w:p w14:paraId="0963D195" w14:textId="77777777" w:rsidR="00862251" w:rsidRPr="004E3894" w:rsidRDefault="00862251" w:rsidP="00975E91">
            <w:pPr>
              <w:pStyle w:val="Tabletext"/>
            </w:pPr>
          </w:p>
        </w:tc>
      </w:tr>
      <w:tr w:rsidR="00862251" w:rsidRPr="004E3894" w14:paraId="5D159F0D" w14:textId="77777777" w:rsidTr="00011713">
        <w:tc>
          <w:tcPr>
            <w:tcW w:w="1633" w:type="dxa"/>
          </w:tcPr>
          <w:p w14:paraId="28FE36B5" w14:textId="77777777" w:rsidR="00862251" w:rsidRPr="004E3894" w:rsidRDefault="00862251" w:rsidP="00975E91">
            <w:pPr>
              <w:pStyle w:val="Tabletext"/>
            </w:pPr>
            <w:r w:rsidRPr="004E3894">
              <w:t xml:space="preserve">Prof. Graeme Samuel </w:t>
            </w:r>
          </w:p>
        </w:tc>
        <w:tc>
          <w:tcPr>
            <w:tcW w:w="4032" w:type="dxa"/>
          </w:tcPr>
          <w:p w14:paraId="3B858742" w14:textId="77777777" w:rsidR="00862251" w:rsidRPr="004E3894" w:rsidRDefault="00862251" w:rsidP="00975E91">
            <w:pPr>
              <w:pStyle w:val="Tabletext"/>
            </w:pPr>
            <w:r w:rsidRPr="004E3894">
              <w:t>Professional Fellow in Monash University’s Business School and School of Public Health and Preventative Medicine</w:t>
            </w:r>
            <w:r w:rsidR="00BD7FBD" w:rsidRPr="004E3894">
              <w:t xml:space="preserve">; </w:t>
            </w:r>
            <w:r w:rsidRPr="004E3894">
              <w:t>Non-clinician</w:t>
            </w:r>
          </w:p>
        </w:tc>
        <w:tc>
          <w:tcPr>
            <w:tcW w:w="2835" w:type="dxa"/>
          </w:tcPr>
          <w:p w14:paraId="0CA2D016" w14:textId="77777777" w:rsidR="00862251" w:rsidRPr="004E3894" w:rsidRDefault="00103D46" w:rsidP="00975E91">
            <w:pPr>
              <w:pStyle w:val="Tabletext"/>
            </w:pPr>
            <w:r w:rsidRPr="004E3894">
              <w:t>Member of the sub-committee on Specialist out-of-pocket fees; Chair of South East Melbourne Primary Health Network; Chair of Dementia Australia; Director and Minority Shareholder of Mupharma Pty Ltd; Chair of Lorica Health Pty Ltd.</w:t>
            </w:r>
          </w:p>
        </w:tc>
      </w:tr>
      <w:tr w:rsidR="00862251" w:rsidRPr="004E3894" w14:paraId="1956B46C" w14:textId="77777777" w:rsidTr="00011713">
        <w:tc>
          <w:tcPr>
            <w:tcW w:w="1633" w:type="dxa"/>
          </w:tcPr>
          <w:p w14:paraId="2183A55E" w14:textId="77777777" w:rsidR="00862251" w:rsidRPr="004E3894" w:rsidRDefault="00862251" w:rsidP="00975E91">
            <w:pPr>
              <w:pStyle w:val="Tabletext"/>
            </w:pPr>
            <w:r w:rsidRPr="004E3894">
              <w:t>Prof. David Story</w:t>
            </w:r>
          </w:p>
        </w:tc>
        <w:tc>
          <w:tcPr>
            <w:tcW w:w="4032" w:type="dxa"/>
          </w:tcPr>
          <w:p w14:paraId="526BD35A" w14:textId="77777777" w:rsidR="00862251" w:rsidRPr="004E3894" w:rsidRDefault="00862251" w:rsidP="00975E91">
            <w:pPr>
              <w:pStyle w:val="Tabletext"/>
            </w:pPr>
            <w:r w:rsidRPr="004E3894">
              <w:t>Professor and Chair of Anaesthesia, University of Melbourne</w:t>
            </w:r>
            <w:r w:rsidR="00B27AC3" w:rsidRPr="004E3894">
              <w:t xml:space="preserve">; </w:t>
            </w:r>
            <w:r w:rsidRPr="004E3894">
              <w:t>Staff Anaesthetist</w:t>
            </w:r>
            <w:r w:rsidR="00B27AC3" w:rsidRPr="004E3894">
              <w:t>,</w:t>
            </w:r>
            <w:r w:rsidRPr="004E3894">
              <w:t xml:space="preserve"> Austin Hospital, Melbourne</w:t>
            </w:r>
            <w:r w:rsidR="00B27AC3" w:rsidRPr="004E3894">
              <w:t>; Part of the MBS R</w:t>
            </w:r>
            <w:r w:rsidRPr="004E3894">
              <w:t>eview for Urology</w:t>
            </w:r>
          </w:p>
        </w:tc>
        <w:tc>
          <w:tcPr>
            <w:tcW w:w="2835" w:type="dxa"/>
          </w:tcPr>
          <w:p w14:paraId="0D97F31F" w14:textId="77777777" w:rsidR="00862251" w:rsidRPr="004E3894" w:rsidRDefault="00862251" w:rsidP="00975E91">
            <w:pPr>
              <w:pStyle w:val="Tabletext"/>
            </w:pPr>
            <w:r w:rsidRPr="004E3894">
              <w:t>None</w:t>
            </w:r>
          </w:p>
        </w:tc>
      </w:tr>
      <w:tr w:rsidR="003367BD" w:rsidRPr="004E3894" w14:paraId="5DD9F4D7" w14:textId="77777777" w:rsidTr="00011713">
        <w:tc>
          <w:tcPr>
            <w:tcW w:w="1633" w:type="dxa"/>
          </w:tcPr>
          <w:p w14:paraId="2E5443A4" w14:textId="77777777" w:rsidR="003367BD" w:rsidRPr="004E3894" w:rsidRDefault="003367BD" w:rsidP="00975E91">
            <w:pPr>
              <w:pStyle w:val="Tabletext"/>
            </w:pPr>
            <w:r w:rsidRPr="004E3894">
              <w:t>Prof. Nick Talley (Ex-Officio)</w:t>
            </w:r>
          </w:p>
        </w:tc>
        <w:tc>
          <w:tcPr>
            <w:tcW w:w="4032" w:type="dxa"/>
          </w:tcPr>
          <w:p w14:paraId="71B3AB17" w14:textId="77777777" w:rsidR="003367BD" w:rsidRPr="004E3894" w:rsidRDefault="003367BD" w:rsidP="00975E91">
            <w:pPr>
              <w:pStyle w:val="Tabletext"/>
            </w:pPr>
            <w:r w:rsidRPr="004E3894">
              <w:t>Senior Specialist Gastroenterologist at the John Hunter</w:t>
            </w:r>
          </w:p>
        </w:tc>
        <w:tc>
          <w:tcPr>
            <w:tcW w:w="2835" w:type="dxa"/>
          </w:tcPr>
          <w:p w14:paraId="14B77A42" w14:textId="77777777" w:rsidR="003367BD" w:rsidRPr="004E3894" w:rsidRDefault="003367BD" w:rsidP="00975E91">
            <w:pPr>
              <w:pStyle w:val="Tabletext"/>
            </w:pPr>
            <w:r w:rsidRPr="004E3894">
              <w:t xml:space="preserve">MBS Taskforce; </w:t>
            </w:r>
            <w:r w:rsidR="00307DF1" w:rsidRPr="004E3894">
              <w:t>The Medical Journal of Australia (</w:t>
            </w:r>
            <w:r w:rsidRPr="004E3894">
              <w:t>MJA</w:t>
            </w:r>
            <w:r w:rsidR="00307DF1" w:rsidRPr="004E3894">
              <w:t>)</w:t>
            </w:r>
            <w:r w:rsidRPr="004E3894">
              <w:t xml:space="preserve"> Editor;</w:t>
            </w:r>
            <w:r w:rsidR="00307DF1" w:rsidRPr="004E3894">
              <w:t xml:space="preserve"> Gastroenterological Society of Australia (GESA) </w:t>
            </w:r>
            <w:r w:rsidRPr="004E3894">
              <w:t>Board Member</w:t>
            </w:r>
          </w:p>
        </w:tc>
      </w:tr>
      <w:tr w:rsidR="00862251" w:rsidRPr="004E3894" w14:paraId="2429727E" w14:textId="77777777" w:rsidTr="00011713">
        <w:trPr>
          <w:trHeight w:val="351"/>
        </w:trPr>
        <w:tc>
          <w:tcPr>
            <w:tcW w:w="1633" w:type="dxa"/>
          </w:tcPr>
          <w:p w14:paraId="0D92C529" w14:textId="77777777" w:rsidR="00862251" w:rsidRPr="004E3894" w:rsidRDefault="007046FD" w:rsidP="00975E91">
            <w:pPr>
              <w:pStyle w:val="Tabletext"/>
            </w:pPr>
            <w:r w:rsidRPr="004E3894">
              <w:t>Dr</w:t>
            </w:r>
            <w:r w:rsidR="00862251" w:rsidRPr="004E3894">
              <w:t xml:space="preserve"> Julie Thompson</w:t>
            </w:r>
          </w:p>
        </w:tc>
        <w:tc>
          <w:tcPr>
            <w:tcW w:w="4032" w:type="dxa"/>
          </w:tcPr>
          <w:p w14:paraId="52A25C55" w14:textId="77777777" w:rsidR="00862251" w:rsidRPr="004E3894" w:rsidRDefault="00862251" w:rsidP="00975E91">
            <w:pPr>
              <w:pStyle w:val="Tabletext"/>
            </w:pPr>
            <w:r w:rsidRPr="004E3894">
              <w:t>General Practitioner in Victoria</w:t>
            </w:r>
          </w:p>
        </w:tc>
        <w:tc>
          <w:tcPr>
            <w:tcW w:w="2835" w:type="dxa"/>
          </w:tcPr>
          <w:p w14:paraId="39BD09B0" w14:textId="77777777" w:rsidR="00862251" w:rsidRPr="004E3894" w:rsidRDefault="00862251" w:rsidP="00975E91">
            <w:pPr>
              <w:pStyle w:val="Tabletext"/>
            </w:pPr>
            <w:r w:rsidRPr="004E3894">
              <w:t>None</w:t>
            </w:r>
          </w:p>
        </w:tc>
      </w:tr>
      <w:tr w:rsidR="00862251" w:rsidRPr="004E3894" w14:paraId="02FA0081" w14:textId="77777777" w:rsidTr="00011713">
        <w:tc>
          <w:tcPr>
            <w:tcW w:w="1633" w:type="dxa"/>
          </w:tcPr>
          <w:p w14:paraId="315F2C0D" w14:textId="3E6F210F" w:rsidR="00862251" w:rsidRPr="004E3894" w:rsidRDefault="007747F4" w:rsidP="00975E91">
            <w:pPr>
              <w:pStyle w:val="Tabletext"/>
            </w:pPr>
            <w:r w:rsidRPr="004E3894">
              <w:t>Prof. David Watters</w:t>
            </w:r>
          </w:p>
        </w:tc>
        <w:tc>
          <w:tcPr>
            <w:tcW w:w="4032" w:type="dxa"/>
          </w:tcPr>
          <w:p w14:paraId="2B29CC3C" w14:textId="77777777" w:rsidR="00862251" w:rsidRPr="004E3894" w:rsidRDefault="00862251" w:rsidP="00975E91">
            <w:pPr>
              <w:pStyle w:val="Tabletext"/>
            </w:pPr>
            <w:r w:rsidRPr="004E3894">
              <w:t>Chair of Surgical and Critical Care Program</w:t>
            </w:r>
            <w:r w:rsidR="00630271" w:rsidRPr="004E3894">
              <w:t>me</w:t>
            </w:r>
            <w:r w:rsidRPr="004E3894">
              <w:t xml:space="preserve"> Safety and Quality Committee</w:t>
            </w:r>
            <w:r w:rsidR="00146A89" w:rsidRPr="004E3894">
              <w:t xml:space="preserve">; </w:t>
            </w:r>
            <w:r w:rsidRPr="004E3894">
              <w:t>General and Endocrine Surgeo</w:t>
            </w:r>
            <w:r w:rsidR="00146A89" w:rsidRPr="004E3894">
              <w:t>n at University Hospital</w:t>
            </w:r>
            <w:r w:rsidRPr="004E3894">
              <w:t xml:space="preserve"> and St John of God Hospital</w:t>
            </w:r>
            <w:r w:rsidR="00146A89" w:rsidRPr="004E3894">
              <w:t>,</w:t>
            </w:r>
            <w:r w:rsidRPr="004E3894">
              <w:t xml:space="preserve"> Geelong</w:t>
            </w:r>
            <w:r w:rsidR="00146A89" w:rsidRPr="004E3894">
              <w:t xml:space="preserve">; </w:t>
            </w:r>
            <w:r w:rsidRPr="004E3894">
              <w:t>Professor of Surgery, Deakin University</w:t>
            </w:r>
          </w:p>
        </w:tc>
        <w:tc>
          <w:tcPr>
            <w:tcW w:w="2835" w:type="dxa"/>
          </w:tcPr>
          <w:p w14:paraId="7D8CE7A5" w14:textId="77777777" w:rsidR="00862251" w:rsidRPr="004E3894" w:rsidRDefault="00862251" w:rsidP="00975E91">
            <w:pPr>
              <w:pStyle w:val="Tabletext"/>
            </w:pPr>
            <w:r w:rsidRPr="004E3894">
              <w:t xml:space="preserve">Member of </w:t>
            </w:r>
            <w:r w:rsidR="006547EC" w:rsidRPr="004E3894">
              <w:t xml:space="preserve">the </w:t>
            </w:r>
            <w:r w:rsidRPr="004E3894">
              <w:t>Clinical Measurement and Reporting Group for the Victorian Agency of Health Information (VAHI)</w:t>
            </w:r>
            <w:r w:rsidR="003367BD" w:rsidRPr="004E3894">
              <w:t>;</w:t>
            </w:r>
          </w:p>
          <w:p w14:paraId="219F9A95" w14:textId="77777777" w:rsidR="003367BD" w:rsidRPr="004E3894" w:rsidRDefault="003367BD" w:rsidP="00975E91">
            <w:pPr>
              <w:pStyle w:val="Tabletext"/>
            </w:pPr>
            <w:r w:rsidRPr="004E3894">
              <w:t>Chair of the General Surgery Clinical Committee (GSCC) for the MBS Review</w:t>
            </w:r>
          </w:p>
        </w:tc>
      </w:tr>
    </w:tbl>
    <w:p w14:paraId="1B182E41" w14:textId="77777777" w:rsidR="00577C77" w:rsidRDefault="00577C77">
      <w:pPr>
        <w:spacing w:before="0" w:after="0"/>
        <w:rPr>
          <w:rFonts w:eastAsiaTheme="minorHAnsi" w:cs="Arial"/>
          <w:b/>
          <w:bCs/>
          <w:iCs/>
          <w:color w:val="01653F"/>
          <w:sz w:val="26"/>
          <w:szCs w:val="26"/>
          <w:lang w:val="en-GB" w:eastAsia="en-US"/>
        </w:rPr>
      </w:pPr>
      <w:bookmarkStart w:id="92" w:name="_Toc67952197"/>
      <w:r>
        <w:rPr>
          <w:lang w:val="en-GB"/>
        </w:rPr>
        <w:br w:type="page"/>
      </w:r>
    </w:p>
    <w:p w14:paraId="1C540485" w14:textId="56DA9879" w:rsidR="0036549D" w:rsidRDefault="0036549D" w:rsidP="00DF5455">
      <w:pPr>
        <w:pStyle w:val="Heading2"/>
        <w:rPr>
          <w:lang w:val="en-GB"/>
        </w:rPr>
      </w:pPr>
      <w:r>
        <w:rPr>
          <w:lang w:val="en-GB"/>
        </w:rPr>
        <w:t>Conflicts of interest</w:t>
      </w:r>
      <w:bookmarkEnd w:id="92"/>
    </w:p>
    <w:p w14:paraId="5E3E1D49" w14:textId="3479D5BF" w:rsidR="00E95CAB" w:rsidRPr="00C33C0B" w:rsidRDefault="00A44A70" w:rsidP="00A44A70">
      <w:pPr>
        <w:rPr>
          <w:lang w:val="en-GB"/>
        </w:rPr>
      </w:pPr>
      <w:r w:rsidRPr="00C33C0B">
        <w:rPr>
          <w:lang w:val="en-GB"/>
        </w:rPr>
        <w:t xml:space="preserve">All members of the Taskforce, </w:t>
      </w:r>
      <w:r w:rsidR="00AE2DEF">
        <w:rPr>
          <w:lang w:val="en-GB"/>
        </w:rPr>
        <w:t>c</w:t>
      </w:r>
      <w:r w:rsidRPr="00C33C0B">
        <w:rPr>
          <w:lang w:val="en-GB"/>
        </w:rPr>
        <w:t xml:space="preserve">linical </w:t>
      </w:r>
      <w:r w:rsidR="00AE2DEF">
        <w:rPr>
          <w:lang w:val="en-GB"/>
        </w:rPr>
        <w:t>c</w:t>
      </w:r>
      <w:r w:rsidRPr="00C33C0B">
        <w:rPr>
          <w:lang w:val="en-GB"/>
        </w:rPr>
        <w:t>ommittees</w:t>
      </w:r>
      <w:r w:rsidR="00713B32">
        <w:rPr>
          <w:lang w:val="en-GB"/>
        </w:rPr>
        <w:t xml:space="preserve"> and</w:t>
      </w:r>
      <w:r w:rsidR="00AE2DEF">
        <w:rPr>
          <w:lang w:val="en-GB"/>
        </w:rPr>
        <w:t xml:space="preserve"> working groups</w:t>
      </w:r>
      <w:r w:rsidRPr="00C33C0B">
        <w:rPr>
          <w:lang w:val="en-GB"/>
        </w:rPr>
        <w:t xml:space="preserve"> are asked to declare any conflicts of interest at the start of their involvement and reminded to update their declaration</w:t>
      </w:r>
      <w:r w:rsidR="00EA2E20">
        <w:rPr>
          <w:lang w:val="en-GB"/>
        </w:rPr>
        <w:t>s</w:t>
      </w:r>
      <w:r w:rsidRPr="00C33C0B">
        <w:rPr>
          <w:lang w:val="en-GB"/>
        </w:rPr>
        <w:t xml:space="preserve"> periodically.</w:t>
      </w:r>
      <w:r w:rsidR="00EA2E20">
        <w:rPr>
          <w:lang w:val="en-GB"/>
        </w:rPr>
        <w:t xml:space="preserve"> A complete list of declared conflicts of interest can be viewed in </w:t>
      </w:r>
      <w:r w:rsidR="00E37F45">
        <w:rPr>
          <w:lang w:val="en-GB"/>
        </w:rPr>
        <w:fldChar w:fldCharType="begin"/>
      </w:r>
      <w:r w:rsidR="00E37F45">
        <w:rPr>
          <w:lang w:val="en-GB"/>
        </w:rPr>
        <w:instrText xml:space="preserve"> REF _Ref68011982 \h </w:instrText>
      </w:r>
      <w:r w:rsidR="00E37F45">
        <w:rPr>
          <w:lang w:val="en-GB"/>
        </w:rPr>
      </w:r>
      <w:r w:rsidR="00E37F45">
        <w:rPr>
          <w:lang w:val="en-GB"/>
        </w:rPr>
        <w:fldChar w:fldCharType="separate"/>
      </w:r>
      <w:r w:rsidR="00832059">
        <w:t xml:space="preserve">Table </w:t>
      </w:r>
      <w:r w:rsidR="00832059">
        <w:rPr>
          <w:noProof/>
        </w:rPr>
        <w:t>1</w:t>
      </w:r>
      <w:r w:rsidR="00E37F45">
        <w:rPr>
          <w:lang w:val="en-GB"/>
        </w:rPr>
        <w:fldChar w:fldCharType="end"/>
      </w:r>
      <w:r w:rsidR="00EA2E20">
        <w:rPr>
          <w:lang w:val="en-GB"/>
        </w:rPr>
        <w:t>.</w:t>
      </w:r>
    </w:p>
    <w:p w14:paraId="0FF6517D" w14:textId="77777777" w:rsidR="00A44A70" w:rsidRPr="00A44A70" w:rsidRDefault="00E95CAB" w:rsidP="00A44A70">
      <w:pPr>
        <w:rPr>
          <w:lang w:val="en-GB" w:eastAsia="en-US"/>
        </w:rPr>
      </w:pPr>
      <w:r>
        <w:rPr>
          <w:lang w:val="en-GB" w:eastAsia="en-US"/>
        </w:rPr>
        <w:t>It is noted that the majority of Committee members</w:t>
      </w:r>
      <w:r w:rsidR="00185217">
        <w:rPr>
          <w:lang w:val="en-GB" w:eastAsia="en-US"/>
        </w:rPr>
        <w:t xml:space="preserve"> </w:t>
      </w:r>
      <w:r w:rsidR="00185217" w:rsidRPr="004D1B38">
        <w:t>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r w:rsidR="001B5822">
        <w:t>.</w:t>
      </w:r>
    </w:p>
    <w:p w14:paraId="77A0E553" w14:textId="523BC54B" w:rsidR="00A921C1" w:rsidRPr="00C33C0B" w:rsidRDefault="00A921C1" w:rsidP="003C5D5A">
      <w:pPr>
        <w:pStyle w:val="Heading2"/>
        <w:rPr>
          <w:lang w:val="en-GB"/>
        </w:rPr>
      </w:pPr>
      <w:bookmarkStart w:id="93" w:name="_Toc67952198"/>
      <w:r w:rsidRPr="00C33C0B">
        <w:rPr>
          <w:lang w:val="en-GB"/>
        </w:rPr>
        <w:t xml:space="preserve">Areas of responsibility of the </w:t>
      </w:r>
      <w:bookmarkEnd w:id="87"/>
      <w:bookmarkEnd w:id="88"/>
      <w:r w:rsidR="00D83272">
        <w:rPr>
          <w:lang w:val="en-GB"/>
        </w:rPr>
        <w:t>C</w:t>
      </w:r>
      <w:r w:rsidR="00961971">
        <w:rPr>
          <w:lang w:val="en-GB"/>
        </w:rPr>
        <w:t>ommittee</w:t>
      </w:r>
      <w:bookmarkEnd w:id="93"/>
    </w:p>
    <w:p w14:paraId="728A94D7" w14:textId="77777777" w:rsidR="00A921C1" w:rsidRPr="00C33C0B" w:rsidRDefault="00A921C1" w:rsidP="0065723A">
      <w:pPr>
        <w:rPr>
          <w:lang w:val="en-GB"/>
        </w:rPr>
      </w:pPr>
      <w:r w:rsidRPr="00C33C0B">
        <w:rPr>
          <w:lang w:val="en-GB"/>
        </w:rPr>
        <w:t xml:space="preserve">The Committee was assigned </w:t>
      </w:r>
      <w:r w:rsidR="00937CD1" w:rsidRPr="00C33C0B">
        <w:rPr>
          <w:lang w:val="en-GB"/>
        </w:rPr>
        <w:t>143</w:t>
      </w:r>
      <w:r w:rsidRPr="00C33C0B">
        <w:rPr>
          <w:lang w:val="en-GB"/>
        </w:rPr>
        <w:t xml:space="preserve"> MBS items</w:t>
      </w:r>
      <w:r w:rsidR="00194A25">
        <w:rPr>
          <w:lang w:val="en-GB"/>
        </w:rPr>
        <w:t xml:space="preserve"> to review</w:t>
      </w:r>
      <w:r w:rsidR="002154A4">
        <w:rPr>
          <w:lang w:val="en-GB"/>
        </w:rPr>
        <w:t>,</w:t>
      </w:r>
      <w:r w:rsidR="007219C3">
        <w:rPr>
          <w:lang w:val="en-GB"/>
        </w:rPr>
        <w:t xml:space="preserve"> cover</w:t>
      </w:r>
      <w:r w:rsidR="002154A4">
        <w:rPr>
          <w:lang w:val="en-GB"/>
        </w:rPr>
        <w:t>ing</w:t>
      </w:r>
      <w:r w:rsidR="008D50DA">
        <w:rPr>
          <w:lang w:val="en-GB"/>
        </w:rPr>
        <w:t xml:space="preserve"> the following</w:t>
      </w:r>
      <w:r w:rsidR="007219C3">
        <w:rPr>
          <w:lang w:val="en-GB"/>
        </w:rPr>
        <w:t>:</w:t>
      </w:r>
    </w:p>
    <w:p w14:paraId="497CE754" w14:textId="77777777" w:rsidR="00A921C1" w:rsidRPr="00C33C0B" w:rsidRDefault="00A921C1" w:rsidP="0065723A">
      <w:pPr>
        <w:pStyle w:val="Bullet-green"/>
        <w:rPr>
          <w:lang w:val="en-GB"/>
        </w:rPr>
      </w:pPr>
      <w:r w:rsidRPr="00C33C0B">
        <w:rPr>
          <w:lang w:val="en-GB"/>
        </w:rPr>
        <w:t xml:space="preserve">A3 </w:t>
      </w:r>
      <w:r w:rsidR="00054751">
        <w:rPr>
          <w:lang w:val="en-GB"/>
        </w:rPr>
        <w:t>s</w:t>
      </w:r>
      <w:r w:rsidRPr="00C33C0B">
        <w:rPr>
          <w:lang w:val="en-GB"/>
        </w:rPr>
        <w:t xml:space="preserve">pecialist </w:t>
      </w:r>
      <w:r w:rsidR="00054751">
        <w:rPr>
          <w:lang w:val="en-GB"/>
        </w:rPr>
        <w:t>a</w:t>
      </w:r>
      <w:r w:rsidR="002154A4">
        <w:rPr>
          <w:lang w:val="en-GB"/>
        </w:rPr>
        <w:t>ttendances</w:t>
      </w:r>
    </w:p>
    <w:p w14:paraId="57C358A8" w14:textId="77777777" w:rsidR="00A921C1" w:rsidRPr="00C33C0B" w:rsidRDefault="00A921C1" w:rsidP="0065723A">
      <w:pPr>
        <w:pStyle w:val="Bullet-green"/>
        <w:rPr>
          <w:lang w:val="en-GB"/>
        </w:rPr>
      </w:pPr>
      <w:r w:rsidRPr="00C33C0B">
        <w:rPr>
          <w:lang w:val="en-GB"/>
        </w:rPr>
        <w:t xml:space="preserve">A4 </w:t>
      </w:r>
      <w:r w:rsidR="00054751">
        <w:rPr>
          <w:lang w:val="en-GB"/>
        </w:rPr>
        <w:t>c</w:t>
      </w:r>
      <w:r w:rsidRPr="00C33C0B">
        <w:rPr>
          <w:lang w:val="en-GB"/>
        </w:rPr>
        <w:t xml:space="preserve">onsultant </w:t>
      </w:r>
      <w:r w:rsidR="00054751">
        <w:rPr>
          <w:lang w:val="en-GB"/>
        </w:rPr>
        <w:t>p</w:t>
      </w:r>
      <w:r w:rsidRPr="00C33C0B">
        <w:rPr>
          <w:lang w:val="en-GB"/>
        </w:rPr>
        <w:t xml:space="preserve">hysician </w:t>
      </w:r>
      <w:r w:rsidR="00054751">
        <w:rPr>
          <w:lang w:val="en-GB"/>
        </w:rPr>
        <w:t>a</w:t>
      </w:r>
      <w:r w:rsidRPr="00C33C0B">
        <w:rPr>
          <w:lang w:val="en-GB"/>
        </w:rPr>
        <w:t>ttendances</w:t>
      </w:r>
    </w:p>
    <w:p w14:paraId="7C2D0862" w14:textId="77777777" w:rsidR="008E7AD6" w:rsidRPr="00C33C0B" w:rsidRDefault="008E7AD6" w:rsidP="008E7AD6">
      <w:pPr>
        <w:pStyle w:val="Bullet-green"/>
        <w:rPr>
          <w:lang w:val="en-GB"/>
        </w:rPr>
      </w:pPr>
      <w:r w:rsidRPr="00C33C0B">
        <w:rPr>
          <w:lang w:val="en-GB"/>
        </w:rPr>
        <w:t xml:space="preserve">A5 </w:t>
      </w:r>
      <w:r w:rsidR="00054751">
        <w:rPr>
          <w:lang w:val="en-GB"/>
        </w:rPr>
        <w:t>p</w:t>
      </w:r>
      <w:r w:rsidRPr="00C33C0B">
        <w:rPr>
          <w:lang w:val="en-GB"/>
        </w:rPr>
        <w:t xml:space="preserve">rolonged </w:t>
      </w:r>
      <w:r w:rsidR="00054751">
        <w:rPr>
          <w:lang w:val="en-GB"/>
        </w:rPr>
        <w:t>a</w:t>
      </w:r>
      <w:r w:rsidRPr="00C33C0B">
        <w:rPr>
          <w:lang w:val="en-GB"/>
        </w:rPr>
        <w:t>ttendances</w:t>
      </w:r>
    </w:p>
    <w:p w14:paraId="66A79242" w14:textId="77777777" w:rsidR="008E7AD6" w:rsidRPr="00C33C0B" w:rsidRDefault="008E7AD6" w:rsidP="008E7AD6">
      <w:pPr>
        <w:pStyle w:val="Bullet-green"/>
        <w:rPr>
          <w:lang w:val="en-GB"/>
        </w:rPr>
      </w:pPr>
      <w:r w:rsidRPr="00C33C0B">
        <w:rPr>
          <w:lang w:val="en-GB"/>
        </w:rPr>
        <w:t xml:space="preserve">A6 </w:t>
      </w:r>
      <w:r w:rsidR="00054751">
        <w:rPr>
          <w:lang w:val="en-GB"/>
        </w:rPr>
        <w:t>g</w:t>
      </w:r>
      <w:r w:rsidRPr="00C33C0B">
        <w:rPr>
          <w:lang w:val="en-GB"/>
        </w:rPr>
        <w:t xml:space="preserve">roup </w:t>
      </w:r>
      <w:r w:rsidR="00054751">
        <w:rPr>
          <w:lang w:val="en-GB"/>
        </w:rPr>
        <w:t>t</w:t>
      </w:r>
      <w:r w:rsidRPr="00C33C0B">
        <w:rPr>
          <w:lang w:val="en-GB"/>
        </w:rPr>
        <w:t>herapy</w:t>
      </w:r>
    </w:p>
    <w:p w14:paraId="45A2D527" w14:textId="77777777" w:rsidR="008E7AD6" w:rsidRPr="00C33C0B" w:rsidRDefault="008E7AD6" w:rsidP="008E7AD6">
      <w:pPr>
        <w:pStyle w:val="Bullet-green"/>
        <w:rPr>
          <w:lang w:val="en-GB"/>
        </w:rPr>
      </w:pPr>
      <w:r w:rsidRPr="00C33C0B">
        <w:rPr>
          <w:lang w:val="en-GB"/>
        </w:rPr>
        <w:t xml:space="preserve">A12 </w:t>
      </w:r>
      <w:r w:rsidR="00054751">
        <w:rPr>
          <w:lang w:val="en-GB"/>
        </w:rPr>
        <w:t>o</w:t>
      </w:r>
      <w:r w:rsidRPr="00C33C0B">
        <w:rPr>
          <w:lang w:val="en-GB"/>
        </w:rPr>
        <w:t xml:space="preserve">ccupational </w:t>
      </w:r>
      <w:r w:rsidR="00054751">
        <w:rPr>
          <w:lang w:val="en-GB"/>
        </w:rPr>
        <w:t>p</w:t>
      </w:r>
      <w:r w:rsidRPr="00C33C0B">
        <w:rPr>
          <w:lang w:val="en-GB"/>
        </w:rPr>
        <w:t xml:space="preserve">hysician </w:t>
      </w:r>
      <w:r w:rsidR="00054751">
        <w:rPr>
          <w:lang w:val="en-GB"/>
        </w:rPr>
        <w:t>a</w:t>
      </w:r>
      <w:r w:rsidRPr="00C33C0B">
        <w:rPr>
          <w:lang w:val="en-GB"/>
        </w:rPr>
        <w:t>ttendances</w:t>
      </w:r>
    </w:p>
    <w:p w14:paraId="12D81795" w14:textId="77777777" w:rsidR="008E7AD6" w:rsidRPr="00C33C0B" w:rsidRDefault="008E7AD6" w:rsidP="008E7AD6">
      <w:pPr>
        <w:pStyle w:val="Bullet-green"/>
        <w:rPr>
          <w:lang w:val="en-GB"/>
        </w:rPr>
      </w:pPr>
      <w:r w:rsidRPr="00C33C0B">
        <w:rPr>
          <w:lang w:val="en-GB"/>
        </w:rPr>
        <w:t xml:space="preserve">A13 </w:t>
      </w:r>
      <w:r w:rsidR="00054751">
        <w:rPr>
          <w:lang w:val="en-GB"/>
        </w:rPr>
        <w:t>p</w:t>
      </w:r>
      <w:r w:rsidRPr="00C33C0B">
        <w:rPr>
          <w:lang w:val="en-GB"/>
        </w:rPr>
        <w:t xml:space="preserve">ublic </w:t>
      </w:r>
      <w:r w:rsidR="00054751">
        <w:rPr>
          <w:lang w:val="en-GB"/>
        </w:rPr>
        <w:t>h</w:t>
      </w:r>
      <w:r w:rsidRPr="00C33C0B">
        <w:rPr>
          <w:lang w:val="en-GB"/>
        </w:rPr>
        <w:t xml:space="preserve">ealth </w:t>
      </w:r>
      <w:r w:rsidR="00054751">
        <w:rPr>
          <w:lang w:val="en-GB"/>
        </w:rPr>
        <w:t>p</w:t>
      </w:r>
      <w:r w:rsidRPr="00C33C0B">
        <w:rPr>
          <w:lang w:val="en-GB"/>
        </w:rPr>
        <w:t xml:space="preserve">hysician </w:t>
      </w:r>
      <w:r w:rsidR="00054751">
        <w:rPr>
          <w:lang w:val="en-GB"/>
        </w:rPr>
        <w:t>a</w:t>
      </w:r>
      <w:r w:rsidRPr="00C33C0B">
        <w:rPr>
          <w:lang w:val="en-GB"/>
        </w:rPr>
        <w:t>ttendances</w:t>
      </w:r>
    </w:p>
    <w:p w14:paraId="070D5D83" w14:textId="77777777" w:rsidR="008E7AD6" w:rsidRPr="00C33C0B" w:rsidRDefault="008E7AD6" w:rsidP="008E7AD6">
      <w:pPr>
        <w:pStyle w:val="Bullet-green"/>
        <w:rPr>
          <w:lang w:val="en-GB"/>
        </w:rPr>
      </w:pPr>
      <w:r w:rsidRPr="00C33C0B">
        <w:rPr>
          <w:lang w:val="en-GB"/>
        </w:rPr>
        <w:t xml:space="preserve">A15 </w:t>
      </w:r>
      <w:r w:rsidR="00AA329D">
        <w:rPr>
          <w:lang w:val="en-GB"/>
        </w:rPr>
        <w:t>consultant specialist</w:t>
      </w:r>
      <w:r w:rsidR="000356E8" w:rsidRPr="00C33C0B">
        <w:rPr>
          <w:lang w:val="en-GB"/>
        </w:rPr>
        <w:t xml:space="preserve"> </w:t>
      </w:r>
      <w:r w:rsidR="00054751">
        <w:rPr>
          <w:lang w:val="en-GB"/>
        </w:rPr>
        <w:t>c</w:t>
      </w:r>
      <w:r w:rsidRPr="00C33C0B">
        <w:rPr>
          <w:lang w:val="en-GB"/>
        </w:rPr>
        <w:t xml:space="preserve">ase </w:t>
      </w:r>
      <w:r w:rsidR="00054751">
        <w:rPr>
          <w:lang w:val="en-GB"/>
        </w:rPr>
        <w:t>c</w:t>
      </w:r>
      <w:r w:rsidRPr="00C33C0B">
        <w:rPr>
          <w:lang w:val="en-GB"/>
        </w:rPr>
        <w:t>onferences</w:t>
      </w:r>
    </w:p>
    <w:p w14:paraId="26C92EC7" w14:textId="77777777" w:rsidR="008E7AD6" w:rsidRPr="00C33C0B" w:rsidRDefault="008E7AD6" w:rsidP="008E7AD6">
      <w:pPr>
        <w:pStyle w:val="Bullet-green"/>
        <w:rPr>
          <w:lang w:val="en-GB"/>
        </w:rPr>
      </w:pPr>
      <w:r w:rsidRPr="00C33C0B">
        <w:rPr>
          <w:lang w:val="en-GB"/>
        </w:rPr>
        <w:t xml:space="preserve">A24 </w:t>
      </w:r>
      <w:r w:rsidR="00054751">
        <w:rPr>
          <w:lang w:val="en-GB"/>
        </w:rPr>
        <w:t>p</w:t>
      </w:r>
      <w:r w:rsidRPr="00C33C0B">
        <w:rPr>
          <w:lang w:val="en-GB"/>
        </w:rPr>
        <w:t xml:space="preserve">ain and </w:t>
      </w:r>
      <w:r w:rsidR="00054751">
        <w:rPr>
          <w:lang w:val="en-GB"/>
        </w:rPr>
        <w:t>p</w:t>
      </w:r>
      <w:r w:rsidRPr="00C33C0B">
        <w:rPr>
          <w:lang w:val="en-GB"/>
        </w:rPr>
        <w:t xml:space="preserve">alliative </w:t>
      </w:r>
      <w:r w:rsidR="00054751">
        <w:rPr>
          <w:lang w:val="en-GB"/>
        </w:rPr>
        <w:t>m</w:t>
      </w:r>
      <w:r w:rsidRPr="00C33C0B">
        <w:rPr>
          <w:lang w:val="en-GB"/>
        </w:rPr>
        <w:t xml:space="preserve">edicine </w:t>
      </w:r>
      <w:r w:rsidR="00054751">
        <w:rPr>
          <w:lang w:val="en-GB"/>
        </w:rPr>
        <w:t>a</w:t>
      </w:r>
      <w:r w:rsidRPr="00C33C0B">
        <w:rPr>
          <w:lang w:val="en-GB"/>
        </w:rPr>
        <w:t>ttendances</w:t>
      </w:r>
    </w:p>
    <w:p w14:paraId="0F144703" w14:textId="77777777" w:rsidR="008E7AD6" w:rsidRPr="00C33C0B" w:rsidRDefault="008E7AD6" w:rsidP="008E7AD6">
      <w:pPr>
        <w:pStyle w:val="Bullet-green"/>
        <w:rPr>
          <w:lang w:val="en-GB"/>
        </w:rPr>
      </w:pPr>
      <w:r w:rsidRPr="00C33C0B">
        <w:rPr>
          <w:lang w:val="en-GB"/>
        </w:rPr>
        <w:t xml:space="preserve">A26 </w:t>
      </w:r>
      <w:r w:rsidR="00054751">
        <w:rPr>
          <w:lang w:val="en-GB"/>
        </w:rPr>
        <w:t>n</w:t>
      </w:r>
      <w:r w:rsidRPr="00C33C0B">
        <w:rPr>
          <w:lang w:val="en-GB"/>
        </w:rPr>
        <w:t xml:space="preserve">eurosurgery </w:t>
      </w:r>
      <w:r w:rsidR="00054751">
        <w:rPr>
          <w:lang w:val="en-GB"/>
        </w:rPr>
        <w:t>a</w:t>
      </w:r>
      <w:r w:rsidRPr="00C33C0B">
        <w:rPr>
          <w:lang w:val="en-GB"/>
        </w:rPr>
        <w:t>ttendances</w:t>
      </w:r>
    </w:p>
    <w:p w14:paraId="17F4F2D8" w14:textId="77777777" w:rsidR="008E7AD6" w:rsidRPr="00C33C0B" w:rsidRDefault="008E7AD6" w:rsidP="008E7AD6">
      <w:pPr>
        <w:pStyle w:val="Bullet-green"/>
        <w:rPr>
          <w:lang w:val="en-GB"/>
        </w:rPr>
      </w:pPr>
      <w:r w:rsidRPr="00C33C0B">
        <w:rPr>
          <w:lang w:val="en-GB"/>
        </w:rPr>
        <w:t xml:space="preserve">A28 </w:t>
      </w:r>
      <w:r w:rsidR="00054751">
        <w:rPr>
          <w:lang w:val="en-GB"/>
        </w:rPr>
        <w:t>g</w:t>
      </w:r>
      <w:r w:rsidRPr="00C33C0B">
        <w:rPr>
          <w:lang w:val="en-GB"/>
        </w:rPr>
        <w:t xml:space="preserve">eriatric </w:t>
      </w:r>
      <w:r w:rsidR="00054751">
        <w:rPr>
          <w:lang w:val="en-GB"/>
        </w:rPr>
        <w:t>m</w:t>
      </w:r>
      <w:r w:rsidRPr="00C33C0B">
        <w:rPr>
          <w:lang w:val="en-GB"/>
        </w:rPr>
        <w:t>edicine</w:t>
      </w:r>
    </w:p>
    <w:p w14:paraId="2B14F727" w14:textId="77777777" w:rsidR="008E7AD6" w:rsidRPr="00C33C0B" w:rsidRDefault="008E7AD6" w:rsidP="008E7AD6">
      <w:pPr>
        <w:pStyle w:val="Bullet-green"/>
        <w:rPr>
          <w:lang w:val="en-GB"/>
        </w:rPr>
      </w:pPr>
      <w:r w:rsidRPr="00C33C0B">
        <w:rPr>
          <w:lang w:val="en-GB"/>
        </w:rPr>
        <w:t xml:space="preserve">A29 </w:t>
      </w:r>
      <w:r w:rsidR="00054751">
        <w:rPr>
          <w:lang w:val="en-GB"/>
        </w:rPr>
        <w:t>e</w:t>
      </w:r>
      <w:r w:rsidRPr="00C33C0B">
        <w:rPr>
          <w:lang w:val="en-GB"/>
        </w:rPr>
        <w:t xml:space="preserve">arly </w:t>
      </w:r>
      <w:r w:rsidR="00054751">
        <w:rPr>
          <w:lang w:val="en-GB"/>
        </w:rPr>
        <w:t>i</w:t>
      </w:r>
      <w:r w:rsidRPr="00C33C0B">
        <w:rPr>
          <w:lang w:val="en-GB"/>
        </w:rPr>
        <w:t xml:space="preserve">ntervention, </w:t>
      </w:r>
      <w:r w:rsidR="00054751">
        <w:rPr>
          <w:lang w:val="en-GB"/>
        </w:rPr>
        <w:t>c</w:t>
      </w:r>
      <w:r w:rsidRPr="00C33C0B">
        <w:rPr>
          <w:lang w:val="en-GB"/>
        </w:rPr>
        <w:t>hildren</w:t>
      </w:r>
    </w:p>
    <w:p w14:paraId="5E5A4CDC" w14:textId="77777777" w:rsidR="00937CD1" w:rsidRPr="00C33C0B" w:rsidRDefault="00937CD1" w:rsidP="008E7AD6">
      <w:pPr>
        <w:pStyle w:val="Bullet-green"/>
        <w:rPr>
          <w:lang w:val="en-GB"/>
        </w:rPr>
      </w:pPr>
      <w:r w:rsidRPr="00C33C0B">
        <w:rPr>
          <w:lang w:val="en-GB"/>
        </w:rPr>
        <w:t xml:space="preserve">A31 </w:t>
      </w:r>
      <w:r w:rsidR="00054751">
        <w:rPr>
          <w:lang w:val="en-GB"/>
        </w:rPr>
        <w:t>a</w:t>
      </w:r>
      <w:r w:rsidRPr="00C33C0B">
        <w:rPr>
          <w:lang w:val="en-GB"/>
        </w:rPr>
        <w:t xml:space="preserve">ddiction </w:t>
      </w:r>
      <w:r w:rsidR="00054751">
        <w:rPr>
          <w:lang w:val="en-GB"/>
        </w:rPr>
        <w:t>m</w:t>
      </w:r>
      <w:r w:rsidRPr="00C33C0B">
        <w:rPr>
          <w:lang w:val="en-GB"/>
        </w:rPr>
        <w:t xml:space="preserve">edicine </w:t>
      </w:r>
      <w:r w:rsidR="00054751">
        <w:rPr>
          <w:lang w:val="en-GB"/>
        </w:rPr>
        <w:t>a</w:t>
      </w:r>
      <w:r w:rsidRPr="00C33C0B">
        <w:rPr>
          <w:lang w:val="en-GB"/>
        </w:rPr>
        <w:t>ttendances</w:t>
      </w:r>
      <w:r w:rsidR="002154A4">
        <w:rPr>
          <w:lang w:val="en-GB"/>
        </w:rPr>
        <w:t>, and</w:t>
      </w:r>
    </w:p>
    <w:p w14:paraId="49438EE1" w14:textId="77777777" w:rsidR="00937CD1" w:rsidRPr="00C33C0B" w:rsidRDefault="00937CD1" w:rsidP="008E7AD6">
      <w:pPr>
        <w:pStyle w:val="Bullet-green"/>
        <w:rPr>
          <w:lang w:val="en-GB"/>
        </w:rPr>
      </w:pPr>
      <w:r w:rsidRPr="00C33C0B">
        <w:rPr>
          <w:lang w:val="en-GB"/>
        </w:rPr>
        <w:t xml:space="preserve">A32 </w:t>
      </w:r>
      <w:r w:rsidR="00054751">
        <w:rPr>
          <w:lang w:val="en-GB"/>
        </w:rPr>
        <w:t>s</w:t>
      </w:r>
      <w:r w:rsidRPr="00C33C0B">
        <w:rPr>
          <w:lang w:val="en-GB"/>
        </w:rPr>
        <w:t xml:space="preserve">exual </w:t>
      </w:r>
      <w:r w:rsidR="00054751">
        <w:rPr>
          <w:lang w:val="en-GB"/>
        </w:rPr>
        <w:t>h</w:t>
      </w:r>
      <w:r w:rsidRPr="00C33C0B">
        <w:rPr>
          <w:lang w:val="en-GB"/>
        </w:rPr>
        <w:t xml:space="preserve">ealth </w:t>
      </w:r>
      <w:r w:rsidR="00054751">
        <w:rPr>
          <w:lang w:val="en-GB"/>
        </w:rPr>
        <w:t>a</w:t>
      </w:r>
      <w:r w:rsidRPr="00C33C0B">
        <w:rPr>
          <w:lang w:val="en-GB"/>
        </w:rPr>
        <w:t>ttendances</w:t>
      </w:r>
      <w:r w:rsidR="00796647">
        <w:rPr>
          <w:lang w:val="en-GB"/>
        </w:rPr>
        <w:t>.</w:t>
      </w:r>
    </w:p>
    <w:p w14:paraId="3FCD2A5A" w14:textId="15EEDA06" w:rsidR="00695F0B" w:rsidRDefault="005E670B" w:rsidP="00695F0B">
      <w:pPr>
        <w:rPr>
          <w:lang w:val="en-GB"/>
        </w:rPr>
      </w:pPr>
      <w:r w:rsidRPr="00C33C0B">
        <w:rPr>
          <w:lang w:val="en-GB"/>
        </w:rPr>
        <w:t>A</w:t>
      </w:r>
      <w:r w:rsidR="00695F0B" w:rsidRPr="00C33C0B">
        <w:rPr>
          <w:lang w:val="en-GB"/>
        </w:rPr>
        <w:t xml:space="preserve">ttendance items for addiction medicine </w:t>
      </w:r>
      <w:r w:rsidR="00176E14" w:rsidRPr="00C33C0B">
        <w:rPr>
          <w:lang w:val="en-GB"/>
        </w:rPr>
        <w:t xml:space="preserve">and sexual health medicine </w:t>
      </w:r>
      <w:r w:rsidR="00C77E7A" w:rsidRPr="00C33C0B">
        <w:rPr>
          <w:lang w:val="en-GB"/>
        </w:rPr>
        <w:t>were</w:t>
      </w:r>
      <w:r w:rsidR="00695F0B" w:rsidRPr="00C33C0B">
        <w:rPr>
          <w:lang w:val="en-GB"/>
        </w:rPr>
        <w:t xml:space="preserve"> </w:t>
      </w:r>
      <w:r w:rsidRPr="00C33C0B">
        <w:rPr>
          <w:lang w:val="en-GB"/>
        </w:rPr>
        <w:t xml:space="preserve">initially </w:t>
      </w:r>
      <w:r w:rsidR="00695F0B" w:rsidRPr="00C33C0B">
        <w:rPr>
          <w:lang w:val="en-GB"/>
        </w:rPr>
        <w:t>not referred to the Committee</w:t>
      </w:r>
      <w:r w:rsidR="00082B43" w:rsidRPr="00C33C0B">
        <w:rPr>
          <w:lang w:val="en-GB"/>
        </w:rPr>
        <w:t xml:space="preserve"> </w:t>
      </w:r>
      <w:r w:rsidRPr="00C33C0B">
        <w:rPr>
          <w:lang w:val="en-GB"/>
        </w:rPr>
        <w:t xml:space="preserve">as these items were introduced </w:t>
      </w:r>
      <w:r w:rsidR="00C77E7A" w:rsidRPr="00C33C0B">
        <w:rPr>
          <w:lang w:val="en-GB"/>
        </w:rPr>
        <w:t>to the MBS</w:t>
      </w:r>
      <w:r w:rsidR="00176E14" w:rsidRPr="00C33C0B">
        <w:rPr>
          <w:lang w:val="en-GB"/>
        </w:rPr>
        <w:t xml:space="preserve"> in 2016</w:t>
      </w:r>
      <w:r w:rsidR="00C77E7A" w:rsidRPr="00C33C0B">
        <w:rPr>
          <w:lang w:val="en-GB"/>
        </w:rPr>
        <w:t xml:space="preserve">. However, </w:t>
      </w:r>
      <w:r w:rsidR="00176E14" w:rsidRPr="00C33C0B">
        <w:rPr>
          <w:lang w:val="en-GB"/>
        </w:rPr>
        <w:t xml:space="preserve">to maintain consistency in the </w:t>
      </w:r>
      <w:r w:rsidR="00AA21C3">
        <w:rPr>
          <w:lang w:val="en-GB"/>
        </w:rPr>
        <w:t>MBS</w:t>
      </w:r>
      <w:r w:rsidR="00176E14" w:rsidRPr="00C33C0B">
        <w:rPr>
          <w:lang w:val="en-GB"/>
        </w:rPr>
        <w:t xml:space="preserve">, </w:t>
      </w:r>
      <w:r w:rsidR="00C77E7A" w:rsidRPr="00C33C0B">
        <w:rPr>
          <w:lang w:val="en-GB"/>
        </w:rPr>
        <w:t>t</w:t>
      </w:r>
      <w:r w:rsidR="00695F0B" w:rsidRPr="00C33C0B">
        <w:rPr>
          <w:lang w:val="en-GB"/>
        </w:rPr>
        <w:t xml:space="preserve">he Committee </w:t>
      </w:r>
      <w:r w:rsidR="003269B0" w:rsidRPr="00C33C0B">
        <w:rPr>
          <w:lang w:val="en-GB"/>
        </w:rPr>
        <w:t xml:space="preserve">believes </w:t>
      </w:r>
      <w:r w:rsidR="00CB13F2">
        <w:rPr>
          <w:lang w:val="en-GB"/>
        </w:rPr>
        <w:t xml:space="preserve">that </w:t>
      </w:r>
      <w:r w:rsidR="003269B0" w:rsidRPr="00C33C0B">
        <w:rPr>
          <w:lang w:val="en-GB"/>
        </w:rPr>
        <w:t xml:space="preserve">many of the recommendations set out in this report </w:t>
      </w:r>
      <w:r w:rsidRPr="00C33C0B">
        <w:rPr>
          <w:lang w:val="en-GB"/>
        </w:rPr>
        <w:t>should apply to these attendances</w:t>
      </w:r>
      <w:r w:rsidR="00FC05EE">
        <w:rPr>
          <w:lang w:val="en-GB"/>
        </w:rPr>
        <w:t xml:space="preserve">. For this reason, the Committee </w:t>
      </w:r>
      <w:r w:rsidR="00176E14" w:rsidRPr="00C33C0B">
        <w:rPr>
          <w:lang w:val="en-GB"/>
        </w:rPr>
        <w:t xml:space="preserve">subsequently received approval from the Taskforce to make recommendations on these items. </w:t>
      </w:r>
    </w:p>
    <w:p w14:paraId="3CDE85A7" w14:textId="77777777" w:rsidR="00CE152A" w:rsidRPr="00C33C0B" w:rsidRDefault="00484C45" w:rsidP="00695F0B">
      <w:pPr>
        <w:rPr>
          <w:lang w:val="en-GB"/>
        </w:rPr>
      </w:pPr>
      <w:r w:rsidRPr="00C33C0B">
        <w:rPr>
          <w:lang w:val="en-GB"/>
        </w:rPr>
        <w:t xml:space="preserve">A complete list of </w:t>
      </w:r>
      <w:r>
        <w:rPr>
          <w:lang w:val="en-GB"/>
        </w:rPr>
        <w:t xml:space="preserve">the </w:t>
      </w:r>
      <w:r w:rsidRPr="00C33C0B">
        <w:rPr>
          <w:lang w:val="en-GB"/>
        </w:rPr>
        <w:t xml:space="preserve">items </w:t>
      </w:r>
      <w:r>
        <w:rPr>
          <w:lang w:val="en-GB"/>
        </w:rPr>
        <w:t xml:space="preserve">under review </w:t>
      </w:r>
      <w:r w:rsidRPr="00C33C0B">
        <w:rPr>
          <w:lang w:val="en-GB"/>
        </w:rPr>
        <w:t>can be found in Appendix A – Index of items.</w:t>
      </w:r>
      <w:r>
        <w:rPr>
          <w:lang w:val="en-GB"/>
        </w:rPr>
        <w:t xml:space="preserve"> </w:t>
      </w:r>
    </w:p>
    <w:p w14:paraId="3FBA3208" w14:textId="77777777" w:rsidR="00C13D6A" w:rsidRPr="00C33C0B" w:rsidRDefault="00F02357" w:rsidP="0065723A">
      <w:pPr>
        <w:rPr>
          <w:lang w:val="en-GB"/>
        </w:rPr>
      </w:pPr>
      <w:r>
        <w:rPr>
          <w:lang w:val="en-GB"/>
        </w:rPr>
        <w:t>A</w:t>
      </w:r>
      <w:r w:rsidR="00C13D6A" w:rsidRPr="00C33C0B">
        <w:rPr>
          <w:lang w:val="en-GB"/>
        </w:rPr>
        <w:t xml:space="preserve"> number of professional attendance items </w:t>
      </w:r>
      <w:r w:rsidR="00DA23A9">
        <w:rPr>
          <w:lang w:val="en-GB"/>
        </w:rPr>
        <w:t xml:space="preserve">are </w:t>
      </w:r>
      <w:r w:rsidR="00C13D6A" w:rsidRPr="00C33C0B">
        <w:rPr>
          <w:lang w:val="en-GB"/>
        </w:rPr>
        <w:t xml:space="preserve">outside the scope of this review as </w:t>
      </w:r>
      <w:r w:rsidR="00044A34">
        <w:rPr>
          <w:lang w:val="en-GB"/>
        </w:rPr>
        <w:t>they</w:t>
      </w:r>
      <w:r w:rsidR="00C13D6A" w:rsidRPr="00C33C0B">
        <w:rPr>
          <w:lang w:val="en-GB"/>
        </w:rPr>
        <w:t xml:space="preserve"> are </w:t>
      </w:r>
      <w:r w:rsidR="003D725B">
        <w:rPr>
          <w:lang w:val="en-GB"/>
        </w:rPr>
        <w:t>the subject of review</w:t>
      </w:r>
      <w:r w:rsidR="00C13D6A" w:rsidRPr="00C33C0B">
        <w:rPr>
          <w:lang w:val="en-GB"/>
        </w:rPr>
        <w:t xml:space="preserve"> by other </w:t>
      </w:r>
      <w:r w:rsidR="00905100">
        <w:rPr>
          <w:lang w:val="en-GB"/>
        </w:rPr>
        <w:t>clinical c</w:t>
      </w:r>
      <w:r w:rsidR="00C13D6A" w:rsidRPr="00C33C0B">
        <w:rPr>
          <w:lang w:val="en-GB"/>
        </w:rPr>
        <w:t>o</w:t>
      </w:r>
      <w:r w:rsidR="00981AD4" w:rsidRPr="00C33C0B">
        <w:rPr>
          <w:lang w:val="en-GB"/>
        </w:rPr>
        <w:t>mmittees</w:t>
      </w:r>
      <w:r w:rsidR="00695F0B" w:rsidRPr="00C33C0B">
        <w:rPr>
          <w:lang w:val="en-GB"/>
        </w:rPr>
        <w:t>, including</w:t>
      </w:r>
      <w:r w:rsidR="00603074">
        <w:rPr>
          <w:lang w:val="en-GB"/>
        </w:rPr>
        <w:t xml:space="preserve"> specific</w:t>
      </w:r>
      <w:r w:rsidR="00695F0B" w:rsidRPr="00C33C0B">
        <w:rPr>
          <w:lang w:val="en-GB"/>
        </w:rPr>
        <w:t xml:space="preserve"> </w:t>
      </w:r>
      <w:r w:rsidR="00981AD4" w:rsidRPr="00C33C0B">
        <w:rPr>
          <w:lang w:val="en-GB"/>
        </w:rPr>
        <w:t xml:space="preserve">attendance items </w:t>
      </w:r>
      <w:r w:rsidR="00C13D6A" w:rsidRPr="00C33C0B">
        <w:rPr>
          <w:lang w:val="en-GB"/>
        </w:rPr>
        <w:t xml:space="preserve">for </w:t>
      </w:r>
      <w:r w:rsidR="004A00FB">
        <w:rPr>
          <w:lang w:val="en-GB"/>
        </w:rPr>
        <w:t>p</w:t>
      </w:r>
      <w:r w:rsidR="00C13D6A" w:rsidRPr="00C33C0B">
        <w:rPr>
          <w:lang w:val="en-GB"/>
        </w:rPr>
        <w:t xml:space="preserve">sychiatry, </w:t>
      </w:r>
      <w:r w:rsidR="004A00FB">
        <w:rPr>
          <w:lang w:val="en-GB"/>
        </w:rPr>
        <w:t>e</w:t>
      </w:r>
      <w:r w:rsidR="00C13D6A" w:rsidRPr="00C33C0B">
        <w:rPr>
          <w:lang w:val="en-GB"/>
        </w:rPr>
        <w:t xml:space="preserve">mergency </w:t>
      </w:r>
      <w:r w:rsidR="004A00FB">
        <w:rPr>
          <w:lang w:val="en-GB"/>
        </w:rPr>
        <w:t>m</w:t>
      </w:r>
      <w:r w:rsidR="00C13D6A" w:rsidRPr="00C33C0B">
        <w:rPr>
          <w:lang w:val="en-GB"/>
        </w:rPr>
        <w:t xml:space="preserve">edicine, </w:t>
      </w:r>
      <w:r w:rsidR="004A00FB">
        <w:rPr>
          <w:lang w:val="en-GB"/>
        </w:rPr>
        <w:t>a</w:t>
      </w:r>
      <w:r w:rsidR="00C13D6A" w:rsidRPr="00C33C0B">
        <w:rPr>
          <w:lang w:val="en-GB"/>
        </w:rPr>
        <w:t xml:space="preserve">naesthetics, </w:t>
      </w:r>
      <w:r w:rsidR="004A00FB">
        <w:rPr>
          <w:lang w:val="en-GB"/>
        </w:rPr>
        <w:t>i</w:t>
      </w:r>
      <w:r w:rsidR="00C13D6A" w:rsidRPr="00C33C0B">
        <w:rPr>
          <w:lang w:val="en-GB"/>
        </w:rPr>
        <w:t xml:space="preserve">ntensive </w:t>
      </w:r>
      <w:r w:rsidR="004A00FB">
        <w:rPr>
          <w:lang w:val="en-GB"/>
        </w:rPr>
        <w:t>c</w:t>
      </w:r>
      <w:r w:rsidR="00C13D6A" w:rsidRPr="00C33C0B">
        <w:rPr>
          <w:lang w:val="en-GB"/>
        </w:rPr>
        <w:t xml:space="preserve">are, </w:t>
      </w:r>
      <w:r w:rsidR="005472BB">
        <w:rPr>
          <w:lang w:val="en-GB"/>
        </w:rPr>
        <w:t>obstetrics</w:t>
      </w:r>
      <w:r w:rsidR="005472BB" w:rsidRPr="00C33C0B">
        <w:rPr>
          <w:lang w:val="en-GB"/>
        </w:rPr>
        <w:t xml:space="preserve"> </w:t>
      </w:r>
      <w:r w:rsidR="00C13D6A" w:rsidRPr="00C33C0B">
        <w:rPr>
          <w:lang w:val="en-GB"/>
        </w:rPr>
        <w:t xml:space="preserve">and </w:t>
      </w:r>
      <w:r w:rsidR="005472BB">
        <w:rPr>
          <w:lang w:val="en-GB"/>
        </w:rPr>
        <w:t>general practice</w:t>
      </w:r>
      <w:r w:rsidR="00695F0B" w:rsidRPr="00C33C0B">
        <w:rPr>
          <w:lang w:val="en-GB"/>
        </w:rPr>
        <w:t>.</w:t>
      </w:r>
    </w:p>
    <w:p w14:paraId="651E38FE" w14:textId="4544577A" w:rsidR="004A116E" w:rsidRDefault="00A921C1" w:rsidP="0065723A">
      <w:pPr>
        <w:rPr>
          <w:lang w:val="en-GB"/>
        </w:rPr>
      </w:pPr>
      <w:r w:rsidRPr="00C33C0B">
        <w:rPr>
          <w:lang w:val="en-GB"/>
        </w:rPr>
        <w:t>In 2016/17, the</w:t>
      </w:r>
      <w:r w:rsidR="00822644">
        <w:rPr>
          <w:lang w:val="en-GB"/>
        </w:rPr>
        <w:t xml:space="preserve"> attendance</w:t>
      </w:r>
      <w:r w:rsidRPr="00C33C0B">
        <w:rPr>
          <w:lang w:val="en-GB"/>
        </w:rPr>
        <w:t xml:space="preserve"> items</w:t>
      </w:r>
      <w:r w:rsidR="00822644">
        <w:rPr>
          <w:lang w:val="en-GB"/>
        </w:rPr>
        <w:t xml:space="preserve"> reviewed by the Committee</w:t>
      </w:r>
      <w:r w:rsidRPr="00C33C0B">
        <w:rPr>
          <w:lang w:val="en-GB"/>
        </w:rPr>
        <w:t xml:space="preserve"> accounted for approximately 26 million</w:t>
      </w:r>
      <w:r w:rsidR="003048BA">
        <w:rPr>
          <w:lang w:val="en-GB"/>
        </w:rPr>
        <w:t xml:space="preserve"> </w:t>
      </w:r>
      <w:r w:rsidRPr="00C33C0B">
        <w:rPr>
          <w:lang w:val="en-GB"/>
        </w:rPr>
        <w:t xml:space="preserve">services and $1.9 billion in benefits. Over the past five years, service volumes for these items have grown at </w:t>
      </w:r>
      <w:r w:rsidR="005F63CE" w:rsidRPr="00C33C0B">
        <w:rPr>
          <w:lang w:val="en-GB"/>
        </w:rPr>
        <w:t>4.2</w:t>
      </w:r>
      <w:r w:rsidR="008A23EB">
        <w:rPr>
          <w:lang w:val="en-GB"/>
        </w:rPr>
        <w:t xml:space="preserve"> per cent</w:t>
      </w:r>
      <w:r w:rsidR="005F63CE" w:rsidRPr="00C33C0B">
        <w:rPr>
          <w:lang w:val="en-GB"/>
        </w:rPr>
        <w:t xml:space="preserve"> </w:t>
      </w:r>
      <w:r w:rsidRPr="00C33C0B">
        <w:rPr>
          <w:lang w:val="en-GB"/>
        </w:rPr>
        <w:t>per year, and the cost of benefits has increased by 5.5</w:t>
      </w:r>
      <w:r w:rsidR="00B00A6A">
        <w:rPr>
          <w:lang w:val="en-GB"/>
        </w:rPr>
        <w:t xml:space="preserve"> per cent</w:t>
      </w:r>
      <w:r w:rsidR="005F63CE" w:rsidRPr="00C33C0B">
        <w:rPr>
          <w:lang w:val="en-GB"/>
        </w:rPr>
        <w:t xml:space="preserve"> </w:t>
      </w:r>
      <w:r w:rsidRPr="00C33C0B">
        <w:rPr>
          <w:lang w:val="en-GB"/>
        </w:rPr>
        <w:t>per year</w:t>
      </w:r>
      <w:r w:rsidR="00AF7ED3">
        <w:rPr>
          <w:lang w:val="en-GB"/>
        </w:rPr>
        <w:t xml:space="preserve"> (</w:t>
      </w:r>
      <w:r w:rsidR="00484C45">
        <w:rPr>
          <w:lang w:val="en-GB"/>
        </w:rPr>
        <w:t>r</w:t>
      </w:r>
      <w:r w:rsidR="00AF7ED3">
        <w:rPr>
          <w:lang w:val="en-GB"/>
        </w:rPr>
        <w:t>efer to Figure</w:t>
      </w:r>
      <w:r w:rsidR="00AF7ED3" w:rsidRPr="00C33C0B">
        <w:rPr>
          <w:lang w:val="en-GB"/>
        </w:rPr>
        <w:t xml:space="preserve"> </w:t>
      </w:r>
      <w:r w:rsidR="00AF7ED3">
        <w:rPr>
          <w:lang w:val="en-GB"/>
        </w:rPr>
        <w:t>2</w:t>
      </w:r>
      <w:r w:rsidR="009945FB">
        <w:rPr>
          <w:lang w:val="en-GB"/>
        </w:rPr>
        <w:t>)</w:t>
      </w:r>
      <w:r w:rsidRPr="00C33C0B">
        <w:rPr>
          <w:lang w:val="en-GB"/>
        </w:rPr>
        <w:t xml:space="preserve">. This growth is largely </w:t>
      </w:r>
      <w:r w:rsidR="003D725B">
        <w:rPr>
          <w:lang w:val="en-GB"/>
        </w:rPr>
        <w:t>accounted for</w:t>
      </w:r>
      <w:r w:rsidR="003D725B" w:rsidRPr="00C33C0B">
        <w:rPr>
          <w:lang w:val="en-GB"/>
        </w:rPr>
        <w:t xml:space="preserve"> </w:t>
      </w:r>
      <w:r w:rsidRPr="00C33C0B">
        <w:rPr>
          <w:lang w:val="en-GB"/>
        </w:rPr>
        <w:t>by a 2.6</w:t>
      </w:r>
      <w:r w:rsidR="00257570">
        <w:rPr>
          <w:lang w:val="en-GB"/>
        </w:rPr>
        <w:t xml:space="preserve"> per cent</w:t>
      </w:r>
      <w:r w:rsidR="00BA5BCC" w:rsidRPr="00C33C0B">
        <w:rPr>
          <w:lang w:val="en-GB"/>
        </w:rPr>
        <w:t xml:space="preserve"> increase </w:t>
      </w:r>
      <w:r w:rsidRPr="00C33C0B">
        <w:rPr>
          <w:lang w:val="en-GB"/>
        </w:rPr>
        <w:t>in services per head of population</w:t>
      </w:r>
      <w:r w:rsidR="00AF7ED3">
        <w:rPr>
          <w:lang w:val="en-GB"/>
        </w:rPr>
        <w:t>,</w:t>
      </w:r>
      <w:r w:rsidR="00F34696" w:rsidRPr="00C33C0B">
        <w:rPr>
          <w:lang w:val="en-GB"/>
        </w:rPr>
        <w:t xml:space="preserve"> </w:t>
      </w:r>
      <w:r w:rsidR="00BA5BCC" w:rsidRPr="00C33C0B">
        <w:rPr>
          <w:lang w:val="en-GB"/>
        </w:rPr>
        <w:t>likely as a result of an ageing population and the incr</w:t>
      </w:r>
      <w:r w:rsidR="00F34696" w:rsidRPr="00C33C0B">
        <w:rPr>
          <w:lang w:val="en-GB"/>
        </w:rPr>
        <w:t>eased burden of chronic disease</w:t>
      </w:r>
      <w:r w:rsidR="00AF7ED3">
        <w:rPr>
          <w:lang w:val="en-GB"/>
        </w:rPr>
        <w:t>.</w:t>
      </w:r>
    </w:p>
    <w:p w14:paraId="537D4B2E" w14:textId="4FC20975" w:rsidR="004A116E" w:rsidRPr="00F30EE1" w:rsidRDefault="00DA1AEC" w:rsidP="00DA1AEC">
      <w:pPr>
        <w:pStyle w:val="Caption"/>
      </w:pPr>
      <w:bookmarkStart w:id="94" w:name="_Toc529028434"/>
      <w:r>
        <w:t xml:space="preserve">Figure </w:t>
      </w:r>
      <w:fldSimple w:instr=" SEQ Figure \* ARABIC ">
        <w:r w:rsidR="00832059">
          <w:rPr>
            <w:noProof/>
          </w:rPr>
          <w:t>2</w:t>
        </w:r>
      </w:fldSimple>
      <w:r w:rsidR="0092016F" w:rsidRPr="00F30EE1">
        <w:t>: Drivers of benefit growth</w:t>
      </w:r>
      <w:r w:rsidR="00484C45" w:rsidRPr="00F30EE1">
        <w:t xml:space="preserve"> -</w:t>
      </w:r>
      <w:r w:rsidR="006A347E" w:rsidRPr="00F30EE1">
        <w:t xml:space="preserve"> </w:t>
      </w:r>
      <w:r w:rsidR="0092016F" w:rsidRPr="00F30EE1">
        <w:t>201</w:t>
      </w:r>
      <w:r w:rsidR="006A347E" w:rsidRPr="00F30EE1">
        <w:t>1/</w:t>
      </w:r>
      <w:r w:rsidR="0092016F" w:rsidRPr="00F30EE1">
        <w:t>12 to 2016</w:t>
      </w:r>
      <w:r w:rsidR="006A347E" w:rsidRPr="00F30EE1">
        <w:t>/</w:t>
      </w:r>
      <w:r w:rsidR="0092016F" w:rsidRPr="00F30EE1">
        <w:t>17</w:t>
      </w:r>
      <w:bookmarkEnd w:id="94"/>
    </w:p>
    <w:p w14:paraId="72EC8376" w14:textId="47C38802" w:rsidR="00D67045" w:rsidRDefault="00D67045" w:rsidP="00607BDA">
      <w:pPr>
        <w:rPr>
          <w:lang w:val="en-GB"/>
        </w:rPr>
      </w:pPr>
      <w:r w:rsidRPr="00C33C0B">
        <w:rPr>
          <w:noProof/>
          <w:lang w:val="en-US" w:eastAsia="en-US"/>
        </w:rPr>
        <w:drawing>
          <wp:inline distT="0" distB="0" distL="0" distR="0" wp14:anchorId="33458E1E" wp14:editId="0E69E320">
            <wp:extent cx="5172075" cy="3819525"/>
            <wp:effectExtent l="0" t="0" r="9525" b="9525"/>
            <wp:docPr id="8" name="Picture 8" descr="Figure 2 illustrates the compounded annual growth in the number of services per capita, total benefits and average benefits per service over the past five years, from the 2011/12 financial year to the 2016-17 financial year." title="Figure 2: Drivers of benefit growth 2011/12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2075" cy="3819525"/>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3C3F16B4" w14:textId="6731A6DE" w:rsidR="00484C45" w:rsidRPr="00EF734E" w:rsidRDefault="00A921C1" w:rsidP="00607BDA">
      <w:pPr>
        <w:rPr>
          <w:lang w:val="en-GB"/>
        </w:rPr>
      </w:pPr>
      <w:r w:rsidRPr="00EF734E">
        <w:rPr>
          <w:lang w:val="en-GB"/>
        </w:rPr>
        <w:t xml:space="preserve">The Committee was also asked to consider seven priority issues </w:t>
      </w:r>
      <w:r w:rsidR="00046004" w:rsidRPr="00EF734E">
        <w:rPr>
          <w:lang w:val="en-GB"/>
        </w:rPr>
        <w:t xml:space="preserve">identified </w:t>
      </w:r>
      <w:r w:rsidRPr="00EF734E">
        <w:rPr>
          <w:lang w:val="en-GB"/>
        </w:rPr>
        <w:t>by the Taskforce</w:t>
      </w:r>
      <w:r w:rsidR="00487674" w:rsidRPr="00EF734E">
        <w:rPr>
          <w:lang w:val="en-GB"/>
        </w:rPr>
        <w:t>. These</w:t>
      </w:r>
      <w:r w:rsidRPr="00EF734E">
        <w:rPr>
          <w:lang w:val="en-GB"/>
        </w:rPr>
        <w:t xml:space="preserve"> </w:t>
      </w:r>
      <w:r w:rsidR="00476F5B" w:rsidRPr="00EF734E">
        <w:rPr>
          <w:lang w:val="en-GB"/>
        </w:rPr>
        <w:t xml:space="preserve">issues are </w:t>
      </w:r>
      <w:r w:rsidRPr="00EF734E">
        <w:rPr>
          <w:lang w:val="en-GB"/>
        </w:rPr>
        <w:t>largely structural in nature</w:t>
      </w:r>
      <w:r w:rsidR="00487674" w:rsidRPr="00EF734E">
        <w:rPr>
          <w:lang w:val="en-GB"/>
        </w:rPr>
        <w:t xml:space="preserve">, </w:t>
      </w:r>
      <w:r w:rsidRPr="00EF734E">
        <w:rPr>
          <w:lang w:val="en-GB"/>
        </w:rPr>
        <w:t>rather than item</w:t>
      </w:r>
      <w:r w:rsidR="000B35AC" w:rsidRPr="00EF734E">
        <w:rPr>
          <w:lang w:val="en-GB"/>
        </w:rPr>
        <w:t>-</w:t>
      </w:r>
      <w:r w:rsidRPr="00EF734E">
        <w:rPr>
          <w:lang w:val="en-GB"/>
        </w:rPr>
        <w:t xml:space="preserve">specific </w:t>
      </w:r>
      <w:r w:rsidR="000B35AC" w:rsidRPr="00EF734E">
        <w:rPr>
          <w:lang w:val="en-GB"/>
        </w:rPr>
        <w:t>(</w:t>
      </w:r>
      <w:r w:rsidR="00484C45" w:rsidRPr="00EF734E">
        <w:rPr>
          <w:lang w:val="en-GB"/>
        </w:rPr>
        <w:t xml:space="preserve">refer to </w:t>
      </w:r>
      <w:r w:rsidR="00346844">
        <w:rPr>
          <w:lang w:val="en-GB"/>
        </w:rPr>
        <w:t>T</w:t>
      </w:r>
      <w:r w:rsidR="0001226A">
        <w:rPr>
          <w:lang w:val="en-GB"/>
        </w:rPr>
        <w:t xml:space="preserve">able </w:t>
      </w:r>
      <w:r w:rsidR="00C035DF">
        <w:rPr>
          <w:lang w:val="en-GB"/>
        </w:rPr>
        <w:t>2</w:t>
      </w:r>
      <w:r w:rsidR="001113FC" w:rsidRPr="00EF734E">
        <w:rPr>
          <w:lang w:val="en-GB"/>
        </w:rPr>
        <w:t>). The Taskforce referred t</w:t>
      </w:r>
      <w:r w:rsidRPr="00EF734E">
        <w:rPr>
          <w:lang w:val="en-GB"/>
        </w:rPr>
        <w:t xml:space="preserve">wo </w:t>
      </w:r>
      <w:r w:rsidR="001113FC" w:rsidRPr="00EF734E">
        <w:rPr>
          <w:lang w:val="en-GB"/>
        </w:rPr>
        <w:t xml:space="preserve">further </w:t>
      </w:r>
      <w:r w:rsidRPr="00EF734E">
        <w:rPr>
          <w:lang w:val="en-GB"/>
        </w:rPr>
        <w:t>issues</w:t>
      </w:r>
      <w:r w:rsidR="001113FC" w:rsidRPr="00EF734E">
        <w:rPr>
          <w:lang w:val="en-GB"/>
        </w:rPr>
        <w:t xml:space="preserve"> to the Committee</w:t>
      </w:r>
      <w:r w:rsidRPr="00EF734E">
        <w:rPr>
          <w:lang w:val="en-GB"/>
        </w:rPr>
        <w:t>, as requested by the Minister</w:t>
      </w:r>
      <w:r w:rsidR="001113FC" w:rsidRPr="00EF734E">
        <w:rPr>
          <w:lang w:val="en-GB"/>
        </w:rPr>
        <w:t>:</w:t>
      </w:r>
    </w:p>
    <w:p w14:paraId="5B56BF05" w14:textId="77777777" w:rsidR="00484C45" w:rsidRDefault="00A921C1" w:rsidP="00607BDA">
      <w:pPr>
        <w:pStyle w:val="Bullet-green"/>
        <w:rPr>
          <w:lang w:val="en-GB"/>
        </w:rPr>
      </w:pPr>
      <w:r w:rsidRPr="00484C45">
        <w:rPr>
          <w:lang w:val="en-GB"/>
        </w:rPr>
        <w:t>referral practices</w:t>
      </w:r>
      <w:r w:rsidR="00482B19">
        <w:rPr>
          <w:lang w:val="en-GB"/>
        </w:rPr>
        <w:t>;</w:t>
      </w:r>
      <w:r w:rsidRPr="00484C45">
        <w:rPr>
          <w:lang w:val="en-GB"/>
        </w:rPr>
        <w:t xml:space="preserve"> and</w:t>
      </w:r>
    </w:p>
    <w:p w14:paraId="3AA5DFC4" w14:textId="7166E8F0" w:rsidR="00EA23F7" w:rsidRPr="00BE7064" w:rsidRDefault="003D725B" w:rsidP="0004747F">
      <w:pPr>
        <w:pStyle w:val="Bullet-green"/>
        <w:rPr>
          <w:lang w:val="en-GB"/>
        </w:rPr>
      </w:pPr>
      <w:r w:rsidRPr="00484C45">
        <w:rPr>
          <w:lang w:val="en-GB"/>
        </w:rPr>
        <w:t xml:space="preserve">incentivising </w:t>
      </w:r>
      <w:r w:rsidR="00A921C1" w:rsidRPr="00484C45">
        <w:rPr>
          <w:lang w:val="en-GB"/>
        </w:rPr>
        <w:t>the uptake of My Health Record.</w:t>
      </w:r>
    </w:p>
    <w:p w14:paraId="091046F0" w14:textId="77777777" w:rsidR="00577C77" w:rsidRDefault="00577C77">
      <w:pPr>
        <w:spacing w:before="0" w:after="0"/>
        <w:rPr>
          <w:rFonts w:eastAsiaTheme="minorHAnsi" w:cs="Arial"/>
          <w:b/>
          <w:color w:val="000000" w:themeColor="text1"/>
          <w:sz w:val="20"/>
          <w:szCs w:val="22"/>
          <w:lang w:eastAsia="en-US"/>
        </w:rPr>
      </w:pPr>
      <w:bookmarkStart w:id="95" w:name="_Toc529028435"/>
      <w:r>
        <w:br w:type="page"/>
      </w:r>
    </w:p>
    <w:p w14:paraId="0886487C" w14:textId="73446F43" w:rsidR="0092016F" w:rsidRPr="0004747F" w:rsidRDefault="00DA1AEC" w:rsidP="00DA1AEC">
      <w:pPr>
        <w:pStyle w:val="Caption"/>
        <w:rPr>
          <w:b w:val="0"/>
          <w:lang w:val="en-GB"/>
        </w:rPr>
      </w:pPr>
      <w:r>
        <w:t xml:space="preserve">Table </w:t>
      </w:r>
      <w:fldSimple w:instr=" SEQ Table \* ARABIC ">
        <w:r w:rsidR="00832059">
          <w:rPr>
            <w:noProof/>
          </w:rPr>
          <w:t>2</w:t>
        </w:r>
      </w:fldSimple>
      <w:r w:rsidR="00EB6A44">
        <w:t>:</w:t>
      </w:r>
      <w:r w:rsidR="0004747F" w:rsidRPr="0004747F">
        <w:rPr>
          <w:lang w:val="en-GB"/>
        </w:rPr>
        <w:t xml:space="preserve"> Priority </w:t>
      </w:r>
      <w:r w:rsidR="0054010A">
        <w:rPr>
          <w:lang w:val="en-GB"/>
        </w:rPr>
        <w:t>i</w:t>
      </w:r>
      <w:r w:rsidR="0004747F" w:rsidRPr="0004747F">
        <w:rPr>
          <w:lang w:val="en-GB"/>
        </w:rPr>
        <w:t xml:space="preserve">ssues to </w:t>
      </w:r>
      <w:r w:rsidR="0054010A">
        <w:rPr>
          <w:lang w:val="en-GB"/>
        </w:rPr>
        <w:t>a</w:t>
      </w:r>
      <w:r w:rsidR="0004747F" w:rsidRPr="0004747F">
        <w:rPr>
          <w:lang w:val="en-GB"/>
        </w:rPr>
        <w:t xml:space="preserve">ddress in the </w:t>
      </w:r>
      <w:r w:rsidR="0054010A">
        <w:rPr>
          <w:lang w:val="en-GB"/>
        </w:rPr>
        <w:t>c</w:t>
      </w:r>
      <w:r w:rsidR="0004747F" w:rsidRPr="0004747F">
        <w:rPr>
          <w:lang w:val="en-GB"/>
        </w:rPr>
        <w:t xml:space="preserve">ommittee’s </w:t>
      </w:r>
      <w:r w:rsidR="0054010A">
        <w:rPr>
          <w:lang w:val="en-GB"/>
        </w:rPr>
        <w:t>r</w:t>
      </w:r>
      <w:r w:rsidR="0004747F" w:rsidRPr="0004747F">
        <w:rPr>
          <w:lang w:val="en-GB"/>
        </w:rPr>
        <w:t>eview</w:t>
      </w:r>
      <w:bookmarkEnd w:id="95"/>
    </w:p>
    <w:tbl>
      <w:tblPr>
        <w:tblStyle w:val="GridTable4-Accent3"/>
        <w:tblW w:w="8647" w:type="dxa"/>
        <w:tblLayout w:type="fixed"/>
        <w:tblLook w:val="04A0" w:firstRow="1" w:lastRow="0" w:firstColumn="1" w:lastColumn="0" w:noHBand="0" w:noVBand="1"/>
        <w:tblDescription w:val="Table 2 lists the issues that were prioritised by the committee and describes why they were important. "/>
      </w:tblPr>
      <w:tblGrid>
        <w:gridCol w:w="2977"/>
        <w:gridCol w:w="5670"/>
      </w:tblGrid>
      <w:tr w:rsidR="00EA23F7" w14:paraId="0442017A" w14:textId="77777777" w:rsidTr="00A13705">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2977" w:type="dxa"/>
          </w:tcPr>
          <w:p w14:paraId="22976E34" w14:textId="77777777" w:rsidR="00EA23F7" w:rsidRPr="00BE7064" w:rsidRDefault="00EA23F7" w:rsidP="007F023B">
            <w:pPr>
              <w:rPr>
                <w:rFonts w:cstheme="minorHAnsi"/>
                <w:b w:val="0"/>
              </w:rPr>
            </w:pPr>
            <w:r w:rsidRPr="00BE7064">
              <w:rPr>
                <w:rFonts w:cstheme="minorHAnsi"/>
              </w:rPr>
              <w:t>Issues</w:t>
            </w:r>
          </w:p>
        </w:tc>
        <w:tc>
          <w:tcPr>
            <w:tcW w:w="5670" w:type="dxa"/>
          </w:tcPr>
          <w:p w14:paraId="266B7A5D" w14:textId="77777777" w:rsidR="00EA23F7" w:rsidRPr="004F4165" w:rsidRDefault="00EA23F7" w:rsidP="007F023B">
            <w:pPr>
              <w:ind w:left="317" w:hanging="317"/>
              <w:cnfStyle w:val="100000000000" w:firstRow="1" w:lastRow="0" w:firstColumn="0" w:lastColumn="0" w:oddVBand="0" w:evenVBand="0" w:oddHBand="0" w:evenHBand="0" w:firstRowFirstColumn="0" w:firstRowLastColumn="0" w:lastRowFirstColumn="0" w:lastRowLastColumn="0"/>
              <w:rPr>
                <w:rFonts w:cstheme="minorHAnsi"/>
                <w:b w:val="0"/>
                <w:color w:val="548DD4" w:themeColor="text2" w:themeTint="99"/>
              </w:rPr>
            </w:pPr>
            <w:r w:rsidRPr="00BE7064">
              <w:rPr>
                <w:rFonts w:cstheme="minorHAnsi"/>
              </w:rPr>
              <w:t>Description</w:t>
            </w:r>
          </w:p>
        </w:tc>
      </w:tr>
      <w:tr w:rsidR="00EA23F7" w14:paraId="0E2FD1C9" w14:textId="77777777" w:rsidTr="0060432D">
        <w:tc>
          <w:tcPr>
            <w:cnfStyle w:val="001000000000" w:firstRow="0" w:lastRow="0" w:firstColumn="1" w:lastColumn="0" w:oddVBand="0" w:evenVBand="0" w:oddHBand="0" w:evenHBand="0" w:firstRowFirstColumn="0" w:firstRowLastColumn="0" w:lastRowFirstColumn="0" w:lastRowLastColumn="0"/>
            <w:tcW w:w="2977" w:type="dxa"/>
          </w:tcPr>
          <w:p w14:paraId="733F67EE" w14:textId="042A7CB6" w:rsidR="00EA23F7" w:rsidRPr="00BE7064" w:rsidRDefault="00EA23F7" w:rsidP="0009135F">
            <w:pPr>
              <w:pStyle w:val="ListParagraph"/>
              <w:numPr>
                <w:ilvl w:val="0"/>
                <w:numId w:val="112"/>
              </w:numPr>
              <w:rPr>
                <w:rFonts w:cstheme="minorHAnsi"/>
              </w:rPr>
            </w:pPr>
            <w:r w:rsidRPr="00BE7064">
              <w:rPr>
                <w:rFonts w:cstheme="minorHAnsi"/>
              </w:rPr>
              <w:t xml:space="preserve">The structure of the attendance items may not </w:t>
            </w:r>
            <w:r w:rsidR="0009135F" w:rsidRPr="00BE7064">
              <w:rPr>
                <w:rFonts w:cstheme="minorHAnsi"/>
              </w:rPr>
              <w:t>accurately consider resource input</w:t>
            </w:r>
          </w:p>
        </w:tc>
        <w:tc>
          <w:tcPr>
            <w:tcW w:w="5670" w:type="dxa"/>
          </w:tcPr>
          <w:p w14:paraId="628301A8" w14:textId="77777777" w:rsidR="00EA23F7" w:rsidRDefault="00EA23F7" w:rsidP="00EA23F7">
            <w:pPr>
              <w:numPr>
                <w:ilvl w:val="0"/>
                <w:numId w:val="107"/>
              </w:numPr>
              <w:spacing w:before="0" w:after="0"/>
              <w:ind w:left="317" w:hanging="31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There are no requirements with regard to time or activities or assessments that should be provided under the standard attendance, in contrast to the GP attendance items.</w:t>
            </w:r>
          </w:p>
          <w:p w14:paraId="56E36EF5" w14:textId="77777777" w:rsidR="00EA23F7" w:rsidRDefault="00EA23F7" w:rsidP="00EA23F7">
            <w:pPr>
              <w:numPr>
                <w:ilvl w:val="0"/>
                <w:numId w:val="107"/>
              </w:numPr>
              <w:spacing w:before="0" w:after="0"/>
              <w:ind w:left="317" w:hanging="31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Fee relativity between initial and subsequent items does not necessarily reflect resource requirement</w:t>
            </w:r>
          </w:p>
          <w:p w14:paraId="6E24A08A" w14:textId="45D133C2" w:rsidR="00EA23F7" w:rsidRPr="000F6FAF" w:rsidRDefault="00EA23F7" w:rsidP="0060432D">
            <w:pPr>
              <w:numPr>
                <w:ilvl w:val="0"/>
                <w:numId w:val="107"/>
              </w:numPr>
              <w:spacing w:before="0" w:after="0"/>
              <w:ind w:left="317" w:hanging="31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 loading for telehealth items was to recognise the additional time and increased professional complexity associated with provided telehealth services. This high loading may no longer be appropriate.</w:t>
            </w:r>
          </w:p>
        </w:tc>
      </w:tr>
      <w:tr w:rsidR="00EA23F7" w14:paraId="2B536016" w14:textId="77777777" w:rsidTr="0060432D">
        <w:tc>
          <w:tcPr>
            <w:cnfStyle w:val="001000000000" w:firstRow="0" w:lastRow="0" w:firstColumn="1" w:lastColumn="0" w:oddVBand="0" w:evenVBand="0" w:oddHBand="0" w:evenHBand="0" w:firstRowFirstColumn="0" w:firstRowLastColumn="0" w:lastRowFirstColumn="0" w:lastRowLastColumn="0"/>
            <w:tcW w:w="2977" w:type="dxa"/>
          </w:tcPr>
          <w:p w14:paraId="5B8FC50A" w14:textId="08A9EFB3" w:rsidR="00EA23F7" w:rsidRPr="00BE7064" w:rsidRDefault="00EA23F7" w:rsidP="00CA2155">
            <w:pPr>
              <w:pStyle w:val="ListParagraph"/>
              <w:numPr>
                <w:ilvl w:val="0"/>
                <w:numId w:val="112"/>
              </w:numPr>
              <w:rPr>
                <w:rFonts w:cstheme="minorHAnsi"/>
              </w:rPr>
            </w:pPr>
            <w:r w:rsidRPr="00BE7064">
              <w:rPr>
                <w:rFonts w:cstheme="minorHAnsi"/>
              </w:rPr>
              <w:t>The structure of the attendance items may not reflect contemporary roles and profiles of different specialties</w:t>
            </w:r>
          </w:p>
        </w:tc>
        <w:tc>
          <w:tcPr>
            <w:tcW w:w="5670" w:type="dxa"/>
          </w:tcPr>
          <w:p w14:paraId="3586F33D" w14:textId="77777777" w:rsidR="00EA23F7" w:rsidRPr="000F6FAF" w:rsidRDefault="00EA23F7" w:rsidP="00EA23F7">
            <w:pPr>
              <w:numPr>
                <w:ilvl w:val="0"/>
                <w:numId w:val="107"/>
              </w:numPr>
              <w:spacing w:before="0" w:after="0"/>
              <w:ind w:left="317" w:hanging="317"/>
              <w:cnfStyle w:val="000000000000" w:firstRow="0" w:lastRow="0" w:firstColumn="0" w:lastColumn="0" w:oddVBand="0" w:evenVBand="0" w:oddHBand="0" w:evenHBand="0" w:firstRowFirstColumn="0" w:firstRowLastColumn="0" w:lastRowFirstColumn="0" w:lastRowLastColumn="0"/>
              <w:rPr>
                <w:rFonts w:cstheme="minorHAnsi"/>
              </w:rPr>
            </w:pPr>
            <w:r w:rsidRPr="000F6FAF">
              <w:rPr>
                <w:rFonts w:cstheme="minorHAnsi"/>
              </w:rPr>
              <w:t>The assumptions underlying the differentiation between specialist versus consultant physician attendances may no longer hold true due to evolution of medical practices</w:t>
            </w:r>
          </w:p>
          <w:p w14:paraId="152E4680" w14:textId="77777777" w:rsidR="00EA23F7" w:rsidRPr="004725A7" w:rsidRDefault="00EA23F7" w:rsidP="00EA23F7">
            <w:pPr>
              <w:numPr>
                <w:ilvl w:val="0"/>
                <w:numId w:val="107"/>
              </w:numPr>
              <w:spacing w:before="0" w:after="0"/>
              <w:ind w:left="317" w:hanging="317"/>
              <w:cnfStyle w:val="000000000000" w:firstRow="0" w:lastRow="0" w:firstColumn="0" w:lastColumn="0" w:oddVBand="0" w:evenVBand="0" w:oddHBand="0" w:evenHBand="0" w:firstRowFirstColumn="0" w:firstRowLastColumn="0" w:lastRowFirstColumn="0" w:lastRowLastColumn="0"/>
              <w:rPr>
                <w:rFonts w:cstheme="minorHAnsi"/>
              </w:rPr>
            </w:pPr>
            <w:r w:rsidRPr="000F6FAF">
              <w:rPr>
                <w:rFonts w:cstheme="minorHAnsi"/>
              </w:rPr>
              <w:t>The nature of work performed by consultant physicians has increasingly become ‘procedural’ as well as ‘cognitive’ and vice versa for specialists</w:t>
            </w:r>
          </w:p>
        </w:tc>
      </w:tr>
      <w:tr w:rsidR="00EA23F7" w14:paraId="4C06C856" w14:textId="77777777" w:rsidTr="0060432D">
        <w:tc>
          <w:tcPr>
            <w:cnfStyle w:val="001000000000" w:firstRow="0" w:lastRow="0" w:firstColumn="1" w:lastColumn="0" w:oddVBand="0" w:evenVBand="0" w:oddHBand="0" w:evenHBand="0" w:firstRowFirstColumn="0" w:firstRowLastColumn="0" w:lastRowFirstColumn="0" w:lastRowLastColumn="0"/>
            <w:tcW w:w="2977" w:type="dxa"/>
          </w:tcPr>
          <w:p w14:paraId="06F2D8A9" w14:textId="34F1A64D" w:rsidR="00EA23F7" w:rsidRPr="00BE7064" w:rsidRDefault="00EA23F7" w:rsidP="007F023B">
            <w:pPr>
              <w:pStyle w:val="ListParagraph"/>
              <w:numPr>
                <w:ilvl w:val="0"/>
                <w:numId w:val="112"/>
              </w:numPr>
              <w:rPr>
                <w:rFonts w:cstheme="minorHAnsi"/>
              </w:rPr>
            </w:pPr>
            <w:r w:rsidRPr="00BE7064">
              <w:rPr>
                <w:rFonts w:cstheme="minorHAnsi"/>
              </w:rPr>
              <w:t>The complex plan items may not consistently deliver the originally intended benefits to patients</w:t>
            </w:r>
          </w:p>
        </w:tc>
        <w:tc>
          <w:tcPr>
            <w:tcW w:w="5670" w:type="dxa"/>
          </w:tcPr>
          <w:p w14:paraId="2D6E7714" w14:textId="79861E7B" w:rsidR="00EA23F7" w:rsidRDefault="00EA23F7" w:rsidP="00EA23F7">
            <w:pPr>
              <w:pStyle w:val="ListParagraph"/>
              <w:numPr>
                <w:ilvl w:val="0"/>
                <w:numId w:val="108"/>
              </w:numPr>
              <w:tabs>
                <w:tab w:val="clear" w:pos="720"/>
                <w:tab w:val="num" w:pos="317"/>
              </w:tabs>
              <w:spacing w:before="0" w:after="0"/>
              <w:ind w:left="317" w:hanging="283"/>
              <w:cnfStyle w:val="000000000000" w:firstRow="0" w:lastRow="0" w:firstColumn="0" w:lastColumn="0" w:oddVBand="0" w:evenVBand="0" w:oddHBand="0" w:evenHBand="0" w:firstRowFirstColumn="0" w:firstRowLastColumn="0" w:lastRowFirstColumn="0" w:lastRowLastColumn="0"/>
              <w:rPr>
                <w:rFonts w:cstheme="minorHAnsi"/>
              </w:rPr>
            </w:pPr>
            <w:r w:rsidRPr="000F6FAF">
              <w:rPr>
                <w:rFonts w:cstheme="minorHAnsi"/>
              </w:rPr>
              <w:t>The</w:t>
            </w:r>
            <w:r w:rsidR="006053AB">
              <w:rPr>
                <w:rFonts w:cstheme="minorHAnsi"/>
              </w:rPr>
              <w:t>se</w:t>
            </w:r>
            <w:r w:rsidRPr="000F6FAF">
              <w:rPr>
                <w:rFonts w:cstheme="minorHAnsi"/>
              </w:rPr>
              <w:t xml:space="preserve"> items </w:t>
            </w:r>
            <w:r w:rsidR="006053AB">
              <w:rPr>
                <w:rFonts w:cstheme="minorHAnsi"/>
              </w:rPr>
              <w:t xml:space="preserve">were introduced </w:t>
            </w:r>
            <w:r w:rsidRPr="000F6FAF">
              <w:rPr>
                <w:rFonts w:cstheme="minorHAnsi"/>
              </w:rPr>
              <w:t>to support effective integrated care for consumers with complex and chron</w:t>
            </w:r>
            <w:r w:rsidR="0060432D">
              <w:rPr>
                <w:rFonts w:cstheme="minorHAnsi"/>
              </w:rPr>
              <w:t>ic conditions</w:t>
            </w:r>
          </w:p>
          <w:p w14:paraId="01DB1023" w14:textId="704B2577" w:rsidR="00EA23F7" w:rsidRPr="000F6FAF" w:rsidRDefault="00EA23F7" w:rsidP="00EA23F7">
            <w:pPr>
              <w:pStyle w:val="ListParagraph"/>
              <w:numPr>
                <w:ilvl w:val="0"/>
                <w:numId w:val="108"/>
              </w:numPr>
              <w:tabs>
                <w:tab w:val="clear" w:pos="720"/>
                <w:tab w:val="num" w:pos="317"/>
              </w:tabs>
              <w:spacing w:before="0" w:after="0"/>
              <w:ind w:left="317" w:hanging="283"/>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Pr>
                <w:rFonts w:cstheme="minorHAnsi"/>
                <w:i/>
              </w:rPr>
              <w:t>Refer to the rationale and recommendations from the General Practice</w:t>
            </w:r>
            <w:r w:rsidR="0009135F">
              <w:rPr>
                <w:rFonts w:cstheme="minorHAnsi"/>
                <w:i/>
              </w:rPr>
              <w:t xml:space="preserve"> and </w:t>
            </w:r>
            <w:r>
              <w:rPr>
                <w:rFonts w:cstheme="minorHAnsi"/>
                <w:i/>
              </w:rPr>
              <w:t xml:space="preserve">Primary Care Clinical </w:t>
            </w:r>
            <w:r w:rsidR="0009135F">
              <w:rPr>
                <w:rFonts w:cstheme="minorHAnsi"/>
                <w:i/>
              </w:rPr>
              <w:t>C</w:t>
            </w:r>
            <w:r>
              <w:rPr>
                <w:rFonts w:cstheme="minorHAnsi"/>
                <w:i/>
              </w:rPr>
              <w:t>ommittee)</w:t>
            </w:r>
          </w:p>
        </w:tc>
      </w:tr>
      <w:tr w:rsidR="00EA23F7" w14:paraId="064C777C" w14:textId="77777777" w:rsidTr="0060432D">
        <w:tc>
          <w:tcPr>
            <w:cnfStyle w:val="001000000000" w:firstRow="0" w:lastRow="0" w:firstColumn="1" w:lastColumn="0" w:oddVBand="0" w:evenVBand="0" w:oddHBand="0" w:evenHBand="0" w:firstRowFirstColumn="0" w:firstRowLastColumn="0" w:lastRowFirstColumn="0" w:lastRowLastColumn="0"/>
            <w:tcW w:w="2977" w:type="dxa"/>
          </w:tcPr>
          <w:p w14:paraId="3B4058DF" w14:textId="6A3EA1D5" w:rsidR="00EA23F7" w:rsidRPr="00BE7064" w:rsidRDefault="00EA23F7" w:rsidP="00CA2155">
            <w:pPr>
              <w:pStyle w:val="ListParagraph"/>
              <w:numPr>
                <w:ilvl w:val="0"/>
                <w:numId w:val="112"/>
              </w:numPr>
              <w:rPr>
                <w:rFonts w:cstheme="minorHAnsi"/>
              </w:rPr>
            </w:pPr>
            <w:r w:rsidRPr="00BE7064">
              <w:rPr>
                <w:rFonts w:cstheme="minorHAnsi"/>
              </w:rPr>
              <w:t>Imbalance between procedures and consultations for some specialties</w:t>
            </w:r>
          </w:p>
        </w:tc>
        <w:tc>
          <w:tcPr>
            <w:tcW w:w="5670" w:type="dxa"/>
          </w:tcPr>
          <w:p w14:paraId="2E9E3463" w14:textId="77777777" w:rsidR="00EA23F7" w:rsidRPr="007E381B" w:rsidRDefault="00EA23F7" w:rsidP="00EA23F7">
            <w:pPr>
              <w:pStyle w:val="ListParagraph"/>
              <w:numPr>
                <w:ilvl w:val="0"/>
                <w:numId w:val="109"/>
              </w:numPr>
              <w:tabs>
                <w:tab w:val="clear" w:pos="754"/>
                <w:tab w:val="num" w:pos="317"/>
              </w:tabs>
              <w:spacing w:before="0" w:after="0"/>
              <w:ind w:left="317" w:hanging="283"/>
              <w:cnfStyle w:val="000000000000" w:firstRow="0" w:lastRow="0" w:firstColumn="0" w:lastColumn="0" w:oddVBand="0" w:evenVBand="0" w:oddHBand="0" w:evenHBand="0" w:firstRowFirstColumn="0" w:firstRowLastColumn="0" w:lastRowFirstColumn="0" w:lastRowLastColumn="0"/>
              <w:rPr>
                <w:rFonts w:cstheme="minorHAnsi"/>
              </w:rPr>
            </w:pPr>
            <w:r w:rsidRPr="007E381B">
              <w:rPr>
                <w:rFonts w:cstheme="minorHAnsi"/>
              </w:rPr>
              <w:t>The proportion of consultations undertaken relative to procedures may be suboptimal for patient outcomes</w:t>
            </w:r>
          </w:p>
        </w:tc>
      </w:tr>
      <w:tr w:rsidR="00EA23F7" w14:paraId="6540A1FA" w14:textId="77777777" w:rsidTr="0060432D">
        <w:tc>
          <w:tcPr>
            <w:cnfStyle w:val="001000000000" w:firstRow="0" w:lastRow="0" w:firstColumn="1" w:lastColumn="0" w:oddVBand="0" w:evenVBand="0" w:oddHBand="0" w:evenHBand="0" w:firstRowFirstColumn="0" w:firstRowLastColumn="0" w:lastRowFirstColumn="0" w:lastRowLastColumn="0"/>
            <w:tcW w:w="2977" w:type="dxa"/>
          </w:tcPr>
          <w:p w14:paraId="3E908865" w14:textId="77777777" w:rsidR="00EA23F7" w:rsidRPr="00BE7064" w:rsidRDefault="00EA23F7" w:rsidP="00CA2155">
            <w:pPr>
              <w:pStyle w:val="ListParagraph"/>
              <w:numPr>
                <w:ilvl w:val="0"/>
                <w:numId w:val="112"/>
              </w:numPr>
              <w:rPr>
                <w:rFonts w:cstheme="minorHAnsi"/>
              </w:rPr>
            </w:pPr>
            <w:r w:rsidRPr="00BE7064">
              <w:rPr>
                <w:rFonts w:cstheme="minorHAnsi"/>
              </w:rPr>
              <w:t>Review and assess multi-disciplinary approach</w:t>
            </w:r>
          </w:p>
        </w:tc>
        <w:tc>
          <w:tcPr>
            <w:tcW w:w="5670" w:type="dxa"/>
          </w:tcPr>
          <w:p w14:paraId="49CD54F2" w14:textId="77777777" w:rsidR="00EA23F7" w:rsidRPr="004725A7" w:rsidRDefault="00EA23F7" w:rsidP="00EA23F7">
            <w:pPr>
              <w:pStyle w:val="ListParagraph"/>
              <w:numPr>
                <w:ilvl w:val="0"/>
                <w:numId w:val="109"/>
              </w:numPr>
              <w:tabs>
                <w:tab w:val="clear" w:pos="754"/>
                <w:tab w:val="num" w:pos="317"/>
              </w:tabs>
              <w:spacing w:before="0" w:after="0"/>
              <w:ind w:left="317" w:hanging="283"/>
              <w:cnfStyle w:val="000000000000" w:firstRow="0" w:lastRow="0" w:firstColumn="0" w:lastColumn="0" w:oddVBand="0" w:evenVBand="0" w:oddHBand="0" w:evenHBand="0" w:firstRowFirstColumn="0" w:firstRowLastColumn="0" w:lastRowFirstColumn="0" w:lastRowLastColumn="0"/>
              <w:rPr>
                <w:rFonts w:cstheme="minorHAnsi"/>
              </w:rPr>
            </w:pPr>
            <w:r w:rsidRPr="007E381B">
              <w:rPr>
                <w:rFonts w:cstheme="minorHAnsi"/>
              </w:rPr>
              <w:t>The multi-disciplinary approach could be remodelled and assessed to facilitate better patient outcomes</w:t>
            </w:r>
          </w:p>
        </w:tc>
      </w:tr>
      <w:tr w:rsidR="00EA23F7" w14:paraId="5912E48E" w14:textId="77777777" w:rsidTr="0060432D">
        <w:tc>
          <w:tcPr>
            <w:cnfStyle w:val="001000000000" w:firstRow="0" w:lastRow="0" w:firstColumn="1" w:lastColumn="0" w:oddVBand="0" w:evenVBand="0" w:oddHBand="0" w:evenHBand="0" w:firstRowFirstColumn="0" w:firstRowLastColumn="0" w:lastRowFirstColumn="0" w:lastRowLastColumn="0"/>
            <w:tcW w:w="2977" w:type="dxa"/>
          </w:tcPr>
          <w:p w14:paraId="0FAF8A60" w14:textId="3B08EC6B" w:rsidR="00EA23F7" w:rsidRPr="00FB4BB4" w:rsidRDefault="00EA23F7" w:rsidP="00FB4BB4">
            <w:pPr>
              <w:pStyle w:val="ListParagraph"/>
              <w:numPr>
                <w:ilvl w:val="0"/>
                <w:numId w:val="112"/>
              </w:numPr>
              <w:rPr>
                <w:rFonts w:cstheme="minorHAnsi"/>
              </w:rPr>
            </w:pPr>
            <w:r w:rsidRPr="00BE7064">
              <w:rPr>
                <w:rFonts w:cstheme="minorHAnsi"/>
              </w:rPr>
              <w:t xml:space="preserve">Review GP referrals to </w:t>
            </w:r>
            <w:r w:rsidRPr="00FB4BB4">
              <w:rPr>
                <w:rFonts w:cstheme="minorHAnsi"/>
              </w:rPr>
              <w:t>specialists and</w:t>
            </w:r>
            <w:r w:rsidR="0094098B" w:rsidRPr="00FB4BB4">
              <w:rPr>
                <w:rFonts w:cstheme="minorHAnsi"/>
              </w:rPr>
              <w:t xml:space="preserve"> </w:t>
            </w:r>
            <w:r w:rsidRPr="00FB4BB4">
              <w:rPr>
                <w:rFonts w:cstheme="minorHAnsi"/>
              </w:rPr>
              <w:t>consultant</w:t>
            </w:r>
            <w:r w:rsidR="00FB4BB4">
              <w:rPr>
                <w:rFonts w:cstheme="minorHAnsi"/>
              </w:rPr>
              <w:t xml:space="preserve"> </w:t>
            </w:r>
            <w:r w:rsidR="009945FB" w:rsidRPr="00FB4BB4">
              <w:rPr>
                <w:rFonts w:cstheme="minorHAnsi"/>
              </w:rPr>
              <w:t>physicians</w:t>
            </w:r>
          </w:p>
        </w:tc>
        <w:tc>
          <w:tcPr>
            <w:tcW w:w="5670" w:type="dxa"/>
          </w:tcPr>
          <w:p w14:paraId="5C5C3966" w14:textId="77777777" w:rsidR="00EA23F7" w:rsidRPr="007E381B" w:rsidRDefault="00EA23F7" w:rsidP="00EA23F7">
            <w:pPr>
              <w:pStyle w:val="ListParagraph"/>
              <w:numPr>
                <w:ilvl w:val="0"/>
                <w:numId w:val="109"/>
              </w:numPr>
              <w:tabs>
                <w:tab w:val="clear" w:pos="754"/>
                <w:tab w:val="num" w:pos="317"/>
              </w:tabs>
              <w:spacing w:before="0" w:after="0"/>
              <w:ind w:left="317" w:right="34" w:hanging="283"/>
              <w:cnfStyle w:val="000000000000" w:firstRow="0" w:lastRow="0" w:firstColumn="0" w:lastColumn="0" w:oddVBand="0" w:evenVBand="0" w:oddHBand="0" w:evenHBand="0" w:firstRowFirstColumn="0" w:firstRowLastColumn="0" w:lastRowFirstColumn="0" w:lastRowLastColumn="0"/>
              <w:rPr>
                <w:rFonts w:cstheme="minorHAnsi"/>
              </w:rPr>
            </w:pPr>
            <w:r w:rsidRPr="007E381B">
              <w:rPr>
                <w:rFonts w:cstheme="minorHAnsi"/>
              </w:rPr>
              <w:t>The Minister requested that the Committee review how referrals operate and whether there should be any changes to referral arrangements to prevent unnecessary GP consultations</w:t>
            </w:r>
          </w:p>
        </w:tc>
      </w:tr>
      <w:tr w:rsidR="00EA23F7" w14:paraId="58822B32" w14:textId="77777777" w:rsidTr="0060432D">
        <w:tc>
          <w:tcPr>
            <w:cnfStyle w:val="001000000000" w:firstRow="0" w:lastRow="0" w:firstColumn="1" w:lastColumn="0" w:oddVBand="0" w:evenVBand="0" w:oddHBand="0" w:evenHBand="0" w:firstRowFirstColumn="0" w:firstRowLastColumn="0" w:lastRowFirstColumn="0" w:lastRowLastColumn="0"/>
            <w:tcW w:w="2977" w:type="dxa"/>
          </w:tcPr>
          <w:p w14:paraId="085B0833" w14:textId="4A808C13" w:rsidR="00EA23F7" w:rsidRPr="00FB4BB4" w:rsidRDefault="00EA23F7" w:rsidP="00FB4BB4">
            <w:pPr>
              <w:pStyle w:val="ListParagraph"/>
              <w:numPr>
                <w:ilvl w:val="0"/>
                <w:numId w:val="112"/>
              </w:numPr>
              <w:rPr>
                <w:rFonts w:cstheme="minorHAnsi"/>
              </w:rPr>
            </w:pPr>
            <w:r w:rsidRPr="00BE7064">
              <w:rPr>
                <w:rFonts w:cstheme="minorHAnsi"/>
              </w:rPr>
              <w:t xml:space="preserve">Multiple items exist that </w:t>
            </w:r>
            <w:r w:rsidRPr="00FB4BB4">
              <w:rPr>
                <w:rFonts w:cstheme="minorHAnsi"/>
              </w:rPr>
              <w:t>serve similar</w:t>
            </w:r>
            <w:r w:rsidR="0094098B" w:rsidRPr="00FB4BB4">
              <w:rPr>
                <w:rFonts w:cstheme="minorHAnsi"/>
              </w:rPr>
              <w:t xml:space="preserve"> </w:t>
            </w:r>
            <w:r w:rsidRPr="00FB4BB4">
              <w:rPr>
                <w:rFonts w:cstheme="minorHAnsi"/>
              </w:rPr>
              <w:t>purposes</w:t>
            </w:r>
          </w:p>
        </w:tc>
        <w:tc>
          <w:tcPr>
            <w:tcW w:w="5670" w:type="dxa"/>
          </w:tcPr>
          <w:p w14:paraId="27564D58" w14:textId="77777777" w:rsidR="00EA23F7" w:rsidRPr="00D122A6" w:rsidRDefault="00EA23F7" w:rsidP="00EA23F7">
            <w:pPr>
              <w:pStyle w:val="ListParagraph"/>
              <w:numPr>
                <w:ilvl w:val="0"/>
                <w:numId w:val="109"/>
              </w:numPr>
              <w:tabs>
                <w:tab w:val="clear" w:pos="754"/>
                <w:tab w:val="num" w:pos="317"/>
                <w:tab w:val="num" w:pos="356"/>
              </w:tabs>
              <w:spacing w:before="0" w:after="0"/>
              <w:ind w:left="356" w:right="34" w:hanging="284"/>
              <w:cnfStyle w:val="000000000000" w:firstRow="0" w:lastRow="0" w:firstColumn="0" w:lastColumn="0" w:oddVBand="0" w:evenVBand="0" w:oddHBand="0" w:evenHBand="0" w:firstRowFirstColumn="0" w:firstRowLastColumn="0" w:lastRowFirstColumn="0" w:lastRowLastColumn="0"/>
              <w:rPr>
                <w:rFonts w:cstheme="minorHAnsi"/>
              </w:rPr>
            </w:pPr>
            <w:r w:rsidRPr="00D122A6">
              <w:rPr>
                <w:rFonts w:cstheme="minorHAnsi"/>
              </w:rPr>
              <w:t>Several items fulfil highly similar functions in the current service description, especially for newly added items</w:t>
            </w:r>
          </w:p>
          <w:p w14:paraId="34E1E104" w14:textId="77777777" w:rsidR="00EA23F7" w:rsidRPr="00D122A6" w:rsidRDefault="00EA23F7" w:rsidP="00EA23F7">
            <w:pPr>
              <w:pStyle w:val="ListParagraph"/>
              <w:numPr>
                <w:ilvl w:val="0"/>
                <w:numId w:val="109"/>
              </w:numPr>
              <w:tabs>
                <w:tab w:val="clear" w:pos="754"/>
                <w:tab w:val="num" w:pos="317"/>
                <w:tab w:val="num" w:pos="356"/>
              </w:tabs>
              <w:spacing w:before="0" w:after="0"/>
              <w:ind w:left="356" w:right="34" w:hanging="284"/>
              <w:cnfStyle w:val="000000000000" w:firstRow="0" w:lastRow="0" w:firstColumn="0" w:lastColumn="0" w:oddVBand="0" w:evenVBand="0" w:oddHBand="0" w:evenHBand="0" w:firstRowFirstColumn="0" w:firstRowLastColumn="0" w:lastRowFirstColumn="0" w:lastRowLastColumn="0"/>
              <w:rPr>
                <w:rFonts w:cstheme="minorHAnsi"/>
              </w:rPr>
            </w:pPr>
            <w:r w:rsidRPr="00D122A6">
              <w:rPr>
                <w:rFonts w:cstheme="minorHAnsi"/>
              </w:rPr>
              <w:t>Different items can be claimed for the same services (e.g. by different provider types)</w:t>
            </w:r>
          </w:p>
        </w:tc>
      </w:tr>
    </w:tbl>
    <w:p w14:paraId="25F4B633" w14:textId="2E936941" w:rsidR="00A921C1" w:rsidRPr="00C33C0B" w:rsidRDefault="002C1176" w:rsidP="0065723A">
      <w:pPr>
        <w:rPr>
          <w:lang w:val="en-GB"/>
        </w:rPr>
      </w:pPr>
      <w:r>
        <w:rPr>
          <w:lang w:val="en-GB"/>
        </w:rPr>
        <w:t>Noting</w:t>
      </w:r>
      <w:r w:rsidR="00A921C1" w:rsidRPr="00C33C0B">
        <w:rPr>
          <w:lang w:val="en-GB"/>
        </w:rPr>
        <w:t xml:space="preserve"> significant overlap between some of these issues</w:t>
      </w:r>
      <w:r>
        <w:rPr>
          <w:lang w:val="en-GB"/>
        </w:rPr>
        <w:t>, the Committee</w:t>
      </w:r>
      <w:r w:rsidR="00A921C1" w:rsidRPr="00C33C0B">
        <w:rPr>
          <w:lang w:val="en-GB"/>
        </w:rPr>
        <w:t xml:space="preserve"> consider</w:t>
      </w:r>
      <w:r>
        <w:rPr>
          <w:lang w:val="en-GB"/>
        </w:rPr>
        <w:t>ed</w:t>
      </w:r>
      <w:r w:rsidR="00A921C1" w:rsidRPr="00C33C0B">
        <w:rPr>
          <w:lang w:val="en-GB"/>
        </w:rPr>
        <w:t xml:space="preserve">: </w:t>
      </w:r>
    </w:p>
    <w:p w14:paraId="37FE7747" w14:textId="77777777" w:rsidR="00A921C1" w:rsidRPr="00607BDA" w:rsidRDefault="005C6FAB" w:rsidP="000831A1">
      <w:pPr>
        <w:pStyle w:val="Numbering"/>
        <w:numPr>
          <w:ilvl w:val="0"/>
          <w:numId w:val="40"/>
        </w:numPr>
        <w:rPr>
          <w:lang w:val="en-GB"/>
        </w:rPr>
      </w:pPr>
      <w:r w:rsidRPr="00607BDA">
        <w:rPr>
          <w:lang w:val="en-GB"/>
        </w:rPr>
        <w:t>How s</w:t>
      </w:r>
      <w:r w:rsidR="00A921C1" w:rsidRPr="00607BDA">
        <w:rPr>
          <w:lang w:val="en-GB"/>
        </w:rPr>
        <w:t>tandard attendance item</w:t>
      </w:r>
      <w:r w:rsidR="006A4A9B" w:rsidRPr="00607BDA">
        <w:rPr>
          <w:lang w:val="en-GB"/>
        </w:rPr>
        <w:t>s</w:t>
      </w:r>
      <w:r w:rsidR="00A921C1" w:rsidRPr="00607BDA">
        <w:rPr>
          <w:lang w:val="en-GB"/>
        </w:rPr>
        <w:t xml:space="preserve"> (initial and subsequent </w:t>
      </w:r>
      <w:r w:rsidR="000356E8" w:rsidRPr="00607BDA">
        <w:rPr>
          <w:lang w:val="en-GB"/>
        </w:rPr>
        <w:t>attendances</w:t>
      </w:r>
      <w:r w:rsidR="00A921C1" w:rsidRPr="00607BDA">
        <w:rPr>
          <w:lang w:val="en-GB"/>
        </w:rPr>
        <w:t xml:space="preserve"> with a single </w:t>
      </w:r>
      <w:r w:rsidR="00AA329D" w:rsidRPr="00607BDA">
        <w:rPr>
          <w:lang w:val="en-GB"/>
        </w:rPr>
        <w:t>consultant specialist</w:t>
      </w:r>
      <w:r w:rsidR="00A921C1" w:rsidRPr="00607BDA">
        <w:rPr>
          <w:lang w:val="en-GB"/>
        </w:rPr>
        <w:t>) can better reflect resource input</w:t>
      </w:r>
      <w:r w:rsidR="0024276B" w:rsidRPr="00607BDA">
        <w:rPr>
          <w:lang w:val="en-GB"/>
        </w:rPr>
        <w:t xml:space="preserve"> (Section 4)</w:t>
      </w:r>
      <w:r w:rsidR="00F50424" w:rsidRPr="00607BDA">
        <w:rPr>
          <w:lang w:val="en-GB"/>
        </w:rPr>
        <w:t>.</w:t>
      </w:r>
    </w:p>
    <w:p w14:paraId="3832B3D6" w14:textId="77777777" w:rsidR="00A921C1" w:rsidRPr="00C33C0B" w:rsidRDefault="00DA7C22" w:rsidP="000831A1">
      <w:pPr>
        <w:pStyle w:val="Numbering"/>
        <w:numPr>
          <w:ilvl w:val="0"/>
          <w:numId w:val="25"/>
        </w:numPr>
        <w:rPr>
          <w:lang w:val="en-GB"/>
        </w:rPr>
      </w:pPr>
      <w:r>
        <w:rPr>
          <w:lang w:val="en-GB"/>
        </w:rPr>
        <w:t>How c</w:t>
      </w:r>
      <w:r w:rsidR="00A921C1" w:rsidRPr="00C33C0B">
        <w:rPr>
          <w:lang w:val="en-GB"/>
        </w:rPr>
        <w:t>omplex plan items can better promote integrated care</w:t>
      </w:r>
      <w:r w:rsidR="007447EB">
        <w:rPr>
          <w:lang w:val="en-GB"/>
        </w:rPr>
        <w:t xml:space="preserve"> (Section 5</w:t>
      </w:r>
      <w:r w:rsidR="0024276B">
        <w:rPr>
          <w:lang w:val="en-GB"/>
        </w:rPr>
        <w:t>)</w:t>
      </w:r>
      <w:r w:rsidR="005C6FAB">
        <w:rPr>
          <w:lang w:val="en-GB"/>
        </w:rPr>
        <w:t>.</w:t>
      </w:r>
    </w:p>
    <w:p w14:paraId="0C29F8CE" w14:textId="77777777" w:rsidR="007447EB" w:rsidRPr="00C33C0B" w:rsidRDefault="007447EB" w:rsidP="000831A1">
      <w:pPr>
        <w:pStyle w:val="Numbering"/>
        <w:numPr>
          <w:ilvl w:val="0"/>
          <w:numId w:val="25"/>
        </w:numPr>
        <w:rPr>
          <w:lang w:val="en-GB"/>
        </w:rPr>
      </w:pPr>
      <w:r>
        <w:rPr>
          <w:lang w:val="en-GB"/>
        </w:rPr>
        <w:t>Whether t</w:t>
      </w:r>
      <w:r w:rsidRPr="00C33C0B">
        <w:rPr>
          <w:lang w:val="en-GB"/>
        </w:rPr>
        <w:t>elehealth loading items remain the optimal mechanism to promote uptake of telehealth</w:t>
      </w:r>
      <w:r>
        <w:rPr>
          <w:lang w:val="en-GB"/>
        </w:rPr>
        <w:t xml:space="preserve"> (Section 6).</w:t>
      </w:r>
    </w:p>
    <w:p w14:paraId="413AA511" w14:textId="77777777" w:rsidR="00A921C1" w:rsidRPr="00C33C0B" w:rsidRDefault="00166C3F" w:rsidP="000831A1">
      <w:pPr>
        <w:pStyle w:val="Numbering"/>
        <w:numPr>
          <w:ilvl w:val="0"/>
          <w:numId w:val="25"/>
        </w:numPr>
        <w:rPr>
          <w:lang w:val="en-GB"/>
        </w:rPr>
      </w:pPr>
      <w:r>
        <w:rPr>
          <w:lang w:val="en-GB"/>
        </w:rPr>
        <w:t>How use of c</w:t>
      </w:r>
      <w:r w:rsidR="00A921C1" w:rsidRPr="00C33C0B">
        <w:rPr>
          <w:lang w:val="en-GB"/>
        </w:rPr>
        <w:t>ase conference</w:t>
      </w:r>
      <w:r w:rsidR="005C6FAB">
        <w:rPr>
          <w:lang w:val="en-GB"/>
        </w:rPr>
        <w:t>s</w:t>
      </w:r>
      <w:r w:rsidR="00A921C1" w:rsidRPr="00C33C0B">
        <w:rPr>
          <w:lang w:val="en-GB"/>
        </w:rPr>
        <w:t xml:space="preserve"> can be increased in the private sector</w:t>
      </w:r>
      <w:r w:rsidR="00252576">
        <w:rPr>
          <w:lang w:val="en-GB"/>
        </w:rPr>
        <w:t>,</w:t>
      </w:r>
      <w:r w:rsidR="00A921C1" w:rsidRPr="00C33C0B">
        <w:rPr>
          <w:lang w:val="en-GB"/>
        </w:rPr>
        <w:t xml:space="preserve"> and</w:t>
      </w:r>
      <w:r w:rsidR="00252576">
        <w:rPr>
          <w:lang w:val="en-GB"/>
        </w:rPr>
        <w:t xml:space="preserve"> how case conferences can</w:t>
      </w:r>
      <w:r w:rsidR="00A921C1" w:rsidRPr="00C33C0B">
        <w:rPr>
          <w:lang w:val="en-GB"/>
        </w:rPr>
        <w:t xml:space="preserve"> involve the right participants to integrate care and improve patient outcomes</w:t>
      </w:r>
      <w:r w:rsidR="0024276B">
        <w:rPr>
          <w:lang w:val="en-GB"/>
        </w:rPr>
        <w:t xml:space="preserve"> (Section 7)</w:t>
      </w:r>
      <w:r w:rsidR="0089140A">
        <w:rPr>
          <w:lang w:val="en-GB"/>
        </w:rPr>
        <w:t>.</w:t>
      </w:r>
    </w:p>
    <w:p w14:paraId="01DB59CB" w14:textId="77777777" w:rsidR="00A921C1" w:rsidRPr="00C33C0B" w:rsidRDefault="00A921C1" w:rsidP="000831A1">
      <w:pPr>
        <w:pStyle w:val="Numbering"/>
        <w:numPr>
          <w:ilvl w:val="0"/>
          <w:numId w:val="25"/>
        </w:numPr>
        <w:rPr>
          <w:lang w:val="en-GB"/>
        </w:rPr>
      </w:pPr>
      <w:r w:rsidRPr="00C33C0B">
        <w:rPr>
          <w:lang w:val="en-GB"/>
        </w:rPr>
        <w:t xml:space="preserve">The imbalance between procedures and </w:t>
      </w:r>
      <w:r w:rsidR="00F735F4" w:rsidRPr="00C33C0B">
        <w:rPr>
          <w:lang w:val="en-GB"/>
        </w:rPr>
        <w:t>attendances</w:t>
      </w:r>
      <w:r w:rsidR="00957037" w:rsidRPr="00C33C0B">
        <w:rPr>
          <w:lang w:val="en-GB"/>
        </w:rPr>
        <w:t xml:space="preserve"> and the role of data-</w:t>
      </w:r>
      <w:r w:rsidRPr="00C33C0B">
        <w:rPr>
          <w:lang w:val="en-GB"/>
        </w:rPr>
        <w:t>driven practice and patient consent in improving quality</w:t>
      </w:r>
      <w:r w:rsidR="0024276B">
        <w:rPr>
          <w:lang w:val="en-GB"/>
        </w:rPr>
        <w:t xml:space="preserve"> (Section 8)</w:t>
      </w:r>
      <w:r w:rsidR="00E60FB9">
        <w:rPr>
          <w:lang w:val="en-GB"/>
        </w:rPr>
        <w:t>.</w:t>
      </w:r>
    </w:p>
    <w:p w14:paraId="57106157" w14:textId="77777777" w:rsidR="007447EB" w:rsidRPr="00C33C0B" w:rsidRDefault="007447EB" w:rsidP="000831A1">
      <w:pPr>
        <w:pStyle w:val="Numbering"/>
        <w:numPr>
          <w:ilvl w:val="0"/>
          <w:numId w:val="25"/>
        </w:numPr>
      </w:pPr>
      <w:r w:rsidRPr="00C33C0B">
        <w:rPr>
          <w:lang w:val="en-GB"/>
        </w:rPr>
        <w:t>Mechanisms to promote uptake of My Health Record</w:t>
      </w:r>
      <w:r>
        <w:rPr>
          <w:lang w:val="en-GB"/>
        </w:rPr>
        <w:t xml:space="preserve"> (Section 9).</w:t>
      </w:r>
    </w:p>
    <w:p w14:paraId="2A7320F9" w14:textId="77777777" w:rsidR="00A921C1" w:rsidRPr="00C33C0B" w:rsidRDefault="00A921C1" w:rsidP="000831A1">
      <w:pPr>
        <w:pStyle w:val="Numbering"/>
        <w:numPr>
          <w:ilvl w:val="0"/>
          <w:numId w:val="25"/>
        </w:numPr>
        <w:rPr>
          <w:lang w:val="en-GB"/>
        </w:rPr>
      </w:pPr>
      <w:r w:rsidRPr="00C33C0B">
        <w:rPr>
          <w:lang w:val="en-GB"/>
        </w:rPr>
        <w:t>Referral practices</w:t>
      </w:r>
      <w:r w:rsidR="006F4955">
        <w:rPr>
          <w:lang w:val="en-GB"/>
        </w:rPr>
        <w:t>,</w:t>
      </w:r>
      <w:r w:rsidRPr="00C33C0B">
        <w:rPr>
          <w:lang w:val="en-GB"/>
        </w:rPr>
        <w:t xml:space="preserve"> in response to consumer concerns around access and convenience</w:t>
      </w:r>
      <w:r w:rsidR="007447EB">
        <w:rPr>
          <w:lang w:val="en-GB"/>
        </w:rPr>
        <w:t xml:space="preserve"> (Section 10</w:t>
      </w:r>
      <w:r w:rsidR="0024276B">
        <w:rPr>
          <w:lang w:val="en-GB"/>
        </w:rPr>
        <w:t>)</w:t>
      </w:r>
      <w:r w:rsidR="001E3265">
        <w:rPr>
          <w:lang w:val="en-GB"/>
        </w:rPr>
        <w:t>.</w:t>
      </w:r>
    </w:p>
    <w:p w14:paraId="1DC4BD30" w14:textId="77777777" w:rsidR="00296E41" w:rsidRPr="00C33C0B" w:rsidRDefault="00296E41" w:rsidP="003C5D5A">
      <w:pPr>
        <w:pStyle w:val="Heading2"/>
        <w:rPr>
          <w:lang w:val="en-GB"/>
        </w:rPr>
      </w:pPr>
      <w:bookmarkStart w:id="96" w:name="_Toc468831585"/>
      <w:bookmarkStart w:id="97" w:name="_Toc521442198"/>
      <w:bookmarkStart w:id="98" w:name="_Toc67952199"/>
      <w:r w:rsidRPr="00C33C0B">
        <w:rPr>
          <w:lang w:val="en-GB"/>
        </w:rPr>
        <w:t xml:space="preserve">Summary of the </w:t>
      </w:r>
      <w:r w:rsidR="0054010A">
        <w:rPr>
          <w:lang w:val="en-GB"/>
        </w:rPr>
        <w:t>c</w:t>
      </w:r>
      <w:r w:rsidRPr="00C33C0B">
        <w:rPr>
          <w:lang w:val="en-GB"/>
        </w:rPr>
        <w:t>ommittee’s review approach</w:t>
      </w:r>
      <w:bookmarkEnd w:id="96"/>
      <w:bookmarkEnd w:id="97"/>
      <w:bookmarkEnd w:id="98"/>
    </w:p>
    <w:p w14:paraId="1F9A8DEA" w14:textId="77777777" w:rsidR="00717672" w:rsidRDefault="00296E41" w:rsidP="00D661EB">
      <w:pPr>
        <w:rPr>
          <w:lang w:val="en-GB"/>
        </w:rPr>
      </w:pPr>
      <w:r w:rsidRPr="00C33C0B">
        <w:rPr>
          <w:lang w:val="en-GB"/>
        </w:rPr>
        <w:t xml:space="preserve">The Committee completed a review of items </w:t>
      </w:r>
      <w:r w:rsidR="00674781">
        <w:rPr>
          <w:lang w:val="en-GB"/>
        </w:rPr>
        <w:t xml:space="preserve">in scope </w:t>
      </w:r>
      <w:r w:rsidRPr="00C33C0B">
        <w:rPr>
          <w:lang w:val="en-GB"/>
        </w:rPr>
        <w:t xml:space="preserve">across five full Committee meetings and </w:t>
      </w:r>
      <w:r w:rsidR="00EA14BE">
        <w:rPr>
          <w:lang w:val="en-GB"/>
        </w:rPr>
        <w:t>eight</w:t>
      </w:r>
      <w:r w:rsidRPr="00C33C0B">
        <w:rPr>
          <w:lang w:val="en-GB"/>
        </w:rPr>
        <w:t xml:space="preserve"> </w:t>
      </w:r>
      <w:r w:rsidR="005E1E25">
        <w:rPr>
          <w:lang w:val="en-GB"/>
        </w:rPr>
        <w:t>working group</w:t>
      </w:r>
      <w:r w:rsidRPr="00C33C0B">
        <w:rPr>
          <w:lang w:val="en-GB"/>
        </w:rPr>
        <w:t xml:space="preserve"> meeting</w:t>
      </w:r>
      <w:r w:rsidR="00077813">
        <w:rPr>
          <w:lang w:val="en-GB"/>
        </w:rPr>
        <w:t>s</w:t>
      </w:r>
      <w:r w:rsidR="00674781">
        <w:rPr>
          <w:lang w:val="en-GB"/>
        </w:rPr>
        <w:t xml:space="preserve"> – supplemented by email correspondence between meetings – to develop </w:t>
      </w:r>
      <w:r w:rsidRPr="00C33C0B">
        <w:rPr>
          <w:lang w:val="en-GB"/>
        </w:rPr>
        <w:t xml:space="preserve">the recommendations and rationales </w:t>
      </w:r>
      <w:r w:rsidR="00717672">
        <w:rPr>
          <w:lang w:val="en-GB"/>
        </w:rPr>
        <w:t>contained in this report.</w:t>
      </w:r>
      <w:r w:rsidRPr="00C33C0B">
        <w:rPr>
          <w:lang w:val="en-GB"/>
        </w:rPr>
        <w:t xml:space="preserve"> </w:t>
      </w:r>
    </w:p>
    <w:p w14:paraId="07431BAF" w14:textId="77777777" w:rsidR="00296E41" w:rsidRPr="00C33C0B" w:rsidRDefault="00296E41" w:rsidP="00D661EB">
      <w:pPr>
        <w:rPr>
          <w:lang w:val="en-GB"/>
        </w:rPr>
      </w:pPr>
      <w:r w:rsidRPr="00C33C0B">
        <w:rPr>
          <w:lang w:val="en-GB"/>
        </w:rPr>
        <w:t xml:space="preserve">The </w:t>
      </w:r>
      <w:r w:rsidR="00B54042">
        <w:rPr>
          <w:lang w:val="en-GB"/>
        </w:rPr>
        <w:t xml:space="preserve">Committee’s </w:t>
      </w:r>
      <w:r w:rsidRPr="00C33C0B">
        <w:rPr>
          <w:lang w:val="en-GB"/>
        </w:rPr>
        <w:t xml:space="preserve">review drew on various types of MBS data, including data on utilisation of items (services, benefits, patients, providers and growth rates); service provision (type of provider, geography of service provision); patients (demographics and services per patient); </w:t>
      </w:r>
      <w:r w:rsidR="00B42409">
        <w:rPr>
          <w:lang w:val="en-GB"/>
        </w:rPr>
        <w:t xml:space="preserve">and </w:t>
      </w:r>
      <w:r w:rsidRPr="00C33C0B">
        <w:rPr>
          <w:lang w:val="en-GB"/>
        </w:rPr>
        <w:t>co-claiming or episodes of services (same-day claiming). The review also drew on data presented in the relevant published literature, all of which is referenced in the report.</w:t>
      </w:r>
    </w:p>
    <w:p w14:paraId="3489BB9A" w14:textId="77777777" w:rsidR="00296E41" w:rsidRPr="00C33C0B" w:rsidRDefault="008F518A" w:rsidP="00D661EB">
      <w:pPr>
        <w:pStyle w:val="Heading3"/>
        <w:rPr>
          <w:lang w:val="en-GB"/>
        </w:rPr>
      </w:pPr>
      <w:bookmarkStart w:id="99" w:name="_Toc67952200"/>
      <w:r>
        <w:rPr>
          <w:lang w:val="en-GB"/>
        </w:rPr>
        <w:t>Working groups</w:t>
      </w:r>
      <w:bookmarkEnd w:id="99"/>
    </w:p>
    <w:p w14:paraId="22EED12C" w14:textId="77777777" w:rsidR="00C90776" w:rsidRDefault="00F67355" w:rsidP="00607BDA">
      <w:pPr>
        <w:rPr>
          <w:lang w:val="en-GB"/>
        </w:rPr>
      </w:pPr>
      <w:r w:rsidRPr="00C33C0B">
        <w:rPr>
          <w:lang w:val="en-GB"/>
        </w:rPr>
        <w:t>T</w:t>
      </w:r>
      <w:r w:rsidR="00296E41" w:rsidRPr="00C33C0B">
        <w:rPr>
          <w:lang w:val="en-GB"/>
        </w:rPr>
        <w:t xml:space="preserve">he Committee </w:t>
      </w:r>
      <w:r w:rsidR="00FD41A9" w:rsidRPr="00C33C0B">
        <w:rPr>
          <w:lang w:val="en-GB"/>
        </w:rPr>
        <w:t xml:space="preserve">formed </w:t>
      </w:r>
      <w:r w:rsidR="005520B2">
        <w:rPr>
          <w:lang w:val="en-GB"/>
        </w:rPr>
        <w:t>seven</w:t>
      </w:r>
      <w:r w:rsidR="00FD5CD9">
        <w:rPr>
          <w:lang w:val="en-GB"/>
        </w:rPr>
        <w:t xml:space="preserve"> </w:t>
      </w:r>
      <w:r w:rsidR="003A4449">
        <w:rPr>
          <w:lang w:val="en-GB"/>
        </w:rPr>
        <w:t>working groups</w:t>
      </w:r>
      <w:r w:rsidR="00296E41" w:rsidRPr="00C33C0B">
        <w:rPr>
          <w:lang w:val="en-GB"/>
        </w:rPr>
        <w:t xml:space="preserve"> to develop the evidence base and further detail recommen</w:t>
      </w:r>
      <w:r w:rsidR="00211B24" w:rsidRPr="00C33C0B">
        <w:rPr>
          <w:lang w:val="en-GB"/>
        </w:rPr>
        <w:t>dations</w:t>
      </w:r>
      <w:r w:rsidRPr="00C33C0B">
        <w:rPr>
          <w:lang w:val="en-GB"/>
        </w:rPr>
        <w:t xml:space="preserve"> </w:t>
      </w:r>
      <w:r w:rsidR="00E103C4">
        <w:rPr>
          <w:lang w:val="en-GB"/>
        </w:rPr>
        <w:t>regarding</w:t>
      </w:r>
      <w:r w:rsidR="00D9233A">
        <w:rPr>
          <w:lang w:val="en-GB"/>
        </w:rPr>
        <w:t xml:space="preserve"> the following</w:t>
      </w:r>
      <w:r w:rsidR="00296E41" w:rsidRPr="00C33C0B">
        <w:rPr>
          <w:lang w:val="en-GB"/>
        </w:rPr>
        <w:t xml:space="preserve">: </w:t>
      </w:r>
    </w:p>
    <w:p w14:paraId="3EDB50BD" w14:textId="77777777" w:rsidR="00296E41" w:rsidRDefault="006549E9" w:rsidP="000831A1">
      <w:pPr>
        <w:pStyle w:val="Numbering"/>
        <w:numPr>
          <w:ilvl w:val="0"/>
          <w:numId w:val="105"/>
        </w:numPr>
        <w:rPr>
          <w:lang w:val="en-GB"/>
        </w:rPr>
      </w:pPr>
      <w:r>
        <w:rPr>
          <w:lang w:val="en-GB"/>
        </w:rPr>
        <w:t>t</w:t>
      </w:r>
      <w:r w:rsidR="005E6B44" w:rsidRPr="00607BDA">
        <w:rPr>
          <w:lang w:val="en-GB"/>
        </w:rPr>
        <w:t>ime-tiered attendances</w:t>
      </w:r>
      <w:r w:rsidR="00A12003">
        <w:rPr>
          <w:lang w:val="en-GB"/>
        </w:rPr>
        <w:t xml:space="preserve"> and </w:t>
      </w:r>
      <w:r w:rsidR="005E6B44" w:rsidRPr="00C33C0B">
        <w:rPr>
          <w:lang w:val="en-GB"/>
        </w:rPr>
        <w:t>T</w:t>
      </w:r>
      <w:r w:rsidR="00211B24" w:rsidRPr="00C33C0B">
        <w:rPr>
          <w:lang w:val="en-GB"/>
        </w:rPr>
        <w:t>elehealth</w:t>
      </w:r>
      <w:r>
        <w:rPr>
          <w:lang w:val="en-GB"/>
        </w:rPr>
        <w:t>;</w:t>
      </w:r>
    </w:p>
    <w:p w14:paraId="7EB52EA2" w14:textId="77777777" w:rsidR="00876B7C" w:rsidRPr="00876B7C" w:rsidRDefault="006549E9" w:rsidP="000831A1">
      <w:pPr>
        <w:pStyle w:val="Numbering"/>
        <w:numPr>
          <w:ilvl w:val="0"/>
          <w:numId w:val="105"/>
        </w:numPr>
        <w:rPr>
          <w:lang w:val="en-GB"/>
        </w:rPr>
      </w:pPr>
      <w:r>
        <w:rPr>
          <w:lang w:val="en-GB"/>
        </w:rPr>
        <w:t>c</w:t>
      </w:r>
      <w:r w:rsidR="00876B7C" w:rsidRPr="00876B7C">
        <w:rPr>
          <w:lang w:val="en-GB"/>
        </w:rPr>
        <w:t>ontemporary roles of medical practitioners</w:t>
      </w:r>
      <w:r>
        <w:rPr>
          <w:lang w:val="en-GB"/>
        </w:rPr>
        <w:t>;</w:t>
      </w:r>
    </w:p>
    <w:p w14:paraId="07CB041A" w14:textId="77777777" w:rsidR="00296E41" w:rsidRPr="00C33C0B" w:rsidRDefault="006549E9" w:rsidP="000831A1">
      <w:pPr>
        <w:pStyle w:val="Numbering"/>
        <w:numPr>
          <w:ilvl w:val="0"/>
          <w:numId w:val="105"/>
        </w:numPr>
        <w:rPr>
          <w:lang w:val="en-GB"/>
        </w:rPr>
      </w:pPr>
      <w:r>
        <w:rPr>
          <w:lang w:val="en-GB"/>
        </w:rPr>
        <w:t>u</w:t>
      </w:r>
      <w:r w:rsidR="00296E41" w:rsidRPr="00C33C0B">
        <w:rPr>
          <w:lang w:val="en-GB"/>
        </w:rPr>
        <w:t xml:space="preserve">se of data to </w:t>
      </w:r>
      <w:r w:rsidR="001F6CB0">
        <w:rPr>
          <w:lang w:val="en-GB"/>
        </w:rPr>
        <w:t>inform</w:t>
      </w:r>
      <w:r w:rsidR="00296E41" w:rsidRPr="00C33C0B">
        <w:rPr>
          <w:lang w:val="en-GB"/>
        </w:rPr>
        <w:t xml:space="preserve"> quality</w:t>
      </w:r>
      <w:r w:rsidR="00A76E6A" w:rsidRPr="00C33C0B">
        <w:rPr>
          <w:lang w:val="en-GB"/>
        </w:rPr>
        <w:t xml:space="preserve"> care</w:t>
      </w:r>
      <w:r w:rsidR="00296E41" w:rsidRPr="00C33C0B">
        <w:rPr>
          <w:lang w:val="en-GB"/>
        </w:rPr>
        <w:t xml:space="preserve"> and patient consent</w:t>
      </w:r>
      <w:r>
        <w:rPr>
          <w:lang w:val="en-GB"/>
        </w:rPr>
        <w:t>;</w:t>
      </w:r>
    </w:p>
    <w:p w14:paraId="126907AE" w14:textId="77777777" w:rsidR="00296E41" w:rsidRPr="00C33C0B" w:rsidRDefault="006549E9" w:rsidP="000831A1">
      <w:pPr>
        <w:pStyle w:val="Numbering"/>
        <w:numPr>
          <w:ilvl w:val="0"/>
          <w:numId w:val="105"/>
        </w:numPr>
        <w:rPr>
          <w:lang w:val="en-GB"/>
        </w:rPr>
      </w:pPr>
      <w:r>
        <w:rPr>
          <w:lang w:val="en-GB"/>
        </w:rPr>
        <w:t>e</w:t>
      </w:r>
      <w:r w:rsidR="00BF1DDB" w:rsidRPr="00C33C0B">
        <w:rPr>
          <w:lang w:val="en-GB"/>
        </w:rPr>
        <w:t xml:space="preserve">ncouraging </w:t>
      </w:r>
      <w:r w:rsidR="00491E3E">
        <w:rPr>
          <w:lang w:val="en-GB"/>
        </w:rPr>
        <w:t xml:space="preserve">the </w:t>
      </w:r>
      <w:r w:rsidR="00BF1DDB" w:rsidRPr="00C33C0B">
        <w:rPr>
          <w:lang w:val="en-GB"/>
        </w:rPr>
        <w:t>use of case conference items</w:t>
      </w:r>
      <w:r>
        <w:rPr>
          <w:lang w:val="en-GB"/>
        </w:rPr>
        <w:t>;</w:t>
      </w:r>
    </w:p>
    <w:p w14:paraId="62585475" w14:textId="77777777" w:rsidR="005E6B44" w:rsidRPr="00C33C0B" w:rsidRDefault="006549E9" w:rsidP="000831A1">
      <w:pPr>
        <w:pStyle w:val="Numbering"/>
        <w:numPr>
          <w:ilvl w:val="0"/>
          <w:numId w:val="105"/>
        </w:numPr>
        <w:rPr>
          <w:lang w:val="en-GB"/>
        </w:rPr>
      </w:pPr>
      <w:r>
        <w:rPr>
          <w:lang w:val="en-GB"/>
        </w:rPr>
        <w:t>a</w:t>
      </w:r>
      <w:r w:rsidR="005E6B44" w:rsidRPr="00C33C0B">
        <w:rPr>
          <w:lang w:val="en-GB"/>
        </w:rPr>
        <w:t>cute a</w:t>
      </w:r>
      <w:r w:rsidR="00211B24" w:rsidRPr="00C33C0B">
        <w:rPr>
          <w:lang w:val="en-GB"/>
        </w:rPr>
        <w:t>ttendances</w:t>
      </w:r>
      <w:r>
        <w:rPr>
          <w:lang w:val="en-GB"/>
        </w:rPr>
        <w:t>;</w:t>
      </w:r>
    </w:p>
    <w:p w14:paraId="71ACF9D2" w14:textId="77777777" w:rsidR="00BF1DDB" w:rsidRDefault="006549E9" w:rsidP="000831A1">
      <w:pPr>
        <w:pStyle w:val="Numbering"/>
        <w:numPr>
          <w:ilvl w:val="0"/>
          <w:numId w:val="105"/>
        </w:numPr>
        <w:rPr>
          <w:lang w:val="en-GB"/>
        </w:rPr>
      </w:pPr>
      <w:r>
        <w:rPr>
          <w:lang w:val="en-GB"/>
        </w:rPr>
        <w:t>c</w:t>
      </w:r>
      <w:r w:rsidR="00BF1DDB" w:rsidRPr="00C33C0B">
        <w:rPr>
          <w:lang w:val="en-GB"/>
        </w:rPr>
        <w:t>ase conference cost-shifting</w:t>
      </w:r>
      <w:r>
        <w:rPr>
          <w:lang w:val="en-GB"/>
        </w:rPr>
        <w:t>;</w:t>
      </w:r>
      <w:r w:rsidR="00EF734E">
        <w:rPr>
          <w:lang w:val="en-GB"/>
        </w:rPr>
        <w:t xml:space="preserve"> and</w:t>
      </w:r>
    </w:p>
    <w:p w14:paraId="13F8EE05" w14:textId="77777777" w:rsidR="00976FA2" w:rsidRPr="00C33C0B" w:rsidRDefault="006549E9" w:rsidP="000831A1">
      <w:pPr>
        <w:pStyle w:val="Numbering"/>
        <w:numPr>
          <w:ilvl w:val="0"/>
          <w:numId w:val="105"/>
        </w:numPr>
        <w:rPr>
          <w:lang w:val="en-GB"/>
        </w:rPr>
      </w:pPr>
      <w:r>
        <w:rPr>
          <w:lang w:val="en-GB"/>
        </w:rPr>
        <w:t>f</w:t>
      </w:r>
      <w:r w:rsidR="00976FA2" w:rsidRPr="00976FA2">
        <w:rPr>
          <w:lang w:val="en-GB"/>
        </w:rPr>
        <w:t>etal alcohol spectrum disorder and other complex neurodevelopmental disorders</w:t>
      </w:r>
      <w:r w:rsidR="00976FA2">
        <w:rPr>
          <w:lang w:val="en-GB"/>
        </w:rPr>
        <w:t>.</w:t>
      </w:r>
    </w:p>
    <w:p w14:paraId="4FCFEBB0" w14:textId="77777777" w:rsidR="00296E41" w:rsidRPr="00C33C0B" w:rsidRDefault="00FE1778" w:rsidP="00D661EB">
      <w:pPr>
        <w:rPr>
          <w:lang w:val="en-GB"/>
        </w:rPr>
      </w:pPr>
      <w:r>
        <w:rPr>
          <w:lang w:val="en-GB"/>
        </w:rPr>
        <w:t>Working group</w:t>
      </w:r>
      <w:r w:rsidR="00296E41" w:rsidRPr="00C33C0B">
        <w:rPr>
          <w:lang w:val="en-GB"/>
        </w:rPr>
        <w:t xml:space="preserve"> members were </w:t>
      </w:r>
      <w:r w:rsidR="00905320">
        <w:rPr>
          <w:lang w:val="en-GB"/>
        </w:rPr>
        <w:t>selected</w:t>
      </w:r>
      <w:r w:rsidR="00905320" w:rsidRPr="00C33C0B">
        <w:rPr>
          <w:lang w:val="en-GB"/>
        </w:rPr>
        <w:t xml:space="preserve"> </w:t>
      </w:r>
      <w:r w:rsidR="00296E41" w:rsidRPr="00C33C0B">
        <w:rPr>
          <w:lang w:val="en-GB"/>
        </w:rPr>
        <w:t xml:space="preserve">based on relevant </w:t>
      </w:r>
      <w:r w:rsidR="00FD5CD9" w:rsidRPr="00C33C0B">
        <w:rPr>
          <w:lang w:val="en-GB"/>
        </w:rPr>
        <w:t>experience</w:t>
      </w:r>
      <w:r w:rsidR="00FD5CD9">
        <w:rPr>
          <w:lang w:val="en-GB"/>
        </w:rPr>
        <w:t xml:space="preserve"> and</w:t>
      </w:r>
      <w:r w:rsidR="00C20606">
        <w:rPr>
          <w:lang w:val="en-GB"/>
        </w:rPr>
        <w:t xml:space="preserve"> </w:t>
      </w:r>
      <w:r w:rsidR="009417F6">
        <w:rPr>
          <w:lang w:val="en-GB"/>
        </w:rPr>
        <w:t xml:space="preserve">generally </w:t>
      </w:r>
      <w:r w:rsidR="00C20606">
        <w:rPr>
          <w:lang w:val="en-GB"/>
        </w:rPr>
        <w:t>include</w:t>
      </w:r>
      <w:r w:rsidR="003D725B">
        <w:rPr>
          <w:lang w:val="en-GB"/>
        </w:rPr>
        <w:t>d</w:t>
      </w:r>
      <w:r w:rsidR="00AE1028" w:rsidRPr="00C33C0B">
        <w:rPr>
          <w:lang w:val="en-GB"/>
        </w:rPr>
        <w:t xml:space="preserve"> </w:t>
      </w:r>
      <w:r w:rsidR="00296E41" w:rsidRPr="00C33C0B">
        <w:rPr>
          <w:lang w:val="en-GB"/>
        </w:rPr>
        <w:t xml:space="preserve">representation </w:t>
      </w:r>
      <w:r w:rsidR="00507B37">
        <w:rPr>
          <w:lang w:val="en-GB"/>
        </w:rPr>
        <w:t xml:space="preserve">of </w:t>
      </w:r>
      <w:r w:rsidR="00292332">
        <w:rPr>
          <w:lang w:val="en-GB"/>
        </w:rPr>
        <w:t>both</w:t>
      </w:r>
      <w:r w:rsidR="00971102" w:rsidRPr="00C33C0B">
        <w:rPr>
          <w:lang w:val="en-GB"/>
        </w:rPr>
        <w:t xml:space="preserve"> </w:t>
      </w:r>
      <w:r w:rsidR="00296E41" w:rsidRPr="00C33C0B">
        <w:rPr>
          <w:lang w:val="en-GB"/>
        </w:rPr>
        <w:t xml:space="preserve">consumers and </w:t>
      </w:r>
      <w:r w:rsidR="00C90776">
        <w:rPr>
          <w:lang w:val="en-GB"/>
        </w:rPr>
        <w:t>clinicians</w:t>
      </w:r>
      <w:r w:rsidR="005520B2">
        <w:rPr>
          <w:lang w:val="en-GB"/>
        </w:rPr>
        <w:t xml:space="preserve"> </w:t>
      </w:r>
      <w:r w:rsidR="00C20606">
        <w:rPr>
          <w:lang w:val="en-GB"/>
        </w:rPr>
        <w:t>(</w:t>
      </w:r>
      <w:r w:rsidR="00507B37">
        <w:rPr>
          <w:lang w:val="en-GB"/>
        </w:rPr>
        <w:t>refer to</w:t>
      </w:r>
      <w:r w:rsidR="00296E41" w:rsidRPr="00C33C0B">
        <w:rPr>
          <w:lang w:val="en-GB"/>
        </w:rPr>
        <w:t xml:space="preserve"> Appendix </w:t>
      </w:r>
      <w:r w:rsidR="004869ED">
        <w:rPr>
          <w:lang w:val="en-GB"/>
        </w:rPr>
        <w:t>C</w:t>
      </w:r>
      <w:r w:rsidR="00296E41" w:rsidRPr="00C33C0B">
        <w:rPr>
          <w:lang w:val="en-GB"/>
        </w:rPr>
        <w:t>)</w:t>
      </w:r>
      <w:r w:rsidR="00507B37">
        <w:rPr>
          <w:lang w:val="en-GB"/>
        </w:rPr>
        <w:t>.</w:t>
      </w:r>
      <w:r w:rsidR="00296E41" w:rsidRPr="00C33C0B">
        <w:rPr>
          <w:lang w:val="en-GB"/>
        </w:rPr>
        <w:t xml:space="preserve"> Each </w:t>
      </w:r>
      <w:r w:rsidR="00A164F1">
        <w:rPr>
          <w:lang w:val="en-GB"/>
        </w:rPr>
        <w:t>working group</w:t>
      </w:r>
      <w:r w:rsidR="00296E41" w:rsidRPr="00C33C0B">
        <w:rPr>
          <w:lang w:val="en-GB"/>
        </w:rPr>
        <w:t xml:space="preserve"> met </w:t>
      </w:r>
      <w:r w:rsidR="000D071D">
        <w:rPr>
          <w:lang w:val="en-GB"/>
        </w:rPr>
        <w:t>via</w:t>
      </w:r>
      <w:r w:rsidR="000D071D" w:rsidRPr="00C33C0B">
        <w:rPr>
          <w:lang w:val="en-GB"/>
        </w:rPr>
        <w:t xml:space="preserve"> </w:t>
      </w:r>
      <w:r w:rsidR="00296E41" w:rsidRPr="00C33C0B">
        <w:rPr>
          <w:lang w:val="en-GB"/>
        </w:rPr>
        <w:t xml:space="preserve">teleconference to develop draft recommendations. These recommendations were then reviewed and considered by the full </w:t>
      </w:r>
      <w:r w:rsidR="009417F6">
        <w:rPr>
          <w:lang w:val="en-GB"/>
        </w:rPr>
        <w:t>C</w:t>
      </w:r>
      <w:r w:rsidR="00296E41" w:rsidRPr="00C33C0B">
        <w:rPr>
          <w:lang w:val="en-GB"/>
        </w:rPr>
        <w:t>ommittee at subsequent meetings to reach consensus.</w:t>
      </w:r>
    </w:p>
    <w:p w14:paraId="7691AFC7" w14:textId="77777777" w:rsidR="00296E41" w:rsidRPr="00C33C0B" w:rsidRDefault="00296E41" w:rsidP="00D661EB">
      <w:pPr>
        <w:pStyle w:val="Heading3"/>
        <w:rPr>
          <w:lang w:val="en-GB"/>
        </w:rPr>
      </w:pPr>
      <w:bookmarkStart w:id="100" w:name="_Toc468831588"/>
      <w:bookmarkStart w:id="101" w:name="_Toc521442200"/>
      <w:bookmarkStart w:id="102" w:name="_Toc67952201"/>
      <w:r w:rsidRPr="00C33C0B">
        <w:rPr>
          <w:lang w:val="en-GB"/>
        </w:rPr>
        <w:t>Numbering of proposed items</w:t>
      </w:r>
      <w:bookmarkEnd w:id="100"/>
      <w:bookmarkEnd w:id="101"/>
      <w:bookmarkEnd w:id="102"/>
    </w:p>
    <w:p w14:paraId="4E115443" w14:textId="77777777" w:rsidR="00296E41" w:rsidRPr="00C33C0B" w:rsidRDefault="009C0509" w:rsidP="00D661EB">
      <w:pPr>
        <w:rPr>
          <w:lang w:val="en-GB"/>
        </w:rPr>
      </w:pPr>
      <w:r w:rsidRPr="00C33C0B">
        <w:rPr>
          <w:lang w:val="en-GB"/>
        </w:rPr>
        <w:t>Where</w:t>
      </w:r>
      <w:r w:rsidR="00296E41" w:rsidRPr="00C33C0B">
        <w:rPr>
          <w:lang w:val="en-GB"/>
        </w:rPr>
        <w:t xml:space="preserve"> the Committee recommends new </w:t>
      </w:r>
      <w:r w:rsidRPr="00C33C0B">
        <w:rPr>
          <w:lang w:val="en-GB"/>
        </w:rPr>
        <w:t>items, t</w:t>
      </w:r>
      <w:r w:rsidR="00296E41" w:rsidRPr="00C33C0B">
        <w:rPr>
          <w:lang w:val="en-GB"/>
        </w:rPr>
        <w:t>hese are often referred to using letters for ease of reference. If the recommended items are ultimately added to the MBS, the Department of Human Services (DHS) will assign new numbers in the usual format. The Committee is not recommending changes to the MBS numbering system.</w:t>
      </w:r>
    </w:p>
    <w:p w14:paraId="09DA68A2" w14:textId="77777777" w:rsidR="00D661EB" w:rsidRPr="00C33C0B" w:rsidRDefault="004C74B7" w:rsidP="00237B22">
      <w:pPr>
        <w:pStyle w:val="Heading1"/>
        <w:rPr>
          <w:lang w:val="en-GB"/>
        </w:rPr>
      </w:pPr>
      <w:bookmarkStart w:id="103" w:name="_Toc521442202"/>
      <w:bookmarkStart w:id="104" w:name="_Toc67952202"/>
      <w:bookmarkStart w:id="105" w:name="_Hlk521409651"/>
      <w:bookmarkStart w:id="106" w:name="_Hlk521924211"/>
      <w:r>
        <w:rPr>
          <w:lang w:val="en-GB"/>
        </w:rPr>
        <w:t>Standard attendance r</w:t>
      </w:r>
      <w:r w:rsidR="00D661EB" w:rsidRPr="00C33C0B">
        <w:rPr>
          <w:lang w:val="en-GB"/>
        </w:rPr>
        <w:t>ecommendations</w:t>
      </w:r>
      <w:bookmarkEnd w:id="103"/>
      <w:bookmarkEnd w:id="104"/>
    </w:p>
    <w:p w14:paraId="1AECBD9C" w14:textId="77777777" w:rsidR="00D0787A" w:rsidRDefault="00D0787A" w:rsidP="003C5D5A">
      <w:pPr>
        <w:pStyle w:val="Heading2"/>
        <w:rPr>
          <w:lang w:val="en-GB"/>
        </w:rPr>
      </w:pPr>
      <w:bookmarkStart w:id="107" w:name="_Toc67952203"/>
      <w:r>
        <w:rPr>
          <w:lang w:val="en-GB"/>
        </w:rPr>
        <w:t xml:space="preserve">Current </w:t>
      </w:r>
      <w:r w:rsidRPr="00C33C0B">
        <w:rPr>
          <w:lang w:val="en-GB"/>
        </w:rPr>
        <w:t xml:space="preserve">standard attendances for </w:t>
      </w:r>
      <w:r>
        <w:rPr>
          <w:lang w:val="en-GB"/>
        </w:rPr>
        <w:t>consultant specialist</w:t>
      </w:r>
      <w:r w:rsidRPr="00C33C0B">
        <w:rPr>
          <w:lang w:val="en-GB"/>
        </w:rPr>
        <w:t>s</w:t>
      </w:r>
      <w:bookmarkEnd w:id="107"/>
    </w:p>
    <w:p w14:paraId="0732CA57" w14:textId="77777777" w:rsidR="00D661EB" w:rsidRPr="00C33C0B" w:rsidRDefault="00D661EB" w:rsidP="00237B22">
      <w:pPr>
        <w:rPr>
          <w:lang w:val="en-GB"/>
        </w:rPr>
      </w:pPr>
      <w:r w:rsidRPr="00C33C0B">
        <w:rPr>
          <w:lang w:val="en-GB"/>
        </w:rPr>
        <w:t xml:space="preserve">There are </w:t>
      </w:r>
      <w:r w:rsidR="00A14DD3" w:rsidRPr="00C33C0B">
        <w:rPr>
          <w:lang w:val="en-GB"/>
        </w:rPr>
        <w:t>55</w:t>
      </w:r>
      <w:r w:rsidRPr="00C33C0B">
        <w:rPr>
          <w:lang w:val="en-GB"/>
        </w:rPr>
        <w:t xml:space="preserve"> MBS items related to </w:t>
      </w:r>
      <w:bookmarkStart w:id="108" w:name="_Hlk528947724"/>
      <w:r w:rsidRPr="00C33C0B">
        <w:rPr>
          <w:lang w:val="en-GB"/>
        </w:rPr>
        <w:t>standard attendances</w:t>
      </w:r>
      <w:r w:rsidR="00FD6FA8" w:rsidRPr="00C33C0B">
        <w:rPr>
          <w:lang w:val="en-GB"/>
        </w:rPr>
        <w:t xml:space="preserve"> for </w:t>
      </w:r>
      <w:r w:rsidR="00AA329D">
        <w:rPr>
          <w:lang w:val="en-GB" w:eastAsia="en-US"/>
        </w:rPr>
        <w:t>consultant specialist</w:t>
      </w:r>
      <w:r w:rsidR="006219EB" w:rsidRPr="00C33C0B">
        <w:rPr>
          <w:lang w:val="en-GB" w:eastAsia="en-US"/>
        </w:rPr>
        <w:t>s</w:t>
      </w:r>
      <w:bookmarkEnd w:id="108"/>
      <w:r w:rsidRPr="00C33C0B">
        <w:rPr>
          <w:lang w:val="en-GB"/>
        </w:rPr>
        <w:t xml:space="preserve">. In 2016/17, these items </w:t>
      </w:r>
      <w:r w:rsidR="00466C5D" w:rsidRPr="00C33C0B">
        <w:rPr>
          <w:lang w:val="en-GB"/>
        </w:rPr>
        <w:t xml:space="preserve">accounted for </w:t>
      </w:r>
      <w:r w:rsidRPr="00C33C0B">
        <w:rPr>
          <w:lang w:val="en-GB"/>
        </w:rPr>
        <w:t>24 million services and $1.6</w:t>
      </w:r>
      <w:r w:rsidR="003048BA">
        <w:rPr>
          <w:lang w:val="en-GB"/>
        </w:rPr>
        <w:t xml:space="preserve"> </w:t>
      </w:r>
      <w:r w:rsidRPr="00C33C0B">
        <w:rPr>
          <w:lang w:val="en-GB"/>
        </w:rPr>
        <w:t>b</w:t>
      </w:r>
      <w:r w:rsidR="003048BA">
        <w:rPr>
          <w:lang w:val="en-GB"/>
        </w:rPr>
        <w:t>illio</w:t>
      </w:r>
      <w:r w:rsidRPr="00C33C0B">
        <w:rPr>
          <w:lang w:val="en-GB"/>
        </w:rPr>
        <w:t>n in MBS benefits paid</w:t>
      </w:r>
      <w:r w:rsidR="007649DC" w:rsidRPr="00C33C0B">
        <w:rPr>
          <w:lang w:val="en-GB"/>
        </w:rPr>
        <w:t>. These include standard</w:t>
      </w:r>
      <w:r w:rsidRPr="00C33C0B">
        <w:rPr>
          <w:lang w:val="en-GB"/>
        </w:rPr>
        <w:t xml:space="preserve"> attendances </w:t>
      </w:r>
      <w:r w:rsidR="007649DC" w:rsidRPr="00C33C0B">
        <w:rPr>
          <w:lang w:val="en-GB"/>
        </w:rPr>
        <w:t xml:space="preserve">from </w:t>
      </w:r>
      <w:r w:rsidR="00056412" w:rsidRPr="00C33C0B">
        <w:rPr>
          <w:lang w:val="en-GB"/>
        </w:rPr>
        <w:t xml:space="preserve">the following </w:t>
      </w:r>
      <w:r w:rsidR="0076421E" w:rsidRPr="00C33C0B">
        <w:rPr>
          <w:lang w:val="en-GB"/>
        </w:rPr>
        <w:t>G</w:t>
      </w:r>
      <w:r w:rsidR="00056412" w:rsidRPr="00C33C0B">
        <w:rPr>
          <w:lang w:val="en-GB"/>
        </w:rPr>
        <w:t xml:space="preserve">roups </w:t>
      </w:r>
      <w:r w:rsidR="007649DC" w:rsidRPr="00C33C0B">
        <w:rPr>
          <w:lang w:val="en-GB"/>
        </w:rPr>
        <w:t>in</w:t>
      </w:r>
      <w:r w:rsidR="00056412" w:rsidRPr="00C33C0B">
        <w:rPr>
          <w:lang w:val="en-GB"/>
        </w:rPr>
        <w:t xml:space="preserve"> </w:t>
      </w:r>
      <w:r w:rsidR="00081E28" w:rsidRPr="00C33C0B">
        <w:rPr>
          <w:lang w:val="en-GB"/>
        </w:rPr>
        <w:t xml:space="preserve">MBS </w:t>
      </w:r>
      <w:r w:rsidR="00056412" w:rsidRPr="00C33C0B">
        <w:rPr>
          <w:lang w:val="en-GB"/>
        </w:rPr>
        <w:t>Category 1</w:t>
      </w:r>
      <w:r w:rsidRPr="00C33C0B">
        <w:rPr>
          <w:lang w:val="en-GB"/>
        </w:rPr>
        <w:t>:</w:t>
      </w:r>
    </w:p>
    <w:p w14:paraId="428915B7" w14:textId="77777777" w:rsidR="00D661EB" w:rsidRPr="00C33C0B" w:rsidRDefault="00D661EB" w:rsidP="00237B22">
      <w:pPr>
        <w:pStyle w:val="Bullet-green"/>
        <w:rPr>
          <w:lang w:val="en-GB"/>
        </w:rPr>
      </w:pPr>
      <w:r w:rsidRPr="00C33C0B">
        <w:rPr>
          <w:lang w:val="en-GB"/>
        </w:rPr>
        <w:t xml:space="preserve">A3 </w:t>
      </w:r>
      <w:r w:rsidR="00AF5790">
        <w:rPr>
          <w:lang w:val="en-GB"/>
        </w:rPr>
        <w:t>s</w:t>
      </w:r>
      <w:r w:rsidRPr="00C33C0B">
        <w:rPr>
          <w:lang w:val="en-GB"/>
        </w:rPr>
        <w:t xml:space="preserve">pecialist </w:t>
      </w:r>
      <w:r w:rsidR="00AF5790">
        <w:rPr>
          <w:lang w:val="en-GB"/>
        </w:rPr>
        <w:t>a</w:t>
      </w:r>
      <w:r w:rsidRPr="00C33C0B">
        <w:rPr>
          <w:lang w:val="en-GB"/>
        </w:rPr>
        <w:t>ttendances</w:t>
      </w:r>
      <w:r w:rsidR="006549E9">
        <w:rPr>
          <w:lang w:val="en-GB"/>
        </w:rPr>
        <w:t>;</w:t>
      </w:r>
    </w:p>
    <w:p w14:paraId="2012EA78" w14:textId="77777777" w:rsidR="00D661EB" w:rsidRPr="00C33C0B" w:rsidRDefault="00D661EB" w:rsidP="00237B22">
      <w:pPr>
        <w:pStyle w:val="Bullet-green"/>
        <w:rPr>
          <w:lang w:val="en-GB"/>
        </w:rPr>
      </w:pPr>
      <w:r w:rsidRPr="00C33C0B">
        <w:rPr>
          <w:lang w:val="en-GB"/>
        </w:rPr>
        <w:t xml:space="preserve">A4 </w:t>
      </w:r>
      <w:r w:rsidR="00AF5790">
        <w:rPr>
          <w:lang w:val="en-GB"/>
        </w:rPr>
        <w:t>c</w:t>
      </w:r>
      <w:r w:rsidRPr="00C33C0B">
        <w:rPr>
          <w:lang w:val="en-GB"/>
        </w:rPr>
        <w:t xml:space="preserve">onsultant </w:t>
      </w:r>
      <w:r w:rsidR="00AF5790">
        <w:rPr>
          <w:lang w:val="en-GB"/>
        </w:rPr>
        <w:t>p</w:t>
      </w:r>
      <w:r w:rsidRPr="00C33C0B">
        <w:rPr>
          <w:lang w:val="en-GB"/>
        </w:rPr>
        <w:t xml:space="preserve">hysician </w:t>
      </w:r>
      <w:r w:rsidR="00AF5790">
        <w:rPr>
          <w:lang w:val="en-GB"/>
        </w:rPr>
        <w:t>a</w:t>
      </w:r>
      <w:r w:rsidRPr="00C33C0B">
        <w:rPr>
          <w:lang w:val="en-GB"/>
        </w:rPr>
        <w:t>ttendances</w:t>
      </w:r>
      <w:r w:rsidR="006549E9">
        <w:rPr>
          <w:lang w:val="en-GB"/>
        </w:rPr>
        <w:t>;</w:t>
      </w:r>
    </w:p>
    <w:p w14:paraId="10B9C108" w14:textId="77777777" w:rsidR="00D661EB" w:rsidRPr="00C33C0B" w:rsidRDefault="00D661EB" w:rsidP="00237B22">
      <w:pPr>
        <w:pStyle w:val="Bullet-green"/>
        <w:rPr>
          <w:lang w:val="en-GB"/>
        </w:rPr>
      </w:pPr>
      <w:r w:rsidRPr="00C33C0B">
        <w:rPr>
          <w:lang w:val="en-GB"/>
        </w:rPr>
        <w:t xml:space="preserve">A5 </w:t>
      </w:r>
      <w:r w:rsidR="00AF5790">
        <w:rPr>
          <w:lang w:val="en-GB"/>
        </w:rPr>
        <w:t>p</w:t>
      </w:r>
      <w:r w:rsidRPr="00C33C0B">
        <w:rPr>
          <w:lang w:val="en-GB"/>
        </w:rPr>
        <w:t xml:space="preserve">rolonged </w:t>
      </w:r>
      <w:r w:rsidR="00AF5790">
        <w:rPr>
          <w:lang w:val="en-GB"/>
        </w:rPr>
        <w:t>a</w:t>
      </w:r>
      <w:r w:rsidRPr="00C33C0B">
        <w:rPr>
          <w:lang w:val="en-GB"/>
        </w:rPr>
        <w:t>ttendances</w:t>
      </w:r>
      <w:r w:rsidR="006549E9">
        <w:rPr>
          <w:lang w:val="en-GB"/>
        </w:rPr>
        <w:t>;</w:t>
      </w:r>
    </w:p>
    <w:p w14:paraId="412F15AA" w14:textId="77777777" w:rsidR="00D661EB" w:rsidRPr="00C33C0B" w:rsidRDefault="00D661EB" w:rsidP="00237B22">
      <w:pPr>
        <w:pStyle w:val="Bullet-green"/>
        <w:rPr>
          <w:lang w:val="en-GB"/>
        </w:rPr>
      </w:pPr>
      <w:r w:rsidRPr="00C33C0B">
        <w:rPr>
          <w:lang w:val="en-GB"/>
        </w:rPr>
        <w:t xml:space="preserve">A12 </w:t>
      </w:r>
      <w:r w:rsidR="00AF5790">
        <w:rPr>
          <w:lang w:val="en-GB"/>
        </w:rPr>
        <w:t>o</w:t>
      </w:r>
      <w:r w:rsidRPr="00C33C0B">
        <w:rPr>
          <w:lang w:val="en-GB"/>
        </w:rPr>
        <w:t xml:space="preserve">ccupational </w:t>
      </w:r>
      <w:r w:rsidR="00AF5790">
        <w:rPr>
          <w:lang w:val="en-GB"/>
        </w:rPr>
        <w:t>p</w:t>
      </w:r>
      <w:r w:rsidRPr="00C33C0B">
        <w:rPr>
          <w:lang w:val="en-GB"/>
        </w:rPr>
        <w:t xml:space="preserve">hysician </w:t>
      </w:r>
      <w:r w:rsidR="00AF5790">
        <w:rPr>
          <w:lang w:val="en-GB"/>
        </w:rPr>
        <w:t>a</w:t>
      </w:r>
      <w:r w:rsidRPr="00C33C0B">
        <w:rPr>
          <w:lang w:val="en-GB"/>
        </w:rPr>
        <w:t>ttendances</w:t>
      </w:r>
      <w:r w:rsidR="006549E9">
        <w:rPr>
          <w:lang w:val="en-GB"/>
        </w:rPr>
        <w:t>;</w:t>
      </w:r>
    </w:p>
    <w:p w14:paraId="465EF8B8" w14:textId="77777777" w:rsidR="00D661EB" w:rsidRPr="00C33C0B" w:rsidRDefault="00D661EB" w:rsidP="00237B22">
      <w:pPr>
        <w:pStyle w:val="Bullet-green"/>
        <w:rPr>
          <w:lang w:val="en-GB"/>
        </w:rPr>
      </w:pPr>
      <w:r w:rsidRPr="00C33C0B">
        <w:rPr>
          <w:lang w:val="en-GB"/>
        </w:rPr>
        <w:t xml:space="preserve">A13 </w:t>
      </w:r>
      <w:r w:rsidR="00AF5790">
        <w:rPr>
          <w:lang w:val="en-GB"/>
        </w:rPr>
        <w:t>p</w:t>
      </w:r>
      <w:r w:rsidRPr="00C33C0B">
        <w:rPr>
          <w:lang w:val="en-GB"/>
        </w:rPr>
        <w:t xml:space="preserve">ublic </w:t>
      </w:r>
      <w:r w:rsidR="00AF5790">
        <w:rPr>
          <w:lang w:val="en-GB"/>
        </w:rPr>
        <w:t>h</w:t>
      </w:r>
      <w:r w:rsidRPr="00C33C0B">
        <w:rPr>
          <w:lang w:val="en-GB"/>
        </w:rPr>
        <w:t xml:space="preserve">ealth </w:t>
      </w:r>
      <w:r w:rsidR="00AF5790">
        <w:rPr>
          <w:lang w:val="en-GB"/>
        </w:rPr>
        <w:t>p</w:t>
      </w:r>
      <w:r w:rsidRPr="00C33C0B">
        <w:rPr>
          <w:lang w:val="en-GB"/>
        </w:rPr>
        <w:t xml:space="preserve">hysician </w:t>
      </w:r>
      <w:r w:rsidR="00AF5790">
        <w:rPr>
          <w:lang w:val="en-GB"/>
        </w:rPr>
        <w:t>a</w:t>
      </w:r>
      <w:r w:rsidRPr="00C33C0B">
        <w:rPr>
          <w:lang w:val="en-GB"/>
        </w:rPr>
        <w:t>ttendances</w:t>
      </w:r>
      <w:r w:rsidR="006549E9">
        <w:rPr>
          <w:lang w:val="en-GB"/>
        </w:rPr>
        <w:t>;</w:t>
      </w:r>
    </w:p>
    <w:p w14:paraId="44787C24" w14:textId="77777777" w:rsidR="00D661EB" w:rsidRPr="00C33C0B" w:rsidRDefault="00D661EB" w:rsidP="00237B22">
      <w:pPr>
        <w:pStyle w:val="Bullet-green"/>
        <w:rPr>
          <w:lang w:val="en-GB"/>
        </w:rPr>
      </w:pPr>
      <w:r w:rsidRPr="00C33C0B">
        <w:rPr>
          <w:lang w:val="en-GB"/>
        </w:rPr>
        <w:t xml:space="preserve">A24 </w:t>
      </w:r>
      <w:r w:rsidR="00AF5790">
        <w:rPr>
          <w:lang w:val="en-GB"/>
        </w:rPr>
        <w:t>p</w:t>
      </w:r>
      <w:r w:rsidRPr="00C33C0B">
        <w:rPr>
          <w:lang w:val="en-GB"/>
        </w:rPr>
        <w:t xml:space="preserve">ain and </w:t>
      </w:r>
      <w:r w:rsidR="00AF5790">
        <w:rPr>
          <w:lang w:val="en-GB"/>
        </w:rPr>
        <w:t>p</w:t>
      </w:r>
      <w:r w:rsidRPr="00C33C0B">
        <w:rPr>
          <w:lang w:val="en-GB"/>
        </w:rPr>
        <w:t xml:space="preserve">alliative </w:t>
      </w:r>
      <w:r w:rsidR="00AF5790">
        <w:rPr>
          <w:lang w:val="en-GB"/>
        </w:rPr>
        <w:t>m</w:t>
      </w:r>
      <w:r w:rsidRPr="00C33C0B">
        <w:rPr>
          <w:lang w:val="en-GB"/>
        </w:rPr>
        <w:t xml:space="preserve">edicine </w:t>
      </w:r>
      <w:r w:rsidR="00AF5790">
        <w:rPr>
          <w:lang w:val="en-GB"/>
        </w:rPr>
        <w:t>a</w:t>
      </w:r>
      <w:r w:rsidRPr="00C33C0B">
        <w:rPr>
          <w:lang w:val="en-GB"/>
        </w:rPr>
        <w:t>ttendances</w:t>
      </w:r>
      <w:r w:rsidR="006549E9">
        <w:rPr>
          <w:lang w:val="en-GB"/>
        </w:rPr>
        <w:t>;</w:t>
      </w:r>
    </w:p>
    <w:p w14:paraId="5D3F4DFD" w14:textId="77777777" w:rsidR="00D661EB" w:rsidRPr="00C33C0B" w:rsidRDefault="00D661EB" w:rsidP="00237B22">
      <w:pPr>
        <w:pStyle w:val="Bullet-green"/>
        <w:rPr>
          <w:lang w:val="en-GB"/>
        </w:rPr>
      </w:pPr>
      <w:r w:rsidRPr="00C33C0B">
        <w:rPr>
          <w:lang w:val="en-GB"/>
        </w:rPr>
        <w:t xml:space="preserve">A26 </w:t>
      </w:r>
      <w:r w:rsidR="00AF5790">
        <w:rPr>
          <w:lang w:val="en-GB"/>
        </w:rPr>
        <w:t>n</w:t>
      </w:r>
      <w:r w:rsidRPr="00C33C0B">
        <w:rPr>
          <w:lang w:val="en-GB"/>
        </w:rPr>
        <w:t xml:space="preserve">eurosurgery </w:t>
      </w:r>
      <w:r w:rsidR="00AF5790">
        <w:rPr>
          <w:lang w:val="en-GB"/>
        </w:rPr>
        <w:t>a</w:t>
      </w:r>
      <w:r w:rsidRPr="00C33C0B">
        <w:rPr>
          <w:lang w:val="en-GB"/>
        </w:rPr>
        <w:t>ttendances</w:t>
      </w:r>
      <w:r w:rsidR="006549E9">
        <w:rPr>
          <w:lang w:val="en-GB"/>
        </w:rPr>
        <w:t>;</w:t>
      </w:r>
    </w:p>
    <w:p w14:paraId="609FC5BD" w14:textId="77777777" w:rsidR="007649DC" w:rsidRPr="00C33C0B" w:rsidRDefault="007649DC" w:rsidP="00237B22">
      <w:pPr>
        <w:pStyle w:val="Bullet-green"/>
        <w:rPr>
          <w:lang w:val="en-GB"/>
        </w:rPr>
      </w:pPr>
      <w:r w:rsidRPr="00C33C0B">
        <w:rPr>
          <w:lang w:val="en-GB"/>
        </w:rPr>
        <w:t xml:space="preserve">A31 </w:t>
      </w:r>
      <w:r w:rsidR="00AF5790">
        <w:rPr>
          <w:lang w:val="en-GB"/>
        </w:rPr>
        <w:t>a</w:t>
      </w:r>
      <w:r w:rsidRPr="00C33C0B">
        <w:rPr>
          <w:lang w:val="en-GB"/>
        </w:rPr>
        <w:t xml:space="preserve">ddiction </w:t>
      </w:r>
      <w:r w:rsidR="00AF5790">
        <w:rPr>
          <w:lang w:val="en-GB"/>
        </w:rPr>
        <w:t>m</w:t>
      </w:r>
      <w:r w:rsidRPr="00C33C0B">
        <w:rPr>
          <w:lang w:val="en-GB"/>
        </w:rPr>
        <w:t xml:space="preserve">edicine </w:t>
      </w:r>
      <w:r w:rsidR="00AF5790">
        <w:rPr>
          <w:lang w:val="en-GB"/>
        </w:rPr>
        <w:t>a</w:t>
      </w:r>
      <w:r w:rsidRPr="00C33C0B">
        <w:rPr>
          <w:lang w:val="en-GB"/>
        </w:rPr>
        <w:t>ttendances</w:t>
      </w:r>
      <w:r w:rsidR="006549E9">
        <w:rPr>
          <w:lang w:val="en-GB"/>
        </w:rPr>
        <w:t>;</w:t>
      </w:r>
      <w:r w:rsidR="003048BA">
        <w:rPr>
          <w:lang w:val="en-GB"/>
        </w:rPr>
        <w:t xml:space="preserve"> and</w:t>
      </w:r>
    </w:p>
    <w:p w14:paraId="6C71D3E6" w14:textId="77777777" w:rsidR="007649DC" w:rsidRPr="00C33C0B" w:rsidRDefault="007649DC" w:rsidP="00237B22">
      <w:pPr>
        <w:pStyle w:val="Bullet-green"/>
        <w:rPr>
          <w:lang w:val="en-GB"/>
        </w:rPr>
      </w:pPr>
      <w:r w:rsidRPr="00C33C0B">
        <w:rPr>
          <w:lang w:val="en-GB"/>
        </w:rPr>
        <w:t xml:space="preserve">A32 </w:t>
      </w:r>
      <w:r w:rsidR="00AF5790">
        <w:rPr>
          <w:lang w:val="en-GB"/>
        </w:rPr>
        <w:t>s</w:t>
      </w:r>
      <w:r w:rsidRPr="00C33C0B">
        <w:rPr>
          <w:lang w:val="en-GB"/>
        </w:rPr>
        <w:t xml:space="preserve">exual </w:t>
      </w:r>
      <w:r w:rsidR="00AF5790">
        <w:rPr>
          <w:lang w:val="en-GB"/>
        </w:rPr>
        <w:t>h</w:t>
      </w:r>
      <w:r w:rsidRPr="00C33C0B">
        <w:rPr>
          <w:lang w:val="en-GB"/>
        </w:rPr>
        <w:t xml:space="preserve">ealth </w:t>
      </w:r>
      <w:r w:rsidR="00AF5790">
        <w:rPr>
          <w:lang w:val="en-GB"/>
        </w:rPr>
        <w:t>m</w:t>
      </w:r>
      <w:r w:rsidRPr="00C33C0B">
        <w:rPr>
          <w:lang w:val="en-GB"/>
        </w:rPr>
        <w:t xml:space="preserve">edicine </w:t>
      </w:r>
      <w:r w:rsidR="00AF5790">
        <w:rPr>
          <w:lang w:val="en-GB"/>
        </w:rPr>
        <w:t>a</w:t>
      </w:r>
      <w:r w:rsidRPr="00C33C0B">
        <w:rPr>
          <w:lang w:val="en-GB"/>
        </w:rPr>
        <w:t>ttendances</w:t>
      </w:r>
      <w:r w:rsidR="00B07947">
        <w:rPr>
          <w:lang w:val="en-GB"/>
        </w:rPr>
        <w:t>.</w:t>
      </w:r>
    </w:p>
    <w:p w14:paraId="65DB2280" w14:textId="77777777" w:rsidR="00FD6FA8" w:rsidRDefault="000949B2" w:rsidP="000949B2">
      <w:pPr>
        <w:pStyle w:val="Bullet-green"/>
        <w:numPr>
          <w:ilvl w:val="0"/>
          <w:numId w:val="0"/>
        </w:numPr>
        <w:rPr>
          <w:lang w:val="en-GB"/>
        </w:rPr>
      </w:pPr>
      <w:r w:rsidRPr="00C33C0B">
        <w:rPr>
          <w:lang w:val="en-GB"/>
        </w:rPr>
        <w:t>A</w:t>
      </w:r>
      <w:r w:rsidR="00FD6FA8" w:rsidRPr="00C33C0B">
        <w:rPr>
          <w:lang w:val="en-GB"/>
        </w:rPr>
        <w:t xml:space="preserve">ttendance items </w:t>
      </w:r>
      <w:r w:rsidR="002C0891">
        <w:rPr>
          <w:lang w:val="en-GB"/>
        </w:rPr>
        <w:t>beyond</w:t>
      </w:r>
      <w:r w:rsidR="002C0891" w:rsidRPr="00C33C0B">
        <w:rPr>
          <w:lang w:val="en-GB"/>
        </w:rPr>
        <w:t xml:space="preserve"> </w:t>
      </w:r>
      <w:r w:rsidRPr="00C33C0B">
        <w:rPr>
          <w:lang w:val="en-GB"/>
        </w:rPr>
        <w:t xml:space="preserve">the scope of the </w:t>
      </w:r>
      <w:r w:rsidR="00A14DD3" w:rsidRPr="00C33C0B">
        <w:rPr>
          <w:lang w:val="en-GB"/>
        </w:rPr>
        <w:t>Committee</w:t>
      </w:r>
      <w:r w:rsidRPr="00C33C0B">
        <w:rPr>
          <w:lang w:val="en-GB"/>
        </w:rPr>
        <w:t xml:space="preserve"> </w:t>
      </w:r>
      <w:r w:rsidR="00FD6FA8" w:rsidRPr="00C33C0B">
        <w:rPr>
          <w:lang w:val="en-GB"/>
        </w:rPr>
        <w:t xml:space="preserve">include </w:t>
      </w:r>
      <w:r w:rsidR="00B47C7E">
        <w:rPr>
          <w:lang w:val="en-GB"/>
        </w:rPr>
        <w:t>those</w:t>
      </w:r>
      <w:r w:rsidRPr="00C33C0B">
        <w:rPr>
          <w:lang w:val="en-GB"/>
        </w:rPr>
        <w:t xml:space="preserve"> for g</w:t>
      </w:r>
      <w:r w:rsidR="00881847" w:rsidRPr="00C33C0B">
        <w:rPr>
          <w:lang w:val="en-GB"/>
        </w:rPr>
        <w:t xml:space="preserve">eneral </w:t>
      </w:r>
      <w:r w:rsidRPr="00C33C0B">
        <w:rPr>
          <w:lang w:val="en-GB"/>
        </w:rPr>
        <w:t>practice</w:t>
      </w:r>
      <w:r w:rsidR="00881847" w:rsidRPr="00C33C0B">
        <w:rPr>
          <w:lang w:val="en-GB"/>
        </w:rPr>
        <w:t xml:space="preserve"> (A1, A2, A15, A18, A22, </w:t>
      </w:r>
      <w:r w:rsidR="00CE152A">
        <w:rPr>
          <w:lang w:val="en-GB"/>
        </w:rPr>
        <w:t xml:space="preserve">and </w:t>
      </w:r>
      <w:r w:rsidR="00881847" w:rsidRPr="00C33C0B">
        <w:rPr>
          <w:lang w:val="en-GB"/>
        </w:rPr>
        <w:t xml:space="preserve">A23), </w:t>
      </w:r>
      <w:r w:rsidRPr="00C33C0B">
        <w:rPr>
          <w:lang w:val="en-GB"/>
        </w:rPr>
        <w:t>obstetrics</w:t>
      </w:r>
      <w:r w:rsidR="00881847" w:rsidRPr="00C33C0B">
        <w:rPr>
          <w:lang w:val="en-GB"/>
        </w:rPr>
        <w:t xml:space="preserve"> (T4), </w:t>
      </w:r>
      <w:r w:rsidRPr="00C33C0B">
        <w:rPr>
          <w:lang w:val="en-GB"/>
        </w:rPr>
        <w:t>a</w:t>
      </w:r>
      <w:r w:rsidR="00881847" w:rsidRPr="00C33C0B">
        <w:rPr>
          <w:lang w:val="en-GB"/>
        </w:rPr>
        <w:t xml:space="preserve">naesthetics (T6), </w:t>
      </w:r>
      <w:r w:rsidRPr="00C33C0B">
        <w:rPr>
          <w:lang w:val="en-GB"/>
        </w:rPr>
        <w:t>p</w:t>
      </w:r>
      <w:r w:rsidR="00FD6FA8" w:rsidRPr="00C33C0B">
        <w:rPr>
          <w:lang w:val="en-GB"/>
        </w:rPr>
        <w:t>sychiatry</w:t>
      </w:r>
      <w:r w:rsidR="00420DEC" w:rsidRPr="00C33C0B">
        <w:rPr>
          <w:lang w:val="en-GB"/>
        </w:rPr>
        <w:t xml:space="preserve"> (A8)</w:t>
      </w:r>
      <w:r w:rsidR="00FD6FA8" w:rsidRPr="00C33C0B">
        <w:rPr>
          <w:lang w:val="en-GB"/>
        </w:rPr>
        <w:t xml:space="preserve">, </w:t>
      </w:r>
      <w:r w:rsidRPr="00C33C0B">
        <w:rPr>
          <w:lang w:val="en-GB"/>
        </w:rPr>
        <w:t xml:space="preserve">intensive care (T11) </w:t>
      </w:r>
      <w:r w:rsidR="008972C2" w:rsidRPr="00C33C0B">
        <w:rPr>
          <w:lang w:val="en-GB"/>
        </w:rPr>
        <w:t xml:space="preserve">and </w:t>
      </w:r>
      <w:r w:rsidRPr="00C33C0B">
        <w:rPr>
          <w:lang w:val="en-GB"/>
        </w:rPr>
        <w:t>emergency m</w:t>
      </w:r>
      <w:r w:rsidR="00FD6FA8" w:rsidRPr="00C33C0B">
        <w:rPr>
          <w:lang w:val="en-GB"/>
        </w:rPr>
        <w:t>edicine</w:t>
      </w:r>
      <w:r w:rsidR="00420DEC" w:rsidRPr="00C33C0B">
        <w:rPr>
          <w:lang w:val="en-GB"/>
        </w:rPr>
        <w:t xml:space="preserve"> (A21)</w:t>
      </w:r>
      <w:r w:rsidRPr="00C33C0B">
        <w:rPr>
          <w:lang w:val="en-GB"/>
        </w:rPr>
        <w:t xml:space="preserve">. These items have been reviewed by their respective </w:t>
      </w:r>
      <w:r w:rsidR="002462E8">
        <w:rPr>
          <w:lang w:val="en-GB"/>
        </w:rPr>
        <w:t>c</w:t>
      </w:r>
      <w:r w:rsidRPr="00C33C0B">
        <w:rPr>
          <w:lang w:val="en-GB"/>
        </w:rPr>
        <w:t xml:space="preserve">linical </w:t>
      </w:r>
      <w:r w:rsidR="002462E8">
        <w:rPr>
          <w:lang w:val="en-GB"/>
        </w:rPr>
        <w:t>c</w:t>
      </w:r>
      <w:r w:rsidRPr="00C33C0B">
        <w:rPr>
          <w:lang w:val="en-GB"/>
        </w:rPr>
        <w:t>ommittees</w:t>
      </w:r>
      <w:r w:rsidR="00140B7B">
        <w:rPr>
          <w:lang w:val="en-GB"/>
        </w:rPr>
        <w:t>, with both formal and informal consultation and communication occurring between committees where relevant</w:t>
      </w:r>
    </w:p>
    <w:p w14:paraId="22C783C2" w14:textId="152609C3" w:rsidR="005924BE" w:rsidRPr="00C33C0B" w:rsidRDefault="00023621" w:rsidP="000949B2">
      <w:pPr>
        <w:pStyle w:val="Bullet-green"/>
        <w:numPr>
          <w:ilvl w:val="0"/>
          <w:numId w:val="0"/>
        </w:numPr>
        <w:rPr>
          <w:lang w:val="en-GB"/>
        </w:rPr>
      </w:pPr>
      <w:hyperlink w:anchor="_A.1._Standard_attendance" w:history="1">
        <w:r w:rsidR="005924BE" w:rsidRPr="00FB4BB4">
          <w:rPr>
            <w:rStyle w:val="Hyperlink"/>
          </w:rPr>
          <w:t>See Appendix A.1</w:t>
        </w:r>
      </w:hyperlink>
      <w:r w:rsidR="005924BE">
        <w:t xml:space="preserve"> for a full list of standard attendance items.</w:t>
      </w:r>
    </w:p>
    <w:p w14:paraId="5B167B99" w14:textId="77777777" w:rsidR="0068431D" w:rsidRDefault="0068431D" w:rsidP="003C5D5A">
      <w:pPr>
        <w:pStyle w:val="Heading2"/>
      </w:pPr>
      <w:bookmarkStart w:id="109" w:name="_Toc67952204"/>
      <w:r>
        <w:t>H</w:t>
      </w:r>
      <w:r w:rsidR="00DF1DB6">
        <w:t>istorical context</w:t>
      </w:r>
      <w:bookmarkEnd w:id="109"/>
    </w:p>
    <w:p w14:paraId="0890796C" w14:textId="77777777" w:rsidR="0068431D" w:rsidRPr="00C33C0B" w:rsidRDefault="0068431D" w:rsidP="00FB4BB4">
      <w:pPr>
        <w:rPr>
          <w:lang w:val="en-GB" w:eastAsia="en-US"/>
        </w:rPr>
      </w:pPr>
      <w:r w:rsidRPr="00C33C0B">
        <w:rPr>
          <w:lang w:val="en-GB" w:eastAsia="en-US"/>
        </w:rPr>
        <w:t xml:space="preserve">Many of the items for </w:t>
      </w:r>
      <w:r w:rsidR="008C78CE">
        <w:rPr>
          <w:lang w:val="en-GB" w:eastAsia="en-US"/>
        </w:rPr>
        <w:t>consultant specialist</w:t>
      </w:r>
      <w:r w:rsidRPr="00C33C0B">
        <w:rPr>
          <w:lang w:val="en-GB" w:eastAsia="en-US"/>
        </w:rPr>
        <w:t xml:space="preserve"> attendances are long-standing items that have not been reviewed or changed since their introduction in the 1970s. The structure of the items is based on </w:t>
      </w:r>
      <w:r w:rsidR="00CF65E9">
        <w:rPr>
          <w:lang w:val="en-GB" w:eastAsia="en-US"/>
        </w:rPr>
        <w:t xml:space="preserve">historic </w:t>
      </w:r>
      <w:r w:rsidRPr="00C33C0B">
        <w:rPr>
          <w:lang w:val="en-GB" w:eastAsia="en-US"/>
        </w:rPr>
        <w:t xml:space="preserve">roles of </w:t>
      </w:r>
      <w:r>
        <w:rPr>
          <w:lang w:val="en-GB" w:eastAsia="en-US"/>
        </w:rPr>
        <w:t>s</w:t>
      </w:r>
      <w:r w:rsidRPr="00C33C0B">
        <w:rPr>
          <w:lang w:val="en-GB" w:eastAsia="en-US"/>
        </w:rPr>
        <w:t xml:space="preserve">pecialists </w:t>
      </w:r>
      <w:r>
        <w:rPr>
          <w:lang w:val="en-GB" w:eastAsia="en-US"/>
        </w:rPr>
        <w:t>and</w:t>
      </w:r>
      <w:r w:rsidRPr="00C33C0B">
        <w:rPr>
          <w:lang w:val="en-GB" w:eastAsia="en-US"/>
        </w:rPr>
        <w:t xml:space="preserve"> </w:t>
      </w:r>
      <w:r>
        <w:rPr>
          <w:lang w:val="en-GB" w:eastAsia="en-US"/>
        </w:rPr>
        <w:t>c</w:t>
      </w:r>
      <w:r w:rsidRPr="00C33C0B">
        <w:rPr>
          <w:lang w:val="en-GB" w:eastAsia="en-US"/>
        </w:rPr>
        <w:t xml:space="preserve">onsultant </w:t>
      </w:r>
      <w:r>
        <w:rPr>
          <w:lang w:val="en-GB" w:eastAsia="en-US"/>
        </w:rPr>
        <w:t>physicians.</w:t>
      </w:r>
    </w:p>
    <w:p w14:paraId="298ED9BC" w14:textId="77777777" w:rsidR="0068431D" w:rsidRPr="00C33C0B" w:rsidRDefault="0068431D" w:rsidP="00FB4BB4">
      <w:pPr>
        <w:rPr>
          <w:lang w:val="en-GB" w:eastAsia="en-US"/>
        </w:rPr>
      </w:pPr>
      <w:r w:rsidRPr="00C33C0B">
        <w:rPr>
          <w:lang w:val="en-GB" w:eastAsia="en-US"/>
        </w:rPr>
        <w:t xml:space="preserve">Originally, the items were structured to </w:t>
      </w:r>
      <w:r>
        <w:rPr>
          <w:lang w:val="en-GB" w:eastAsia="en-US"/>
        </w:rPr>
        <w:t>“</w:t>
      </w:r>
      <w:r w:rsidRPr="00C33C0B">
        <w:rPr>
          <w:lang w:val="en-GB" w:eastAsia="en-US"/>
        </w:rPr>
        <w:t>balance</w:t>
      </w:r>
      <w:r>
        <w:rPr>
          <w:lang w:val="en-GB" w:eastAsia="en-US"/>
        </w:rPr>
        <w:t>”</w:t>
      </w:r>
      <w:r w:rsidRPr="00C33C0B">
        <w:rPr>
          <w:lang w:val="en-GB" w:eastAsia="en-US"/>
        </w:rPr>
        <w:t xml:space="preserve"> </w:t>
      </w:r>
      <w:r w:rsidR="009417F6">
        <w:rPr>
          <w:lang w:val="en-GB" w:eastAsia="en-US"/>
        </w:rPr>
        <w:t>patient rebate</w:t>
      </w:r>
      <w:r w:rsidR="009417F6" w:rsidRPr="00C33C0B">
        <w:rPr>
          <w:lang w:val="en-GB" w:eastAsia="en-US"/>
        </w:rPr>
        <w:t xml:space="preserve"> </w:t>
      </w:r>
      <w:r w:rsidRPr="00C33C0B">
        <w:rPr>
          <w:lang w:val="en-GB" w:eastAsia="en-US"/>
        </w:rPr>
        <w:t xml:space="preserve">levels between </w:t>
      </w:r>
      <w:r>
        <w:rPr>
          <w:lang w:val="en-GB" w:eastAsia="en-US"/>
        </w:rPr>
        <w:t>s</w:t>
      </w:r>
      <w:r w:rsidRPr="00C33C0B">
        <w:rPr>
          <w:lang w:val="en-GB" w:eastAsia="en-US"/>
        </w:rPr>
        <w:t xml:space="preserve">pecialists and </w:t>
      </w:r>
      <w:r>
        <w:rPr>
          <w:lang w:val="en-GB" w:eastAsia="en-US"/>
        </w:rPr>
        <w:t>c</w:t>
      </w:r>
      <w:r w:rsidRPr="00C33C0B">
        <w:rPr>
          <w:lang w:val="en-GB" w:eastAsia="en-US"/>
        </w:rPr>
        <w:t xml:space="preserve">onsultant </w:t>
      </w:r>
      <w:r>
        <w:rPr>
          <w:lang w:val="en-GB" w:eastAsia="en-US"/>
        </w:rPr>
        <w:t>p</w:t>
      </w:r>
      <w:r w:rsidRPr="00C33C0B">
        <w:rPr>
          <w:lang w:val="en-GB" w:eastAsia="en-US"/>
        </w:rPr>
        <w:t>hysicians</w:t>
      </w:r>
      <w:r>
        <w:rPr>
          <w:lang w:val="en-GB" w:eastAsia="en-US"/>
        </w:rPr>
        <w:t>.</w:t>
      </w:r>
      <w:r w:rsidR="00533CEF">
        <w:rPr>
          <w:lang w:val="en-GB" w:eastAsia="en-US"/>
        </w:rPr>
        <w:t xml:space="preserve"> </w:t>
      </w:r>
      <w:r w:rsidR="00CF65E9">
        <w:rPr>
          <w:lang w:val="en-GB" w:eastAsia="en-US"/>
        </w:rPr>
        <w:t>Historically, c</w:t>
      </w:r>
      <w:r w:rsidRPr="00C33C0B">
        <w:rPr>
          <w:lang w:val="en-GB" w:eastAsia="en-US"/>
        </w:rPr>
        <w:t xml:space="preserve">ompared to </w:t>
      </w:r>
      <w:r>
        <w:rPr>
          <w:lang w:val="en-GB" w:eastAsia="en-US"/>
        </w:rPr>
        <w:t>s</w:t>
      </w:r>
      <w:r w:rsidRPr="00C33C0B">
        <w:rPr>
          <w:lang w:val="en-GB" w:eastAsia="en-US"/>
        </w:rPr>
        <w:t xml:space="preserve">pecialists, </w:t>
      </w:r>
      <w:r>
        <w:rPr>
          <w:lang w:val="en-GB" w:eastAsia="en-US"/>
        </w:rPr>
        <w:t>c</w:t>
      </w:r>
      <w:r w:rsidRPr="00C33C0B">
        <w:rPr>
          <w:lang w:val="en-GB" w:eastAsia="en-US"/>
        </w:rPr>
        <w:t xml:space="preserve">onsultant </w:t>
      </w:r>
      <w:r>
        <w:rPr>
          <w:lang w:val="en-GB" w:eastAsia="en-US"/>
        </w:rPr>
        <w:t>p</w:t>
      </w:r>
      <w:r w:rsidRPr="00C33C0B">
        <w:rPr>
          <w:lang w:val="en-GB" w:eastAsia="en-US"/>
        </w:rPr>
        <w:t xml:space="preserve">hysicians </w:t>
      </w:r>
      <w:r w:rsidR="00531387">
        <w:rPr>
          <w:lang w:val="en-GB" w:eastAsia="en-US"/>
        </w:rPr>
        <w:t xml:space="preserve">were deemed to </w:t>
      </w:r>
      <w:r w:rsidRPr="00C33C0B">
        <w:rPr>
          <w:lang w:val="en-GB" w:eastAsia="en-US"/>
        </w:rPr>
        <w:t>provide</w:t>
      </w:r>
      <w:r w:rsidR="00531387">
        <w:rPr>
          <w:lang w:val="en-GB" w:eastAsia="en-US"/>
        </w:rPr>
        <w:t xml:space="preserve"> </w:t>
      </w:r>
      <w:r w:rsidRPr="00C33C0B">
        <w:rPr>
          <w:lang w:val="en-GB" w:eastAsia="en-US"/>
        </w:rPr>
        <w:t xml:space="preserve">more </w:t>
      </w:r>
      <w:r>
        <w:rPr>
          <w:lang w:val="en-GB" w:eastAsia="en-US"/>
        </w:rPr>
        <w:t>“</w:t>
      </w:r>
      <w:r w:rsidRPr="00C33C0B">
        <w:rPr>
          <w:lang w:val="en-GB" w:eastAsia="en-US"/>
        </w:rPr>
        <w:t>cognitively complex</w:t>
      </w:r>
      <w:r>
        <w:rPr>
          <w:lang w:val="en-GB" w:eastAsia="en-US"/>
        </w:rPr>
        <w:t>” attendances</w:t>
      </w:r>
      <w:r w:rsidRPr="00C33C0B">
        <w:rPr>
          <w:lang w:val="en-GB" w:eastAsia="en-US"/>
        </w:rPr>
        <w:t xml:space="preserve"> and</w:t>
      </w:r>
      <w:r>
        <w:rPr>
          <w:lang w:val="en-GB" w:eastAsia="en-US"/>
        </w:rPr>
        <w:t xml:space="preserve"> did </w:t>
      </w:r>
      <w:r w:rsidRPr="00C33C0B">
        <w:rPr>
          <w:lang w:val="en-GB" w:eastAsia="en-US"/>
        </w:rPr>
        <w:t>not conduct as many procedures</w:t>
      </w:r>
      <w:r>
        <w:rPr>
          <w:lang w:val="en-GB" w:eastAsia="en-US"/>
        </w:rPr>
        <w:t>.</w:t>
      </w:r>
      <w:r w:rsidR="00533CEF">
        <w:rPr>
          <w:lang w:val="en-GB" w:eastAsia="en-US"/>
        </w:rPr>
        <w:t xml:space="preserve"> </w:t>
      </w:r>
      <w:r w:rsidRPr="00C33C0B">
        <w:rPr>
          <w:lang w:val="en-GB" w:eastAsia="en-US"/>
        </w:rPr>
        <w:t>The recognition of new specialty groups led to the introduction of new attendance items</w:t>
      </w:r>
      <w:r>
        <w:rPr>
          <w:lang w:val="en-GB" w:eastAsia="en-US"/>
        </w:rPr>
        <w:t>.</w:t>
      </w:r>
      <w:r w:rsidRPr="00C33C0B">
        <w:rPr>
          <w:lang w:val="en-GB" w:eastAsia="en-US"/>
        </w:rPr>
        <w:t xml:space="preserve"> </w:t>
      </w:r>
      <w:r>
        <w:rPr>
          <w:lang w:val="en-GB" w:eastAsia="en-US"/>
        </w:rPr>
        <w:t>I</w:t>
      </w:r>
      <w:r w:rsidRPr="00C33C0B">
        <w:rPr>
          <w:lang w:val="en-GB" w:eastAsia="en-US"/>
        </w:rPr>
        <w:t xml:space="preserve">n some cases, higher </w:t>
      </w:r>
      <w:r w:rsidR="00AB28F3">
        <w:rPr>
          <w:lang w:val="en-GB" w:eastAsia="en-US"/>
        </w:rPr>
        <w:t>schedule fees</w:t>
      </w:r>
      <w:r w:rsidRPr="00C33C0B">
        <w:rPr>
          <w:lang w:val="en-GB" w:eastAsia="en-US"/>
        </w:rPr>
        <w:t xml:space="preserve"> were set to address specific issues)</w:t>
      </w:r>
      <w:r>
        <w:rPr>
          <w:lang w:val="en-GB" w:eastAsia="en-US"/>
        </w:rPr>
        <w:t>.</w:t>
      </w:r>
    </w:p>
    <w:p w14:paraId="6843CF4C" w14:textId="77777777" w:rsidR="0068431D" w:rsidRPr="004C0BE5" w:rsidRDefault="0068431D" w:rsidP="00FB4BB4">
      <w:pPr>
        <w:rPr>
          <w:lang w:val="en-GB" w:eastAsia="en-US"/>
        </w:rPr>
      </w:pPr>
      <w:r w:rsidRPr="00C33C0B">
        <w:rPr>
          <w:lang w:val="en-GB" w:eastAsia="en-US"/>
        </w:rPr>
        <w:t>Previous efforts to reform these items</w:t>
      </w:r>
      <w:r>
        <w:rPr>
          <w:lang w:val="en-GB" w:eastAsia="en-US"/>
        </w:rPr>
        <w:t xml:space="preserve">, </w:t>
      </w:r>
      <w:r w:rsidRPr="00C33C0B">
        <w:rPr>
          <w:lang w:val="en-GB" w:eastAsia="en-US"/>
        </w:rPr>
        <w:t>such as the Relative Value Study (RVS)</w:t>
      </w:r>
      <w:sdt>
        <w:sdtPr>
          <w:rPr>
            <w:lang w:val="en-GB" w:eastAsia="en-US"/>
          </w:rPr>
          <w:id w:val="899475429"/>
          <w:citation/>
        </w:sdtPr>
        <w:sdtContent>
          <w:r w:rsidR="000E7A4F">
            <w:rPr>
              <w:lang w:val="en-GB" w:eastAsia="en-US"/>
            </w:rPr>
            <w:fldChar w:fldCharType="begin"/>
          </w:r>
          <w:r w:rsidR="000E7A4F">
            <w:rPr>
              <w:lang w:eastAsia="en-US"/>
            </w:rPr>
            <w:instrText xml:space="preserve"> CITATION Rel08 \l 3081 </w:instrText>
          </w:r>
          <w:r w:rsidR="000E7A4F">
            <w:rPr>
              <w:lang w:val="en-GB" w:eastAsia="en-US"/>
            </w:rPr>
            <w:fldChar w:fldCharType="separate"/>
          </w:r>
          <w:r w:rsidR="000E7A4F">
            <w:rPr>
              <w:noProof/>
              <w:lang w:eastAsia="en-US"/>
            </w:rPr>
            <w:t xml:space="preserve"> (2)</w:t>
          </w:r>
          <w:r w:rsidR="000E7A4F">
            <w:rPr>
              <w:lang w:val="en-GB" w:eastAsia="en-US"/>
            </w:rPr>
            <w:fldChar w:fldCharType="end"/>
          </w:r>
        </w:sdtContent>
      </w:sdt>
      <w:r>
        <w:rPr>
          <w:lang w:val="en-GB" w:eastAsia="en-US"/>
        </w:rPr>
        <w:t>, demonstrated</w:t>
      </w:r>
      <w:r w:rsidRPr="00C33C0B">
        <w:rPr>
          <w:lang w:val="en-GB" w:eastAsia="en-US"/>
        </w:rPr>
        <w:t xml:space="preserve"> the complexity of </w:t>
      </w:r>
      <w:r>
        <w:rPr>
          <w:lang w:val="en-GB" w:eastAsia="en-US"/>
        </w:rPr>
        <w:t>the task</w:t>
      </w:r>
      <w:r w:rsidRPr="00C33C0B">
        <w:rPr>
          <w:lang w:val="en-GB" w:eastAsia="en-US"/>
        </w:rPr>
        <w:t>. The RVS</w:t>
      </w:r>
      <w:r>
        <w:rPr>
          <w:lang w:val="en-GB" w:eastAsia="en-US"/>
        </w:rPr>
        <w:t xml:space="preserve"> c</w:t>
      </w:r>
      <w:r w:rsidRPr="00C33C0B">
        <w:rPr>
          <w:lang w:val="en-GB" w:eastAsia="en-US"/>
        </w:rPr>
        <w:t xml:space="preserve">onducted extensive analyses in the late 1990s to identify relative value units, practice resources and costs, and </w:t>
      </w:r>
      <w:r>
        <w:rPr>
          <w:lang w:val="en-GB" w:eastAsia="en-US"/>
        </w:rPr>
        <w:t xml:space="preserve">suggest </w:t>
      </w:r>
      <w:r w:rsidRPr="00C33C0B">
        <w:rPr>
          <w:lang w:val="en-GB" w:eastAsia="en-US"/>
        </w:rPr>
        <w:t xml:space="preserve">appropriate </w:t>
      </w:r>
      <w:r>
        <w:rPr>
          <w:lang w:val="en-GB" w:eastAsia="en-US"/>
        </w:rPr>
        <w:t xml:space="preserve">schedule </w:t>
      </w:r>
      <w:r w:rsidRPr="00C33C0B">
        <w:rPr>
          <w:lang w:val="en-GB" w:eastAsia="en-US"/>
        </w:rPr>
        <w:t xml:space="preserve">fee levels </w:t>
      </w:r>
      <w:r>
        <w:rPr>
          <w:lang w:val="en-GB" w:eastAsia="en-US"/>
        </w:rPr>
        <w:t>for</w:t>
      </w:r>
      <w:r w:rsidRPr="00C33C0B">
        <w:rPr>
          <w:lang w:val="en-GB" w:eastAsia="en-US"/>
        </w:rPr>
        <w:t xml:space="preserve"> individual items</w:t>
      </w:r>
      <w:r>
        <w:rPr>
          <w:lang w:val="en-GB" w:eastAsia="en-US"/>
        </w:rPr>
        <w:t>. It s</w:t>
      </w:r>
      <w:r w:rsidRPr="00C33C0B">
        <w:rPr>
          <w:lang w:val="en-GB" w:eastAsia="en-US"/>
        </w:rPr>
        <w:t>uggested introducing time-tiered attendance items</w:t>
      </w:r>
      <w:r w:rsidR="00B469A0">
        <w:rPr>
          <w:lang w:val="en-GB" w:eastAsia="en-US"/>
        </w:rPr>
        <w:t xml:space="preserve"> that </w:t>
      </w:r>
      <w:r w:rsidRPr="00C33C0B">
        <w:rPr>
          <w:lang w:val="en-GB" w:eastAsia="en-US"/>
        </w:rPr>
        <w:t xml:space="preserve">would have narrowed the difference in remuneration between </w:t>
      </w:r>
      <w:r>
        <w:rPr>
          <w:lang w:val="en-GB" w:eastAsia="en-US"/>
        </w:rPr>
        <w:t>s</w:t>
      </w:r>
      <w:r w:rsidRPr="00C33C0B">
        <w:rPr>
          <w:lang w:val="en-GB" w:eastAsia="en-US"/>
        </w:rPr>
        <w:t xml:space="preserve">pecialists and </w:t>
      </w:r>
      <w:r>
        <w:rPr>
          <w:lang w:val="en-GB" w:eastAsia="en-US"/>
        </w:rPr>
        <w:t>c</w:t>
      </w:r>
      <w:r w:rsidRPr="00C33C0B">
        <w:rPr>
          <w:lang w:val="en-GB" w:eastAsia="en-US"/>
        </w:rPr>
        <w:t xml:space="preserve">onsultant </w:t>
      </w:r>
      <w:r>
        <w:rPr>
          <w:lang w:val="en-GB" w:eastAsia="en-US"/>
        </w:rPr>
        <w:t>p</w:t>
      </w:r>
      <w:r w:rsidRPr="00C33C0B">
        <w:rPr>
          <w:lang w:val="en-GB" w:eastAsia="en-US"/>
        </w:rPr>
        <w:t>hysicians</w:t>
      </w:r>
      <w:r>
        <w:rPr>
          <w:lang w:val="en-GB" w:eastAsia="en-US"/>
        </w:rPr>
        <w:t>.</w:t>
      </w:r>
    </w:p>
    <w:p w14:paraId="0C7473D3" w14:textId="77777777" w:rsidR="00CD255A" w:rsidRPr="00C33C0B" w:rsidRDefault="009C5D3D" w:rsidP="00607BDA">
      <w:pPr>
        <w:pStyle w:val="Heading3"/>
      </w:pPr>
      <w:bookmarkStart w:id="110" w:name="_Toc67952205"/>
      <w:r>
        <w:rPr>
          <w:lang w:val="en-GB"/>
        </w:rPr>
        <w:t xml:space="preserve">The </w:t>
      </w:r>
      <w:r w:rsidRPr="00C33C0B">
        <w:rPr>
          <w:lang w:val="en-GB"/>
        </w:rPr>
        <w:t xml:space="preserve">distinction between </w:t>
      </w:r>
      <w:r>
        <w:rPr>
          <w:lang w:val="en-GB"/>
        </w:rPr>
        <w:t>“specialist</w:t>
      </w:r>
      <w:r w:rsidRPr="00C33C0B">
        <w:rPr>
          <w:lang w:val="en-GB"/>
        </w:rPr>
        <w:t>s</w:t>
      </w:r>
      <w:r>
        <w:rPr>
          <w:lang w:val="en-GB"/>
        </w:rPr>
        <w:t>”</w:t>
      </w:r>
      <w:r w:rsidRPr="00C33C0B">
        <w:rPr>
          <w:lang w:val="en-GB"/>
        </w:rPr>
        <w:t xml:space="preserve"> and </w:t>
      </w:r>
      <w:r>
        <w:rPr>
          <w:lang w:val="en-GB"/>
        </w:rPr>
        <w:t>“consultant physician</w:t>
      </w:r>
      <w:r w:rsidRPr="00C33C0B">
        <w:rPr>
          <w:lang w:val="en-GB"/>
        </w:rPr>
        <w:t>s</w:t>
      </w:r>
      <w:r>
        <w:rPr>
          <w:lang w:val="en-GB"/>
        </w:rPr>
        <w:t>”</w:t>
      </w:r>
      <w:bookmarkEnd w:id="110"/>
    </w:p>
    <w:p w14:paraId="6A8C17A1" w14:textId="77777777" w:rsidR="00CD255A" w:rsidRDefault="00CD255A" w:rsidP="00CD255A">
      <w:pPr>
        <w:rPr>
          <w:lang w:val="en-GB"/>
        </w:rPr>
      </w:pPr>
      <w:r>
        <w:rPr>
          <w:lang w:val="en-GB"/>
        </w:rPr>
        <w:t xml:space="preserve">The MBS and the </w:t>
      </w:r>
      <w:r w:rsidRPr="00607BDA">
        <w:rPr>
          <w:i/>
          <w:lang w:val="en-GB"/>
        </w:rPr>
        <w:t>Health Insurance Act 1973</w:t>
      </w:r>
      <w:r>
        <w:rPr>
          <w:lang w:val="en-GB"/>
        </w:rPr>
        <w:t xml:space="preserve"> makes </w:t>
      </w:r>
      <w:r w:rsidRPr="00C33C0B">
        <w:rPr>
          <w:lang w:val="en-GB"/>
        </w:rPr>
        <w:t xml:space="preserve">a distinction between </w:t>
      </w:r>
      <w:r>
        <w:rPr>
          <w:lang w:val="en-GB"/>
        </w:rPr>
        <w:t>“specialist</w:t>
      </w:r>
      <w:r w:rsidRPr="00C33C0B">
        <w:rPr>
          <w:lang w:val="en-GB"/>
        </w:rPr>
        <w:t>s</w:t>
      </w:r>
      <w:r>
        <w:rPr>
          <w:lang w:val="en-GB"/>
        </w:rPr>
        <w:t>”</w:t>
      </w:r>
      <w:r w:rsidRPr="00C33C0B">
        <w:rPr>
          <w:lang w:val="en-GB"/>
        </w:rPr>
        <w:t xml:space="preserve"> and </w:t>
      </w:r>
      <w:r>
        <w:rPr>
          <w:lang w:val="en-GB"/>
        </w:rPr>
        <w:t>“consultant physician</w:t>
      </w:r>
      <w:r w:rsidRPr="00C33C0B">
        <w:rPr>
          <w:lang w:val="en-GB"/>
        </w:rPr>
        <w:t>s</w:t>
      </w:r>
      <w:r>
        <w:rPr>
          <w:lang w:val="en-GB"/>
        </w:rPr>
        <w:t>”. This</w:t>
      </w:r>
      <w:r w:rsidRPr="004D5989">
        <w:rPr>
          <w:lang w:val="en-GB"/>
        </w:rPr>
        <w:t xml:space="preserve"> </w:t>
      </w:r>
      <w:r>
        <w:rPr>
          <w:lang w:val="en-GB"/>
        </w:rPr>
        <w:t xml:space="preserve">distinction </w:t>
      </w:r>
      <w:r w:rsidRPr="004D5989">
        <w:rPr>
          <w:lang w:val="en-GB"/>
        </w:rPr>
        <w:t xml:space="preserve">is based on the traditional roles </w:t>
      </w:r>
      <w:r>
        <w:rPr>
          <w:lang w:val="en-GB"/>
        </w:rPr>
        <w:t>and</w:t>
      </w:r>
      <w:r w:rsidRPr="004D5989">
        <w:rPr>
          <w:lang w:val="en-GB"/>
        </w:rPr>
        <w:t xml:space="preserve"> </w:t>
      </w:r>
      <w:r>
        <w:rPr>
          <w:lang w:val="en-GB"/>
        </w:rPr>
        <w:t xml:space="preserve">training pathways </w:t>
      </w:r>
      <w:r w:rsidRPr="004D5989">
        <w:rPr>
          <w:lang w:val="en-GB"/>
        </w:rPr>
        <w:t xml:space="preserve">of </w:t>
      </w:r>
      <w:r>
        <w:rPr>
          <w:lang w:val="en-GB"/>
        </w:rPr>
        <w:t xml:space="preserve">these groups, with </w:t>
      </w:r>
      <w:r w:rsidRPr="004D5989">
        <w:rPr>
          <w:lang w:val="en-GB"/>
        </w:rPr>
        <w:t xml:space="preserve">consultant physicians </w:t>
      </w:r>
      <w:r>
        <w:rPr>
          <w:lang w:val="en-GB"/>
        </w:rPr>
        <w:t>traditionally receiving training through the Royal Australasian College of Physicians</w:t>
      </w:r>
      <w:r w:rsidRPr="004D5989">
        <w:rPr>
          <w:lang w:val="en-GB"/>
        </w:rPr>
        <w:t xml:space="preserve"> </w:t>
      </w:r>
      <w:r>
        <w:rPr>
          <w:lang w:val="en-GB"/>
        </w:rPr>
        <w:t>(RACP)</w:t>
      </w:r>
      <w:r w:rsidRPr="004D5989">
        <w:rPr>
          <w:lang w:val="en-GB"/>
        </w:rPr>
        <w:t xml:space="preserve"> training</w:t>
      </w:r>
      <w:r>
        <w:rPr>
          <w:lang w:val="en-GB"/>
        </w:rPr>
        <w:t xml:space="preserve"> pathway</w:t>
      </w:r>
      <w:r w:rsidRPr="004D5989">
        <w:rPr>
          <w:lang w:val="en-GB"/>
        </w:rPr>
        <w:t xml:space="preserve">, </w:t>
      </w:r>
      <w:r>
        <w:rPr>
          <w:lang w:val="en-GB"/>
        </w:rPr>
        <w:t xml:space="preserve">being expected to perform </w:t>
      </w:r>
      <w:r w:rsidRPr="004D5989">
        <w:rPr>
          <w:lang w:val="en-GB"/>
        </w:rPr>
        <w:t xml:space="preserve">more “cognitively complex” attendances and </w:t>
      </w:r>
      <w:r>
        <w:rPr>
          <w:lang w:val="en-GB"/>
        </w:rPr>
        <w:t>performing fewer</w:t>
      </w:r>
      <w:r w:rsidRPr="004D5989">
        <w:rPr>
          <w:lang w:val="en-GB"/>
        </w:rPr>
        <w:t xml:space="preserve"> procedures.</w:t>
      </w:r>
      <w:r>
        <w:rPr>
          <w:lang w:val="en-GB"/>
        </w:rPr>
        <w:t xml:space="preserve"> By contrast, those groups described as “specialists” receive training through bodies other than the RACP, and traditionally were more procedurally focused</w:t>
      </w:r>
      <w:r w:rsidR="009C5D3D">
        <w:rPr>
          <w:lang w:val="en-GB"/>
        </w:rPr>
        <w:t>.</w:t>
      </w:r>
      <w:r>
        <w:rPr>
          <w:lang w:val="en-GB"/>
        </w:rPr>
        <w:t xml:space="preserve"> These two broad </w:t>
      </w:r>
      <w:r w:rsidRPr="00C33C0B">
        <w:rPr>
          <w:lang w:val="en-GB"/>
        </w:rPr>
        <w:t xml:space="preserve">groups </w:t>
      </w:r>
      <w:r>
        <w:rPr>
          <w:lang w:val="en-GB"/>
        </w:rPr>
        <w:t xml:space="preserve">have </w:t>
      </w:r>
      <w:r w:rsidRPr="00C33C0B">
        <w:rPr>
          <w:lang w:val="en-GB"/>
        </w:rPr>
        <w:t>access to different attendance items (</w:t>
      </w:r>
      <w:r>
        <w:rPr>
          <w:lang w:val="en-GB"/>
        </w:rPr>
        <w:t>Figure</w:t>
      </w:r>
      <w:r w:rsidRPr="00C33C0B">
        <w:rPr>
          <w:lang w:val="en-GB"/>
        </w:rPr>
        <w:t xml:space="preserve"> </w:t>
      </w:r>
      <w:r>
        <w:rPr>
          <w:lang w:val="en-GB"/>
        </w:rPr>
        <w:t>1</w:t>
      </w:r>
      <w:r w:rsidRPr="00C33C0B">
        <w:rPr>
          <w:lang w:val="en-GB"/>
        </w:rPr>
        <w:t>).</w:t>
      </w:r>
      <w:r>
        <w:rPr>
          <w:lang w:val="en-GB"/>
        </w:rPr>
        <w:t xml:space="preserve"> </w:t>
      </w:r>
    </w:p>
    <w:p w14:paraId="1B735B40" w14:textId="77777777" w:rsidR="00CD255A" w:rsidRDefault="00CD255A" w:rsidP="00CD255A">
      <w:pPr>
        <w:rPr>
          <w:lang w:val="en-GB"/>
        </w:rPr>
      </w:pPr>
      <w:r>
        <w:rPr>
          <w:lang w:val="en-GB"/>
        </w:rPr>
        <w:t>T</w:t>
      </w:r>
      <w:r w:rsidRPr="00C33C0B">
        <w:rPr>
          <w:lang w:val="en-GB"/>
        </w:rPr>
        <w:t xml:space="preserve">he following terms are used </w:t>
      </w:r>
      <w:r>
        <w:rPr>
          <w:lang w:val="en-GB"/>
        </w:rPr>
        <w:t xml:space="preserve">in this report </w:t>
      </w:r>
      <w:r w:rsidRPr="00C33C0B">
        <w:rPr>
          <w:lang w:val="en-GB"/>
        </w:rPr>
        <w:t>to distingui</w:t>
      </w:r>
      <w:r>
        <w:rPr>
          <w:lang w:val="en-GB"/>
        </w:rPr>
        <w:t>sh between medical practitioner profiles</w:t>
      </w:r>
      <w:r w:rsidRPr="00C33C0B">
        <w:rPr>
          <w:lang w:val="en-GB"/>
        </w:rPr>
        <w:t>:</w:t>
      </w:r>
    </w:p>
    <w:p w14:paraId="33805EF9" w14:textId="77777777" w:rsidR="00CD255A" w:rsidRPr="00C33C0B" w:rsidRDefault="00CD255A" w:rsidP="00CD255A">
      <w:pPr>
        <w:pStyle w:val="Bullet-green"/>
        <w:rPr>
          <w:lang w:val="en-GB"/>
        </w:rPr>
      </w:pPr>
      <w:r w:rsidRPr="009A4476">
        <w:rPr>
          <w:lang w:val="en-GB"/>
        </w:rPr>
        <w:t>Specialist:</w:t>
      </w:r>
      <w:r w:rsidRPr="00C33C0B">
        <w:rPr>
          <w:lang w:val="en-GB"/>
        </w:rPr>
        <w:t xml:space="preserve"> </w:t>
      </w:r>
      <w:r>
        <w:rPr>
          <w:lang w:val="en-GB"/>
        </w:rPr>
        <w:t>A m</w:t>
      </w:r>
      <w:r w:rsidRPr="00C33C0B">
        <w:rPr>
          <w:lang w:val="en-GB"/>
        </w:rPr>
        <w:t xml:space="preserve">edical practitioner in a specialty that has access to either A3 </w:t>
      </w:r>
      <w:r>
        <w:rPr>
          <w:lang w:val="en-GB"/>
        </w:rPr>
        <w:t xml:space="preserve">specialist </w:t>
      </w:r>
      <w:r w:rsidRPr="00C33C0B">
        <w:rPr>
          <w:lang w:val="en-GB"/>
        </w:rPr>
        <w:t>attendance items or specialty-specific attendance items</w:t>
      </w:r>
      <w:r>
        <w:rPr>
          <w:lang w:val="en-GB"/>
        </w:rPr>
        <w:t>.</w:t>
      </w:r>
      <w:r w:rsidRPr="00C33C0B">
        <w:rPr>
          <w:lang w:val="en-GB"/>
        </w:rPr>
        <w:t xml:space="preserve"> </w:t>
      </w:r>
    </w:p>
    <w:p w14:paraId="5EC83D30" w14:textId="77777777" w:rsidR="00CD255A" w:rsidRPr="00C33C0B" w:rsidRDefault="00CD255A" w:rsidP="00CD255A">
      <w:pPr>
        <w:pStyle w:val="Bullet-green"/>
        <w:rPr>
          <w:lang w:val="en-GB"/>
        </w:rPr>
      </w:pPr>
      <w:r w:rsidRPr="007575F5">
        <w:rPr>
          <w:lang w:val="en-GB"/>
        </w:rPr>
        <w:t xml:space="preserve">Consultant </w:t>
      </w:r>
      <w:r>
        <w:rPr>
          <w:lang w:val="en-GB"/>
        </w:rPr>
        <w:t>p</w:t>
      </w:r>
      <w:r w:rsidRPr="007575F5">
        <w:rPr>
          <w:lang w:val="en-GB"/>
        </w:rPr>
        <w:t>hysician:</w:t>
      </w:r>
      <w:r w:rsidRPr="00C33C0B">
        <w:rPr>
          <w:lang w:val="en-GB"/>
        </w:rPr>
        <w:t xml:space="preserve"> </w:t>
      </w:r>
      <w:r>
        <w:rPr>
          <w:lang w:val="en-GB"/>
        </w:rPr>
        <w:t>A m</w:t>
      </w:r>
      <w:r w:rsidRPr="00C33C0B">
        <w:rPr>
          <w:lang w:val="en-GB"/>
        </w:rPr>
        <w:t xml:space="preserve">edical practitioner who </w:t>
      </w:r>
      <w:r>
        <w:rPr>
          <w:lang w:val="en-GB"/>
        </w:rPr>
        <w:t>is a</w:t>
      </w:r>
      <w:r w:rsidRPr="00C33C0B">
        <w:rPr>
          <w:lang w:val="en-GB"/>
        </w:rPr>
        <w:t xml:space="preserve"> Fellow of the Royal Australasian College of Physicians (FRACP) and has access to A4 </w:t>
      </w:r>
      <w:r>
        <w:rPr>
          <w:lang w:val="en-GB"/>
        </w:rPr>
        <w:t>consultant physician</w:t>
      </w:r>
      <w:r w:rsidRPr="00C33C0B">
        <w:rPr>
          <w:lang w:val="en-GB"/>
        </w:rPr>
        <w:t xml:space="preserve"> items</w:t>
      </w:r>
      <w:r>
        <w:rPr>
          <w:lang w:val="en-GB"/>
        </w:rPr>
        <w:t>.</w:t>
      </w:r>
    </w:p>
    <w:p w14:paraId="42E04642" w14:textId="77777777" w:rsidR="00CD255A" w:rsidRPr="00A12FF6" w:rsidRDefault="00CD255A" w:rsidP="00CD255A">
      <w:pPr>
        <w:pStyle w:val="Bullet-green"/>
        <w:rPr>
          <w:lang w:val="en-GB"/>
        </w:rPr>
      </w:pPr>
      <w:r>
        <w:rPr>
          <w:lang w:val="en-GB"/>
        </w:rPr>
        <w:t>Consultant specialist</w:t>
      </w:r>
      <w:r w:rsidRPr="007575F5">
        <w:rPr>
          <w:lang w:val="en-GB"/>
        </w:rPr>
        <w:t>:</w:t>
      </w:r>
      <w:r w:rsidRPr="00C33C0B">
        <w:rPr>
          <w:lang w:val="en-GB"/>
        </w:rPr>
        <w:t xml:space="preserve"> </w:t>
      </w:r>
      <w:r>
        <w:rPr>
          <w:lang w:val="en-GB"/>
        </w:rPr>
        <w:t>An u</w:t>
      </w:r>
      <w:r w:rsidRPr="00C33C0B">
        <w:rPr>
          <w:lang w:val="en-GB"/>
        </w:rPr>
        <w:t xml:space="preserve">mbrella term for </w:t>
      </w:r>
      <w:r>
        <w:rPr>
          <w:lang w:val="en-GB"/>
        </w:rPr>
        <w:t>specialist</w:t>
      </w:r>
      <w:r w:rsidRPr="00C33C0B">
        <w:rPr>
          <w:lang w:val="en-GB"/>
        </w:rPr>
        <w:t xml:space="preserve">s and </w:t>
      </w:r>
      <w:r>
        <w:rPr>
          <w:lang w:val="en-GB"/>
        </w:rPr>
        <w:t>consultant physician</w:t>
      </w:r>
      <w:r w:rsidRPr="00C33C0B">
        <w:rPr>
          <w:lang w:val="en-GB"/>
        </w:rPr>
        <w:t>s</w:t>
      </w:r>
      <w:r>
        <w:rPr>
          <w:lang w:val="en-GB"/>
        </w:rPr>
        <w:t>, used to distinguish from General Practitioners (GPs).</w:t>
      </w:r>
    </w:p>
    <w:p w14:paraId="5CE47FDB" w14:textId="77777777" w:rsidR="000F5BEB" w:rsidRDefault="000F5BEB">
      <w:pPr>
        <w:spacing w:before="0" w:after="0"/>
        <w:rPr>
          <w:rFonts w:eastAsiaTheme="minorHAnsi" w:cs="Arial"/>
          <w:b/>
          <w:color w:val="000000" w:themeColor="text1"/>
          <w:sz w:val="20"/>
          <w:szCs w:val="22"/>
          <w:lang w:eastAsia="en-US"/>
        </w:rPr>
      </w:pPr>
      <w:bookmarkStart w:id="111" w:name="_Toc529028436"/>
      <w:r>
        <w:br w:type="page"/>
      </w:r>
    </w:p>
    <w:p w14:paraId="14FA98FA" w14:textId="46361755" w:rsidR="00CD255A" w:rsidRDefault="00DA1AEC" w:rsidP="00EB6A44">
      <w:pPr>
        <w:pStyle w:val="Caption"/>
        <w:rPr>
          <w:rFonts w:cstheme="minorHAnsi"/>
          <w:lang w:val="en-GB"/>
        </w:rPr>
      </w:pPr>
      <w:r>
        <w:t xml:space="preserve">Table </w:t>
      </w:r>
      <w:fldSimple w:instr=" SEQ Table \* ARABIC ">
        <w:r w:rsidR="00832059">
          <w:rPr>
            <w:noProof/>
          </w:rPr>
          <w:t>3</w:t>
        </w:r>
      </w:fldSimple>
      <w:r w:rsidR="00CD255A" w:rsidRPr="00B37DF8">
        <w:rPr>
          <w:rFonts w:cstheme="minorHAnsi"/>
          <w:lang w:val="en-GB"/>
        </w:rPr>
        <w:t xml:space="preserve">: Current </w:t>
      </w:r>
      <w:r w:rsidR="00CD255A">
        <w:rPr>
          <w:rFonts w:cstheme="minorHAnsi"/>
          <w:lang w:val="en-GB"/>
        </w:rPr>
        <w:t>specialist</w:t>
      </w:r>
      <w:r w:rsidR="00CD255A" w:rsidRPr="00B37DF8">
        <w:rPr>
          <w:rFonts w:cstheme="minorHAnsi"/>
          <w:lang w:val="en-GB"/>
        </w:rPr>
        <w:t xml:space="preserve"> and </w:t>
      </w:r>
      <w:r w:rsidR="00CD255A">
        <w:rPr>
          <w:rFonts w:cstheme="minorHAnsi"/>
          <w:lang w:val="en-GB"/>
        </w:rPr>
        <w:t>consultant physician</w:t>
      </w:r>
      <w:r w:rsidR="00CD255A" w:rsidRPr="00B37DF8">
        <w:rPr>
          <w:rFonts w:cstheme="minorHAnsi"/>
          <w:lang w:val="en-GB"/>
        </w:rPr>
        <w:t xml:space="preserve"> access to attendance items</w:t>
      </w:r>
      <w:bookmarkEnd w:id="111"/>
    </w:p>
    <w:tbl>
      <w:tblPr>
        <w:tblStyle w:val="GridTable1Light"/>
        <w:tblW w:w="0" w:type="auto"/>
        <w:tblLayout w:type="fixed"/>
        <w:tblLook w:val="0620" w:firstRow="1" w:lastRow="0" w:firstColumn="0" w:lastColumn="0" w:noHBand="1" w:noVBand="1"/>
        <w:tblDescription w:val="Table 3: Current specialist and consultant physician access to attendance items"/>
      </w:tblPr>
      <w:tblGrid>
        <w:gridCol w:w="2830"/>
        <w:gridCol w:w="2268"/>
        <w:gridCol w:w="3119"/>
      </w:tblGrid>
      <w:tr w:rsidR="00BB13A2" w14:paraId="5D789C41" w14:textId="77777777" w:rsidTr="008A5CDC">
        <w:trPr>
          <w:cnfStyle w:val="100000000000" w:firstRow="1" w:lastRow="0" w:firstColumn="0" w:lastColumn="0" w:oddVBand="0" w:evenVBand="0" w:oddHBand="0" w:evenHBand="0" w:firstRowFirstColumn="0" w:firstRowLastColumn="0" w:lastRowFirstColumn="0" w:lastRowLastColumn="0"/>
          <w:tblHeader/>
        </w:trPr>
        <w:tc>
          <w:tcPr>
            <w:tcW w:w="2830" w:type="dxa"/>
          </w:tcPr>
          <w:p w14:paraId="0282E639" w14:textId="02E7CAFD" w:rsidR="00BB13A2" w:rsidRDefault="00BB13A2" w:rsidP="008A5CDC">
            <w:pPr>
              <w:pStyle w:val="Tabletext"/>
              <w:spacing w:after="120"/>
            </w:pPr>
            <w:r w:rsidRPr="00FA245B">
              <w:t>Specialists with access to A3 items</w:t>
            </w:r>
          </w:p>
        </w:tc>
        <w:tc>
          <w:tcPr>
            <w:tcW w:w="2268" w:type="dxa"/>
          </w:tcPr>
          <w:p w14:paraId="72C6C0F1" w14:textId="11630C80" w:rsidR="00BB13A2" w:rsidRDefault="00BB13A2" w:rsidP="008A5CDC">
            <w:pPr>
              <w:pStyle w:val="Tabletext"/>
              <w:spacing w:after="120"/>
            </w:pPr>
            <w:r w:rsidRPr="00FA245B">
              <w:t>Consultant Physicians with access to A4 items</w:t>
            </w:r>
          </w:p>
        </w:tc>
        <w:tc>
          <w:tcPr>
            <w:tcW w:w="3119" w:type="dxa"/>
          </w:tcPr>
          <w:p w14:paraId="4DE4CC26" w14:textId="59B2B6DB" w:rsidR="00687E75" w:rsidRPr="008A5CDC" w:rsidRDefault="00BB13A2" w:rsidP="008A5CDC">
            <w:pPr>
              <w:pStyle w:val="Tabletext"/>
              <w:spacing w:after="120"/>
              <w:rPr>
                <w:b w:val="0"/>
                <w:bCs w:val="0"/>
              </w:rPr>
            </w:pPr>
            <w:r w:rsidRPr="00FA245B">
              <w:t>Specialists with access to speciality specific attendance items</w:t>
            </w:r>
          </w:p>
        </w:tc>
      </w:tr>
      <w:tr w:rsidR="00BB13A2" w14:paraId="4AEB8F30" w14:textId="77777777" w:rsidTr="008A5CDC">
        <w:tc>
          <w:tcPr>
            <w:tcW w:w="2830" w:type="dxa"/>
          </w:tcPr>
          <w:p w14:paraId="67A80C30" w14:textId="77777777" w:rsidR="00BB13A2" w:rsidRDefault="00BB13A2" w:rsidP="005F7C91">
            <w:pPr>
              <w:spacing w:before="0"/>
            </w:pPr>
            <w:r>
              <w:t>Anaesthetics</w:t>
            </w:r>
          </w:p>
          <w:p w14:paraId="34E88925" w14:textId="77777777" w:rsidR="00BB13A2" w:rsidRDefault="00BB13A2" w:rsidP="005F7C91">
            <w:pPr>
              <w:spacing w:before="0"/>
            </w:pPr>
            <w:r>
              <w:t>Cardiothoracic Surgery</w:t>
            </w:r>
          </w:p>
          <w:p w14:paraId="57E22602" w14:textId="77777777" w:rsidR="00BB13A2" w:rsidRDefault="00BB13A2" w:rsidP="005F7C91">
            <w:pPr>
              <w:spacing w:before="0"/>
            </w:pPr>
            <w:r>
              <w:t>Dermatology</w:t>
            </w:r>
          </w:p>
          <w:p w14:paraId="19D90534" w14:textId="77777777" w:rsidR="00BB13A2" w:rsidRDefault="00BB13A2" w:rsidP="005F7C91">
            <w:pPr>
              <w:spacing w:before="0"/>
            </w:pPr>
            <w:r>
              <w:t>Diagnostic Radiology</w:t>
            </w:r>
          </w:p>
          <w:p w14:paraId="35A953A3" w14:textId="77777777" w:rsidR="00BB13A2" w:rsidRDefault="00BB13A2" w:rsidP="005F7C91">
            <w:pPr>
              <w:spacing w:before="0"/>
            </w:pPr>
            <w:r>
              <w:t>Diagnostic Ultrasound</w:t>
            </w:r>
          </w:p>
          <w:p w14:paraId="3BFA7373" w14:textId="77777777" w:rsidR="00BB13A2" w:rsidRDefault="00BB13A2" w:rsidP="005F7C91">
            <w:pPr>
              <w:spacing w:before="0"/>
            </w:pPr>
            <w:r>
              <w:t>Emergency Medicine</w:t>
            </w:r>
          </w:p>
          <w:p w14:paraId="122BD773" w14:textId="77777777" w:rsidR="00BB13A2" w:rsidRDefault="00BB13A2" w:rsidP="005F7C91">
            <w:pPr>
              <w:spacing w:before="0"/>
            </w:pPr>
            <w:r>
              <w:t>General Pathology</w:t>
            </w:r>
          </w:p>
          <w:p w14:paraId="36F513FF" w14:textId="77777777" w:rsidR="00BB13A2" w:rsidRDefault="00BB13A2" w:rsidP="005F7C91">
            <w:pPr>
              <w:spacing w:before="0"/>
            </w:pPr>
            <w:r>
              <w:t>General Surgery</w:t>
            </w:r>
          </w:p>
          <w:p w14:paraId="730CE078" w14:textId="77777777" w:rsidR="00BB13A2" w:rsidRDefault="00BB13A2" w:rsidP="005F7C91">
            <w:pPr>
              <w:spacing w:before="0"/>
            </w:pPr>
            <w:r>
              <w:t>Gynaecology</w:t>
            </w:r>
          </w:p>
          <w:p w14:paraId="500C5CB2" w14:textId="77777777" w:rsidR="00BB13A2" w:rsidRDefault="00BB13A2" w:rsidP="005F7C91">
            <w:pPr>
              <w:spacing w:before="0"/>
            </w:pPr>
            <w:r>
              <w:t>Immunology</w:t>
            </w:r>
          </w:p>
          <w:p w14:paraId="054CF14F" w14:textId="77777777" w:rsidR="00BB13A2" w:rsidRDefault="00BB13A2" w:rsidP="005F7C91">
            <w:pPr>
              <w:spacing w:before="0"/>
            </w:pPr>
            <w:r>
              <w:t>Intensive Care Medicine</w:t>
            </w:r>
          </w:p>
          <w:p w14:paraId="73D2129A" w14:textId="77777777" w:rsidR="00BB13A2" w:rsidRDefault="00BB13A2" w:rsidP="005F7C91">
            <w:pPr>
              <w:spacing w:before="0"/>
            </w:pPr>
            <w:r>
              <w:t>Medical Oncology</w:t>
            </w:r>
          </w:p>
          <w:p w14:paraId="5D2092E8" w14:textId="77777777" w:rsidR="00BB13A2" w:rsidRDefault="00BB13A2" w:rsidP="005F7C91">
            <w:pPr>
              <w:spacing w:before="0"/>
            </w:pPr>
            <w:r>
              <w:t>Microbiology Neurosurgery</w:t>
            </w:r>
          </w:p>
          <w:p w14:paraId="45B0BCF3" w14:textId="77777777" w:rsidR="00BB13A2" w:rsidRDefault="00BB13A2" w:rsidP="005F7C91">
            <w:pPr>
              <w:spacing w:before="0"/>
            </w:pPr>
            <w:r>
              <w:t>Obstetrics and Gynaecology</w:t>
            </w:r>
          </w:p>
          <w:p w14:paraId="284D9AFC" w14:textId="77777777" w:rsidR="00BB13A2" w:rsidRDefault="00BB13A2" w:rsidP="005F7C91">
            <w:pPr>
              <w:spacing w:before="0"/>
            </w:pPr>
            <w:r>
              <w:t>Obstetrics and Gynaecological Ultrasound</w:t>
            </w:r>
          </w:p>
          <w:p w14:paraId="443F6DD1" w14:textId="77777777" w:rsidR="00BB13A2" w:rsidRDefault="00BB13A2" w:rsidP="005F7C91">
            <w:pPr>
              <w:spacing w:before="0"/>
            </w:pPr>
            <w:r>
              <w:t>Ophthalmology</w:t>
            </w:r>
          </w:p>
          <w:p w14:paraId="5064D493" w14:textId="77777777" w:rsidR="00BB13A2" w:rsidRDefault="00BB13A2" w:rsidP="005F7C91">
            <w:pPr>
              <w:spacing w:before="0"/>
            </w:pPr>
            <w:r>
              <w:t>Oral and maxillofacial Surgery</w:t>
            </w:r>
          </w:p>
          <w:p w14:paraId="473BE996" w14:textId="77777777" w:rsidR="00BB13A2" w:rsidRDefault="00BB13A2" w:rsidP="005F7C91">
            <w:pPr>
              <w:spacing w:before="0"/>
            </w:pPr>
            <w:r>
              <w:t>Orthopaedic Surgery</w:t>
            </w:r>
          </w:p>
          <w:p w14:paraId="607D05B1" w14:textId="77777777" w:rsidR="00BB13A2" w:rsidRDefault="00BB13A2" w:rsidP="005F7C91">
            <w:pPr>
              <w:spacing w:before="0"/>
            </w:pPr>
            <w:r>
              <w:t>Otolaryngology</w:t>
            </w:r>
          </w:p>
          <w:p w14:paraId="37504E36" w14:textId="77777777" w:rsidR="00BB13A2" w:rsidRDefault="00BB13A2" w:rsidP="005F7C91">
            <w:pPr>
              <w:spacing w:before="0"/>
            </w:pPr>
            <w:r>
              <w:t>Paediatric Surgery</w:t>
            </w:r>
          </w:p>
          <w:p w14:paraId="1ED55193" w14:textId="77777777" w:rsidR="00BB13A2" w:rsidRDefault="00BB13A2" w:rsidP="005F7C91">
            <w:pPr>
              <w:spacing w:before="0"/>
            </w:pPr>
            <w:r>
              <w:t>Pain medicine</w:t>
            </w:r>
          </w:p>
          <w:p w14:paraId="78A733B7" w14:textId="77777777" w:rsidR="00BB13A2" w:rsidRDefault="00BB13A2" w:rsidP="005F7C91">
            <w:pPr>
              <w:spacing w:before="0"/>
            </w:pPr>
            <w:r>
              <w:t>Pathology</w:t>
            </w:r>
          </w:p>
          <w:p w14:paraId="4177DFFA" w14:textId="77777777" w:rsidR="00BB13A2" w:rsidRDefault="00BB13A2" w:rsidP="005F7C91">
            <w:pPr>
              <w:spacing w:before="0"/>
            </w:pPr>
            <w:r>
              <w:t>Plastic and Reconstructive Surgery</w:t>
            </w:r>
          </w:p>
          <w:p w14:paraId="2ED85443" w14:textId="77777777" w:rsidR="00BB13A2" w:rsidRDefault="00BB13A2" w:rsidP="005F7C91">
            <w:pPr>
              <w:spacing w:before="0"/>
            </w:pPr>
            <w:r>
              <w:t>Radiation Oncology</w:t>
            </w:r>
          </w:p>
          <w:p w14:paraId="3C254B08" w14:textId="77777777" w:rsidR="00BB13A2" w:rsidRDefault="00BB13A2" w:rsidP="005F7C91">
            <w:pPr>
              <w:spacing w:before="0"/>
            </w:pPr>
            <w:r>
              <w:t>Reproductive Endocrinology and Infertility</w:t>
            </w:r>
          </w:p>
          <w:p w14:paraId="7DBC50B0" w14:textId="77777777" w:rsidR="00BB13A2" w:rsidRDefault="00BB13A2" w:rsidP="005F7C91">
            <w:pPr>
              <w:spacing w:before="0"/>
            </w:pPr>
            <w:r>
              <w:t>Sport and Exercise Medicine</w:t>
            </w:r>
          </w:p>
          <w:p w14:paraId="3C706786" w14:textId="77777777" w:rsidR="00BB13A2" w:rsidRDefault="00BB13A2" w:rsidP="005F7C91">
            <w:pPr>
              <w:spacing w:before="0"/>
            </w:pPr>
            <w:r>
              <w:t>Urogynaecology</w:t>
            </w:r>
          </w:p>
          <w:p w14:paraId="3F40559F" w14:textId="77777777" w:rsidR="00BB13A2" w:rsidRDefault="00BB13A2" w:rsidP="005F7C91">
            <w:pPr>
              <w:spacing w:before="0"/>
            </w:pPr>
            <w:r>
              <w:t>Urology</w:t>
            </w:r>
          </w:p>
          <w:p w14:paraId="770F4A45" w14:textId="22219BB7" w:rsidR="00BB13A2" w:rsidRDefault="00BB13A2" w:rsidP="005F7C91">
            <w:pPr>
              <w:spacing w:before="0"/>
            </w:pPr>
            <w:r>
              <w:t>Vascular Surgery</w:t>
            </w:r>
          </w:p>
        </w:tc>
        <w:tc>
          <w:tcPr>
            <w:tcW w:w="2268" w:type="dxa"/>
          </w:tcPr>
          <w:p w14:paraId="1C5CE217" w14:textId="77777777" w:rsidR="005F7C91" w:rsidRDefault="005F7C91" w:rsidP="005F7C91">
            <w:pPr>
              <w:spacing w:before="0"/>
            </w:pPr>
            <w:r>
              <w:t>Addiction Medicine</w:t>
            </w:r>
          </w:p>
          <w:p w14:paraId="325A5DBB" w14:textId="77777777" w:rsidR="005F7C91" w:rsidRDefault="005F7C91" w:rsidP="005F7C91">
            <w:pPr>
              <w:spacing w:before="0"/>
            </w:pPr>
            <w:r>
              <w:t>Cardiology</w:t>
            </w:r>
          </w:p>
          <w:p w14:paraId="4FCA8C73" w14:textId="77777777" w:rsidR="005F7C91" w:rsidRDefault="005F7C91" w:rsidP="005F7C91">
            <w:pPr>
              <w:spacing w:before="0"/>
            </w:pPr>
            <w:r>
              <w:t>Clinical Genetics</w:t>
            </w:r>
          </w:p>
          <w:p w14:paraId="287AF67D" w14:textId="77777777" w:rsidR="005F7C91" w:rsidRDefault="005F7C91" w:rsidP="005F7C91">
            <w:pPr>
              <w:spacing w:before="0"/>
            </w:pPr>
            <w:r>
              <w:t>Clinical Pharmacology</w:t>
            </w:r>
          </w:p>
          <w:p w14:paraId="104EE3AB" w14:textId="77777777" w:rsidR="005F7C91" w:rsidRDefault="005F7C91" w:rsidP="005F7C91">
            <w:pPr>
              <w:spacing w:before="0"/>
            </w:pPr>
            <w:r>
              <w:t>Endocrinology</w:t>
            </w:r>
          </w:p>
          <w:p w14:paraId="3D80CAD2" w14:textId="77777777" w:rsidR="005F7C91" w:rsidRDefault="005F7C91" w:rsidP="005F7C91">
            <w:pPr>
              <w:spacing w:before="0"/>
            </w:pPr>
            <w:r>
              <w:t>Gastroenterology and Hepatology</w:t>
            </w:r>
          </w:p>
          <w:p w14:paraId="10F1C0DE" w14:textId="77777777" w:rsidR="005F7C91" w:rsidRDefault="005F7C91" w:rsidP="005F7C91">
            <w:pPr>
              <w:spacing w:before="0"/>
            </w:pPr>
            <w:r>
              <w:t>General Medicine</w:t>
            </w:r>
          </w:p>
          <w:p w14:paraId="2580D1AD" w14:textId="77777777" w:rsidR="005F7C91" w:rsidRDefault="005F7C91" w:rsidP="005F7C91">
            <w:pPr>
              <w:spacing w:before="0"/>
            </w:pPr>
            <w:r>
              <w:t>Haematology</w:t>
            </w:r>
          </w:p>
          <w:p w14:paraId="59F8A932" w14:textId="77777777" w:rsidR="005F7C91" w:rsidRDefault="005F7C91" w:rsidP="005F7C91">
            <w:pPr>
              <w:spacing w:before="0"/>
            </w:pPr>
            <w:r>
              <w:t>Immunology and Allergy</w:t>
            </w:r>
          </w:p>
          <w:p w14:paraId="337FCAB7" w14:textId="77777777" w:rsidR="005F7C91" w:rsidRDefault="005F7C91" w:rsidP="005F7C91">
            <w:pPr>
              <w:spacing w:before="0"/>
            </w:pPr>
            <w:r>
              <w:t>Infectious Diseases</w:t>
            </w:r>
          </w:p>
          <w:p w14:paraId="4890A95E" w14:textId="77777777" w:rsidR="005F7C91" w:rsidRDefault="005F7C91" w:rsidP="005F7C91">
            <w:pPr>
              <w:spacing w:before="0"/>
            </w:pPr>
            <w:r>
              <w:t>Medical Oncology</w:t>
            </w:r>
          </w:p>
          <w:p w14:paraId="70BE61A6" w14:textId="77777777" w:rsidR="005F7C91" w:rsidRDefault="005F7C91" w:rsidP="005F7C91">
            <w:pPr>
              <w:spacing w:before="0"/>
            </w:pPr>
            <w:r>
              <w:t>Nephrology</w:t>
            </w:r>
          </w:p>
          <w:p w14:paraId="52B509BA" w14:textId="77777777" w:rsidR="005F7C91" w:rsidRDefault="005F7C91" w:rsidP="005F7C91">
            <w:pPr>
              <w:spacing w:before="0"/>
            </w:pPr>
            <w:r>
              <w:t>Neurology</w:t>
            </w:r>
          </w:p>
          <w:p w14:paraId="0642F81F" w14:textId="77777777" w:rsidR="005F7C91" w:rsidRDefault="005F7C91" w:rsidP="005F7C91">
            <w:pPr>
              <w:spacing w:before="0"/>
            </w:pPr>
            <w:r>
              <w:t>Nuclear Medicine</w:t>
            </w:r>
          </w:p>
          <w:p w14:paraId="52355EAE" w14:textId="77777777" w:rsidR="005F7C91" w:rsidRDefault="005F7C91" w:rsidP="005F7C91">
            <w:pPr>
              <w:spacing w:before="0"/>
            </w:pPr>
            <w:r>
              <w:t>Occupational and Environmental Medicine</w:t>
            </w:r>
          </w:p>
          <w:p w14:paraId="647E137F" w14:textId="77777777" w:rsidR="005F7C91" w:rsidRDefault="005F7C91" w:rsidP="005F7C91">
            <w:pPr>
              <w:spacing w:before="0"/>
            </w:pPr>
            <w:r>
              <w:t>Respiratory and Sleep Medicine</w:t>
            </w:r>
          </w:p>
          <w:p w14:paraId="53BEEA9E" w14:textId="77777777" w:rsidR="005F7C91" w:rsidRDefault="005F7C91" w:rsidP="005F7C91">
            <w:pPr>
              <w:spacing w:before="0"/>
            </w:pPr>
            <w:r>
              <w:t>Rheumatology</w:t>
            </w:r>
          </w:p>
          <w:p w14:paraId="5E3B966C" w14:textId="77777777" w:rsidR="005F7C91" w:rsidRDefault="005F7C91" w:rsidP="005F7C91">
            <w:pPr>
              <w:spacing w:before="0"/>
            </w:pPr>
            <w:r>
              <w:t>Neonatal/Perinatal Medicine</w:t>
            </w:r>
          </w:p>
          <w:p w14:paraId="2F06A412" w14:textId="77777777" w:rsidR="005F7C91" w:rsidRDefault="005F7C91" w:rsidP="005F7C91">
            <w:pPr>
              <w:spacing w:before="0"/>
            </w:pPr>
            <w:r>
              <w:t>Paediatrics (inc. all sub specialities)</w:t>
            </w:r>
          </w:p>
          <w:p w14:paraId="2CD12387" w14:textId="77777777" w:rsidR="005F7C91" w:rsidRDefault="005F7C91" w:rsidP="005F7C91">
            <w:pPr>
              <w:spacing w:before="0"/>
            </w:pPr>
            <w:r>
              <w:t>Palliative Medicine</w:t>
            </w:r>
          </w:p>
          <w:p w14:paraId="20A11F0C" w14:textId="6E4CB57A" w:rsidR="00BB13A2" w:rsidRDefault="005F7C91" w:rsidP="005F7C91">
            <w:pPr>
              <w:spacing w:before="0"/>
            </w:pPr>
            <w:r>
              <w:t>Rehabilitation Medicine</w:t>
            </w:r>
          </w:p>
        </w:tc>
        <w:tc>
          <w:tcPr>
            <w:tcW w:w="3119" w:type="dxa"/>
          </w:tcPr>
          <w:p w14:paraId="3FC08D74" w14:textId="77777777" w:rsidR="005F7C91" w:rsidRDefault="005F7C91" w:rsidP="005F7C91">
            <w:pPr>
              <w:spacing w:before="0"/>
            </w:pPr>
            <w:r>
              <w:t>Addiction Medicine</w:t>
            </w:r>
          </w:p>
          <w:p w14:paraId="58FF7341" w14:textId="77777777" w:rsidR="005F7C91" w:rsidRDefault="005F7C91" w:rsidP="005F7C91">
            <w:pPr>
              <w:spacing w:before="0"/>
            </w:pPr>
            <w:r>
              <w:t>Anaesthetics</w:t>
            </w:r>
          </w:p>
          <w:p w14:paraId="5AF575D4" w14:textId="77777777" w:rsidR="005F7C91" w:rsidRDefault="005F7C91" w:rsidP="005F7C91">
            <w:pPr>
              <w:spacing w:before="0"/>
            </w:pPr>
            <w:r>
              <w:t>Emergency physicians</w:t>
            </w:r>
          </w:p>
          <w:p w14:paraId="15B63177" w14:textId="77777777" w:rsidR="005F7C91" w:rsidRDefault="005F7C91" w:rsidP="005F7C91">
            <w:pPr>
              <w:spacing w:before="0"/>
            </w:pPr>
            <w:r>
              <w:t>Geriatric Medicine</w:t>
            </w:r>
          </w:p>
          <w:p w14:paraId="099467D8" w14:textId="77777777" w:rsidR="005F7C91" w:rsidRDefault="005F7C91" w:rsidP="005F7C91">
            <w:pPr>
              <w:spacing w:before="0"/>
            </w:pPr>
            <w:r>
              <w:t>Intensive Care Medicine</w:t>
            </w:r>
          </w:p>
          <w:p w14:paraId="1D607322" w14:textId="77777777" w:rsidR="005F7C91" w:rsidRDefault="005F7C91" w:rsidP="005F7C91">
            <w:pPr>
              <w:spacing w:before="0"/>
            </w:pPr>
            <w:r>
              <w:t>Obstetrics</w:t>
            </w:r>
          </w:p>
          <w:p w14:paraId="182D9288" w14:textId="77777777" w:rsidR="005F7C91" w:rsidRDefault="005F7C91" w:rsidP="005F7C91">
            <w:pPr>
              <w:spacing w:before="0"/>
            </w:pPr>
            <w:r>
              <w:t>Occupational and environmental Medicine</w:t>
            </w:r>
          </w:p>
          <w:p w14:paraId="275B2135" w14:textId="77777777" w:rsidR="005F7C91" w:rsidRDefault="005F7C91" w:rsidP="005F7C91">
            <w:pPr>
              <w:spacing w:before="0"/>
            </w:pPr>
            <w:r>
              <w:t>Ophthalmology</w:t>
            </w:r>
          </w:p>
          <w:p w14:paraId="6E15B1C3" w14:textId="77777777" w:rsidR="005F7C91" w:rsidRDefault="005F7C91" w:rsidP="005F7C91">
            <w:pPr>
              <w:spacing w:before="0"/>
            </w:pPr>
            <w:r>
              <w:t>Pain medicine</w:t>
            </w:r>
          </w:p>
          <w:p w14:paraId="515178EE" w14:textId="77777777" w:rsidR="005F7C91" w:rsidRDefault="005F7C91" w:rsidP="005F7C91">
            <w:pPr>
              <w:spacing w:before="0"/>
            </w:pPr>
            <w:r>
              <w:t>Psychiatry</w:t>
            </w:r>
          </w:p>
          <w:p w14:paraId="3D991C4D" w14:textId="77777777" w:rsidR="005F7C91" w:rsidRDefault="005F7C91" w:rsidP="005F7C91">
            <w:pPr>
              <w:spacing w:before="0"/>
            </w:pPr>
            <w:r>
              <w:t>Public health Medicine</w:t>
            </w:r>
          </w:p>
          <w:p w14:paraId="6030CB13" w14:textId="35DF87A5" w:rsidR="00BB13A2" w:rsidRDefault="005F7C91" w:rsidP="005F7C91">
            <w:pPr>
              <w:spacing w:before="0"/>
            </w:pPr>
            <w:r>
              <w:t>Sexual health Medicine</w:t>
            </w:r>
          </w:p>
        </w:tc>
      </w:tr>
    </w:tbl>
    <w:p w14:paraId="59164E08" w14:textId="01FBCCB7" w:rsidR="00D661EB" w:rsidRPr="00C33C0B" w:rsidRDefault="00D661EB" w:rsidP="00507F94">
      <w:pPr>
        <w:pStyle w:val="Heading2"/>
      </w:pPr>
      <w:bookmarkStart w:id="112" w:name="_Toc67952206"/>
      <w:r w:rsidRPr="00C33C0B">
        <w:t>Overview of current standard attendance items</w:t>
      </w:r>
      <w:bookmarkEnd w:id="112"/>
    </w:p>
    <w:p w14:paraId="47BC5F86" w14:textId="77777777" w:rsidR="00D661EB" w:rsidRPr="00C33C0B" w:rsidRDefault="00461322" w:rsidP="00607BDA">
      <w:pPr>
        <w:rPr>
          <w:lang w:val="en-GB" w:eastAsia="en-US"/>
        </w:rPr>
      </w:pPr>
      <w:r>
        <w:rPr>
          <w:lang w:val="en-GB" w:eastAsia="en-US"/>
        </w:rPr>
        <w:t>Standard attendance items a</w:t>
      </w:r>
      <w:r w:rsidR="00D661EB" w:rsidRPr="00C33C0B">
        <w:rPr>
          <w:lang w:val="en-GB" w:eastAsia="en-US"/>
        </w:rPr>
        <w:t>re defined as either “initial” or “subsequent”</w:t>
      </w:r>
      <w:r w:rsidR="00AA5461" w:rsidRPr="00C33C0B">
        <w:rPr>
          <w:lang w:val="en-GB" w:eastAsia="en-US"/>
        </w:rPr>
        <w:t xml:space="preserve"> attendances</w:t>
      </w:r>
      <w:r w:rsidR="00D661EB" w:rsidRPr="00C33C0B">
        <w:rPr>
          <w:lang w:val="en-GB" w:eastAsia="en-US"/>
        </w:rPr>
        <w:t xml:space="preserve"> with a single provider</w:t>
      </w:r>
      <w:r w:rsidR="00760E27">
        <w:rPr>
          <w:rStyle w:val="FootnoteReference"/>
          <w:lang w:val="en-GB" w:eastAsia="en-US"/>
        </w:rPr>
        <w:footnoteReference w:id="4"/>
      </w:r>
      <w:r w:rsidR="00221662" w:rsidRPr="00C33C0B">
        <w:rPr>
          <w:lang w:val="en-GB" w:eastAsia="en-US"/>
        </w:rPr>
        <w:t xml:space="preserve"> </w:t>
      </w:r>
      <w:r w:rsidR="005B1496">
        <w:rPr>
          <w:lang w:val="en-GB" w:eastAsia="en-US"/>
        </w:rPr>
        <w:t>I</w:t>
      </w:r>
      <w:r w:rsidR="00221662" w:rsidRPr="00C33C0B">
        <w:rPr>
          <w:lang w:val="en-GB" w:eastAsia="en-US"/>
        </w:rPr>
        <w:t>nitial</w:t>
      </w:r>
      <w:r w:rsidR="002629CE" w:rsidRPr="00C33C0B">
        <w:rPr>
          <w:lang w:val="en-GB" w:eastAsia="en-US"/>
        </w:rPr>
        <w:t xml:space="preserve"> attendances</w:t>
      </w:r>
      <w:r w:rsidR="00221662" w:rsidRPr="00C33C0B">
        <w:rPr>
          <w:lang w:val="en-GB" w:eastAsia="en-US"/>
        </w:rPr>
        <w:t xml:space="preserve"> </w:t>
      </w:r>
      <w:r w:rsidR="005B1496">
        <w:rPr>
          <w:lang w:val="en-GB" w:eastAsia="en-US"/>
        </w:rPr>
        <w:t>have</w:t>
      </w:r>
      <w:r w:rsidR="005B1496" w:rsidRPr="00C33C0B">
        <w:rPr>
          <w:lang w:val="en-GB" w:eastAsia="en-US"/>
        </w:rPr>
        <w:t xml:space="preserve"> </w:t>
      </w:r>
      <w:r w:rsidR="00221662" w:rsidRPr="00C33C0B">
        <w:rPr>
          <w:lang w:val="en-GB" w:eastAsia="en-US"/>
        </w:rPr>
        <w:t>schedule fees</w:t>
      </w:r>
      <w:r w:rsidR="005B1496">
        <w:rPr>
          <w:lang w:val="en-GB" w:eastAsia="en-US"/>
        </w:rPr>
        <w:t xml:space="preserve"> that are</w:t>
      </w:r>
      <w:r w:rsidR="00221662" w:rsidRPr="00C33C0B">
        <w:rPr>
          <w:lang w:val="en-GB" w:eastAsia="en-US"/>
        </w:rPr>
        <w:t xml:space="preserve"> </w:t>
      </w:r>
      <w:r w:rsidR="005669B0" w:rsidRPr="00C33C0B">
        <w:rPr>
          <w:lang w:val="en-GB" w:eastAsia="en-US"/>
        </w:rPr>
        <w:t>30</w:t>
      </w:r>
      <w:r w:rsidR="005B1496">
        <w:rPr>
          <w:lang w:val="en-GB" w:eastAsia="en-US"/>
        </w:rPr>
        <w:t xml:space="preserve"> to </w:t>
      </w:r>
      <w:r w:rsidR="005669B0" w:rsidRPr="00C33C0B">
        <w:rPr>
          <w:lang w:val="en-GB" w:eastAsia="en-US"/>
        </w:rPr>
        <w:t>5</w:t>
      </w:r>
      <w:r w:rsidR="00221662" w:rsidRPr="00C33C0B">
        <w:rPr>
          <w:lang w:val="en-GB" w:eastAsia="en-US"/>
        </w:rPr>
        <w:t>0</w:t>
      </w:r>
      <w:r w:rsidR="005B1496">
        <w:rPr>
          <w:lang w:val="en-GB" w:eastAsia="en-US"/>
        </w:rPr>
        <w:t xml:space="preserve"> per cent</w:t>
      </w:r>
      <w:r w:rsidR="00221662" w:rsidRPr="00C33C0B">
        <w:rPr>
          <w:lang w:val="en-GB" w:eastAsia="en-US"/>
        </w:rPr>
        <w:t xml:space="preserve"> higher than </w:t>
      </w:r>
      <w:r w:rsidR="00AD0D41">
        <w:rPr>
          <w:lang w:val="en-GB" w:eastAsia="en-US"/>
        </w:rPr>
        <w:t xml:space="preserve">those for </w:t>
      </w:r>
      <w:r w:rsidR="00221662" w:rsidRPr="00C33C0B">
        <w:rPr>
          <w:lang w:val="en-GB" w:eastAsia="en-US"/>
        </w:rPr>
        <w:t>subsequent attendances</w:t>
      </w:r>
      <w:r w:rsidR="00AD0D41">
        <w:rPr>
          <w:lang w:val="en-GB" w:eastAsia="en-US"/>
        </w:rPr>
        <w:t>.</w:t>
      </w:r>
    </w:p>
    <w:p w14:paraId="20A9709F" w14:textId="77777777" w:rsidR="00D661EB" w:rsidRPr="00C33C0B" w:rsidRDefault="00B37F62" w:rsidP="00607BDA">
      <w:pPr>
        <w:rPr>
          <w:lang w:val="en-GB" w:eastAsia="en-US"/>
        </w:rPr>
      </w:pPr>
      <w:r>
        <w:rPr>
          <w:lang w:val="en-GB" w:eastAsia="en-US"/>
        </w:rPr>
        <w:t>There are</w:t>
      </w:r>
      <w:r w:rsidRPr="00C33C0B">
        <w:rPr>
          <w:lang w:val="en-GB" w:eastAsia="en-US"/>
        </w:rPr>
        <w:t xml:space="preserve"> </w:t>
      </w:r>
      <w:r w:rsidR="00D661EB" w:rsidRPr="00C33C0B">
        <w:rPr>
          <w:lang w:val="en-GB" w:eastAsia="en-US"/>
        </w:rPr>
        <w:t xml:space="preserve">parallel items for </w:t>
      </w:r>
      <w:r w:rsidR="00CF064A">
        <w:rPr>
          <w:lang w:val="en-GB" w:eastAsia="en-US"/>
        </w:rPr>
        <w:t>consultant physician</w:t>
      </w:r>
      <w:r w:rsidR="00D661EB" w:rsidRPr="00C33C0B">
        <w:rPr>
          <w:lang w:val="en-GB" w:eastAsia="en-US"/>
        </w:rPr>
        <w:t xml:space="preserve">s and </w:t>
      </w:r>
      <w:r w:rsidR="00CF064A">
        <w:rPr>
          <w:lang w:val="en-GB" w:eastAsia="en-US"/>
        </w:rPr>
        <w:t>specialist</w:t>
      </w:r>
      <w:r w:rsidR="007447EB">
        <w:rPr>
          <w:lang w:val="en-GB" w:eastAsia="en-US"/>
        </w:rPr>
        <w:t xml:space="preserve">s (see </w:t>
      </w:r>
      <w:r w:rsidR="005079DD">
        <w:rPr>
          <w:lang w:val="en-GB" w:eastAsia="en-US"/>
        </w:rPr>
        <w:t>above</w:t>
      </w:r>
      <w:r w:rsidR="00D661EB" w:rsidRPr="00C33C0B">
        <w:rPr>
          <w:lang w:val="en-GB" w:eastAsia="en-US"/>
        </w:rPr>
        <w:t xml:space="preserve"> for the distinction between professions)</w:t>
      </w:r>
      <w:r w:rsidR="008166DD">
        <w:rPr>
          <w:lang w:val="en-GB" w:eastAsia="en-US"/>
        </w:rPr>
        <w:t>.</w:t>
      </w:r>
    </w:p>
    <w:p w14:paraId="1F524E8B" w14:textId="77777777" w:rsidR="003E651E" w:rsidRDefault="003E651E" w:rsidP="00607BDA">
      <w:r>
        <w:t>Unique items were created for new specialties that did not exist when the standard attendance items were created, and for specialties that applied to MSAC for access to unique attendance items (most commonly citing longer consultation durations as the rationale for their request). These specialists cannot claim both a standard attendance item and specialty-specific item for the same service.</w:t>
      </w:r>
    </w:p>
    <w:p w14:paraId="339BE89D" w14:textId="77777777" w:rsidR="00D661EB" w:rsidRDefault="00D75F80" w:rsidP="00607BDA">
      <w:pPr>
        <w:rPr>
          <w:lang w:val="en-GB" w:eastAsia="en-US"/>
        </w:rPr>
      </w:pPr>
      <w:r>
        <w:rPr>
          <w:lang w:val="en-GB" w:eastAsia="en-US"/>
        </w:rPr>
        <w:t>There are</w:t>
      </w:r>
      <w:r w:rsidRPr="00C33C0B">
        <w:rPr>
          <w:lang w:val="en-GB" w:eastAsia="en-US"/>
        </w:rPr>
        <w:t xml:space="preserve"> </w:t>
      </w:r>
      <w:r w:rsidR="00D661EB" w:rsidRPr="00C33C0B">
        <w:rPr>
          <w:lang w:val="en-GB" w:eastAsia="en-US"/>
        </w:rPr>
        <w:t xml:space="preserve">distinct attendance items for certain </w:t>
      </w:r>
      <w:r w:rsidR="009A06C9" w:rsidRPr="00C33C0B">
        <w:rPr>
          <w:lang w:val="en-GB" w:eastAsia="en-US"/>
        </w:rPr>
        <w:t>specialties</w:t>
      </w:r>
      <w:r w:rsidR="00D661EB" w:rsidRPr="00C33C0B">
        <w:rPr>
          <w:lang w:val="en-GB" w:eastAsia="en-US"/>
        </w:rPr>
        <w:t>, including ophthalmology, occupational health, public health, pain medicine, palliative care and neurosurgery</w:t>
      </w:r>
      <w:r w:rsidR="00FA114C">
        <w:rPr>
          <w:lang w:val="en-GB" w:eastAsia="en-US"/>
        </w:rPr>
        <w:t>.</w:t>
      </w:r>
      <w:r w:rsidR="00D661EB" w:rsidRPr="00C33C0B">
        <w:rPr>
          <w:lang w:val="en-GB" w:eastAsia="en-US"/>
        </w:rPr>
        <w:t xml:space="preserve"> </w:t>
      </w:r>
      <w:r w:rsidR="00FA114C">
        <w:rPr>
          <w:lang w:val="en-GB" w:eastAsia="en-US"/>
        </w:rPr>
        <w:t>T</w:t>
      </w:r>
      <w:r w:rsidR="00D661EB" w:rsidRPr="00C33C0B">
        <w:rPr>
          <w:lang w:val="en-GB" w:eastAsia="en-US"/>
        </w:rPr>
        <w:t xml:space="preserve">hese specialities can also </w:t>
      </w:r>
      <w:r w:rsidR="00CF65E9">
        <w:rPr>
          <w:lang w:val="en-GB" w:eastAsia="en-US"/>
        </w:rPr>
        <w:t xml:space="preserve">choose to claim via </w:t>
      </w:r>
      <w:r w:rsidR="00D661EB" w:rsidRPr="00C33C0B">
        <w:rPr>
          <w:lang w:val="en-GB" w:eastAsia="en-US"/>
        </w:rPr>
        <w:t>the standard attendance items mentioned above</w:t>
      </w:r>
      <w:r w:rsidR="00CF65E9">
        <w:rPr>
          <w:lang w:val="en-GB" w:eastAsia="en-US"/>
        </w:rPr>
        <w:t xml:space="preserve">, </w:t>
      </w:r>
      <w:r w:rsidR="00486C58">
        <w:rPr>
          <w:lang w:val="en-GB" w:eastAsia="en-US"/>
        </w:rPr>
        <w:t xml:space="preserve">often </w:t>
      </w:r>
      <w:r w:rsidR="0026365B" w:rsidRPr="00C33C0B">
        <w:rPr>
          <w:lang w:val="en-GB" w:eastAsia="en-US"/>
        </w:rPr>
        <w:t xml:space="preserve">with a different </w:t>
      </w:r>
      <w:r w:rsidR="00AB28F3">
        <w:rPr>
          <w:lang w:val="en-GB" w:eastAsia="en-US"/>
        </w:rPr>
        <w:t>schedule fee</w:t>
      </w:r>
      <w:r w:rsidR="005E1DBF">
        <w:rPr>
          <w:lang w:val="en-GB" w:eastAsia="en-US"/>
        </w:rPr>
        <w:t>.</w:t>
      </w:r>
    </w:p>
    <w:p w14:paraId="7F3798C3" w14:textId="77777777" w:rsidR="003B457C" w:rsidRPr="00C33C0B" w:rsidRDefault="00DE38F3" w:rsidP="00607BDA">
      <w:pPr>
        <w:rPr>
          <w:lang w:val="en-GB" w:eastAsia="en-US"/>
        </w:rPr>
      </w:pPr>
      <w:r>
        <w:rPr>
          <w:lang w:val="en-GB" w:eastAsia="en-US"/>
        </w:rPr>
        <w:t>There are</w:t>
      </w:r>
      <w:r w:rsidR="00C7153B">
        <w:rPr>
          <w:lang w:val="en-GB" w:eastAsia="en-US"/>
        </w:rPr>
        <w:t xml:space="preserve"> also</w:t>
      </w:r>
      <w:r w:rsidRPr="00C33C0B">
        <w:rPr>
          <w:lang w:val="en-GB" w:eastAsia="en-US"/>
        </w:rPr>
        <w:t xml:space="preserve"> </w:t>
      </w:r>
      <w:r w:rsidR="003B457C" w:rsidRPr="00C33C0B">
        <w:rPr>
          <w:lang w:val="en-GB" w:eastAsia="en-US"/>
        </w:rPr>
        <w:t xml:space="preserve">parallel items </w:t>
      </w:r>
      <w:r w:rsidR="00E32700" w:rsidRPr="00C33C0B">
        <w:rPr>
          <w:lang w:val="en-GB" w:eastAsia="en-US"/>
        </w:rPr>
        <w:t>for attendances that take place</w:t>
      </w:r>
      <w:r w:rsidR="003B457C" w:rsidRPr="00C33C0B">
        <w:rPr>
          <w:lang w:val="en-GB" w:eastAsia="en-US"/>
        </w:rPr>
        <w:t xml:space="preserve"> either in a consulting room</w:t>
      </w:r>
      <w:r w:rsidR="00566B8B">
        <w:rPr>
          <w:lang w:val="en-GB" w:eastAsia="en-US"/>
        </w:rPr>
        <w:t xml:space="preserve"> or</w:t>
      </w:r>
      <w:r w:rsidR="003B457C" w:rsidRPr="00C33C0B">
        <w:rPr>
          <w:lang w:val="en-GB" w:eastAsia="en-US"/>
        </w:rPr>
        <w:t xml:space="preserve"> hospital</w:t>
      </w:r>
      <w:r w:rsidR="00566B8B">
        <w:rPr>
          <w:lang w:val="en-GB" w:eastAsia="en-US"/>
        </w:rPr>
        <w:t>,</w:t>
      </w:r>
      <w:r w:rsidR="003B457C" w:rsidRPr="00C33C0B">
        <w:rPr>
          <w:lang w:val="en-GB" w:eastAsia="en-US"/>
        </w:rPr>
        <w:t xml:space="preserve"> or elsewhere</w:t>
      </w:r>
      <w:r w:rsidR="00566B8B">
        <w:rPr>
          <w:lang w:val="en-GB" w:eastAsia="en-US"/>
        </w:rPr>
        <w:t>.</w:t>
      </w:r>
    </w:p>
    <w:p w14:paraId="12EC66DB" w14:textId="77777777" w:rsidR="00D661EB" w:rsidRPr="00C33C0B" w:rsidRDefault="00576EFD" w:rsidP="003C5D5A">
      <w:pPr>
        <w:pStyle w:val="Heading2"/>
      </w:pPr>
      <w:bookmarkStart w:id="113" w:name="_Toc67952207"/>
      <w:bookmarkStart w:id="114" w:name="_Hlk521589688"/>
      <w:r>
        <w:t>Issues</w:t>
      </w:r>
      <w:r w:rsidR="00D661EB" w:rsidRPr="00C33C0B">
        <w:t xml:space="preserve"> with current standard attendance items</w:t>
      </w:r>
      <w:bookmarkEnd w:id="113"/>
    </w:p>
    <w:bookmarkEnd w:id="114"/>
    <w:p w14:paraId="12329656" w14:textId="77777777" w:rsidR="00217DE5" w:rsidRPr="00C33C0B" w:rsidRDefault="001B0A0F" w:rsidP="00607BDA">
      <w:pPr>
        <w:rPr>
          <w:lang w:val="en-GB" w:eastAsia="en-US"/>
        </w:rPr>
      </w:pPr>
      <w:r>
        <w:rPr>
          <w:lang w:val="en-GB" w:eastAsia="en-US"/>
        </w:rPr>
        <w:t>The distinction between i</w:t>
      </w:r>
      <w:r w:rsidR="00D661EB" w:rsidRPr="00C33C0B">
        <w:rPr>
          <w:lang w:val="en-GB" w:eastAsia="en-US"/>
        </w:rPr>
        <w:t>nitial and subsequent attendance items do</w:t>
      </w:r>
      <w:r>
        <w:rPr>
          <w:lang w:val="en-GB" w:eastAsia="en-US"/>
        </w:rPr>
        <w:t>es</w:t>
      </w:r>
      <w:r w:rsidR="00D661EB" w:rsidRPr="00C33C0B">
        <w:rPr>
          <w:lang w:val="en-GB" w:eastAsia="en-US"/>
        </w:rPr>
        <w:t xml:space="preserve"> not accurately reflect </w:t>
      </w:r>
      <w:r w:rsidR="00443D18">
        <w:rPr>
          <w:lang w:val="en-GB" w:eastAsia="en-US"/>
        </w:rPr>
        <w:t xml:space="preserve">current </w:t>
      </w:r>
      <w:r w:rsidR="00D661EB" w:rsidRPr="00C33C0B">
        <w:rPr>
          <w:lang w:val="en-GB" w:eastAsia="en-US"/>
        </w:rPr>
        <w:t xml:space="preserve">clinical practice and there is evidence </w:t>
      </w:r>
      <w:r w:rsidR="006A37AE">
        <w:rPr>
          <w:lang w:val="en-GB" w:eastAsia="en-US"/>
        </w:rPr>
        <w:t>that</w:t>
      </w:r>
      <w:r w:rsidR="00D661EB" w:rsidRPr="00C33C0B">
        <w:rPr>
          <w:lang w:val="en-GB" w:eastAsia="en-US"/>
        </w:rPr>
        <w:t xml:space="preserve"> </w:t>
      </w:r>
      <w:r w:rsidR="003013B5">
        <w:rPr>
          <w:lang w:val="en-GB" w:eastAsia="en-US"/>
        </w:rPr>
        <w:t>they are</w:t>
      </w:r>
      <w:r w:rsidR="00443D18">
        <w:rPr>
          <w:lang w:val="en-GB" w:eastAsia="en-US"/>
        </w:rPr>
        <w:t xml:space="preserve"> being</w:t>
      </w:r>
      <w:r w:rsidR="003013B5">
        <w:rPr>
          <w:lang w:val="en-GB" w:eastAsia="en-US"/>
        </w:rPr>
        <w:t xml:space="preserve"> </w:t>
      </w:r>
      <w:r w:rsidR="009F559A" w:rsidRPr="00C33C0B">
        <w:rPr>
          <w:lang w:val="en-GB" w:eastAsia="en-US"/>
        </w:rPr>
        <w:t>inconsistent</w:t>
      </w:r>
      <w:r w:rsidR="003013B5">
        <w:rPr>
          <w:lang w:val="en-GB" w:eastAsia="en-US"/>
        </w:rPr>
        <w:t>ly claimed.</w:t>
      </w:r>
    </w:p>
    <w:p w14:paraId="39BE0C40" w14:textId="77777777" w:rsidR="00217DE5" w:rsidRPr="00C33C0B" w:rsidRDefault="0003453A" w:rsidP="00607BDA">
      <w:pPr>
        <w:rPr>
          <w:lang w:val="en-GB"/>
        </w:rPr>
      </w:pPr>
      <w:r w:rsidRPr="00C33C0B">
        <w:rPr>
          <w:lang w:val="en-GB" w:eastAsia="en-US"/>
        </w:rPr>
        <w:t xml:space="preserve">The Committee noted that </w:t>
      </w:r>
      <w:r w:rsidR="003C3713" w:rsidRPr="00C33C0B">
        <w:rPr>
          <w:lang w:val="en-GB" w:eastAsia="en-US"/>
        </w:rPr>
        <w:t>the distinction between initial</w:t>
      </w:r>
      <w:r w:rsidR="00A208AF">
        <w:rPr>
          <w:lang w:val="en-GB" w:eastAsia="en-US"/>
        </w:rPr>
        <w:t xml:space="preserve"> and</w:t>
      </w:r>
      <w:r w:rsidR="00A208AF" w:rsidRPr="00C33C0B">
        <w:rPr>
          <w:lang w:val="en-GB" w:eastAsia="en-US"/>
        </w:rPr>
        <w:t xml:space="preserve"> </w:t>
      </w:r>
      <w:r w:rsidR="003C3713" w:rsidRPr="00C33C0B">
        <w:rPr>
          <w:lang w:val="en-GB" w:eastAsia="en-US"/>
        </w:rPr>
        <w:t xml:space="preserve">subsequent attendances does not account for </w:t>
      </w:r>
      <w:r w:rsidRPr="00C33C0B">
        <w:rPr>
          <w:lang w:val="en-GB" w:eastAsia="en-US"/>
        </w:rPr>
        <w:t>c</w:t>
      </w:r>
      <w:r w:rsidR="00D661EB" w:rsidRPr="00C33C0B">
        <w:rPr>
          <w:lang w:val="en-GB" w:eastAsia="en-US"/>
        </w:rPr>
        <w:t xml:space="preserve">ases where a patient’s clinical needs </w:t>
      </w:r>
      <w:r w:rsidR="001B0A0F">
        <w:rPr>
          <w:lang w:val="en-GB" w:eastAsia="en-US"/>
        </w:rPr>
        <w:t>increase</w:t>
      </w:r>
      <w:r w:rsidR="001B0A0F" w:rsidRPr="00C33C0B">
        <w:rPr>
          <w:lang w:val="en-GB" w:eastAsia="en-US"/>
        </w:rPr>
        <w:t xml:space="preserve"> </w:t>
      </w:r>
      <w:r w:rsidR="00D661EB" w:rsidRPr="00C33C0B">
        <w:rPr>
          <w:lang w:val="en-GB" w:eastAsia="en-US"/>
        </w:rPr>
        <w:t>in complexity over time</w:t>
      </w:r>
      <w:r w:rsidR="001822ED" w:rsidRPr="00C33C0B">
        <w:rPr>
          <w:lang w:val="en-GB" w:eastAsia="en-US"/>
        </w:rPr>
        <w:t xml:space="preserve">. For example, investigations of the patient’s initial problem can lead to </w:t>
      </w:r>
      <w:r w:rsidR="003C3713" w:rsidRPr="00C33C0B">
        <w:rPr>
          <w:lang w:val="en-GB" w:eastAsia="en-US"/>
        </w:rPr>
        <w:t xml:space="preserve">a subsequent attendance that requires </w:t>
      </w:r>
      <w:r w:rsidR="001822ED" w:rsidRPr="00C33C0B">
        <w:rPr>
          <w:lang w:val="en-GB" w:eastAsia="en-US"/>
        </w:rPr>
        <w:t>more time</w:t>
      </w:r>
      <w:r w:rsidR="00B536F7">
        <w:rPr>
          <w:lang w:val="en-GB" w:eastAsia="en-US"/>
        </w:rPr>
        <w:t>.</w:t>
      </w:r>
      <w:r w:rsidR="00F427BE">
        <w:rPr>
          <w:lang w:val="en-GB" w:eastAsia="en-US"/>
        </w:rPr>
        <w:t xml:space="preserve"> </w:t>
      </w:r>
      <w:r w:rsidR="00F427BE">
        <w:t>One result of this issue is the creation of new items for a comprehensive assessment in sexual h</w:t>
      </w:r>
      <w:r w:rsidR="00F427BE" w:rsidRPr="00DE526A">
        <w:t xml:space="preserve">ealth </w:t>
      </w:r>
      <w:r w:rsidR="00F427BE">
        <w:t>medicine and a</w:t>
      </w:r>
      <w:r w:rsidR="00F427BE" w:rsidRPr="00DE526A">
        <w:t>ddiction medicine</w:t>
      </w:r>
      <w:r w:rsidR="00F427BE">
        <w:t>, which</w:t>
      </w:r>
      <w:r w:rsidR="00F427BE" w:rsidRPr="00DE526A">
        <w:t xml:space="preserve"> can be claimed once</w:t>
      </w:r>
      <w:r w:rsidR="00F427BE">
        <w:t xml:space="preserve"> in a course of treatment only. These are </w:t>
      </w:r>
      <w:r w:rsidR="00F427BE" w:rsidRPr="00DE526A">
        <w:t xml:space="preserve">not restricted to being claimed </w:t>
      </w:r>
      <w:r w:rsidR="00F427BE">
        <w:t>as an initial</w:t>
      </w:r>
      <w:r w:rsidR="00F427BE" w:rsidRPr="00DE526A">
        <w:t xml:space="preserve"> consult</w:t>
      </w:r>
      <w:r w:rsidR="00F427BE">
        <w:t>ation</w:t>
      </w:r>
      <w:r w:rsidR="00F427BE" w:rsidRPr="00DE526A">
        <w:t xml:space="preserve"> in a course of treatment</w:t>
      </w:r>
      <w:r w:rsidR="00F427BE">
        <w:t xml:space="preserve">, </w:t>
      </w:r>
      <w:r w:rsidR="00F427BE" w:rsidRPr="00DE526A">
        <w:t xml:space="preserve">in recognition that </w:t>
      </w:r>
      <w:r w:rsidR="00F427BE">
        <w:t>a</w:t>
      </w:r>
      <w:r w:rsidR="00F427BE" w:rsidRPr="00DE526A">
        <w:t xml:space="preserve"> complex comprehensive assessment may not happen at the first po</w:t>
      </w:r>
      <w:r w:rsidR="00F427BE">
        <w:t>int of contact with the patient.</w:t>
      </w:r>
    </w:p>
    <w:p w14:paraId="4AE8D721" w14:textId="77777777" w:rsidR="00A32571" w:rsidRPr="00607BDA" w:rsidRDefault="0003453A" w:rsidP="00607BDA">
      <w:r w:rsidRPr="00607BDA">
        <w:t xml:space="preserve">The Committee </w:t>
      </w:r>
      <w:r w:rsidR="003455D6" w:rsidRPr="00607BDA">
        <w:t xml:space="preserve">noted </w:t>
      </w:r>
      <w:r w:rsidR="00A32571" w:rsidRPr="00607BDA">
        <w:t xml:space="preserve">evidence suggesting </w:t>
      </w:r>
      <w:r w:rsidR="009F559A" w:rsidRPr="00607BDA">
        <w:t xml:space="preserve">inconsistent use </w:t>
      </w:r>
      <w:r w:rsidR="00A32571" w:rsidRPr="00607BDA">
        <w:t>of</w:t>
      </w:r>
      <w:r w:rsidR="003455D6" w:rsidRPr="00607BDA">
        <w:t xml:space="preserve"> repeat initial attendances</w:t>
      </w:r>
      <w:r w:rsidR="00F427BE">
        <w:t xml:space="preserve">. </w:t>
      </w:r>
      <w:r w:rsidR="00BF2964" w:rsidRPr="00607BDA">
        <w:t xml:space="preserve">In 2016/17, </w:t>
      </w:r>
      <w:r w:rsidR="00A32571" w:rsidRPr="00607BDA">
        <w:t>229,511 r</w:t>
      </w:r>
      <w:r w:rsidR="004D1AC7" w:rsidRPr="00607BDA">
        <w:t>epeat initial attendances occurred between the same patient</w:t>
      </w:r>
      <w:r w:rsidR="00A32571" w:rsidRPr="00607BDA">
        <w:t xml:space="preserve"> </w:t>
      </w:r>
      <w:r w:rsidR="004D1AC7" w:rsidRPr="00607BDA">
        <w:t xml:space="preserve">and provider within </w:t>
      </w:r>
      <w:r w:rsidR="00AD4919" w:rsidRPr="00607BDA">
        <w:t>nine</w:t>
      </w:r>
      <w:r w:rsidR="00A32571" w:rsidRPr="00607BDA">
        <w:t xml:space="preserve"> months of </w:t>
      </w:r>
      <w:r w:rsidR="001B0A0F" w:rsidRPr="00607BDA">
        <w:t>another “initial” attendance</w:t>
      </w:r>
      <w:r w:rsidR="00A32571" w:rsidRPr="00607BDA">
        <w:t>.</w:t>
      </w:r>
      <w:r w:rsidR="004901D1" w:rsidRPr="00607BDA">
        <w:t xml:space="preserve"> The Committee </w:t>
      </w:r>
      <w:r w:rsidR="000B52C1" w:rsidRPr="00607BDA">
        <w:t>noted</w:t>
      </w:r>
      <w:r w:rsidR="004901D1" w:rsidRPr="00607BDA">
        <w:t xml:space="preserve"> that repeat initial</w:t>
      </w:r>
      <w:r w:rsidR="002629CE" w:rsidRPr="00607BDA">
        <w:t xml:space="preserve"> attendances </w:t>
      </w:r>
      <w:r w:rsidR="00A32571" w:rsidRPr="00607BDA">
        <w:t xml:space="preserve">within </w:t>
      </w:r>
      <w:r w:rsidR="004901D1" w:rsidRPr="00607BDA">
        <w:t xml:space="preserve">this timeframe </w:t>
      </w:r>
      <w:r w:rsidR="004D1AC7" w:rsidRPr="00607BDA">
        <w:t xml:space="preserve">should </w:t>
      </w:r>
      <w:r w:rsidR="00A32571" w:rsidRPr="00607BDA">
        <w:t>not comm</w:t>
      </w:r>
      <w:r w:rsidR="008C3F6C" w:rsidRPr="00607BDA">
        <w:t>only occur in clinical practice</w:t>
      </w:r>
      <w:r w:rsidR="002E0254" w:rsidRPr="00607BDA">
        <w:t>.</w:t>
      </w:r>
    </w:p>
    <w:p w14:paraId="6191EBB2" w14:textId="77777777" w:rsidR="00F427BE" w:rsidRDefault="00BA1CCC" w:rsidP="00F427BE">
      <w:r w:rsidRPr="00607BDA">
        <w:t xml:space="preserve">Consumer complaints </w:t>
      </w:r>
      <w:r w:rsidR="00BC4641" w:rsidRPr="00607BDA">
        <w:t xml:space="preserve">regarding </w:t>
      </w:r>
      <w:r w:rsidR="00D94DBB" w:rsidRPr="00607BDA">
        <w:t xml:space="preserve">charges for repeat initial attendances are common and have been referred to the </w:t>
      </w:r>
      <w:r w:rsidRPr="00607BDA">
        <w:t xml:space="preserve">Minister’s Office </w:t>
      </w:r>
      <w:r w:rsidR="00232971" w:rsidRPr="00607BDA">
        <w:t>via</w:t>
      </w:r>
      <w:r w:rsidRPr="00607BDA">
        <w:t xml:space="preserve"> the </w:t>
      </w:r>
      <w:r w:rsidR="004901D1" w:rsidRPr="00607BDA">
        <w:t>Medical Benefits Divisio</w:t>
      </w:r>
      <w:r w:rsidR="00D94DBB" w:rsidRPr="00607BDA">
        <w:t>n</w:t>
      </w:r>
      <w:r w:rsidR="00C678B0" w:rsidRPr="00607BDA">
        <w:t>.</w:t>
      </w:r>
      <w:r w:rsidR="00F427BE">
        <w:t xml:space="preserve"> A sample is provided below:</w:t>
      </w:r>
    </w:p>
    <w:p w14:paraId="360BFC48" w14:textId="77777777" w:rsidR="00F427BE" w:rsidRPr="00607BDA" w:rsidRDefault="00F427BE" w:rsidP="00B6474A">
      <w:r w:rsidRPr="00F427BE">
        <w:rPr>
          <w:i/>
        </w:rPr>
        <w:t>“My specialist requires me to get a new referral annually and charges me for an initial consultation fee each time she reviews the same skin cancer… I should be able to go back to the same specialist annually under the original indefinite referral to review the same skin cancer and be charged only for a consultation fee (which is much less than the initial consultation fee). Each year I have to pay for a consultation with my GP for the referral and an initial consultation fee for the specialist.”</w:t>
      </w:r>
    </w:p>
    <w:p w14:paraId="04DA3039" w14:textId="77777777" w:rsidR="00F427BE" w:rsidRDefault="00F427BE" w:rsidP="00F427BE">
      <w:pPr>
        <w:pStyle w:val="Bullet-green"/>
        <w:numPr>
          <w:ilvl w:val="0"/>
          <w:numId w:val="0"/>
        </w:numPr>
        <w:rPr>
          <w:lang w:val="en-GB"/>
        </w:rPr>
      </w:pPr>
      <w:r>
        <w:rPr>
          <w:lang w:val="en-GB"/>
        </w:rPr>
        <w:t>It can be confusing for both patient and provider.</w:t>
      </w:r>
    </w:p>
    <w:p w14:paraId="4178BAEC" w14:textId="77777777" w:rsidR="00F427BE" w:rsidRDefault="0053407B" w:rsidP="00F427BE">
      <w:pPr>
        <w:pStyle w:val="Bullet-green"/>
        <w:numPr>
          <w:ilvl w:val="0"/>
          <w:numId w:val="0"/>
        </w:numPr>
        <w:rPr>
          <w:lang w:val="en-GB"/>
        </w:rPr>
      </w:pPr>
      <w:r w:rsidRPr="00C33C0B">
        <w:rPr>
          <w:lang w:val="en-GB"/>
        </w:rPr>
        <w:t xml:space="preserve">The distinction between </w:t>
      </w:r>
      <w:r w:rsidR="00CF064A">
        <w:rPr>
          <w:lang w:val="en-GB"/>
        </w:rPr>
        <w:t>consultant physician</w:t>
      </w:r>
      <w:r w:rsidRPr="00C33C0B">
        <w:rPr>
          <w:lang w:val="en-GB"/>
        </w:rPr>
        <w:t xml:space="preserve">s and </w:t>
      </w:r>
      <w:r w:rsidR="00CF064A">
        <w:rPr>
          <w:lang w:val="en-GB"/>
        </w:rPr>
        <w:t>specialist</w:t>
      </w:r>
      <w:r w:rsidRPr="00C33C0B">
        <w:rPr>
          <w:lang w:val="en-GB"/>
        </w:rPr>
        <w:t xml:space="preserve">s is increasingly dissociated </w:t>
      </w:r>
      <w:r w:rsidR="001B0A0F">
        <w:rPr>
          <w:lang w:val="en-GB"/>
        </w:rPr>
        <w:t>from</w:t>
      </w:r>
      <w:r w:rsidR="001B0A0F" w:rsidRPr="00C33C0B">
        <w:rPr>
          <w:lang w:val="en-GB"/>
        </w:rPr>
        <w:t xml:space="preserve"> </w:t>
      </w:r>
      <w:r w:rsidRPr="00C33C0B">
        <w:rPr>
          <w:lang w:val="en-GB"/>
        </w:rPr>
        <w:t>modern clinical practice</w:t>
      </w:r>
      <w:r w:rsidR="00486C58">
        <w:rPr>
          <w:lang w:val="en-GB"/>
        </w:rPr>
        <w:t xml:space="preserve"> and is unclear to consumers</w:t>
      </w:r>
      <w:r w:rsidR="00CC3B74">
        <w:rPr>
          <w:lang w:val="en-GB"/>
        </w:rPr>
        <w:t>.</w:t>
      </w:r>
      <w:r w:rsidR="00F427BE">
        <w:rPr>
          <w:lang w:val="en-GB"/>
        </w:rPr>
        <w:t xml:space="preserve"> </w:t>
      </w:r>
      <w:r w:rsidR="00CC3B74">
        <w:rPr>
          <w:lang w:val="en-GB"/>
        </w:rPr>
        <w:t xml:space="preserve">The distinction is </w:t>
      </w:r>
      <w:r w:rsidR="00D661EB" w:rsidRPr="00C33C0B">
        <w:rPr>
          <w:lang w:val="en-GB"/>
        </w:rPr>
        <w:t xml:space="preserve">based on a rationale outlined </w:t>
      </w:r>
      <w:r w:rsidR="001B0A0F">
        <w:rPr>
          <w:lang w:val="en-GB"/>
        </w:rPr>
        <w:t>by</w:t>
      </w:r>
      <w:r w:rsidR="001B0A0F" w:rsidRPr="00C33C0B">
        <w:rPr>
          <w:lang w:val="en-GB"/>
        </w:rPr>
        <w:t xml:space="preserve"> </w:t>
      </w:r>
      <w:r w:rsidR="00D661EB" w:rsidRPr="00C33C0B">
        <w:rPr>
          <w:lang w:val="en-GB"/>
        </w:rPr>
        <w:t>the 1974 Medicare Tribunal</w:t>
      </w:r>
      <w:r w:rsidR="00F427BE">
        <w:t xml:space="preserve"> - </w:t>
      </w:r>
      <w:r w:rsidR="00F427BE" w:rsidRPr="00406265">
        <w:rPr>
          <w:i/>
        </w:rPr>
        <w:t xml:space="preserve">“consultant physicians require longer time periods for their consultations. The patients tend to have medical conditions which require study in depth and breadth. By comparison with the specialist group, consultant physicians undertake relatively few procedures and their practice largely consists </w:t>
      </w:r>
      <w:r w:rsidR="00F427BE">
        <w:rPr>
          <w:i/>
        </w:rPr>
        <w:t>of time consuming consultations.</w:t>
      </w:r>
      <w:r w:rsidR="00F427BE" w:rsidRPr="00406265">
        <w:rPr>
          <w:i/>
        </w:rPr>
        <w:t>”</w:t>
      </w:r>
    </w:p>
    <w:p w14:paraId="4FA7BCC3" w14:textId="77777777" w:rsidR="00854C53" w:rsidRPr="00C33C0B" w:rsidRDefault="00F427BE" w:rsidP="00607BDA">
      <w:pPr>
        <w:pStyle w:val="Bullet-green"/>
        <w:numPr>
          <w:ilvl w:val="0"/>
          <w:numId w:val="0"/>
        </w:numPr>
        <w:rPr>
          <w:lang w:val="en-GB"/>
        </w:rPr>
      </w:pPr>
      <w:r>
        <w:rPr>
          <w:lang w:val="en-GB"/>
        </w:rPr>
        <w:t>This distinction has not been</w:t>
      </w:r>
      <w:r w:rsidR="00D661EB" w:rsidRPr="00C33C0B">
        <w:rPr>
          <w:lang w:val="en-GB"/>
        </w:rPr>
        <w:t xml:space="preserve"> updated</w:t>
      </w:r>
      <w:r w:rsidR="00E33635">
        <w:rPr>
          <w:lang w:val="en-GB"/>
        </w:rPr>
        <w:t>. D</w:t>
      </w:r>
      <w:r w:rsidR="00D661EB" w:rsidRPr="00C33C0B">
        <w:rPr>
          <w:lang w:val="en-GB"/>
        </w:rPr>
        <w:t>ata from modern practice sugges</w:t>
      </w:r>
      <w:r w:rsidR="00E33635">
        <w:rPr>
          <w:lang w:val="en-GB"/>
        </w:rPr>
        <w:t>t that</w:t>
      </w:r>
      <w:r w:rsidR="00D661EB" w:rsidRPr="00C33C0B">
        <w:rPr>
          <w:lang w:val="en-GB"/>
        </w:rPr>
        <w:t xml:space="preserve"> this distinction</w:t>
      </w:r>
      <w:r w:rsidR="002F1CA9" w:rsidRPr="00C33C0B">
        <w:rPr>
          <w:lang w:val="en-GB"/>
        </w:rPr>
        <w:t xml:space="preserve"> is no longer valid for</w:t>
      </w:r>
      <w:r w:rsidR="00217DE5" w:rsidRPr="00C33C0B">
        <w:rPr>
          <w:lang w:val="en-GB"/>
        </w:rPr>
        <w:t xml:space="preserve"> many specialties (</w:t>
      </w:r>
      <w:r w:rsidR="008F56A6">
        <w:rPr>
          <w:lang w:val="en-GB"/>
        </w:rPr>
        <w:t>Ta</w:t>
      </w:r>
      <w:r w:rsidR="0001226A">
        <w:rPr>
          <w:lang w:val="en-GB"/>
        </w:rPr>
        <w:t>ble 5</w:t>
      </w:r>
      <w:r w:rsidR="00D661EB" w:rsidRPr="00C33C0B">
        <w:rPr>
          <w:lang w:val="en-GB"/>
        </w:rPr>
        <w:t>)</w:t>
      </w:r>
      <w:r w:rsidR="006F0E41" w:rsidRPr="00C33C0B">
        <w:rPr>
          <w:lang w:val="en-GB"/>
        </w:rPr>
        <w:t xml:space="preserve">. Changes in technology have resulted in some </w:t>
      </w:r>
      <w:r w:rsidR="00CF064A">
        <w:rPr>
          <w:lang w:val="en-GB"/>
        </w:rPr>
        <w:t>consultant physician</w:t>
      </w:r>
      <w:r w:rsidR="006F0E41" w:rsidRPr="00C33C0B">
        <w:rPr>
          <w:lang w:val="en-GB"/>
        </w:rPr>
        <w:t xml:space="preserve">s undertaking many </w:t>
      </w:r>
      <w:r w:rsidR="00503A52" w:rsidRPr="00C33C0B">
        <w:rPr>
          <w:lang w:val="en-GB"/>
        </w:rPr>
        <w:t xml:space="preserve">more procedures, </w:t>
      </w:r>
      <w:r w:rsidR="006F0E41" w:rsidRPr="00C33C0B">
        <w:rPr>
          <w:lang w:val="en-GB"/>
        </w:rPr>
        <w:t>as evidenced by the number of new items listed in recent years</w:t>
      </w:r>
      <w:r w:rsidR="004308B0">
        <w:rPr>
          <w:lang w:val="en-GB"/>
        </w:rPr>
        <w:t>.</w:t>
      </w:r>
      <w:r>
        <w:rPr>
          <w:lang w:val="en-GB"/>
        </w:rPr>
        <w:t xml:space="preserve"> </w:t>
      </w:r>
      <w:r>
        <w:rPr>
          <w:lang w:val="en-US"/>
        </w:rPr>
        <w:t>For example, transcatheter aortic valve implantation (TAVI), left atrial appendage closure and implantable loop recorder items for cardiologists.</w:t>
      </w:r>
    </w:p>
    <w:p w14:paraId="71015430" w14:textId="77777777" w:rsidR="00854C53" w:rsidRPr="00C33C0B" w:rsidRDefault="00326040" w:rsidP="00607BDA">
      <w:pPr>
        <w:pStyle w:val="Bullet-green"/>
        <w:numPr>
          <w:ilvl w:val="0"/>
          <w:numId w:val="0"/>
        </w:numPr>
        <w:rPr>
          <w:lang w:val="en-GB"/>
        </w:rPr>
      </w:pPr>
      <w:r>
        <w:rPr>
          <w:lang w:val="en-GB"/>
        </w:rPr>
        <w:t>The distinction d</w:t>
      </w:r>
      <w:r w:rsidR="00861893" w:rsidRPr="00C33C0B">
        <w:rPr>
          <w:lang w:val="en-GB"/>
        </w:rPr>
        <w:t xml:space="preserve">ecreases consumer access to </w:t>
      </w:r>
      <w:r w:rsidR="00CF064A">
        <w:rPr>
          <w:lang w:val="en-GB"/>
        </w:rPr>
        <w:t>specialist</w:t>
      </w:r>
      <w:r w:rsidR="00861893" w:rsidRPr="00C33C0B">
        <w:rPr>
          <w:lang w:val="en-GB"/>
        </w:rPr>
        <w:t xml:space="preserve">s </w:t>
      </w:r>
      <w:r w:rsidR="004923D8">
        <w:rPr>
          <w:lang w:val="en-GB"/>
        </w:rPr>
        <w:t>who</w:t>
      </w:r>
      <w:r w:rsidR="004923D8" w:rsidRPr="00C33C0B">
        <w:rPr>
          <w:lang w:val="en-GB"/>
        </w:rPr>
        <w:t xml:space="preserve"> </w:t>
      </w:r>
      <w:r w:rsidR="00861893" w:rsidRPr="00C33C0B">
        <w:rPr>
          <w:lang w:val="en-GB"/>
        </w:rPr>
        <w:t xml:space="preserve">are highly consultative </w:t>
      </w:r>
      <w:r w:rsidR="001B0A0F">
        <w:rPr>
          <w:lang w:val="en-GB"/>
        </w:rPr>
        <w:t>(i</w:t>
      </w:r>
      <w:r w:rsidR="00F427BE">
        <w:rPr>
          <w:lang w:val="en-GB"/>
        </w:rPr>
        <w:t>.</w:t>
      </w:r>
      <w:r w:rsidR="001B0A0F">
        <w:rPr>
          <w:lang w:val="en-GB"/>
        </w:rPr>
        <w:t>e</w:t>
      </w:r>
      <w:r w:rsidR="00F427BE">
        <w:rPr>
          <w:lang w:val="en-GB"/>
        </w:rPr>
        <w:t>.</w:t>
      </w:r>
      <w:r w:rsidR="001B0A0F">
        <w:rPr>
          <w:lang w:val="en-GB"/>
        </w:rPr>
        <w:t xml:space="preserve"> relatively less procedural) </w:t>
      </w:r>
      <w:r w:rsidR="00861893" w:rsidRPr="00C33C0B">
        <w:rPr>
          <w:lang w:val="en-GB"/>
        </w:rPr>
        <w:t xml:space="preserve">and </w:t>
      </w:r>
      <w:r w:rsidR="00C157FC" w:rsidRPr="00C33C0B">
        <w:rPr>
          <w:lang w:val="en-GB"/>
        </w:rPr>
        <w:t xml:space="preserve">so </w:t>
      </w:r>
      <w:r w:rsidR="00A76743" w:rsidRPr="00C33C0B">
        <w:rPr>
          <w:lang w:val="en-GB"/>
        </w:rPr>
        <w:t xml:space="preserve">charge </w:t>
      </w:r>
      <w:r w:rsidR="005C0D6B" w:rsidRPr="00C33C0B">
        <w:rPr>
          <w:lang w:val="en-GB"/>
        </w:rPr>
        <w:t xml:space="preserve">a </w:t>
      </w:r>
      <w:r w:rsidR="00A76743" w:rsidRPr="00C33C0B">
        <w:rPr>
          <w:lang w:val="en-GB"/>
        </w:rPr>
        <w:t>higher patient contribution</w:t>
      </w:r>
      <w:r w:rsidR="0001226A">
        <w:rPr>
          <w:lang w:val="en-GB"/>
        </w:rPr>
        <w:t xml:space="preserve"> (Figure 3</w:t>
      </w:r>
      <w:r w:rsidR="00CE1B22">
        <w:rPr>
          <w:lang w:val="en-GB"/>
        </w:rPr>
        <w:t>).</w:t>
      </w:r>
      <w:r w:rsidR="00632883">
        <w:rPr>
          <w:lang w:val="en-GB"/>
        </w:rPr>
        <w:t xml:space="preserve"> For example, </w:t>
      </w:r>
      <w:r w:rsidR="00632883">
        <w:t>p</w:t>
      </w:r>
      <w:r w:rsidR="00632883" w:rsidRPr="00C157FC">
        <w:t xml:space="preserve">rolonged review consultations </w:t>
      </w:r>
      <w:r w:rsidR="00632883">
        <w:t xml:space="preserve">for sports and exercise physicians receive a lower schedule fee </w:t>
      </w:r>
      <w:r w:rsidR="00632883" w:rsidRPr="00C157FC">
        <w:t xml:space="preserve">than </w:t>
      </w:r>
      <w:r w:rsidR="00632883">
        <w:t>consultations with professionals</w:t>
      </w:r>
      <w:r w:rsidR="00632883" w:rsidRPr="00C157FC">
        <w:t xml:space="preserve"> with no specialist medical training </w:t>
      </w:r>
      <w:r w:rsidR="00632883">
        <w:t xml:space="preserve">(for example, </w:t>
      </w:r>
      <w:r w:rsidR="00632883" w:rsidRPr="00C157FC">
        <w:t>chiropractor</w:t>
      </w:r>
      <w:r w:rsidR="00632883">
        <w:t>s).</w:t>
      </w:r>
      <w:r w:rsidR="00A76743" w:rsidRPr="00C33C0B">
        <w:rPr>
          <w:lang w:val="en-GB"/>
        </w:rPr>
        <w:t xml:space="preserve"> </w:t>
      </w:r>
    </w:p>
    <w:p w14:paraId="5B079CFD" w14:textId="77777777" w:rsidR="00D661EB" w:rsidRPr="00C33C0B" w:rsidRDefault="00D661EB" w:rsidP="00607BDA">
      <w:pPr>
        <w:pStyle w:val="Bullet-green"/>
        <w:numPr>
          <w:ilvl w:val="0"/>
          <w:numId w:val="0"/>
        </w:numPr>
        <w:rPr>
          <w:lang w:val="en-GB"/>
        </w:rPr>
      </w:pPr>
      <w:r w:rsidRPr="00C33C0B">
        <w:rPr>
          <w:lang w:val="en-GB"/>
        </w:rPr>
        <w:t>Standard attendance it</w:t>
      </w:r>
      <w:r w:rsidR="00F80841" w:rsidRPr="00C33C0B">
        <w:rPr>
          <w:lang w:val="en-GB"/>
        </w:rPr>
        <w:t xml:space="preserve">ems have evolved into a complex, </w:t>
      </w:r>
      <w:r w:rsidR="00143F1F" w:rsidRPr="00C33C0B">
        <w:rPr>
          <w:lang w:val="en-GB"/>
        </w:rPr>
        <w:t>disjointed</w:t>
      </w:r>
      <w:r w:rsidR="00F80841" w:rsidRPr="00C33C0B">
        <w:rPr>
          <w:lang w:val="en-GB"/>
        </w:rPr>
        <w:t xml:space="preserve"> </w:t>
      </w:r>
      <w:r w:rsidRPr="00C33C0B">
        <w:rPr>
          <w:lang w:val="en-GB"/>
        </w:rPr>
        <w:t xml:space="preserve">schedule </w:t>
      </w:r>
      <w:r w:rsidR="00CC4730" w:rsidRPr="00C33C0B">
        <w:rPr>
          <w:lang w:val="en-GB"/>
        </w:rPr>
        <w:t>that</w:t>
      </w:r>
      <w:r w:rsidR="00F80841" w:rsidRPr="00C33C0B">
        <w:rPr>
          <w:lang w:val="en-GB"/>
        </w:rPr>
        <w:t xml:space="preserve"> lacks </w:t>
      </w:r>
      <w:r w:rsidRPr="00C33C0B">
        <w:rPr>
          <w:lang w:val="en-GB"/>
        </w:rPr>
        <w:t>transparency</w:t>
      </w:r>
      <w:r w:rsidR="001B0A0F">
        <w:rPr>
          <w:lang w:val="en-GB"/>
        </w:rPr>
        <w:t xml:space="preserve"> or clarity</w:t>
      </w:r>
      <w:r w:rsidRPr="00C33C0B">
        <w:rPr>
          <w:lang w:val="en-GB"/>
        </w:rPr>
        <w:t xml:space="preserve"> for consumers</w:t>
      </w:r>
      <w:r w:rsidR="000F038B" w:rsidRPr="00C33C0B">
        <w:rPr>
          <w:lang w:val="en-GB"/>
        </w:rPr>
        <w:t xml:space="preserve"> and </w:t>
      </w:r>
      <w:r w:rsidR="002C1916">
        <w:rPr>
          <w:lang w:val="en-GB"/>
        </w:rPr>
        <w:t>contains</w:t>
      </w:r>
      <w:r w:rsidR="002C1916" w:rsidRPr="00C33C0B">
        <w:rPr>
          <w:lang w:val="en-GB"/>
        </w:rPr>
        <w:t xml:space="preserve"> </w:t>
      </w:r>
      <w:r w:rsidR="00CC4730" w:rsidRPr="00C33C0B">
        <w:rPr>
          <w:lang w:val="en-GB"/>
        </w:rPr>
        <w:t xml:space="preserve">duplicative items </w:t>
      </w:r>
      <w:r w:rsidR="000F038B" w:rsidRPr="00C33C0B">
        <w:rPr>
          <w:lang w:val="en-GB"/>
        </w:rPr>
        <w:t>for doctors</w:t>
      </w:r>
      <w:r w:rsidR="00407A3F">
        <w:rPr>
          <w:lang w:val="en-GB"/>
        </w:rPr>
        <w:t>.</w:t>
      </w:r>
    </w:p>
    <w:p w14:paraId="4E1E70F3" w14:textId="77777777" w:rsidR="00802508" w:rsidRPr="00802508" w:rsidRDefault="00802508" w:rsidP="00607BDA">
      <w:pPr>
        <w:pStyle w:val="Bullet-green"/>
        <w:numPr>
          <w:ilvl w:val="0"/>
          <w:numId w:val="0"/>
        </w:numPr>
        <w:rPr>
          <w:lang w:val="en-GB"/>
        </w:rPr>
      </w:pPr>
      <w:r w:rsidRPr="00802508">
        <w:rPr>
          <w:lang w:val="en-GB"/>
        </w:rPr>
        <w:t>There is a lack of transparency in what consumers are paying for, and there is not a clear rati</w:t>
      </w:r>
      <w:r>
        <w:rPr>
          <w:lang w:val="en-GB"/>
        </w:rPr>
        <w:t xml:space="preserve">onale to explain </w:t>
      </w:r>
      <w:r w:rsidR="001B0A0F">
        <w:rPr>
          <w:lang w:val="en-GB"/>
        </w:rPr>
        <w:t xml:space="preserve">to consumers </w:t>
      </w:r>
      <w:r w:rsidRPr="00802508">
        <w:rPr>
          <w:lang w:val="en-GB"/>
        </w:rPr>
        <w:t xml:space="preserve">why there are different rebates for services </w:t>
      </w:r>
      <w:r w:rsidR="001B0A0F">
        <w:rPr>
          <w:lang w:val="en-GB"/>
        </w:rPr>
        <w:t>that appear</w:t>
      </w:r>
      <w:r w:rsidRPr="00802508">
        <w:rPr>
          <w:lang w:val="en-GB"/>
        </w:rPr>
        <w:t xml:space="preserve"> to be the same or similar in nature and value to them</w:t>
      </w:r>
      <w:r w:rsidR="0001226A">
        <w:rPr>
          <w:lang w:val="en-GB"/>
        </w:rPr>
        <w:t xml:space="preserve"> (Figure 4</w:t>
      </w:r>
      <w:r w:rsidR="00C17B92">
        <w:rPr>
          <w:lang w:val="en-GB"/>
        </w:rPr>
        <w:t>)</w:t>
      </w:r>
      <w:r w:rsidRPr="00802508">
        <w:rPr>
          <w:lang w:val="en-GB"/>
        </w:rPr>
        <w:t>.</w:t>
      </w:r>
    </w:p>
    <w:p w14:paraId="00DFE85B" w14:textId="77777777" w:rsidR="00802508" w:rsidRDefault="00961FAE" w:rsidP="00607BDA">
      <w:pPr>
        <w:pStyle w:val="Bullet-green"/>
        <w:numPr>
          <w:ilvl w:val="0"/>
          <w:numId w:val="0"/>
        </w:numPr>
        <w:rPr>
          <w:lang w:val="en-GB"/>
        </w:rPr>
      </w:pPr>
      <w:r w:rsidRPr="00C33C0B">
        <w:rPr>
          <w:lang w:val="en-GB"/>
        </w:rPr>
        <w:t>New items have been generated for certain specialties (</w:t>
      </w:r>
      <w:r w:rsidR="00091C81">
        <w:rPr>
          <w:lang w:val="en-GB"/>
        </w:rPr>
        <w:t>for example,</w:t>
      </w:r>
      <w:r w:rsidRPr="00C33C0B">
        <w:rPr>
          <w:lang w:val="en-GB"/>
        </w:rPr>
        <w:t xml:space="preserve"> pain medicine and palliative medicine attendance items) </w:t>
      </w:r>
      <w:r w:rsidR="00603D51">
        <w:rPr>
          <w:lang w:val="en-GB"/>
        </w:rPr>
        <w:t>because</w:t>
      </w:r>
      <w:r w:rsidR="00603D51" w:rsidRPr="00C33C0B">
        <w:rPr>
          <w:lang w:val="en-GB"/>
        </w:rPr>
        <w:t xml:space="preserve"> </w:t>
      </w:r>
      <w:r w:rsidR="00143F1F" w:rsidRPr="00C33C0B">
        <w:rPr>
          <w:lang w:val="en-GB"/>
        </w:rPr>
        <w:t>l</w:t>
      </w:r>
      <w:r w:rsidR="00786207" w:rsidRPr="00C33C0B">
        <w:rPr>
          <w:lang w:val="en-GB"/>
        </w:rPr>
        <w:t xml:space="preserve">egislation prevents </w:t>
      </w:r>
      <w:r w:rsidR="00A659FB">
        <w:rPr>
          <w:lang w:val="en-GB"/>
        </w:rPr>
        <w:t>s</w:t>
      </w:r>
      <w:r w:rsidR="00097FF5" w:rsidRPr="00C33C0B">
        <w:rPr>
          <w:lang w:val="en-GB"/>
        </w:rPr>
        <w:t>pecial</w:t>
      </w:r>
      <w:r w:rsidR="00B72324" w:rsidRPr="00C33C0B">
        <w:rPr>
          <w:lang w:val="en-GB"/>
        </w:rPr>
        <w:t xml:space="preserve">ists from billing Group A4 </w:t>
      </w:r>
      <w:r w:rsidR="00407A3F">
        <w:rPr>
          <w:lang w:val="en-GB"/>
        </w:rPr>
        <w:t>c</w:t>
      </w:r>
      <w:r w:rsidR="00B72324" w:rsidRPr="00C33C0B">
        <w:rPr>
          <w:lang w:val="en-GB"/>
        </w:rPr>
        <w:t xml:space="preserve">onsultant </w:t>
      </w:r>
      <w:r w:rsidR="00407A3F">
        <w:rPr>
          <w:lang w:val="en-GB"/>
        </w:rPr>
        <w:t>p</w:t>
      </w:r>
      <w:r w:rsidR="00097FF5" w:rsidRPr="00C33C0B">
        <w:rPr>
          <w:lang w:val="en-GB"/>
        </w:rPr>
        <w:t>hysician attendance items</w:t>
      </w:r>
      <w:r w:rsidR="007F2F48">
        <w:rPr>
          <w:lang w:val="en-GB"/>
        </w:rPr>
        <w:t>.</w:t>
      </w:r>
    </w:p>
    <w:p w14:paraId="28E1A8E0" w14:textId="77777777" w:rsidR="005C59EC" w:rsidRPr="00802508" w:rsidRDefault="00802508" w:rsidP="00607BDA">
      <w:pPr>
        <w:pStyle w:val="Bullet-green"/>
        <w:numPr>
          <w:ilvl w:val="0"/>
          <w:numId w:val="0"/>
        </w:numPr>
        <w:rPr>
          <w:lang w:val="en-GB"/>
        </w:rPr>
      </w:pPr>
      <w:r w:rsidRPr="00802508">
        <w:rPr>
          <w:lang w:val="en-GB"/>
        </w:rPr>
        <w:t xml:space="preserve">Diagnostics are currently claimed at the same time as attendances, creating a financial incentive to perform more diagnostics as doing so generates additional payment within the same time </w:t>
      </w:r>
      <w:r w:rsidR="001B0A0F" w:rsidRPr="00802508">
        <w:rPr>
          <w:lang w:val="en-GB"/>
        </w:rPr>
        <w:t>period.</w:t>
      </w:r>
    </w:p>
    <w:p w14:paraId="68314BDA" w14:textId="48024D5B" w:rsidR="00DE5F82" w:rsidRPr="00F30EE1" w:rsidRDefault="00EB4527" w:rsidP="00EB4527">
      <w:pPr>
        <w:pStyle w:val="Caption"/>
      </w:pPr>
      <w:bookmarkStart w:id="115" w:name="_Toc529028437"/>
      <w:r>
        <w:t xml:space="preserve">Figure </w:t>
      </w:r>
      <w:fldSimple w:instr=" SEQ Figure \* ARABIC ">
        <w:r w:rsidR="00832059">
          <w:rPr>
            <w:noProof/>
          </w:rPr>
          <w:t>3</w:t>
        </w:r>
      </w:fldSimple>
      <w:r w:rsidR="00EB71CD" w:rsidRPr="00F30EE1">
        <w:t xml:space="preserve">: </w:t>
      </w:r>
      <w:r w:rsidR="00EF52C8" w:rsidRPr="00F30EE1">
        <w:t xml:space="preserve">Percentage MBS income from </w:t>
      </w:r>
      <w:r w:rsidR="00E018C5" w:rsidRPr="00F30EE1">
        <w:t>s</w:t>
      </w:r>
      <w:r w:rsidR="00EF52C8" w:rsidRPr="00F30EE1">
        <w:t xml:space="preserve">tandard </w:t>
      </w:r>
      <w:r w:rsidR="00E018C5" w:rsidRPr="00F30EE1">
        <w:t>a</w:t>
      </w:r>
      <w:r w:rsidR="00EF52C8" w:rsidRPr="00F30EE1">
        <w:t xml:space="preserve">ttendance </w:t>
      </w:r>
      <w:r w:rsidR="00E018C5" w:rsidRPr="00F30EE1">
        <w:t>i</w:t>
      </w:r>
      <w:r w:rsidR="00EF52C8" w:rsidRPr="00F30EE1">
        <w:t>tems</w:t>
      </w:r>
      <w:r w:rsidR="00E018C5" w:rsidRPr="00F30EE1">
        <w:t>, c</w:t>
      </w:r>
      <w:r w:rsidR="003E21C5" w:rsidRPr="00F30EE1">
        <w:t xml:space="preserve">onsultant </w:t>
      </w:r>
      <w:r w:rsidR="00E018C5" w:rsidRPr="00F30EE1">
        <w:t>p</w:t>
      </w:r>
      <w:r w:rsidR="003E21C5" w:rsidRPr="00F30EE1">
        <w:t>hysicians v</w:t>
      </w:r>
      <w:r w:rsidR="00E04C14" w:rsidRPr="00F30EE1">
        <w:t>ersus</w:t>
      </w:r>
      <w:r w:rsidR="006814F7" w:rsidRPr="00F30EE1">
        <w:t xml:space="preserve"> </w:t>
      </w:r>
      <w:r w:rsidR="00E018C5" w:rsidRPr="00F30EE1">
        <w:t>s</w:t>
      </w:r>
      <w:r w:rsidR="006814F7" w:rsidRPr="00F30EE1">
        <w:t>pecialists (</w:t>
      </w:r>
      <w:r w:rsidR="00BB7286" w:rsidRPr="00F30EE1">
        <w:t>%</w:t>
      </w:r>
      <w:r w:rsidR="006814F7" w:rsidRPr="00F30EE1">
        <w:t>)</w:t>
      </w:r>
      <w:bookmarkEnd w:id="115"/>
    </w:p>
    <w:p w14:paraId="78A8C16E" w14:textId="09BF002C" w:rsidR="00D67045" w:rsidRPr="00D67045" w:rsidRDefault="00D67045" w:rsidP="00D67045">
      <w:r w:rsidRPr="00EC679E">
        <w:rPr>
          <w:noProof/>
          <w:lang w:val="en-US" w:eastAsia="en-US"/>
        </w:rPr>
        <w:drawing>
          <wp:inline distT="0" distB="0" distL="0" distR="0" wp14:anchorId="7F763BDF" wp14:editId="495F18E8">
            <wp:extent cx="5276850" cy="3962400"/>
            <wp:effectExtent l="0" t="0" r="0" b="0"/>
            <wp:docPr id="18" name="Picture 18" descr="Figure 3: Percentage MBS income from standard attendance items, consultant physicians versus special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noFill/>
                    </a:ln>
                  </pic:spPr>
                </pic:pic>
              </a:graphicData>
            </a:graphic>
          </wp:inline>
        </w:drawing>
      </w:r>
    </w:p>
    <w:p w14:paraId="57921CE3" w14:textId="1C66E8E4" w:rsidR="00272419" w:rsidRPr="00F30EE1" w:rsidRDefault="00EB4527" w:rsidP="00EB4527">
      <w:pPr>
        <w:pStyle w:val="Caption"/>
      </w:pPr>
      <w:bookmarkStart w:id="116" w:name="ExhibitNum"/>
      <w:bookmarkStart w:id="117" w:name="_Toc529028438"/>
      <w:bookmarkEnd w:id="116"/>
      <w:r>
        <w:t xml:space="preserve">Figure </w:t>
      </w:r>
      <w:fldSimple w:instr=" SEQ Figure \* ARABIC ">
        <w:r w:rsidR="00832059">
          <w:rPr>
            <w:noProof/>
          </w:rPr>
          <w:t>4</w:t>
        </w:r>
      </w:fldSimple>
      <w:r w:rsidR="00272419" w:rsidRPr="00F30EE1">
        <w:t>: Average patient out-of-pocket cost for an initial attendance, consultant physicians versus specialists ($)</w:t>
      </w:r>
      <w:bookmarkEnd w:id="117"/>
    </w:p>
    <w:p w14:paraId="6EB9E50B" w14:textId="22F4B06C" w:rsidR="00D67045" w:rsidRPr="00D67045" w:rsidRDefault="00D67045" w:rsidP="00D67045">
      <w:r w:rsidRPr="00EC679E">
        <w:rPr>
          <w:noProof/>
          <w:lang w:val="en-US" w:eastAsia="en-US"/>
        </w:rPr>
        <w:drawing>
          <wp:inline distT="0" distB="0" distL="0" distR="0" wp14:anchorId="2020D7E2" wp14:editId="3D6E2D60">
            <wp:extent cx="5276850" cy="3962400"/>
            <wp:effectExtent l="0" t="0" r="0" b="0"/>
            <wp:docPr id="24" name="Picture 24" descr="Figure 4: Average patient out-of-pocket cost for an initial attendance, consultant physicians versus special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noFill/>
                    </a:ln>
                  </pic:spPr>
                </pic:pic>
              </a:graphicData>
            </a:graphic>
          </wp:inline>
        </w:drawing>
      </w:r>
    </w:p>
    <w:p w14:paraId="11F28CC2" w14:textId="77777777" w:rsidR="009E1838" w:rsidRDefault="00DE449F" w:rsidP="00BF2C12">
      <w:pPr>
        <w:pStyle w:val="Heading2"/>
        <w:spacing w:before="360"/>
        <w:ind w:left="578" w:hanging="578"/>
      </w:pPr>
      <w:bookmarkStart w:id="118" w:name="_Toc67952208"/>
      <w:r>
        <w:t>Guiding p</w:t>
      </w:r>
      <w:r w:rsidR="009E1838">
        <w:t>rinciples for standard attendance items in the MBS</w:t>
      </w:r>
      <w:bookmarkEnd w:id="118"/>
    </w:p>
    <w:p w14:paraId="210E9F42" w14:textId="77777777" w:rsidR="00D661EB" w:rsidRPr="00F30EE1" w:rsidRDefault="005C3E0A" w:rsidP="00F30EE1">
      <w:r w:rsidRPr="00F30EE1">
        <w:t>To assist the Committee in assessing an improved and best practice approach to standard attendance, t</w:t>
      </w:r>
      <w:r w:rsidR="00D661EB" w:rsidRPr="00F30EE1">
        <w:t>he Committee defined the following principles</w:t>
      </w:r>
      <w:r w:rsidRPr="00F30EE1">
        <w:t>:</w:t>
      </w:r>
    </w:p>
    <w:p w14:paraId="490063F8" w14:textId="77777777" w:rsidR="00427683" w:rsidRPr="00C33C0B" w:rsidRDefault="00167A0E" w:rsidP="000831A1">
      <w:pPr>
        <w:pStyle w:val="Numbering"/>
        <w:numPr>
          <w:ilvl w:val="0"/>
          <w:numId w:val="72"/>
        </w:numPr>
      </w:pPr>
      <w:bookmarkStart w:id="119" w:name="_Hlk523831684"/>
      <w:bookmarkStart w:id="120" w:name="_Hlk524087175"/>
      <w:r w:rsidRPr="00C33C0B">
        <w:t xml:space="preserve">Attendance </w:t>
      </w:r>
      <w:r w:rsidR="00AB28F3">
        <w:t xml:space="preserve">schedule fees </w:t>
      </w:r>
      <w:r w:rsidRPr="00C33C0B">
        <w:t xml:space="preserve">should be the same per unit of time for all </w:t>
      </w:r>
      <w:r w:rsidR="00477917">
        <w:t xml:space="preserve">in scope </w:t>
      </w:r>
      <w:r w:rsidR="00AA329D">
        <w:t>consultant specialist</w:t>
      </w:r>
      <w:r w:rsidRPr="00C33C0B">
        <w:t>s</w:t>
      </w:r>
      <w:r w:rsidR="005E0AD2">
        <w:t>,</w:t>
      </w:r>
      <w:r w:rsidRPr="00C33C0B">
        <w:t xml:space="preserve"> regardless of </w:t>
      </w:r>
      <w:r w:rsidR="00B045B8">
        <w:t>specialty</w:t>
      </w:r>
      <w:r w:rsidR="005C3E0A">
        <w:t>.</w:t>
      </w:r>
    </w:p>
    <w:bookmarkEnd w:id="119"/>
    <w:p w14:paraId="2F07F564" w14:textId="77777777" w:rsidR="005E2F0D" w:rsidRPr="00C33C0B" w:rsidRDefault="005E2F0D" w:rsidP="000831A1">
      <w:pPr>
        <w:pStyle w:val="Numbering"/>
        <w:numPr>
          <w:ilvl w:val="0"/>
          <w:numId w:val="72"/>
        </w:numPr>
      </w:pPr>
      <w:r w:rsidRPr="00C33C0B">
        <w:t xml:space="preserve">All </w:t>
      </w:r>
      <w:r w:rsidR="008C78CE">
        <w:t>consultant specialists</w:t>
      </w:r>
      <w:r w:rsidRPr="00C33C0B">
        <w:t xml:space="preserve"> should have access to the same standard attendance items</w:t>
      </w:r>
      <w:r w:rsidR="003E30FE">
        <w:t>.</w:t>
      </w:r>
    </w:p>
    <w:p w14:paraId="5F5DBE11" w14:textId="77777777" w:rsidR="001B62CC" w:rsidRPr="00C33C0B" w:rsidRDefault="00737E7E" w:rsidP="000831A1">
      <w:pPr>
        <w:pStyle w:val="Numbering"/>
        <w:numPr>
          <w:ilvl w:val="0"/>
          <w:numId w:val="72"/>
        </w:numPr>
      </w:pPr>
      <w:bookmarkStart w:id="121" w:name="_Hlk524087246"/>
      <w:r>
        <w:t xml:space="preserve">Time is a partial </w:t>
      </w:r>
      <w:r w:rsidR="00D9608F">
        <w:t>indicator</w:t>
      </w:r>
      <w:r w:rsidR="001B62CC" w:rsidRPr="00C33C0B">
        <w:t xml:space="preserve"> for the depth of care delivered in an attendance</w:t>
      </w:r>
      <w:r w:rsidR="00C13B43">
        <w:t>.</w:t>
      </w:r>
    </w:p>
    <w:bookmarkEnd w:id="121"/>
    <w:p w14:paraId="2A51699E" w14:textId="77777777" w:rsidR="003E6A42" w:rsidRPr="00C33C0B" w:rsidRDefault="003E6A42" w:rsidP="000831A1">
      <w:pPr>
        <w:pStyle w:val="Numbering"/>
        <w:numPr>
          <w:ilvl w:val="0"/>
          <w:numId w:val="72"/>
        </w:numPr>
      </w:pPr>
      <w:r w:rsidRPr="00C33C0B">
        <w:t xml:space="preserve">Standard attendance item descriptors should reflect both the </w:t>
      </w:r>
      <w:r w:rsidR="00117B4E">
        <w:t>duration of an</w:t>
      </w:r>
      <w:r w:rsidRPr="00C33C0B">
        <w:t xml:space="preserve"> attendance and the complexity of that attendance</w:t>
      </w:r>
      <w:r w:rsidR="00117B4E">
        <w:t>.</w:t>
      </w:r>
    </w:p>
    <w:p w14:paraId="104DAB44" w14:textId="77777777" w:rsidR="00D661EB" w:rsidRPr="00C33C0B" w:rsidRDefault="00D661EB" w:rsidP="000831A1">
      <w:pPr>
        <w:pStyle w:val="Numbering"/>
        <w:numPr>
          <w:ilvl w:val="0"/>
          <w:numId w:val="72"/>
        </w:numPr>
      </w:pPr>
      <w:r w:rsidRPr="00C33C0B">
        <w:t xml:space="preserve">The complexity of an attendance </w:t>
      </w:r>
      <w:r w:rsidR="00915033" w:rsidRPr="00C33C0B">
        <w:t xml:space="preserve">reflects </w:t>
      </w:r>
      <w:r w:rsidRPr="00C33C0B">
        <w:t xml:space="preserve">the specific activities performed and </w:t>
      </w:r>
      <w:r w:rsidR="00477917">
        <w:t xml:space="preserve">the impact of </w:t>
      </w:r>
      <w:r w:rsidRPr="00C33C0B">
        <w:t xml:space="preserve">specific patient </w:t>
      </w:r>
      <w:r w:rsidR="00477917">
        <w:t>interaction factors on the attendance</w:t>
      </w:r>
      <w:r w:rsidR="006E7B93">
        <w:t>.</w:t>
      </w:r>
    </w:p>
    <w:p w14:paraId="0EB01384" w14:textId="77777777" w:rsidR="00D661EB" w:rsidRPr="00C33C0B" w:rsidRDefault="006E7B93" w:rsidP="000831A1">
      <w:pPr>
        <w:pStyle w:val="Numbering"/>
        <w:numPr>
          <w:ilvl w:val="0"/>
          <w:numId w:val="72"/>
        </w:numPr>
      </w:pPr>
      <w:r>
        <w:t>Total</w:t>
      </w:r>
      <w:r w:rsidR="00D661EB" w:rsidRPr="00C33C0B">
        <w:t xml:space="preserve"> attendance time should </w:t>
      </w:r>
      <w:r w:rsidR="0089050A">
        <w:t>be</w:t>
      </w:r>
      <w:r w:rsidR="00ED54F0">
        <w:t xml:space="preserve"> determined</w:t>
      </w:r>
      <w:r w:rsidR="0089050A">
        <w:t xml:space="preserve"> based on</w:t>
      </w:r>
      <w:r w:rsidR="0089050A" w:rsidRPr="00C33C0B">
        <w:t xml:space="preserve"> </w:t>
      </w:r>
      <w:r w:rsidR="00D661EB" w:rsidRPr="00C33C0B">
        <w:t>the</w:t>
      </w:r>
      <w:r w:rsidR="00D61717">
        <w:t xml:space="preserve"> amount of time spent by the</w:t>
      </w:r>
      <w:r w:rsidR="00D661EB" w:rsidRPr="00C33C0B">
        <w:t xml:space="preserve"> </w:t>
      </w:r>
      <w:r w:rsidR="00AA329D">
        <w:t>consultant specialist</w:t>
      </w:r>
      <w:r w:rsidR="00D661EB" w:rsidRPr="00C33C0B">
        <w:t xml:space="preserve"> and</w:t>
      </w:r>
      <w:r w:rsidR="0089050A">
        <w:t xml:space="preserve"> should</w:t>
      </w:r>
      <w:r w:rsidR="00D661EB" w:rsidRPr="00C33C0B">
        <w:t xml:space="preserve"> not be delegated to other health professionals</w:t>
      </w:r>
      <w:r w:rsidR="000823C5">
        <w:t>.</w:t>
      </w:r>
      <w:r w:rsidR="00D661EB" w:rsidRPr="00C33C0B">
        <w:t xml:space="preserve"> </w:t>
      </w:r>
    </w:p>
    <w:p w14:paraId="13E97131" w14:textId="77777777" w:rsidR="00D661EB" w:rsidRPr="00C33C0B" w:rsidRDefault="000823C5" w:rsidP="000831A1">
      <w:pPr>
        <w:pStyle w:val="Numbering"/>
        <w:numPr>
          <w:ilvl w:val="0"/>
          <w:numId w:val="72"/>
        </w:numPr>
      </w:pPr>
      <w:r>
        <w:t>Total</w:t>
      </w:r>
      <w:r w:rsidR="00D661EB" w:rsidRPr="00C33C0B">
        <w:t xml:space="preserve"> attendance time should not include time spent on a procedure or </w:t>
      </w:r>
      <w:r w:rsidR="00321A5A">
        <w:t xml:space="preserve">a </w:t>
      </w:r>
      <w:r w:rsidR="00D661EB" w:rsidRPr="00C33C0B">
        <w:t>diagnostic test; these activities sho</w:t>
      </w:r>
      <w:r w:rsidR="001A6C49" w:rsidRPr="00C33C0B">
        <w:t>uld be accounted for separately</w:t>
      </w:r>
      <w:r w:rsidR="001544CD">
        <w:t>.</w:t>
      </w:r>
    </w:p>
    <w:p w14:paraId="7DA82E27" w14:textId="77777777" w:rsidR="001B05B0" w:rsidRPr="00C33C0B" w:rsidRDefault="00746EBF" w:rsidP="000831A1">
      <w:pPr>
        <w:pStyle w:val="Numbering"/>
        <w:numPr>
          <w:ilvl w:val="0"/>
          <w:numId w:val="72"/>
        </w:numPr>
      </w:pPr>
      <w:r>
        <w:t>Total</w:t>
      </w:r>
      <w:r w:rsidR="001B05B0" w:rsidRPr="00C33C0B">
        <w:t xml:space="preserve"> attendance time should not include non-patient</w:t>
      </w:r>
      <w:r w:rsidR="00B213E7">
        <w:t>-</w:t>
      </w:r>
      <w:r w:rsidR="001B05B0" w:rsidRPr="00C33C0B">
        <w:t>facing time</w:t>
      </w:r>
      <w:r w:rsidR="00B213E7">
        <w:t>.</w:t>
      </w:r>
    </w:p>
    <w:p w14:paraId="37FF87B4" w14:textId="77777777" w:rsidR="005E2710" w:rsidRDefault="00D661EB" w:rsidP="000831A1">
      <w:pPr>
        <w:pStyle w:val="Numbering"/>
        <w:numPr>
          <w:ilvl w:val="0"/>
          <w:numId w:val="72"/>
        </w:numPr>
      </w:pPr>
      <w:r w:rsidRPr="00C33C0B">
        <w:t xml:space="preserve">The </w:t>
      </w:r>
      <w:r w:rsidR="00AB28F3">
        <w:t>schedule fee</w:t>
      </w:r>
      <w:r w:rsidRPr="00C33C0B">
        <w:t xml:space="preserve"> structure for attendance items should </w:t>
      </w:r>
      <w:r w:rsidR="009D26D2">
        <w:t>reflect</w:t>
      </w:r>
      <w:r w:rsidR="009D26D2" w:rsidRPr="00C33C0B">
        <w:t xml:space="preserve"> </w:t>
      </w:r>
      <w:r w:rsidRPr="00C33C0B">
        <w:t>appropriate clinical practi</w:t>
      </w:r>
      <w:r w:rsidR="009D26D2">
        <w:t>s</w:t>
      </w:r>
      <w:r w:rsidRPr="00C33C0B">
        <w:t>e</w:t>
      </w:r>
      <w:r w:rsidR="006A55FB">
        <w:t>.</w:t>
      </w:r>
      <w:r w:rsidRPr="00C33C0B">
        <w:t xml:space="preserve"> </w:t>
      </w:r>
    </w:p>
    <w:p w14:paraId="6105CFD7" w14:textId="77777777" w:rsidR="00674199" w:rsidRPr="00C33C0B" w:rsidRDefault="00674199" w:rsidP="000831A1">
      <w:pPr>
        <w:pStyle w:val="Numbering"/>
        <w:numPr>
          <w:ilvl w:val="0"/>
          <w:numId w:val="72"/>
        </w:numPr>
      </w:pPr>
      <w:r>
        <w:t>The schedule fee structure should implicitly include a set component for non</w:t>
      </w:r>
      <w:r>
        <w:noBreakHyphen/>
        <w:t>patient facing time.</w:t>
      </w:r>
    </w:p>
    <w:bookmarkEnd w:id="120"/>
    <w:p w14:paraId="370367F0" w14:textId="77777777" w:rsidR="00D661EB" w:rsidRPr="00C33C0B" w:rsidRDefault="00D661EB" w:rsidP="00581273">
      <w:pPr>
        <w:rPr>
          <w:lang w:val="en-GB"/>
        </w:rPr>
      </w:pPr>
      <w:r w:rsidRPr="00C33C0B">
        <w:rPr>
          <w:lang w:val="en-GB"/>
        </w:rPr>
        <w:t xml:space="preserve">The Committee recognises that these principles have the following implications </w:t>
      </w:r>
      <w:r w:rsidR="00CE434A">
        <w:rPr>
          <w:lang w:val="en-GB"/>
        </w:rPr>
        <w:t>for</w:t>
      </w:r>
      <w:r w:rsidR="00CE434A" w:rsidRPr="00C33C0B">
        <w:rPr>
          <w:lang w:val="en-GB"/>
        </w:rPr>
        <w:t xml:space="preserve"> </w:t>
      </w:r>
      <w:r w:rsidRPr="00C33C0B">
        <w:rPr>
          <w:lang w:val="en-GB"/>
        </w:rPr>
        <w:t>the structure of standard attendance items</w:t>
      </w:r>
      <w:r w:rsidR="00510E92">
        <w:rPr>
          <w:lang w:val="en-GB"/>
        </w:rPr>
        <w:t xml:space="preserve"> in the MBS</w:t>
      </w:r>
      <w:r w:rsidRPr="00C33C0B">
        <w:rPr>
          <w:lang w:val="en-GB"/>
        </w:rPr>
        <w:t>:</w:t>
      </w:r>
    </w:p>
    <w:p w14:paraId="18B72D32" w14:textId="77777777" w:rsidR="00D661EB" w:rsidRPr="00C33C0B" w:rsidRDefault="00D661EB" w:rsidP="00581273">
      <w:pPr>
        <w:pStyle w:val="Bullet-green"/>
        <w:rPr>
          <w:lang w:val="en-GB"/>
        </w:rPr>
      </w:pPr>
      <w:r w:rsidRPr="00C33C0B">
        <w:rPr>
          <w:lang w:val="en-GB"/>
        </w:rPr>
        <w:t>The removal of the distinction between initial and subsequent attendance items</w:t>
      </w:r>
      <w:r w:rsidR="0008284E">
        <w:rPr>
          <w:lang w:val="en-GB"/>
        </w:rPr>
        <w:t>.</w:t>
      </w:r>
    </w:p>
    <w:p w14:paraId="464D83D2" w14:textId="77777777" w:rsidR="00D661EB" w:rsidRPr="00C33C0B" w:rsidRDefault="00D661EB" w:rsidP="00581273">
      <w:pPr>
        <w:pStyle w:val="Bullet-green"/>
        <w:rPr>
          <w:lang w:val="en-GB"/>
        </w:rPr>
      </w:pPr>
      <w:r w:rsidRPr="00C33C0B">
        <w:rPr>
          <w:lang w:val="en-GB"/>
        </w:rPr>
        <w:t>The remo</w:t>
      </w:r>
      <w:r w:rsidR="005B3ABE" w:rsidRPr="00C33C0B">
        <w:rPr>
          <w:lang w:val="en-GB"/>
        </w:rPr>
        <w:t xml:space="preserve">val of the distinction between </w:t>
      </w:r>
      <w:r w:rsidR="00FD0B17">
        <w:rPr>
          <w:lang w:val="en-GB"/>
        </w:rPr>
        <w:t>s</w:t>
      </w:r>
      <w:r w:rsidRPr="00C33C0B">
        <w:rPr>
          <w:lang w:val="en-GB"/>
        </w:rPr>
        <w:t xml:space="preserve">pecialists and </w:t>
      </w:r>
      <w:r w:rsidR="00FD0B17">
        <w:rPr>
          <w:lang w:val="en-GB"/>
        </w:rPr>
        <w:t>con</w:t>
      </w:r>
      <w:r w:rsidRPr="00C33C0B">
        <w:rPr>
          <w:lang w:val="en-GB"/>
        </w:rPr>
        <w:t xml:space="preserve">sultant </w:t>
      </w:r>
      <w:r w:rsidR="00FD0B17">
        <w:rPr>
          <w:lang w:val="en-GB"/>
        </w:rPr>
        <w:t>p</w:t>
      </w:r>
      <w:r w:rsidRPr="00C33C0B">
        <w:rPr>
          <w:lang w:val="en-GB"/>
        </w:rPr>
        <w:t>hysicians for standard attendance items</w:t>
      </w:r>
      <w:r w:rsidR="00A67453">
        <w:rPr>
          <w:lang w:val="en-GB"/>
        </w:rPr>
        <w:t>.</w:t>
      </w:r>
    </w:p>
    <w:p w14:paraId="26C6F305" w14:textId="77777777" w:rsidR="00D661EB" w:rsidRDefault="00D661EB" w:rsidP="00581273">
      <w:pPr>
        <w:pStyle w:val="Bullet-green"/>
        <w:rPr>
          <w:lang w:val="en-GB"/>
        </w:rPr>
      </w:pPr>
      <w:r w:rsidRPr="00C33C0B">
        <w:rPr>
          <w:lang w:val="en-GB"/>
        </w:rPr>
        <w:t xml:space="preserve">The removal of many unique items that have been created for certain </w:t>
      </w:r>
      <w:r w:rsidR="00AA329D">
        <w:rPr>
          <w:lang w:val="en-GB"/>
        </w:rPr>
        <w:t>consultant specialist</w:t>
      </w:r>
      <w:r w:rsidR="001B0A0F">
        <w:rPr>
          <w:lang w:val="en-GB"/>
        </w:rPr>
        <w:t xml:space="preserve"> groups</w:t>
      </w:r>
      <w:r w:rsidR="008B01F6">
        <w:rPr>
          <w:lang w:val="en-GB"/>
        </w:rPr>
        <w:t>.</w:t>
      </w:r>
    </w:p>
    <w:p w14:paraId="3965D797" w14:textId="77777777" w:rsidR="005C3E0A" w:rsidRPr="00C33C0B" w:rsidRDefault="005C3E0A" w:rsidP="00607BDA">
      <w:pPr>
        <w:pStyle w:val="Bullet-green"/>
        <w:numPr>
          <w:ilvl w:val="0"/>
          <w:numId w:val="0"/>
        </w:numPr>
        <w:rPr>
          <w:lang w:val="en-GB"/>
        </w:rPr>
      </w:pPr>
      <w:r>
        <w:rPr>
          <w:lang w:val="en-GB"/>
        </w:rPr>
        <w:t>The Committee and the relevant working group/s examined options for standard attendance items. This examination resulted in the recommended framework below. The main alternative option is set out in Section 4.7.1.</w:t>
      </w:r>
    </w:p>
    <w:p w14:paraId="130C8E5B" w14:textId="77777777" w:rsidR="00D661EB" w:rsidRPr="00C33C0B" w:rsidRDefault="00611C95" w:rsidP="003C5D5A">
      <w:pPr>
        <w:pStyle w:val="Heading2"/>
      </w:pPr>
      <w:bookmarkStart w:id="122" w:name="_Toc521442204"/>
      <w:bookmarkStart w:id="123" w:name="_Toc67952209"/>
      <w:bookmarkStart w:id="124" w:name="_Hlk529009421"/>
      <w:bookmarkEnd w:id="105"/>
      <w:r w:rsidRPr="00C33C0B">
        <w:t>Recommendation 1</w:t>
      </w:r>
      <w:bookmarkEnd w:id="122"/>
      <w:r w:rsidR="005A1EEC">
        <w:t xml:space="preserve"> - </w:t>
      </w:r>
      <w:r w:rsidR="005A1EEC">
        <w:rPr>
          <w:lang w:val="en-GB"/>
        </w:rPr>
        <w:t>Introduce attendance items</w:t>
      </w:r>
      <w:r w:rsidR="00674199">
        <w:rPr>
          <w:lang w:val="en-GB"/>
        </w:rPr>
        <w:t xml:space="preserve"> based on attendance duration and patient complexity factors</w:t>
      </w:r>
      <w:bookmarkEnd w:id="123"/>
    </w:p>
    <w:p w14:paraId="63BDEC02" w14:textId="77777777" w:rsidR="005A1EEC" w:rsidRDefault="005A1EEC" w:rsidP="005A1EEC">
      <w:pPr>
        <w:pStyle w:val="Bullet-green"/>
        <w:numPr>
          <w:ilvl w:val="0"/>
          <w:numId w:val="0"/>
        </w:numPr>
        <w:rPr>
          <w:lang w:val="en-GB"/>
        </w:rPr>
      </w:pPr>
      <w:r>
        <w:rPr>
          <w:lang w:val="en-GB"/>
        </w:rPr>
        <w:t>The Committee recommends:</w:t>
      </w:r>
    </w:p>
    <w:p w14:paraId="0813F65A" w14:textId="77777777" w:rsidR="00D661EB" w:rsidRPr="00C33C0B" w:rsidRDefault="005A1EEC" w:rsidP="000831A1">
      <w:pPr>
        <w:pStyle w:val="Bullet-green"/>
        <w:numPr>
          <w:ilvl w:val="0"/>
          <w:numId w:val="66"/>
        </w:numPr>
        <w:rPr>
          <w:lang w:val="en-GB"/>
        </w:rPr>
      </w:pPr>
      <w:r>
        <w:rPr>
          <w:lang w:val="en-GB"/>
        </w:rPr>
        <w:t>i</w:t>
      </w:r>
      <w:r w:rsidR="005E20D5">
        <w:rPr>
          <w:lang w:val="en-GB"/>
        </w:rPr>
        <w:t>ntroduc</w:t>
      </w:r>
      <w:r>
        <w:rPr>
          <w:lang w:val="en-GB"/>
        </w:rPr>
        <w:t>ing</w:t>
      </w:r>
      <w:r w:rsidR="005E20D5">
        <w:rPr>
          <w:lang w:val="en-GB"/>
        </w:rPr>
        <w:t xml:space="preserve"> time-tiered attendance items to</w:t>
      </w:r>
      <w:r w:rsidR="007B10AC" w:rsidRPr="00C33C0B">
        <w:rPr>
          <w:lang w:val="en-GB"/>
        </w:rPr>
        <w:t xml:space="preserve"> replace most of the </w:t>
      </w:r>
      <w:r w:rsidR="00D661EB" w:rsidRPr="00C33C0B">
        <w:rPr>
          <w:lang w:val="en-GB"/>
        </w:rPr>
        <w:t xml:space="preserve">current </w:t>
      </w:r>
      <w:r w:rsidR="00691BBA">
        <w:rPr>
          <w:lang w:val="en-GB"/>
        </w:rPr>
        <w:t xml:space="preserve">standard </w:t>
      </w:r>
      <w:r w:rsidR="00D661EB" w:rsidRPr="00C33C0B">
        <w:rPr>
          <w:lang w:val="en-GB"/>
        </w:rPr>
        <w:t>attendance items</w:t>
      </w:r>
      <w:r w:rsidR="006549E9">
        <w:rPr>
          <w:lang w:val="en-GB"/>
        </w:rPr>
        <w:t>;</w:t>
      </w:r>
    </w:p>
    <w:p w14:paraId="00DE8436" w14:textId="77777777" w:rsidR="00D661EB" w:rsidRDefault="005A1EEC" w:rsidP="000831A1">
      <w:pPr>
        <w:pStyle w:val="Bullet-green"/>
        <w:numPr>
          <w:ilvl w:val="0"/>
          <w:numId w:val="66"/>
        </w:numPr>
        <w:rPr>
          <w:lang w:val="en-GB"/>
        </w:rPr>
      </w:pPr>
      <w:r>
        <w:rPr>
          <w:lang w:val="en-GB"/>
        </w:rPr>
        <w:t>r</w:t>
      </w:r>
      <w:r w:rsidR="008045DB" w:rsidRPr="00607BDA">
        <w:rPr>
          <w:lang w:val="en-GB"/>
        </w:rPr>
        <w:t>emov</w:t>
      </w:r>
      <w:r>
        <w:rPr>
          <w:lang w:val="en-GB"/>
        </w:rPr>
        <w:t>ing</w:t>
      </w:r>
      <w:r w:rsidR="008045DB" w:rsidRPr="00607BDA">
        <w:rPr>
          <w:lang w:val="en-GB"/>
        </w:rPr>
        <w:t xml:space="preserve"> </w:t>
      </w:r>
      <w:r w:rsidR="00AD3756" w:rsidRPr="00607BDA">
        <w:rPr>
          <w:lang w:val="en-GB"/>
        </w:rPr>
        <w:t xml:space="preserve">standard attendance items from </w:t>
      </w:r>
      <w:r w:rsidR="002F1377" w:rsidRPr="00607BDA">
        <w:rPr>
          <w:lang w:val="en-GB"/>
        </w:rPr>
        <w:t>Group</w:t>
      </w:r>
      <w:r w:rsidR="00AD3756" w:rsidRPr="00607BDA">
        <w:rPr>
          <w:lang w:val="en-GB"/>
        </w:rPr>
        <w:t>s</w:t>
      </w:r>
      <w:r w:rsidR="002F1377" w:rsidRPr="00607BDA">
        <w:rPr>
          <w:lang w:val="en-GB"/>
        </w:rPr>
        <w:t xml:space="preserve"> A3, A4, A12, A24, A26</w:t>
      </w:r>
      <w:r w:rsidR="00F06599" w:rsidRPr="00607BDA">
        <w:rPr>
          <w:lang w:val="en-GB"/>
        </w:rPr>
        <w:t>, A31 and A32</w:t>
      </w:r>
      <w:r w:rsidR="006549E9">
        <w:rPr>
          <w:lang w:val="en-GB"/>
        </w:rPr>
        <w:t>;</w:t>
      </w:r>
    </w:p>
    <w:p w14:paraId="7382B0DB" w14:textId="1290B4B8" w:rsidR="005A1EEC" w:rsidRDefault="005A1EEC" w:rsidP="005A1EEC">
      <w:pPr>
        <w:pStyle w:val="Bullet-green"/>
        <w:numPr>
          <w:ilvl w:val="0"/>
          <w:numId w:val="0"/>
        </w:numPr>
        <w:ind w:left="720"/>
        <w:rPr>
          <w:i/>
        </w:rPr>
      </w:pPr>
      <w:r w:rsidRPr="00607BDA">
        <w:rPr>
          <w:i/>
          <w:lang w:val="en-GB"/>
        </w:rPr>
        <w:t xml:space="preserve">Note: </w:t>
      </w:r>
      <w:r w:rsidRPr="00607BDA">
        <w:rPr>
          <w:i/>
        </w:rPr>
        <w:t>See Appendix A.1 for a full list of attendance items that are recommended for removal.</w:t>
      </w:r>
    </w:p>
    <w:p w14:paraId="77C7A5F6" w14:textId="77777777" w:rsidR="005A1EEC" w:rsidRPr="00607BDA" w:rsidRDefault="000207BA" w:rsidP="000831A1">
      <w:pPr>
        <w:pStyle w:val="Bullet-green"/>
        <w:numPr>
          <w:ilvl w:val="0"/>
          <w:numId w:val="66"/>
        </w:numPr>
        <w:rPr>
          <w:lang w:val="en-GB"/>
        </w:rPr>
      </w:pPr>
      <w:r>
        <w:t>a</w:t>
      </w:r>
      <w:r w:rsidR="005A1EEC" w:rsidRPr="005A1EEC">
        <w:t>dd</w:t>
      </w:r>
      <w:r>
        <w:t>ing</w:t>
      </w:r>
      <w:r w:rsidR="005A1EEC" w:rsidRPr="005A1EEC">
        <w:t xml:space="preserve"> 10 new time-tiered attendance items with the follow</w:t>
      </w:r>
      <w:r w:rsidR="0001226A">
        <w:t>ing characteristics (see Table 4</w:t>
      </w:r>
      <w:r w:rsidR="005A1EEC" w:rsidRPr="005A1EEC">
        <w:t>):</w:t>
      </w:r>
    </w:p>
    <w:p w14:paraId="4136C308" w14:textId="77777777" w:rsidR="0047733E" w:rsidRPr="0046418D" w:rsidRDefault="006549E9" w:rsidP="000831A1">
      <w:pPr>
        <w:pStyle w:val="BulletStyle3"/>
        <w:numPr>
          <w:ilvl w:val="0"/>
          <w:numId w:val="67"/>
        </w:numPr>
        <w:rPr>
          <w:lang w:val="en-GB"/>
        </w:rPr>
      </w:pPr>
      <w:r>
        <w:rPr>
          <w:lang w:val="en-GB"/>
        </w:rPr>
        <w:t>i</w:t>
      </w:r>
      <w:r w:rsidR="0047733E" w:rsidRPr="0046418D">
        <w:rPr>
          <w:lang w:val="en-GB"/>
        </w:rPr>
        <w:t xml:space="preserve">tem descriptors should specify </w:t>
      </w:r>
      <w:r w:rsidR="0047733E">
        <w:rPr>
          <w:lang w:val="en-GB"/>
        </w:rPr>
        <w:t xml:space="preserve">required </w:t>
      </w:r>
      <w:r w:rsidR="0047733E" w:rsidRPr="0046418D">
        <w:rPr>
          <w:lang w:val="en-GB"/>
        </w:rPr>
        <w:t>attendance time, and standard activities performed (to indicate complexity)</w:t>
      </w:r>
      <w:r>
        <w:rPr>
          <w:lang w:val="en-GB"/>
        </w:rPr>
        <w:t>;</w:t>
      </w:r>
    </w:p>
    <w:p w14:paraId="6CE4DCB3" w14:textId="77777777" w:rsidR="0047733E" w:rsidRPr="0046418D" w:rsidRDefault="006549E9" w:rsidP="000831A1">
      <w:pPr>
        <w:pStyle w:val="BulletStyle3"/>
        <w:numPr>
          <w:ilvl w:val="0"/>
          <w:numId w:val="67"/>
        </w:numPr>
        <w:rPr>
          <w:lang w:val="en-GB"/>
        </w:rPr>
      </w:pPr>
      <w:r>
        <w:rPr>
          <w:lang w:val="en-GB"/>
        </w:rPr>
        <w:t>t</w:t>
      </w:r>
      <w:r w:rsidR="0047733E" w:rsidRPr="0046418D">
        <w:rPr>
          <w:lang w:val="en-GB"/>
        </w:rPr>
        <w:t>he duration of the time tiers should be the same as those recommended by the</w:t>
      </w:r>
      <w:r w:rsidR="0047733E">
        <w:rPr>
          <w:lang w:val="en-GB"/>
        </w:rPr>
        <w:t xml:space="preserve"> </w:t>
      </w:r>
      <w:r w:rsidR="00266606">
        <w:rPr>
          <w:lang w:val="en-GB"/>
        </w:rPr>
        <w:t>General Practice and Primary Care Clinical Committee (</w:t>
      </w:r>
      <w:r w:rsidR="0047733E" w:rsidRPr="0046418D">
        <w:rPr>
          <w:lang w:val="en-GB"/>
        </w:rPr>
        <w:t>GPPCCC</w:t>
      </w:r>
      <w:r w:rsidR="00266606">
        <w:rPr>
          <w:lang w:val="en-GB"/>
        </w:rPr>
        <w:t>)</w:t>
      </w:r>
      <w:r>
        <w:rPr>
          <w:lang w:val="en-GB"/>
        </w:rPr>
        <w:t xml:space="preserve">; </w:t>
      </w:r>
      <w:r w:rsidR="0047733E">
        <w:rPr>
          <w:lang w:val="en-GB"/>
        </w:rPr>
        <w:t>and</w:t>
      </w:r>
    </w:p>
    <w:p w14:paraId="22F3B438" w14:textId="77777777" w:rsidR="0047733E" w:rsidRDefault="006549E9" w:rsidP="000831A1">
      <w:pPr>
        <w:pStyle w:val="BulletStyle3"/>
        <w:numPr>
          <w:ilvl w:val="0"/>
          <w:numId w:val="67"/>
        </w:numPr>
        <w:rPr>
          <w:lang w:val="en-GB"/>
        </w:rPr>
      </w:pPr>
      <w:r>
        <w:rPr>
          <w:lang w:val="en-GB"/>
        </w:rPr>
        <w:t>p</w:t>
      </w:r>
      <w:r w:rsidR="0047733E" w:rsidRPr="0046418D">
        <w:rPr>
          <w:lang w:val="en-GB"/>
        </w:rPr>
        <w:t>arallel items should continue to exist for attendances that occur in a consulting room or hospital, and elsewhere (five items each).</w:t>
      </w:r>
    </w:p>
    <w:p w14:paraId="7A557F1D" w14:textId="77777777" w:rsidR="0047733E" w:rsidRPr="00607BDA" w:rsidRDefault="000207BA" w:rsidP="000831A1">
      <w:pPr>
        <w:pStyle w:val="Bullet-green"/>
        <w:numPr>
          <w:ilvl w:val="0"/>
          <w:numId w:val="66"/>
        </w:numPr>
      </w:pPr>
      <w:r>
        <w:t>adding e</w:t>
      </w:r>
      <w:r w:rsidR="0047733E" w:rsidRPr="00607BDA">
        <w:t xml:space="preserve">xplanatory notes for these items </w:t>
      </w:r>
      <w:r>
        <w:t>that</w:t>
      </w:r>
      <w:r w:rsidR="0047733E" w:rsidRPr="00607BDA">
        <w:t xml:space="preserve"> state that:</w:t>
      </w:r>
    </w:p>
    <w:p w14:paraId="3CFA7345" w14:textId="77777777" w:rsidR="0047733E" w:rsidRDefault="0047733E" w:rsidP="000831A1">
      <w:pPr>
        <w:pStyle w:val="Squarebullet"/>
        <w:numPr>
          <w:ilvl w:val="0"/>
          <w:numId w:val="68"/>
        </w:numPr>
      </w:pPr>
      <w:r>
        <w:t>Specific features of the patient interaction may contribute to the duration of the attendance. This may include c</w:t>
      </w:r>
      <w:r w:rsidRPr="00923113">
        <w:t>ommunication</w:t>
      </w:r>
      <w:r w:rsidRPr="00C376B2">
        <w:t xml:space="preserve"> or comprehension factors that result in more time needed to take a medical history or to take informed consent (e.g., using an interpreter to take a medical history, taking informed consent for an intrusive examination of a child)</w:t>
      </w:r>
      <w:r w:rsidRPr="00923113">
        <w:t xml:space="preserve"> </w:t>
      </w:r>
      <w:r>
        <w:t>and m</w:t>
      </w:r>
      <w:r w:rsidRPr="00923113">
        <w:t>obility factors resulting in more time needed to perform a clinical examination (e.g., the need for an assistant or assistive device to transfer a patient)</w:t>
      </w:r>
      <w:r w:rsidR="006549E9">
        <w:t>.</w:t>
      </w:r>
    </w:p>
    <w:p w14:paraId="6F250218" w14:textId="77777777" w:rsidR="0047733E" w:rsidRDefault="0047733E" w:rsidP="000831A1">
      <w:pPr>
        <w:pStyle w:val="Squarebullet"/>
        <w:numPr>
          <w:ilvl w:val="0"/>
          <w:numId w:val="68"/>
        </w:numPr>
      </w:pPr>
      <w:r>
        <w:t xml:space="preserve">Non-patient-facing time </w:t>
      </w:r>
      <w:r w:rsidR="00674199">
        <w:t xml:space="preserve">related to the attendance </w:t>
      </w:r>
      <w:r>
        <w:t xml:space="preserve">should not </w:t>
      </w:r>
      <w:r w:rsidR="00674199">
        <w:t xml:space="preserve">be included in deriving the </w:t>
      </w:r>
      <w:r>
        <w:t>duration of the attendance</w:t>
      </w:r>
      <w:r w:rsidR="006D55C7">
        <w:t xml:space="preserve"> </w:t>
      </w:r>
      <w:r w:rsidR="00E5557E">
        <w:t xml:space="preserve">as defined in the item descriptors, but is regarded as an integral part of the attendance and should factor in the calculation of the schedule fees. </w:t>
      </w:r>
    </w:p>
    <w:p w14:paraId="79CE3F5D" w14:textId="77777777" w:rsidR="0047733E" w:rsidRDefault="0047733E" w:rsidP="000831A1">
      <w:pPr>
        <w:pStyle w:val="Squarebullet"/>
        <w:numPr>
          <w:ilvl w:val="0"/>
          <w:numId w:val="68"/>
        </w:numPr>
      </w:pPr>
      <w:r>
        <w:t>Time spent with other health professionals should not contribute</w:t>
      </w:r>
      <w:r w:rsidR="006549E9">
        <w:t xml:space="preserve"> the duration of the attendance.</w:t>
      </w:r>
    </w:p>
    <w:p w14:paraId="7861BB4F" w14:textId="77777777" w:rsidR="0047733E" w:rsidRDefault="0047733E" w:rsidP="000831A1">
      <w:pPr>
        <w:pStyle w:val="Squarebullet"/>
        <w:numPr>
          <w:ilvl w:val="0"/>
          <w:numId w:val="68"/>
        </w:numPr>
      </w:pPr>
      <w:r>
        <w:t>Time spent on a procedure or a diagnostic test should not contribute to the duration of the attendance.</w:t>
      </w:r>
    </w:p>
    <w:p w14:paraId="585BAE86" w14:textId="77777777" w:rsidR="00D661EB" w:rsidRPr="00C33C0B" w:rsidRDefault="000207BA" w:rsidP="000831A1">
      <w:pPr>
        <w:pStyle w:val="Bullet-green"/>
        <w:numPr>
          <w:ilvl w:val="0"/>
          <w:numId w:val="66"/>
        </w:numPr>
      </w:pPr>
      <w:r>
        <w:t>k</w:t>
      </w:r>
      <w:r w:rsidR="00A86DB2" w:rsidRPr="00C33C0B">
        <w:t xml:space="preserve">eep </w:t>
      </w:r>
      <w:r w:rsidR="00C26DD0" w:rsidRPr="00C33C0B">
        <w:t xml:space="preserve">Group A5 </w:t>
      </w:r>
      <w:r w:rsidR="00583729">
        <w:t>p</w:t>
      </w:r>
      <w:r w:rsidR="00A86DB2" w:rsidRPr="00C33C0B">
        <w:t xml:space="preserve">rolonged </w:t>
      </w:r>
      <w:r w:rsidR="00583729">
        <w:t>a</w:t>
      </w:r>
      <w:r w:rsidR="00C26DD0" w:rsidRPr="00C33C0B">
        <w:t xml:space="preserve">ttendance </w:t>
      </w:r>
      <w:r w:rsidR="00501593">
        <w:t>i</w:t>
      </w:r>
      <w:r w:rsidR="00D661EB" w:rsidRPr="00C33C0B">
        <w:t>tems</w:t>
      </w:r>
      <w:r w:rsidR="00C26DD0" w:rsidRPr="00C33C0B">
        <w:t xml:space="preserve">, which </w:t>
      </w:r>
      <w:r w:rsidR="00D661EB" w:rsidRPr="00C33C0B">
        <w:t xml:space="preserve">have </w:t>
      </w:r>
      <w:r w:rsidR="00C26DD0" w:rsidRPr="00C33C0B">
        <w:t>a specific allowance for patients in imminent danger of death</w:t>
      </w:r>
      <w:r w:rsidR="00CA46A4">
        <w:t xml:space="preserve"> (</w:t>
      </w:r>
      <w:r w:rsidR="00CA46A4" w:rsidRPr="00607BDA">
        <w:rPr>
          <w:i/>
        </w:rPr>
        <w:t>refer to Recommendation 2</w:t>
      </w:r>
      <w:r w:rsidR="00CA46A4">
        <w:t>).</w:t>
      </w:r>
    </w:p>
    <w:p w14:paraId="50432904" w14:textId="3D02265A" w:rsidR="00D661EB" w:rsidRDefault="005509FC" w:rsidP="005509FC">
      <w:pPr>
        <w:pStyle w:val="Caption"/>
        <w:rPr>
          <w:lang w:val="en-GB"/>
        </w:rPr>
      </w:pPr>
      <w:bookmarkStart w:id="125" w:name="_Toc520323413"/>
      <w:bookmarkStart w:id="126" w:name="_Toc529028296"/>
      <w:r>
        <w:t xml:space="preserve">Table </w:t>
      </w:r>
      <w:fldSimple w:instr=" SEQ Table \* ARABIC ">
        <w:r w:rsidR="00832059">
          <w:rPr>
            <w:noProof/>
          </w:rPr>
          <w:t>4</w:t>
        </w:r>
      </w:fldSimple>
      <w:r w:rsidR="00D661EB" w:rsidRPr="00C33C0B">
        <w:rPr>
          <w:lang w:val="en-GB"/>
        </w:rPr>
        <w:t>: Recommended item descriptors for time-tiered attendance item</w:t>
      </w:r>
      <w:bookmarkEnd w:id="125"/>
      <w:r w:rsidR="00D661EB" w:rsidRPr="00C33C0B">
        <w:rPr>
          <w:lang w:val="en-GB"/>
        </w:rPr>
        <w:t>s</w:t>
      </w:r>
      <w:bookmarkEnd w:id="126"/>
    </w:p>
    <w:tbl>
      <w:tblPr>
        <w:tblStyle w:val="GridTable1Light"/>
        <w:tblW w:w="0" w:type="auto"/>
        <w:tblLook w:val="0620" w:firstRow="1" w:lastRow="0" w:firstColumn="0" w:lastColumn="0" w:noHBand="1" w:noVBand="1"/>
        <w:tblDescription w:val="Table 4 is a list or recommendations and contains 4 columns. Column 1 is the item level. Column 2 is the item descriptor. Column 3 is the location where the item takes places. Column 4 is the duration of the attendance item. "/>
      </w:tblPr>
      <w:tblGrid>
        <w:gridCol w:w="899"/>
        <w:gridCol w:w="4511"/>
        <w:gridCol w:w="1741"/>
        <w:gridCol w:w="1151"/>
      </w:tblGrid>
      <w:tr w:rsidR="005509FC" w:rsidRPr="004E3894" w14:paraId="0C94311B" w14:textId="77777777" w:rsidTr="00E33D4E">
        <w:trPr>
          <w:cnfStyle w:val="100000000000" w:firstRow="1" w:lastRow="0" w:firstColumn="0" w:lastColumn="0" w:oddVBand="0" w:evenVBand="0" w:oddHBand="0" w:evenHBand="0" w:firstRowFirstColumn="0" w:firstRowLastColumn="0" w:lastRowFirstColumn="0" w:lastRowLastColumn="0"/>
          <w:tblHeader/>
        </w:trPr>
        <w:tc>
          <w:tcPr>
            <w:tcW w:w="0" w:type="auto"/>
          </w:tcPr>
          <w:p w14:paraId="4F00D7F1" w14:textId="77777777" w:rsidR="005509FC" w:rsidRPr="004E3894" w:rsidRDefault="005509FC" w:rsidP="005509FC">
            <w:pPr>
              <w:spacing w:before="20" w:after="20"/>
              <w:rPr>
                <w:rFonts w:cstheme="minorHAnsi"/>
                <w:b w:val="0"/>
                <w:bCs w:val="0"/>
                <w:szCs w:val="22"/>
                <w:lang w:val="en-GB"/>
              </w:rPr>
            </w:pPr>
            <w:r w:rsidRPr="004E3894">
              <w:rPr>
                <w:rFonts w:cstheme="minorHAnsi"/>
                <w:bCs w:val="0"/>
                <w:szCs w:val="22"/>
                <w:lang w:val="en-GB"/>
              </w:rPr>
              <w:t>Level (item)</w:t>
            </w:r>
            <w:r w:rsidRPr="004E3894">
              <w:rPr>
                <w:rStyle w:val="FootnoteReference"/>
                <w:rFonts w:cstheme="minorHAnsi"/>
                <w:bCs w:val="0"/>
                <w:szCs w:val="22"/>
                <w:lang w:val="en-GB"/>
              </w:rPr>
              <w:footnoteRef/>
            </w:r>
          </w:p>
        </w:tc>
        <w:tc>
          <w:tcPr>
            <w:tcW w:w="0" w:type="auto"/>
          </w:tcPr>
          <w:p w14:paraId="6E691BD4" w14:textId="5037B3A0" w:rsidR="005509FC" w:rsidRPr="004E3894" w:rsidRDefault="005509FC" w:rsidP="005509FC">
            <w:pPr>
              <w:spacing w:before="20" w:after="20"/>
              <w:rPr>
                <w:rFonts w:cstheme="minorHAnsi"/>
                <w:b w:val="0"/>
                <w:szCs w:val="22"/>
                <w:lang w:val="en-GB"/>
              </w:rPr>
            </w:pPr>
            <w:r w:rsidRPr="004E3894">
              <w:rPr>
                <w:rFonts w:cstheme="minorHAnsi"/>
                <w:bCs w:val="0"/>
                <w:szCs w:val="22"/>
                <w:lang w:val="en-GB"/>
              </w:rPr>
              <w:t>Item descriptor</w:t>
            </w:r>
          </w:p>
        </w:tc>
        <w:tc>
          <w:tcPr>
            <w:tcW w:w="0" w:type="auto"/>
          </w:tcPr>
          <w:p w14:paraId="515D87B4" w14:textId="77777777" w:rsidR="005509FC" w:rsidRPr="004E3894" w:rsidRDefault="005509FC" w:rsidP="005509FC">
            <w:pPr>
              <w:spacing w:before="20" w:after="20"/>
              <w:rPr>
                <w:rFonts w:cstheme="minorHAnsi"/>
                <w:b w:val="0"/>
                <w:bCs w:val="0"/>
                <w:szCs w:val="22"/>
                <w:lang w:val="en-GB"/>
              </w:rPr>
            </w:pPr>
            <w:r w:rsidRPr="004E3894">
              <w:rPr>
                <w:rFonts w:cstheme="minorHAnsi"/>
                <w:bCs w:val="0"/>
                <w:szCs w:val="22"/>
                <w:lang w:val="en-GB"/>
              </w:rPr>
              <w:t>Location</w:t>
            </w:r>
          </w:p>
        </w:tc>
        <w:tc>
          <w:tcPr>
            <w:tcW w:w="0" w:type="auto"/>
          </w:tcPr>
          <w:p w14:paraId="0C2BEF9E" w14:textId="77777777" w:rsidR="005509FC" w:rsidRPr="004E3894" w:rsidRDefault="005509FC" w:rsidP="005509FC">
            <w:pPr>
              <w:spacing w:before="20" w:after="20"/>
              <w:rPr>
                <w:rFonts w:cstheme="minorHAnsi"/>
                <w:b w:val="0"/>
                <w:bCs w:val="0"/>
                <w:szCs w:val="22"/>
                <w:lang w:val="en-GB"/>
              </w:rPr>
            </w:pPr>
            <w:r w:rsidRPr="004E3894">
              <w:rPr>
                <w:rFonts w:cstheme="minorHAnsi"/>
                <w:bCs w:val="0"/>
                <w:szCs w:val="22"/>
                <w:lang w:val="en-GB"/>
              </w:rPr>
              <w:t>Duration</w:t>
            </w:r>
          </w:p>
        </w:tc>
      </w:tr>
      <w:tr w:rsidR="005509FC" w:rsidRPr="004E3894" w14:paraId="3560D5C6" w14:textId="77777777" w:rsidTr="00E33D4E">
        <w:tc>
          <w:tcPr>
            <w:tcW w:w="0" w:type="auto"/>
          </w:tcPr>
          <w:p w14:paraId="2C2C8ED5" w14:textId="77777777" w:rsidR="005509FC" w:rsidRPr="004E3894" w:rsidRDefault="005509FC" w:rsidP="005509FC">
            <w:pPr>
              <w:spacing w:before="20" w:after="20"/>
              <w:rPr>
                <w:rFonts w:cstheme="minorHAnsi"/>
                <w:b/>
                <w:szCs w:val="22"/>
                <w:lang w:val="en-GB"/>
              </w:rPr>
            </w:pPr>
            <w:r w:rsidRPr="004E3894">
              <w:rPr>
                <w:rFonts w:cstheme="minorHAnsi"/>
                <w:szCs w:val="22"/>
                <w:lang w:val="en-GB"/>
              </w:rPr>
              <w:t>Level A</w:t>
            </w:r>
          </w:p>
          <w:p w14:paraId="447059CB" w14:textId="77777777" w:rsidR="005509FC" w:rsidRPr="004E3894" w:rsidRDefault="005509FC" w:rsidP="005509FC">
            <w:pPr>
              <w:spacing w:before="20" w:after="20"/>
              <w:rPr>
                <w:rFonts w:cstheme="minorHAnsi"/>
                <w:szCs w:val="22"/>
                <w:lang w:val="en-GB"/>
              </w:rPr>
            </w:pPr>
            <w:r w:rsidRPr="004E3894">
              <w:rPr>
                <w:rFonts w:cstheme="minorHAnsi"/>
                <w:szCs w:val="22"/>
                <w:lang w:val="en-GB"/>
              </w:rPr>
              <w:t>(XX1A)</w:t>
            </w:r>
          </w:p>
        </w:tc>
        <w:tc>
          <w:tcPr>
            <w:tcW w:w="0" w:type="auto"/>
            <w:vMerge w:val="restart"/>
          </w:tcPr>
          <w:p w14:paraId="2531A77A" w14:textId="77777777" w:rsidR="005509FC" w:rsidRPr="004E3894" w:rsidRDefault="005509FC" w:rsidP="005509FC">
            <w:pPr>
              <w:spacing w:before="20" w:after="20"/>
              <w:rPr>
                <w:rFonts w:cstheme="minorHAnsi"/>
                <w:szCs w:val="22"/>
                <w:lang w:val="en-GB"/>
              </w:rPr>
            </w:pPr>
            <w:r w:rsidRPr="004E3894">
              <w:rPr>
                <w:rFonts w:cstheme="minorHAnsi"/>
                <w:szCs w:val="22"/>
                <w:lang w:val="en-GB"/>
              </w:rPr>
              <w:t>Professional attendance of 5 minutes or less by a consultant specialist in the practice of his or her speciality following patient referral for an obvious problem with a straightforward task, including any of the following that are clinically relevant:</w:t>
            </w:r>
          </w:p>
          <w:p w14:paraId="7CF2A7EB" w14:textId="77777777" w:rsidR="005509FC" w:rsidRPr="004E3894" w:rsidRDefault="005509FC" w:rsidP="005509FC">
            <w:pPr>
              <w:pStyle w:val="ListParagraph"/>
              <w:numPr>
                <w:ilvl w:val="0"/>
                <w:numId w:val="18"/>
              </w:numPr>
              <w:spacing w:before="20" w:after="20"/>
              <w:ind w:left="357" w:hanging="357"/>
              <w:rPr>
                <w:rFonts w:cstheme="minorHAnsi"/>
                <w:szCs w:val="22"/>
                <w:lang w:val="en-GB"/>
              </w:rPr>
            </w:pPr>
            <w:r w:rsidRPr="004E3894">
              <w:rPr>
                <w:rFonts w:cstheme="minorHAnsi"/>
                <w:szCs w:val="22"/>
                <w:lang w:val="en-GB"/>
              </w:rPr>
              <w:t>a short patient history and, if required, limited examination and management</w:t>
            </w:r>
          </w:p>
          <w:p w14:paraId="0420CFD8" w14:textId="77777777" w:rsidR="005509FC" w:rsidRPr="004E3894" w:rsidRDefault="005509FC" w:rsidP="005509FC">
            <w:pPr>
              <w:pStyle w:val="ListParagraph"/>
              <w:numPr>
                <w:ilvl w:val="0"/>
                <w:numId w:val="18"/>
              </w:numPr>
              <w:spacing w:before="20" w:after="20"/>
              <w:ind w:left="357" w:hanging="357"/>
              <w:rPr>
                <w:rFonts w:cstheme="minorHAnsi"/>
                <w:szCs w:val="22"/>
                <w:lang w:val="en-GB"/>
              </w:rPr>
            </w:pPr>
            <w:r w:rsidRPr="004E3894">
              <w:rPr>
                <w:rFonts w:cstheme="minorHAnsi"/>
                <w:szCs w:val="22"/>
                <w:lang w:val="en-GB"/>
              </w:rPr>
              <w:t xml:space="preserve">outcomes documented and communicated in writing to the referring practitioner </w:t>
            </w:r>
          </w:p>
          <w:p w14:paraId="79D2537A" w14:textId="77777777" w:rsidR="005509FC" w:rsidRPr="004E3894" w:rsidRDefault="005509FC" w:rsidP="005509FC">
            <w:pPr>
              <w:spacing w:before="20" w:after="20"/>
              <w:rPr>
                <w:rFonts w:cstheme="minorHAnsi"/>
                <w:szCs w:val="22"/>
                <w:lang w:val="en-GB"/>
              </w:rPr>
            </w:pPr>
            <w:r w:rsidRPr="004E3894">
              <w:rPr>
                <w:rFonts w:cstheme="minorHAnsi"/>
                <w:szCs w:val="22"/>
                <w:lang w:val="en-GB"/>
              </w:rPr>
              <w:t xml:space="preserve">Other than a service to which another Category 1, Group T1, Group T4 or Group T6 professional attendance item applies. </w:t>
            </w:r>
          </w:p>
          <w:p w14:paraId="14D97080" w14:textId="77777777" w:rsidR="005509FC" w:rsidRPr="004E3894" w:rsidRDefault="005509FC" w:rsidP="005509FC">
            <w:pPr>
              <w:spacing w:before="20" w:after="20"/>
              <w:rPr>
                <w:rFonts w:cstheme="minorHAnsi"/>
                <w:szCs w:val="22"/>
                <w:lang w:val="en-GB"/>
              </w:rPr>
            </w:pPr>
            <w:r w:rsidRPr="004E3894">
              <w:rPr>
                <w:rFonts w:cstheme="minorHAnsi"/>
                <w:szCs w:val="22"/>
                <w:lang w:val="en-GB"/>
              </w:rPr>
              <w:t>Only to be claimed with a Group T8 procedure item:</w:t>
            </w:r>
          </w:p>
          <w:p w14:paraId="74BD97AB" w14:textId="77777777" w:rsidR="005509FC" w:rsidRPr="004E3894" w:rsidRDefault="005509FC" w:rsidP="005509FC">
            <w:pPr>
              <w:pStyle w:val="ListParagraph"/>
              <w:numPr>
                <w:ilvl w:val="0"/>
                <w:numId w:val="33"/>
              </w:numPr>
              <w:spacing w:before="20" w:after="20"/>
              <w:rPr>
                <w:rFonts w:cstheme="minorHAnsi"/>
                <w:szCs w:val="22"/>
                <w:lang w:val="en-GB"/>
              </w:rPr>
            </w:pPr>
            <w:r w:rsidRPr="004E3894">
              <w:rPr>
                <w:rFonts w:cstheme="minorHAnsi"/>
                <w:szCs w:val="22"/>
                <w:lang w:val="en-GB"/>
              </w:rPr>
              <w:t xml:space="preserve">where the procedure has a schedule fee of less than $300; or </w:t>
            </w:r>
          </w:p>
          <w:p w14:paraId="28706BAA" w14:textId="77777777" w:rsidR="005509FC" w:rsidRPr="004E3894" w:rsidRDefault="005509FC" w:rsidP="005509FC">
            <w:pPr>
              <w:pStyle w:val="ListParagraph"/>
              <w:numPr>
                <w:ilvl w:val="0"/>
                <w:numId w:val="33"/>
              </w:numPr>
              <w:spacing w:before="20" w:after="20"/>
              <w:rPr>
                <w:rFonts w:cstheme="minorHAnsi"/>
                <w:szCs w:val="22"/>
                <w:lang w:val="en-GB"/>
              </w:rPr>
            </w:pPr>
            <w:r w:rsidRPr="004E3894">
              <w:rPr>
                <w:rFonts w:cstheme="minorHAnsi"/>
                <w:szCs w:val="22"/>
                <w:lang w:val="en-GB"/>
              </w:rPr>
              <w:t>where the need for the procedure is identified during the consultation, has not otherwise been scheduled, is performed on the same day as the attendance, and where the procedure has a schedule fee of $300 or more.</w:t>
            </w:r>
          </w:p>
        </w:tc>
        <w:tc>
          <w:tcPr>
            <w:tcW w:w="0" w:type="auto"/>
          </w:tcPr>
          <w:p w14:paraId="7BDF2C00" w14:textId="77777777" w:rsidR="005509FC" w:rsidRPr="004E3894" w:rsidRDefault="005509FC" w:rsidP="005509FC">
            <w:pPr>
              <w:spacing w:before="20" w:after="20"/>
              <w:rPr>
                <w:rFonts w:cstheme="minorHAnsi"/>
                <w:szCs w:val="22"/>
                <w:lang w:val="en-GB"/>
              </w:rPr>
            </w:pPr>
            <w:r w:rsidRPr="004E3894">
              <w:rPr>
                <w:rFonts w:cstheme="minorHAnsi"/>
                <w:szCs w:val="22"/>
                <w:lang w:val="en-GB"/>
              </w:rPr>
              <w:t>Attendance at consulting room or hospital</w:t>
            </w:r>
          </w:p>
        </w:tc>
        <w:tc>
          <w:tcPr>
            <w:tcW w:w="0" w:type="auto"/>
          </w:tcPr>
          <w:p w14:paraId="3BA7F4A3" w14:textId="77777777" w:rsidR="005509FC" w:rsidRPr="004E3894" w:rsidRDefault="005509FC" w:rsidP="005509FC">
            <w:pPr>
              <w:spacing w:before="20" w:after="20"/>
              <w:rPr>
                <w:rFonts w:cstheme="minorHAnsi"/>
                <w:szCs w:val="22"/>
                <w:lang w:val="en-GB"/>
              </w:rPr>
            </w:pPr>
            <w:r w:rsidRPr="004E3894">
              <w:rPr>
                <w:rFonts w:cstheme="minorHAnsi"/>
                <w:szCs w:val="22"/>
                <w:lang w:val="en-GB"/>
              </w:rPr>
              <w:t>5 minutes or less</w:t>
            </w:r>
          </w:p>
        </w:tc>
      </w:tr>
      <w:tr w:rsidR="005509FC" w:rsidRPr="004E3894" w14:paraId="5C8630BF" w14:textId="77777777" w:rsidTr="00E33D4E">
        <w:tc>
          <w:tcPr>
            <w:tcW w:w="0" w:type="auto"/>
          </w:tcPr>
          <w:p w14:paraId="5EF5EE7C" w14:textId="77777777" w:rsidR="005509FC" w:rsidRPr="004E3894" w:rsidRDefault="005509FC" w:rsidP="005509FC">
            <w:pPr>
              <w:spacing w:before="20" w:after="20"/>
              <w:rPr>
                <w:rFonts w:cstheme="minorHAnsi"/>
                <w:b/>
                <w:szCs w:val="22"/>
                <w:lang w:val="en-GB"/>
              </w:rPr>
            </w:pPr>
            <w:r w:rsidRPr="004E3894">
              <w:rPr>
                <w:rFonts w:cstheme="minorHAnsi"/>
                <w:szCs w:val="22"/>
                <w:lang w:val="en-GB"/>
              </w:rPr>
              <w:t>Level A</w:t>
            </w:r>
          </w:p>
          <w:p w14:paraId="1BCAF7EC" w14:textId="77777777" w:rsidR="005509FC" w:rsidRPr="004E3894" w:rsidRDefault="005509FC" w:rsidP="005509FC">
            <w:pPr>
              <w:spacing w:before="20" w:after="20"/>
              <w:rPr>
                <w:rFonts w:cstheme="minorHAnsi"/>
                <w:szCs w:val="22"/>
                <w:lang w:val="en-GB"/>
              </w:rPr>
            </w:pPr>
            <w:r w:rsidRPr="004E3894">
              <w:rPr>
                <w:rFonts w:cstheme="minorHAnsi"/>
                <w:szCs w:val="22"/>
                <w:lang w:val="en-GB"/>
              </w:rPr>
              <w:t>(XX2A)</w:t>
            </w:r>
          </w:p>
        </w:tc>
        <w:tc>
          <w:tcPr>
            <w:tcW w:w="0" w:type="auto"/>
            <w:vMerge/>
          </w:tcPr>
          <w:p w14:paraId="5495C949" w14:textId="77777777" w:rsidR="005509FC" w:rsidRPr="004E3894" w:rsidRDefault="005509FC" w:rsidP="005509FC">
            <w:pPr>
              <w:spacing w:before="20" w:after="20"/>
              <w:rPr>
                <w:rFonts w:cstheme="minorHAnsi"/>
                <w:szCs w:val="22"/>
                <w:lang w:val="en-GB"/>
              </w:rPr>
            </w:pPr>
          </w:p>
        </w:tc>
        <w:tc>
          <w:tcPr>
            <w:tcW w:w="0" w:type="auto"/>
          </w:tcPr>
          <w:p w14:paraId="1157EA56" w14:textId="77777777" w:rsidR="005509FC" w:rsidRPr="004E3894" w:rsidRDefault="005509FC" w:rsidP="005509FC">
            <w:pPr>
              <w:spacing w:before="20" w:after="20"/>
              <w:rPr>
                <w:rFonts w:cstheme="minorHAnsi"/>
                <w:szCs w:val="22"/>
                <w:lang w:val="en-GB"/>
              </w:rPr>
            </w:pPr>
            <w:r w:rsidRPr="004E3894">
              <w:rPr>
                <w:rFonts w:cstheme="minorHAnsi"/>
                <w:szCs w:val="22"/>
                <w:lang w:val="en-GB"/>
              </w:rPr>
              <w:t>Attendance in a location other than consulting room or hospital</w:t>
            </w:r>
          </w:p>
        </w:tc>
        <w:tc>
          <w:tcPr>
            <w:tcW w:w="0" w:type="auto"/>
          </w:tcPr>
          <w:p w14:paraId="74C59F89" w14:textId="77777777" w:rsidR="005509FC" w:rsidRPr="004E3894" w:rsidRDefault="005509FC" w:rsidP="005509FC">
            <w:pPr>
              <w:spacing w:before="20" w:after="20"/>
              <w:rPr>
                <w:rFonts w:cstheme="minorHAnsi"/>
                <w:szCs w:val="22"/>
                <w:lang w:val="en-GB"/>
              </w:rPr>
            </w:pPr>
            <w:r w:rsidRPr="004E3894">
              <w:rPr>
                <w:rFonts w:cstheme="minorHAnsi"/>
                <w:szCs w:val="22"/>
                <w:lang w:val="en-GB"/>
              </w:rPr>
              <w:t>5 minutes or less</w:t>
            </w:r>
          </w:p>
        </w:tc>
      </w:tr>
      <w:tr w:rsidR="005509FC" w:rsidRPr="004E3894" w14:paraId="6E28017A" w14:textId="77777777" w:rsidTr="00E33D4E">
        <w:tc>
          <w:tcPr>
            <w:tcW w:w="0" w:type="auto"/>
          </w:tcPr>
          <w:p w14:paraId="2308F178" w14:textId="77777777" w:rsidR="005509FC" w:rsidRPr="004E3894" w:rsidRDefault="005509FC" w:rsidP="005509FC">
            <w:pPr>
              <w:spacing w:before="20" w:after="20"/>
              <w:rPr>
                <w:rFonts w:cstheme="minorHAnsi"/>
                <w:b/>
                <w:szCs w:val="22"/>
                <w:lang w:val="en-GB"/>
              </w:rPr>
            </w:pPr>
            <w:r w:rsidRPr="004E3894">
              <w:rPr>
                <w:rFonts w:cstheme="minorHAnsi"/>
                <w:szCs w:val="22"/>
                <w:lang w:val="en-GB"/>
              </w:rPr>
              <w:t>Level B</w:t>
            </w:r>
          </w:p>
          <w:p w14:paraId="29245985" w14:textId="77777777" w:rsidR="005509FC" w:rsidRPr="004E3894" w:rsidRDefault="005509FC" w:rsidP="005509FC">
            <w:pPr>
              <w:spacing w:before="20" w:after="20"/>
              <w:rPr>
                <w:rFonts w:cstheme="minorHAnsi"/>
                <w:szCs w:val="22"/>
                <w:lang w:val="en-GB"/>
              </w:rPr>
            </w:pPr>
            <w:r w:rsidRPr="004E3894">
              <w:rPr>
                <w:rFonts w:cstheme="minorHAnsi"/>
                <w:szCs w:val="22"/>
                <w:lang w:val="en-GB"/>
              </w:rPr>
              <w:t>(XX1B)</w:t>
            </w:r>
          </w:p>
        </w:tc>
        <w:tc>
          <w:tcPr>
            <w:tcW w:w="0" w:type="auto"/>
            <w:vMerge w:val="restart"/>
          </w:tcPr>
          <w:p w14:paraId="728AFD62" w14:textId="77777777" w:rsidR="005509FC" w:rsidRPr="004E3894" w:rsidRDefault="005509FC" w:rsidP="005509FC">
            <w:pPr>
              <w:spacing w:before="20" w:after="20"/>
              <w:rPr>
                <w:rFonts w:cstheme="minorHAnsi"/>
                <w:szCs w:val="22"/>
                <w:lang w:val="en-GB"/>
              </w:rPr>
            </w:pPr>
            <w:r w:rsidRPr="004E3894">
              <w:rPr>
                <w:rFonts w:cstheme="minorHAnsi"/>
                <w:szCs w:val="22"/>
                <w:lang w:val="en-GB"/>
              </w:rPr>
              <w:t>Professional attendance of more than 5 minutes but not more than 20 minutes by a consultant specialist in the practice of his or her speciality following patient referral, including any of the following that are clinically relevant:</w:t>
            </w:r>
          </w:p>
          <w:p w14:paraId="59279009" w14:textId="77777777" w:rsidR="005509FC" w:rsidRPr="004E3894" w:rsidRDefault="005509FC" w:rsidP="005509FC">
            <w:pPr>
              <w:pStyle w:val="ListParagraph"/>
              <w:numPr>
                <w:ilvl w:val="0"/>
                <w:numId w:val="17"/>
              </w:numPr>
              <w:spacing w:before="20" w:after="20"/>
              <w:ind w:left="357" w:hanging="357"/>
              <w:rPr>
                <w:rFonts w:cstheme="minorHAnsi"/>
                <w:szCs w:val="22"/>
                <w:lang w:val="en-GB"/>
              </w:rPr>
            </w:pPr>
            <w:r w:rsidRPr="004E3894">
              <w:rPr>
                <w:rFonts w:cstheme="minorHAnsi"/>
                <w:szCs w:val="22"/>
                <w:lang w:val="en-GB"/>
              </w:rPr>
              <w:t>focused patient history and, if required, focused examination and management</w:t>
            </w:r>
          </w:p>
          <w:p w14:paraId="5DCD97CA" w14:textId="77777777" w:rsidR="005509FC" w:rsidRPr="004E3894" w:rsidRDefault="005509FC" w:rsidP="005509FC">
            <w:pPr>
              <w:pStyle w:val="ListParagraph"/>
              <w:numPr>
                <w:ilvl w:val="0"/>
                <w:numId w:val="17"/>
              </w:numPr>
              <w:spacing w:before="20" w:after="20"/>
              <w:ind w:left="360"/>
              <w:rPr>
                <w:rFonts w:cstheme="minorHAnsi"/>
                <w:szCs w:val="22"/>
                <w:lang w:val="en-GB"/>
              </w:rPr>
            </w:pPr>
            <w:r w:rsidRPr="004E3894">
              <w:rPr>
                <w:rFonts w:cstheme="minorHAnsi"/>
                <w:szCs w:val="22"/>
                <w:lang w:val="en-GB"/>
              </w:rPr>
              <w:t xml:space="preserve">outcomes documented and communicated in writing to the referring practitioner </w:t>
            </w:r>
          </w:p>
          <w:p w14:paraId="3344F727" w14:textId="77777777" w:rsidR="005509FC" w:rsidRPr="004E3894" w:rsidRDefault="005509FC" w:rsidP="005509FC">
            <w:pPr>
              <w:spacing w:before="20" w:after="20"/>
              <w:rPr>
                <w:rFonts w:cstheme="minorHAnsi"/>
                <w:szCs w:val="22"/>
                <w:lang w:val="en-GB"/>
              </w:rPr>
            </w:pPr>
            <w:r w:rsidRPr="004E3894">
              <w:rPr>
                <w:rFonts w:cstheme="minorHAnsi"/>
                <w:szCs w:val="22"/>
                <w:lang w:val="en-GB"/>
              </w:rPr>
              <w:t>Other than a service to which another Category 1, Group T1, Group T4 or Group T6 professional attendance item applies.</w:t>
            </w:r>
          </w:p>
          <w:p w14:paraId="77CA53AE" w14:textId="77777777" w:rsidR="005509FC" w:rsidRPr="004E3894" w:rsidRDefault="005509FC" w:rsidP="005509FC">
            <w:pPr>
              <w:spacing w:before="20" w:after="20"/>
              <w:rPr>
                <w:rFonts w:cstheme="minorHAnsi"/>
                <w:szCs w:val="22"/>
                <w:lang w:val="en-GB"/>
              </w:rPr>
            </w:pPr>
            <w:r w:rsidRPr="004E3894">
              <w:rPr>
                <w:rFonts w:cstheme="minorHAnsi"/>
                <w:szCs w:val="22"/>
                <w:lang w:val="en-GB"/>
              </w:rPr>
              <w:t>Only to be claimed with a Group T8 procedure item:</w:t>
            </w:r>
          </w:p>
          <w:p w14:paraId="27F9231D" w14:textId="77777777" w:rsidR="005509FC" w:rsidRPr="004E3894" w:rsidRDefault="005509FC" w:rsidP="005509FC">
            <w:pPr>
              <w:pStyle w:val="ListParagraph"/>
              <w:numPr>
                <w:ilvl w:val="0"/>
                <w:numId w:val="34"/>
              </w:numPr>
              <w:spacing w:before="20" w:after="20"/>
              <w:rPr>
                <w:rFonts w:cstheme="minorHAnsi"/>
                <w:szCs w:val="22"/>
                <w:lang w:val="en-GB"/>
              </w:rPr>
            </w:pPr>
            <w:r w:rsidRPr="004E3894">
              <w:rPr>
                <w:rFonts w:cstheme="minorHAnsi"/>
                <w:szCs w:val="22"/>
                <w:lang w:val="en-GB"/>
              </w:rPr>
              <w:t xml:space="preserve">where the procedure has a schedule fee of less than $300; or </w:t>
            </w:r>
          </w:p>
          <w:p w14:paraId="1BC4CE67" w14:textId="77777777" w:rsidR="005509FC" w:rsidRPr="004E3894" w:rsidRDefault="005509FC" w:rsidP="005509FC">
            <w:pPr>
              <w:pStyle w:val="ListParagraph"/>
              <w:numPr>
                <w:ilvl w:val="0"/>
                <w:numId w:val="34"/>
              </w:numPr>
              <w:spacing w:before="20" w:after="20"/>
              <w:rPr>
                <w:rFonts w:cstheme="minorHAnsi"/>
                <w:szCs w:val="22"/>
                <w:lang w:val="en-GB"/>
              </w:rPr>
            </w:pPr>
            <w:r w:rsidRPr="004E3894">
              <w:rPr>
                <w:rFonts w:cstheme="minorHAnsi"/>
                <w:szCs w:val="22"/>
                <w:lang w:val="en-GB"/>
              </w:rPr>
              <w:t>where the need for the procedure is identified during the consultation, has not otherwise been scheduled, is performed on the same day as the attendance, and where the procedure has a schedule fee of $300 or more.</w:t>
            </w:r>
          </w:p>
        </w:tc>
        <w:tc>
          <w:tcPr>
            <w:tcW w:w="0" w:type="auto"/>
          </w:tcPr>
          <w:p w14:paraId="682F081A" w14:textId="77777777" w:rsidR="005509FC" w:rsidRPr="004E3894" w:rsidRDefault="005509FC" w:rsidP="005509FC">
            <w:pPr>
              <w:spacing w:before="20" w:after="20"/>
              <w:rPr>
                <w:rFonts w:cstheme="minorHAnsi"/>
                <w:szCs w:val="22"/>
                <w:lang w:val="en-GB"/>
              </w:rPr>
            </w:pPr>
            <w:r w:rsidRPr="004E3894">
              <w:rPr>
                <w:rFonts w:cstheme="minorHAnsi"/>
                <w:szCs w:val="22"/>
                <w:lang w:val="en-GB"/>
              </w:rPr>
              <w:t>Attendance at consulting room or hospital</w:t>
            </w:r>
          </w:p>
        </w:tc>
        <w:tc>
          <w:tcPr>
            <w:tcW w:w="0" w:type="auto"/>
          </w:tcPr>
          <w:p w14:paraId="6F56C09C" w14:textId="77777777" w:rsidR="005509FC" w:rsidRPr="004E3894" w:rsidRDefault="005509FC" w:rsidP="005509FC">
            <w:pPr>
              <w:spacing w:before="20" w:after="20"/>
              <w:rPr>
                <w:rFonts w:cstheme="minorHAnsi"/>
                <w:szCs w:val="22"/>
                <w:lang w:val="en-GB"/>
              </w:rPr>
            </w:pPr>
            <w:r w:rsidRPr="004E3894">
              <w:rPr>
                <w:rFonts w:cstheme="minorHAnsi"/>
                <w:szCs w:val="22"/>
                <w:lang w:val="en-GB"/>
              </w:rPr>
              <w:t>6–20 minutes</w:t>
            </w:r>
          </w:p>
        </w:tc>
      </w:tr>
      <w:tr w:rsidR="005509FC" w:rsidRPr="004E3894" w14:paraId="307E94C6" w14:textId="77777777" w:rsidTr="00E33D4E">
        <w:tc>
          <w:tcPr>
            <w:tcW w:w="0" w:type="auto"/>
          </w:tcPr>
          <w:p w14:paraId="0FCD993D" w14:textId="77777777" w:rsidR="005509FC" w:rsidRPr="004E3894" w:rsidRDefault="005509FC" w:rsidP="005509FC">
            <w:pPr>
              <w:spacing w:before="20" w:after="20"/>
              <w:rPr>
                <w:rFonts w:cstheme="minorHAnsi"/>
              </w:rPr>
            </w:pPr>
            <w:r w:rsidRPr="004E3894">
              <w:rPr>
                <w:rFonts w:cstheme="minorHAnsi"/>
                <w:szCs w:val="22"/>
                <w:lang w:val="en-GB"/>
              </w:rPr>
              <w:t>Level B</w:t>
            </w:r>
          </w:p>
          <w:p w14:paraId="5D7C6CA2" w14:textId="77777777" w:rsidR="005509FC" w:rsidRPr="004E3894" w:rsidRDefault="005509FC" w:rsidP="005509FC">
            <w:pPr>
              <w:spacing w:before="20" w:after="20"/>
              <w:rPr>
                <w:rFonts w:cstheme="minorHAnsi"/>
                <w:szCs w:val="22"/>
                <w:lang w:val="en-GB"/>
              </w:rPr>
            </w:pPr>
            <w:r w:rsidRPr="004E3894">
              <w:rPr>
                <w:rFonts w:cstheme="minorHAnsi"/>
                <w:szCs w:val="22"/>
                <w:lang w:val="en-GB"/>
              </w:rPr>
              <w:t>(XX2B)</w:t>
            </w:r>
          </w:p>
        </w:tc>
        <w:tc>
          <w:tcPr>
            <w:tcW w:w="0" w:type="auto"/>
            <w:vMerge/>
          </w:tcPr>
          <w:p w14:paraId="09607AE4" w14:textId="77777777" w:rsidR="005509FC" w:rsidRPr="004E3894" w:rsidRDefault="005509FC" w:rsidP="005509FC">
            <w:pPr>
              <w:spacing w:before="20" w:after="20"/>
              <w:rPr>
                <w:rFonts w:cstheme="minorHAnsi"/>
                <w:szCs w:val="22"/>
                <w:lang w:val="en-GB"/>
              </w:rPr>
            </w:pPr>
          </w:p>
        </w:tc>
        <w:tc>
          <w:tcPr>
            <w:tcW w:w="0" w:type="auto"/>
          </w:tcPr>
          <w:p w14:paraId="55572FDA" w14:textId="77777777" w:rsidR="005509FC" w:rsidRPr="004E3894" w:rsidRDefault="005509FC" w:rsidP="005509FC">
            <w:pPr>
              <w:spacing w:before="20" w:after="20"/>
              <w:rPr>
                <w:rFonts w:cstheme="minorHAnsi"/>
                <w:szCs w:val="22"/>
                <w:lang w:val="en-GB"/>
              </w:rPr>
            </w:pPr>
            <w:r w:rsidRPr="004E3894">
              <w:rPr>
                <w:rFonts w:cstheme="minorHAnsi"/>
                <w:szCs w:val="22"/>
                <w:lang w:val="en-GB"/>
              </w:rPr>
              <w:t>Attendance in a location other than consulting room or hospital</w:t>
            </w:r>
          </w:p>
        </w:tc>
        <w:tc>
          <w:tcPr>
            <w:tcW w:w="0" w:type="auto"/>
          </w:tcPr>
          <w:p w14:paraId="0CD3B2CA" w14:textId="77777777" w:rsidR="005509FC" w:rsidRPr="004E3894" w:rsidRDefault="005509FC" w:rsidP="005509FC">
            <w:pPr>
              <w:spacing w:before="20" w:after="20"/>
              <w:rPr>
                <w:rFonts w:cstheme="minorHAnsi"/>
                <w:szCs w:val="22"/>
                <w:lang w:val="en-GB"/>
              </w:rPr>
            </w:pPr>
            <w:r w:rsidRPr="004E3894">
              <w:rPr>
                <w:rFonts w:cstheme="minorHAnsi"/>
                <w:szCs w:val="22"/>
                <w:lang w:val="en-GB"/>
              </w:rPr>
              <w:t>6–20 minutes</w:t>
            </w:r>
          </w:p>
        </w:tc>
      </w:tr>
      <w:tr w:rsidR="005509FC" w:rsidRPr="004E3894" w14:paraId="5D5C5142" w14:textId="77777777" w:rsidTr="00E33D4E">
        <w:tc>
          <w:tcPr>
            <w:tcW w:w="0" w:type="auto"/>
          </w:tcPr>
          <w:p w14:paraId="031E3BE9" w14:textId="77777777" w:rsidR="005509FC" w:rsidRPr="004E3894" w:rsidRDefault="005509FC" w:rsidP="005509FC">
            <w:pPr>
              <w:spacing w:before="20" w:after="20"/>
              <w:rPr>
                <w:rFonts w:cstheme="minorHAnsi"/>
                <w:b/>
                <w:szCs w:val="22"/>
                <w:lang w:val="en-GB"/>
              </w:rPr>
            </w:pPr>
            <w:r w:rsidRPr="004E3894">
              <w:rPr>
                <w:rFonts w:cstheme="minorHAnsi"/>
                <w:szCs w:val="22"/>
                <w:lang w:val="en-GB"/>
              </w:rPr>
              <w:t>Level C</w:t>
            </w:r>
          </w:p>
          <w:p w14:paraId="39ED142A" w14:textId="77777777" w:rsidR="005509FC" w:rsidRPr="004E3894" w:rsidRDefault="005509FC" w:rsidP="005509FC">
            <w:pPr>
              <w:spacing w:before="20" w:after="20"/>
              <w:rPr>
                <w:rFonts w:cstheme="minorHAnsi"/>
                <w:szCs w:val="22"/>
                <w:lang w:val="en-GB"/>
              </w:rPr>
            </w:pPr>
            <w:r w:rsidRPr="004E3894">
              <w:rPr>
                <w:rFonts w:cstheme="minorHAnsi"/>
                <w:szCs w:val="22"/>
                <w:lang w:val="en-GB"/>
              </w:rPr>
              <w:t>(XX1C)</w:t>
            </w:r>
          </w:p>
        </w:tc>
        <w:tc>
          <w:tcPr>
            <w:tcW w:w="0" w:type="auto"/>
            <w:vMerge w:val="restart"/>
          </w:tcPr>
          <w:p w14:paraId="572B63C7" w14:textId="77777777" w:rsidR="005509FC" w:rsidRPr="004E3894" w:rsidRDefault="005509FC" w:rsidP="005509FC">
            <w:pPr>
              <w:spacing w:before="20" w:after="20"/>
              <w:rPr>
                <w:rFonts w:cstheme="minorHAnsi"/>
                <w:szCs w:val="22"/>
                <w:lang w:val="en-GB"/>
              </w:rPr>
            </w:pPr>
            <w:r w:rsidRPr="004E3894">
              <w:rPr>
                <w:rFonts w:cstheme="minorHAnsi"/>
                <w:szCs w:val="22"/>
                <w:lang w:val="en-GB"/>
              </w:rPr>
              <w:t>Professional attendance of more than 20 minutes but not more than 40 minutes by a consultant specialist in the practice of his or her speciality following patient referral, including any of the following that are clinically relevant:</w:t>
            </w:r>
          </w:p>
          <w:p w14:paraId="369FB5F1" w14:textId="77777777" w:rsidR="005509FC" w:rsidRPr="004E3894" w:rsidRDefault="005509FC" w:rsidP="005509FC">
            <w:pPr>
              <w:pStyle w:val="ListParagraph"/>
              <w:numPr>
                <w:ilvl w:val="3"/>
                <w:numId w:val="16"/>
              </w:numPr>
              <w:spacing w:before="20" w:after="20"/>
              <w:ind w:left="360"/>
              <w:rPr>
                <w:rFonts w:cstheme="minorHAnsi"/>
                <w:szCs w:val="22"/>
                <w:lang w:val="en-GB"/>
              </w:rPr>
            </w:pPr>
            <w:r w:rsidRPr="004E3894">
              <w:rPr>
                <w:rFonts w:cstheme="minorHAnsi"/>
                <w:szCs w:val="22"/>
                <w:lang w:val="en-GB"/>
              </w:rPr>
              <w:t>detailed patient history of a major single or multiple minor conditions</w:t>
            </w:r>
          </w:p>
          <w:p w14:paraId="2813A090" w14:textId="77777777" w:rsidR="005509FC" w:rsidRPr="004E3894" w:rsidRDefault="005509FC" w:rsidP="005509FC">
            <w:pPr>
              <w:pStyle w:val="ListParagraph"/>
              <w:numPr>
                <w:ilvl w:val="3"/>
                <w:numId w:val="16"/>
              </w:numPr>
              <w:spacing w:before="20" w:after="20"/>
              <w:ind w:left="360"/>
              <w:rPr>
                <w:rFonts w:cstheme="minorHAnsi"/>
                <w:szCs w:val="22"/>
                <w:lang w:val="en-GB"/>
              </w:rPr>
            </w:pPr>
            <w:r w:rsidRPr="004E3894">
              <w:rPr>
                <w:rFonts w:cstheme="minorHAnsi"/>
                <w:szCs w:val="22"/>
                <w:lang w:val="en-GB"/>
              </w:rPr>
              <w:t>comprehensive examination of single system OR multi-system focused examination</w:t>
            </w:r>
          </w:p>
          <w:p w14:paraId="14038F21" w14:textId="77777777" w:rsidR="005509FC" w:rsidRPr="004E3894" w:rsidRDefault="005509FC" w:rsidP="005509FC">
            <w:pPr>
              <w:pStyle w:val="ListParagraph"/>
              <w:numPr>
                <w:ilvl w:val="3"/>
                <w:numId w:val="16"/>
              </w:numPr>
              <w:spacing w:before="20" w:after="20"/>
              <w:ind w:left="360"/>
              <w:rPr>
                <w:rFonts w:cstheme="minorHAnsi"/>
                <w:szCs w:val="22"/>
                <w:lang w:val="en-GB"/>
              </w:rPr>
            </w:pPr>
            <w:r w:rsidRPr="004E3894">
              <w:rPr>
                <w:rFonts w:cstheme="minorHAnsi"/>
                <w:szCs w:val="22"/>
                <w:lang w:val="en-GB"/>
              </w:rPr>
              <w:t>single or multiple minor diagnostic problems considered</w:t>
            </w:r>
          </w:p>
          <w:p w14:paraId="67969E28" w14:textId="77777777" w:rsidR="005509FC" w:rsidRPr="004E3894" w:rsidRDefault="005509FC" w:rsidP="005509FC">
            <w:pPr>
              <w:pStyle w:val="ListParagraph"/>
              <w:numPr>
                <w:ilvl w:val="3"/>
                <w:numId w:val="16"/>
              </w:numPr>
              <w:spacing w:before="20" w:after="20"/>
              <w:ind w:left="360"/>
              <w:rPr>
                <w:rFonts w:cstheme="minorHAnsi"/>
                <w:szCs w:val="22"/>
                <w:lang w:val="en-GB"/>
              </w:rPr>
            </w:pPr>
            <w:r w:rsidRPr="004E3894">
              <w:rPr>
                <w:rFonts w:cstheme="minorHAnsi"/>
                <w:szCs w:val="22"/>
                <w:lang w:val="en-GB"/>
              </w:rPr>
              <w:t xml:space="preserve">a non-complex management plan </w:t>
            </w:r>
          </w:p>
          <w:p w14:paraId="183E5514" w14:textId="77777777" w:rsidR="005509FC" w:rsidRPr="004E3894" w:rsidRDefault="005509FC" w:rsidP="005509FC">
            <w:pPr>
              <w:pStyle w:val="ListParagraph"/>
              <w:numPr>
                <w:ilvl w:val="3"/>
                <w:numId w:val="16"/>
              </w:numPr>
              <w:spacing w:before="20" w:after="20"/>
              <w:ind w:left="360"/>
              <w:rPr>
                <w:rFonts w:cstheme="minorHAnsi"/>
                <w:szCs w:val="22"/>
                <w:lang w:val="en-GB"/>
              </w:rPr>
            </w:pPr>
            <w:r w:rsidRPr="004E3894">
              <w:rPr>
                <w:rFonts w:cstheme="minorHAnsi"/>
                <w:szCs w:val="22"/>
                <w:lang w:val="en-GB"/>
              </w:rPr>
              <w:t>a management plan communicated in writing to the referring practitioner and, if required;</w:t>
            </w:r>
          </w:p>
          <w:p w14:paraId="2A528D00" w14:textId="77777777" w:rsidR="005509FC" w:rsidRPr="004E3894" w:rsidRDefault="005509FC" w:rsidP="005509FC">
            <w:pPr>
              <w:pStyle w:val="ListParagraph"/>
              <w:numPr>
                <w:ilvl w:val="3"/>
                <w:numId w:val="16"/>
              </w:numPr>
              <w:spacing w:before="20" w:after="20"/>
              <w:ind w:left="360"/>
              <w:rPr>
                <w:rFonts w:cstheme="minorHAnsi"/>
                <w:szCs w:val="22"/>
                <w:lang w:val="en-GB"/>
              </w:rPr>
            </w:pPr>
            <w:r w:rsidRPr="004E3894">
              <w:rPr>
                <w:rFonts w:cstheme="minorHAnsi"/>
                <w:szCs w:val="22"/>
                <w:lang w:val="en-GB"/>
              </w:rPr>
              <w:t>discussion of multiple treatment options available, including;</w:t>
            </w:r>
          </w:p>
          <w:p w14:paraId="3BF7FD56" w14:textId="77777777" w:rsidR="005509FC" w:rsidRPr="004E3894" w:rsidRDefault="005509FC" w:rsidP="005509FC">
            <w:pPr>
              <w:spacing w:before="20" w:after="20"/>
              <w:ind w:left="331"/>
              <w:rPr>
                <w:rFonts w:cstheme="minorHAnsi"/>
                <w:szCs w:val="22"/>
                <w:lang w:val="en-GB"/>
              </w:rPr>
            </w:pPr>
            <w:r w:rsidRPr="004E3894">
              <w:rPr>
                <w:rFonts w:cstheme="minorHAnsi"/>
                <w:szCs w:val="22"/>
                <w:lang w:val="en-GB"/>
              </w:rPr>
              <w:t>i. Discussion of treatment options to assess pros and cons of each option given patient characteristics and medical history</w:t>
            </w:r>
          </w:p>
          <w:p w14:paraId="33BE98E5" w14:textId="77777777" w:rsidR="005509FC" w:rsidRPr="004E3894" w:rsidRDefault="005509FC" w:rsidP="005509FC">
            <w:pPr>
              <w:spacing w:before="20" w:after="20"/>
              <w:ind w:left="331"/>
              <w:rPr>
                <w:rFonts w:cstheme="minorHAnsi"/>
                <w:szCs w:val="22"/>
                <w:lang w:val="en-GB"/>
              </w:rPr>
            </w:pPr>
            <w:r w:rsidRPr="004E3894">
              <w:rPr>
                <w:rFonts w:cstheme="minorHAnsi"/>
                <w:szCs w:val="22"/>
                <w:lang w:val="en-GB"/>
              </w:rPr>
              <w:t>ii. Consideration and discussion of necessary referrals to other health professionals</w:t>
            </w:r>
          </w:p>
          <w:p w14:paraId="31FC5C10" w14:textId="77777777" w:rsidR="005509FC" w:rsidRPr="004E3894" w:rsidRDefault="005509FC" w:rsidP="005509FC">
            <w:pPr>
              <w:spacing w:before="20" w:after="20"/>
              <w:ind w:left="331"/>
              <w:rPr>
                <w:rFonts w:cstheme="minorHAnsi"/>
                <w:szCs w:val="22"/>
                <w:lang w:val="en-GB"/>
              </w:rPr>
            </w:pPr>
            <w:r w:rsidRPr="004E3894">
              <w:rPr>
                <w:rFonts w:cstheme="minorHAnsi"/>
                <w:szCs w:val="22"/>
                <w:lang w:val="en-GB"/>
              </w:rPr>
              <w:t>iii. Written documentation made available for the patient and/or carer that outlines treatment options and information on associated risks and benefits</w:t>
            </w:r>
          </w:p>
          <w:p w14:paraId="3964A79B" w14:textId="77777777" w:rsidR="005509FC" w:rsidRPr="004E3894" w:rsidRDefault="005509FC" w:rsidP="005509FC">
            <w:pPr>
              <w:pStyle w:val="ListParagraph"/>
              <w:numPr>
                <w:ilvl w:val="3"/>
                <w:numId w:val="16"/>
              </w:numPr>
              <w:spacing w:before="20" w:after="20"/>
              <w:ind w:left="360"/>
              <w:rPr>
                <w:rFonts w:cstheme="minorHAnsi"/>
                <w:szCs w:val="22"/>
                <w:lang w:val="en-GB"/>
              </w:rPr>
            </w:pPr>
            <w:r w:rsidRPr="004E3894">
              <w:rPr>
                <w:rFonts w:cstheme="minorHAnsi"/>
                <w:szCs w:val="22"/>
                <w:lang w:val="en-GB"/>
              </w:rPr>
              <w:t xml:space="preserve">outcomes documented and communicated in writing to the referring practitioner </w:t>
            </w:r>
          </w:p>
          <w:p w14:paraId="657EBE52" w14:textId="77777777" w:rsidR="005509FC" w:rsidRPr="004E3894" w:rsidRDefault="005509FC" w:rsidP="005509FC">
            <w:pPr>
              <w:pStyle w:val="ListParagraph"/>
              <w:numPr>
                <w:ilvl w:val="0"/>
                <w:numId w:val="168"/>
              </w:numPr>
              <w:rPr>
                <w:rFonts w:cstheme="minorHAnsi"/>
              </w:rPr>
            </w:pPr>
            <w:r w:rsidRPr="004E3894">
              <w:rPr>
                <w:rFonts w:cstheme="minorHAnsi"/>
              </w:rPr>
              <w:t>Other than a service to which another Category 1, Group T1, Group T4 or Group T6 professional attendance item applies.</w:t>
            </w:r>
          </w:p>
          <w:p w14:paraId="4A5847E6" w14:textId="77777777" w:rsidR="005509FC" w:rsidRPr="004E3894" w:rsidRDefault="005509FC" w:rsidP="005509FC">
            <w:pPr>
              <w:spacing w:before="20" w:after="20"/>
              <w:rPr>
                <w:rFonts w:cstheme="minorHAnsi"/>
                <w:szCs w:val="22"/>
                <w:lang w:val="en-GB"/>
              </w:rPr>
            </w:pPr>
            <w:r w:rsidRPr="004E3894">
              <w:rPr>
                <w:rFonts w:cstheme="minorHAnsi"/>
                <w:szCs w:val="22"/>
                <w:lang w:val="en-GB"/>
              </w:rPr>
              <w:t>Only to be claimed with a Group T8 procedure item:</w:t>
            </w:r>
          </w:p>
          <w:p w14:paraId="37CB22EA" w14:textId="77777777" w:rsidR="005509FC" w:rsidRPr="004E3894" w:rsidRDefault="005509FC" w:rsidP="005509FC">
            <w:pPr>
              <w:pStyle w:val="ListParagraph"/>
              <w:numPr>
                <w:ilvl w:val="0"/>
                <w:numId w:val="35"/>
              </w:numPr>
              <w:spacing w:before="20" w:after="20"/>
              <w:rPr>
                <w:rFonts w:cstheme="minorHAnsi"/>
                <w:szCs w:val="22"/>
                <w:lang w:val="en-GB"/>
              </w:rPr>
            </w:pPr>
            <w:r w:rsidRPr="004E3894">
              <w:rPr>
                <w:rFonts w:cstheme="minorHAnsi"/>
                <w:szCs w:val="22"/>
                <w:lang w:val="en-GB"/>
              </w:rPr>
              <w:t xml:space="preserve">where the procedure has a schedule fee of less than $300; or </w:t>
            </w:r>
          </w:p>
          <w:p w14:paraId="0707351E" w14:textId="77777777" w:rsidR="005509FC" w:rsidRPr="004E3894" w:rsidRDefault="005509FC" w:rsidP="005509FC">
            <w:pPr>
              <w:pStyle w:val="ListParagraph"/>
              <w:numPr>
                <w:ilvl w:val="0"/>
                <w:numId w:val="35"/>
              </w:numPr>
              <w:spacing w:before="20" w:after="20"/>
              <w:rPr>
                <w:rFonts w:cstheme="minorHAnsi"/>
                <w:szCs w:val="22"/>
                <w:lang w:val="en-GB"/>
              </w:rPr>
            </w:pPr>
            <w:r w:rsidRPr="004E3894">
              <w:rPr>
                <w:rFonts w:cstheme="minorHAnsi"/>
                <w:szCs w:val="22"/>
                <w:lang w:val="en-GB"/>
              </w:rPr>
              <w:t>where the need for the procedure is identified during the consultation, has not otherwise been scheduled, is performed on the same day as the attendance, and where the procedure has a schedule fee of $300 or more.</w:t>
            </w:r>
          </w:p>
        </w:tc>
        <w:tc>
          <w:tcPr>
            <w:tcW w:w="0" w:type="auto"/>
          </w:tcPr>
          <w:p w14:paraId="3A8D65AA" w14:textId="77777777" w:rsidR="005509FC" w:rsidRPr="004E3894" w:rsidRDefault="005509FC" w:rsidP="005509FC">
            <w:pPr>
              <w:spacing w:before="20" w:after="20"/>
              <w:rPr>
                <w:rFonts w:cstheme="minorHAnsi"/>
                <w:szCs w:val="22"/>
                <w:lang w:val="en-GB"/>
              </w:rPr>
            </w:pPr>
            <w:r w:rsidRPr="004E3894">
              <w:rPr>
                <w:rFonts w:cstheme="minorHAnsi"/>
                <w:szCs w:val="22"/>
                <w:lang w:val="en-GB"/>
              </w:rPr>
              <w:t>Attendance at consulting room or hospital</w:t>
            </w:r>
          </w:p>
        </w:tc>
        <w:tc>
          <w:tcPr>
            <w:tcW w:w="0" w:type="auto"/>
          </w:tcPr>
          <w:p w14:paraId="5D81F336" w14:textId="77777777" w:rsidR="005509FC" w:rsidRPr="004E3894" w:rsidRDefault="005509FC" w:rsidP="005509FC">
            <w:pPr>
              <w:spacing w:before="20" w:after="20"/>
              <w:rPr>
                <w:rFonts w:cstheme="minorHAnsi"/>
                <w:szCs w:val="22"/>
                <w:lang w:val="en-GB"/>
              </w:rPr>
            </w:pPr>
            <w:r w:rsidRPr="004E3894">
              <w:rPr>
                <w:rFonts w:cstheme="minorHAnsi"/>
                <w:szCs w:val="22"/>
                <w:lang w:val="en-GB"/>
              </w:rPr>
              <w:t>21–40 minutes</w:t>
            </w:r>
          </w:p>
        </w:tc>
      </w:tr>
      <w:tr w:rsidR="005509FC" w:rsidRPr="004E3894" w14:paraId="6C56CE89" w14:textId="77777777" w:rsidTr="00E33D4E">
        <w:tc>
          <w:tcPr>
            <w:tcW w:w="0" w:type="auto"/>
          </w:tcPr>
          <w:p w14:paraId="39A6275F" w14:textId="77777777" w:rsidR="005509FC" w:rsidRPr="004E3894" w:rsidRDefault="005509FC" w:rsidP="005509FC">
            <w:pPr>
              <w:spacing w:before="20" w:after="20"/>
              <w:rPr>
                <w:rFonts w:cstheme="minorHAnsi"/>
                <w:b/>
                <w:szCs w:val="22"/>
                <w:lang w:val="en-GB"/>
              </w:rPr>
            </w:pPr>
            <w:r w:rsidRPr="004E3894">
              <w:rPr>
                <w:rFonts w:cstheme="minorHAnsi"/>
                <w:szCs w:val="22"/>
                <w:lang w:val="en-GB"/>
              </w:rPr>
              <w:t>Level C</w:t>
            </w:r>
          </w:p>
          <w:p w14:paraId="36412B8C" w14:textId="77777777" w:rsidR="005509FC" w:rsidRPr="004E3894" w:rsidRDefault="005509FC" w:rsidP="005509FC">
            <w:pPr>
              <w:spacing w:before="20" w:after="20"/>
              <w:rPr>
                <w:rFonts w:cstheme="minorHAnsi"/>
                <w:szCs w:val="22"/>
                <w:lang w:val="en-GB"/>
              </w:rPr>
            </w:pPr>
            <w:r w:rsidRPr="004E3894">
              <w:rPr>
                <w:rFonts w:cstheme="minorHAnsi"/>
                <w:szCs w:val="22"/>
                <w:lang w:val="en-GB"/>
              </w:rPr>
              <w:t>(XX2C)</w:t>
            </w:r>
          </w:p>
        </w:tc>
        <w:tc>
          <w:tcPr>
            <w:tcW w:w="0" w:type="auto"/>
            <w:vMerge/>
          </w:tcPr>
          <w:p w14:paraId="7D3070FF" w14:textId="77777777" w:rsidR="005509FC" w:rsidRPr="004E3894" w:rsidRDefault="005509FC" w:rsidP="005509FC">
            <w:pPr>
              <w:spacing w:before="20" w:after="20"/>
              <w:rPr>
                <w:rFonts w:cstheme="minorHAnsi"/>
                <w:szCs w:val="22"/>
                <w:lang w:val="en-GB"/>
              </w:rPr>
            </w:pPr>
          </w:p>
        </w:tc>
        <w:tc>
          <w:tcPr>
            <w:tcW w:w="0" w:type="auto"/>
          </w:tcPr>
          <w:p w14:paraId="466BF05B" w14:textId="77777777" w:rsidR="005509FC" w:rsidRPr="004E3894" w:rsidRDefault="005509FC" w:rsidP="005509FC">
            <w:pPr>
              <w:spacing w:before="20" w:after="20"/>
              <w:rPr>
                <w:rFonts w:cstheme="minorHAnsi"/>
                <w:szCs w:val="22"/>
                <w:lang w:val="en-GB"/>
              </w:rPr>
            </w:pPr>
            <w:r w:rsidRPr="004E3894">
              <w:rPr>
                <w:rFonts w:cstheme="minorHAnsi"/>
                <w:szCs w:val="22"/>
                <w:lang w:val="en-GB"/>
              </w:rPr>
              <w:t>Attendance in a location other than consulting room or hospital</w:t>
            </w:r>
          </w:p>
        </w:tc>
        <w:tc>
          <w:tcPr>
            <w:tcW w:w="0" w:type="auto"/>
          </w:tcPr>
          <w:p w14:paraId="35F0A781" w14:textId="77777777" w:rsidR="005509FC" w:rsidRPr="004E3894" w:rsidRDefault="005509FC" w:rsidP="005509FC">
            <w:pPr>
              <w:spacing w:before="20" w:after="20"/>
              <w:rPr>
                <w:rFonts w:cstheme="minorHAnsi"/>
                <w:szCs w:val="22"/>
                <w:lang w:val="en-GB"/>
              </w:rPr>
            </w:pPr>
            <w:r w:rsidRPr="004E3894">
              <w:rPr>
                <w:rFonts w:cstheme="minorHAnsi"/>
                <w:szCs w:val="22"/>
                <w:lang w:val="en-GB"/>
              </w:rPr>
              <w:t>21–40 minutes</w:t>
            </w:r>
          </w:p>
        </w:tc>
      </w:tr>
      <w:tr w:rsidR="005509FC" w:rsidRPr="004E3894" w14:paraId="4AB973AB" w14:textId="77777777" w:rsidTr="00E33D4E">
        <w:tc>
          <w:tcPr>
            <w:tcW w:w="0" w:type="auto"/>
          </w:tcPr>
          <w:p w14:paraId="593E5355" w14:textId="77777777" w:rsidR="005509FC" w:rsidRPr="004E3894" w:rsidRDefault="005509FC" w:rsidP="005509FC">
            <w:pPr>
              <w:spacing w:before="20" w:after="20"/>
              <w:rPr>
                <w:rFonts w:cstheme="minorHAnsi"/>
                <w:b/>
                <w:szCs w:val="22"/>
                <w:lang w:val="en-GB"/>
              </w:rPr>
            </w:pPr>
            <w:r w:rsidRPr="004E3894">
              <w:rPr>
                <w:rFonts w:cstheme="minorHAnsi"/>
                <w:szCs w:val="22"/>
                <w:lang w:val="en-GB"/>
              </w:rPr>
              <w:t>Level D</w:t>
            </w:r>
          </w:p>
          <w:p w14:paraId="470FBD91" w14:textId="77777777" w:rsidR="005509FC" w:rsidRPr="004E3894" w:rsidRDefault="005509FC" w:rsidP="005509FC">
            <w:pPr>
              <w:spacing w:before="20" w:after="20"/>
              <w:rPr>
                <w:rFonts w:cstheme="minorHAnsi"/>
                <w:szCs w:val="22"/>
                <w:lang w:val="en-GB"/>
              </w:rPr>
            </w:pPr>
            <w:r w:rsidRPr="004E3894">
              <w:rPr>
                <w:rFonts w:cstheme="minorHAnsi"/>
                <w:szCs w:val="22"/>
                <w:lang w:val="en-GB"/>
              </w:rPr>
              <w:t>(XX1D)</w:t>
            </w:r>
          </w:p>
        </w:tc>
        <w:tc>
          <w:tcPr>
            <w:tcW w:w="0" w:type="auto"/>
            <w:vMerge w:val="restart"/>
          </w:tcPr>
          <w:p w14:paraId="41E84DC6" w14:textId="77777777" w:rsidR="005509FC" w:rsidRPr="004E3894" w:rsidRDefault="005509FC" w:rsidP="005509FC">
            <w:pPr>
              <w:spacing w:before="20" w:after="20"/>
              <w:rPr>
                <w:rFonts w:cstheme="minorHAnsi"/>
                <w:szCs w:val="22"/>
                <w:lang w:val="en-GB"/>
              </w:rPr>
            </w:pPr>
            <w:r w:rsidRPr="004E3894">
              <w:rPr>
                <w:rFonts w:cstheme="minorHAnsi"/>
                <w:szCs w:val="22"/>
                <w:lang w:val="en-GB"/>
              </w:rPr>
              <w:t>Professional attendance of more than 40 minutes but not more than 60 minutes by a consultant specialist in the practice of his or her speciality following patient referral, including any of the following that are clinically relevant:</w:t>
            </w:r>
          </w:p>
          <w:p w14:paraId="07FC8691" w14:textId="77777777" w:rsidR="005509FC" w:rsidRPr="004E3894" w:rsidRDefault="005509FC" w:rsidP="005509FC">
            <w:pPr>
              <w:pStyle w:val="ListParagraph"/>
              <w:numPr>
                <w:ilvl w:val="0"/>
                <w:numId w:val="19"/>
              </w:numPr>
              <w:spacing w:before="20" w:after="20"/>
              <w:ind w:left="357" w:hanging="357"/>
              <w:rPr>
                <w:rFonts w:cstheme="minorHAnsi"/>
                <w:szCs w:val="22"/>
                <w:lang w:val="en-GB"/>
              </w:rPr>
            </w:pPr>
            <w:r w:rsidRPr="004E3894">
              <w:rPr>
                <w:rFonts w:cstheme="minorHAnsi"/>
                <w:szCs w:val="22"/>
                <w:lang w:val="en-GB"/>
              </w:rPr>
              <w:t>comprehensive patient history of multiple conditions or a complex single condition</w:t>
            </w:r>
          </w:p>
          <w:p w14:paraId="7DC30FC9" w14:textId="77777777" w:rsidR="005509FC" w:rsidRPr="004E3894" w:rsidRDefault="005509FC" w:rsidP="005509FC">
            <w:pPr>
              <w:pStyle w:val="ListParagraph"/>
              <w:numPr>
                <w:ilvl w:val="0"/>
                <w:numId w:val="19"/>
              </w:numPr>
              <w:spacing w:before="20" w:after="20"/>
              <w:ind w:left="357" w:hanging="357"/>
              <w:rPr>
                <w:rFonts w:cstheme="minorHAnsi"/>
                <w:szCs w:val="22"/>
                <w:lang w:val="en-GB"/>
              </w:rPr>
            </w:pPr>
            <w:r w:rsidRPr="004E3894">
              <w:rPr>
                <w:rFonts w:cstheme="minorHAnsi"/>
                <w:szCs w:val="22"/>
                <w:lang w:val="en-GB"/>
              </w:rPr>
              <w:t xml:space="preserve">comprehensive multi-system examination </w:t>
            </w:r>
          </w:p>
          <w:p w14:paraId="3F418B2E" w14:textId="77777777" w:rsidR="005509FC" w:rsidRPr="004E3894" w:rsidRDefault="005509FC" w:rsidP="005509FC">
            <w:pPr>
              <w:pStyle w:val="ListParagraph"/>
              <w:numPr>
                <w:ilvl w:val="0"/>
                <w:numId w:val="19"/>
              </w:numPr>
              <w:spacing w:before="20" w:after="20"/>
              <w:ind w:left="357" w:hanging="357"/>
              <w:rPr>
                <w:rFonts w:cstheme="minorHAnsi"/>
                <w:szCs w:val="22"/>
                <w:lang w:val="en-GB"/>
              </w:rPr>
            </w:pPr>
            <w:r w:rsidRPr="004E3894">
              <w:rPr>
                <w:rFonts w:cstheme="minorHAnsi"/>
                <w:szCs w:val="22"/>
                <w:lang w:val="en-GB"/>
              </w:rPr>
              <w:t>multiple diagnostic problems considered</w:t>
            </w:r>
          </w:p>
          <w:p w14:paraId="5085329C" w14:textId="77777777" w:rsidR="005509FC" w:rsidRPr="004E3894" w:rsidRDefault="005509FC" w:rsidP="005509FC">
            <w:pPr>
              <w:pStyle w:val="ListParagraph"/>
              <w:numPr>
                <w:ilvl w:val="0"/>
                <w:numId w:val="19"/>
              </w:numPr>
              <w:spacing w:before="20" w:after="20"/>
              <w:ind w:left="357" w:hanging="357"/>
              <w:rPr>
                <w:rFonts w:cstheme="minorHAnsi"/>
                <w:szCs w:val="22"/>
                <w:lang w:val="en-GB"/>
              </w:rPr>
            </w:pPr>
            <w:r w:rsidRPr="004E3894">
              <w:rPr>
                <w:rFonts w:cstheme="minorHAnsi"/>
                <w:szCs w:val="22"/>
                <w:lang w:val="en-GB"/>
              </w:rPr>
              <w:t>a comprehensive management plan</w:t>
            </w:r>
          </w:p>
          <w:p w14:paraId="20F36EC7" w14:textId="77777777" w:rsidR="005509FC" w:rsidRPr="004E3894" w:rsidRDefault="005509FC" w:rsidP="005509FC">
            <w:pPr>
              <w:pStyle w:val="ListParagraph"/>
              <w:numPr>
                <w:ilvl w:val="0"/>
                <w:numId w:val="19"/>
              </w:numPr>
              <w:spacing w:before="20" w:after="20"/>
              <w:ind w:left="357" w:hanging="357"/>
              <w:rPr>
                <w:rFonts w:cstheme="minorHAnsi"/>
                <w:szCs w:val="22"/>
                <w:lang w:val="en-GB"/>
              </w:rPr>
            </w:pPr>
            <w:r w:rsidRPr="004E3894">
              <w:rPr>
                <w:rFonts w:cstheme="minorHAnsi"/>
                <w:szCs w:val="22"/>
                <w:lang w:val="en-GB"/>
              </w:rPr>
              <w:t>the management plan communicated in writing to the referring practitioner and, if required;</w:t>
            </w:r>
          </w:p>
          <w:p w14:paraId="35ED958C" w14:textId="77777777" w:rsidR="005509FC" w:rsidRPr="004E3894" w:rsidRDefault="005509FC" w:rsidP="005509FC">
            <w:pPr>
              <w:pStyle w:val="ListParagraph"/>
              <w:numPr>
                <w:ilvl w:val="0"/>
                <w:numId w:val="19"/>
              </w:numPr>
              <w:spacing w:before="20" w:after="20"/>
              <w:ind w:left="357" w:hanging="357"/>
              <w:rPr>
                <w:rFonts w:cstheme="minorHAnsi"/>
                <w:szCs w:val="22"/>
                <w:lang w:val="en-GB"/>
              </w:rPr>
            </w:pPr>
            <w:r w:rsidRPr="004E3894">
              <w:rPr>
                <w:rFonts w:cstheme="minorHAnsi"/>
                <w:szCs w:val="22"/>
                <w:lang w:val="en-GB"/>
              </w:rPr>
              <w:t>discussion of multiple treatment options available, including:</w:t>
            </w:r>
          </w:p>
          <w:p w14:paraId="768ED9BF" w14:textId="77777777" w:rsidR="005509FC" w:rsidRPr="004E3894" w:rsidRDefault="005509FC" w:rsidP="005509FC">
            <w:pPr>
              <w:pStyle w:val="ListParagraph"/>
              <w:numPr>
                <w:ilvl w:val="2"/>
                <w:numId w:val="19"/>
              </w:numPr>
              <w:spacing w:before="20" w:after="20"/>
              <w:ind w:left="755" w:right="142"/>
              <w:contextualSpacing w:val="0"/>
              <w:rPr>
                <w:rFonts w:cstheme="minorHAnsi"/>
                <w:szCs w:val="22"/>
                <w:lang w:val="en-GB"/>
              </w:rPr>
            </w:pPr>
            <w:r w:rsidRPr="004E3894">
              <w:rPr>
                <w:rFonts w:cstheme="minorHAnsi"/>
                <w:szCs w:val="22"/>
                <w:lang w:val="en-GB"/>
              </w:rPr>
              <w:t>Discussion of treatment options to assess pros and cons of each option given patient characteristics and medical history</w:t>
            </w:r>
          </w:p>
          <w:p w14:paraId="614475F0" w14:textId="77777777" w:rsidR="005509FC" w:rsidRPr="004E3894" w:rsidRDefault="005509FC" w:rsidP="005509FC">
            <w:pPr>
              <w:pStyle w:val="ListParagraph"/>
              <w:numPr>
                <w:ilvl w:val="2"/>
                <w:numId w:val="19"/>
              </w:numPr>
              <w:spacing w:before="20" w:after="20"/>
              <w:ind w:left="755" w:right="142"/>
              <w:contextualSpacing w:val="0"/>
              <w:rPr>
                <w:rFonts w:cstheme="minorHAnsi"/>
                <w:szCs w:val="22"/>
                <w:lang w:val="en-GB"/>
              </w:rPr>
            </w:pPr>
            <w:r w:rsidRPr="004E3894">
              <w:rPr>
                <w:rFonts w:cstheme="minorHAnsi"/>
                <w:szCs w:val="22"/>
                <w:lang w:val="en-GB"/>
              </w:rPr>
              <w:t>Consideration and discussion of necessary referrals to other health professionals</w:t>
            </w:r>
          </w:p>
          <w:p w14:paraId="1A6D5447" w14:textId="77777777" w:rsidR="005509FC" w:rsidRPr="004E3894" w:rsidRDefault="005509FC" w:rsidP="005509FC">
            <w:pPr>
              <w:pStyle w:val="ListParagraph"/>
              <w:numPr>
                <w:ilvl w:val="2"/>
                <w:numId w:val="19"/>
              </w:numPr>
              <w:spacing w:before="20" w:after="20"/>
              <w:ind w:left="755" w:right="142"/>
              <w:contextualSpacing w:val="0"/>
              <w:rPr>
                <w:rFonts w:cstheme="minorHAnsi"/>
                <w:szCs w:val="22"/>
                <w:lang w:val="en-GB"/>
              </w:rPr>
            </w:pPr>
            <w:r w:rsidRPr="004E3894">
              <w:rPr>
                <w:rFonts w:cstheme="minorHAnsi"/>
                <w:szCs w:val="22"/>
                <w:lang w:val="en-GB"/>
              </w:rPr>
              <w:t>Written documentation made available for the patient and/or carer that outlines treatment options and information on associated risks and benefits</w:t>
            </w:r>
          </w:p>
          <w:p w14:paraId="6F46E455" w14:textId="77777777" w:rsidR="005509FC" w:rsidRPr="004E3894" w:rsidRDefault="005509FC" w:rsidP="005509FC">
            <w:pPr>
              <w:pStyle w:val="ListParagraph"/>
              <w:numPr>
                <w:ilvl w:val="0"/>
                <w:numId w:val="19"/>
              </w:numPr>
              <w:spacing w:before="20" w:after="20"/>
              <w:ind w:left="357" w:hanging="357"/>
              <w:rPr>
                <w:rFonts w:cstheme="minorHAnsi"/>
                <w:szCs w:val="22"/>
                <w:lang w:val="en-GB"/>
              </w:rPr>
            </w:pPr>
            <w:r w:rsidRPr="004E3894">
              <w:rPr>
                <w:rFonts w:cstheme="minorHAnsi"/>
                <w:szCs w:val="22"/>
                <w:lang w:val="en-GB"/>
              </w:rPr>
              <w:t xml:space="preserve">outcomes documented and communicated in writing to the referring practitioner </w:t>
            </w:r>
          </w:p>
          <w:p w14:paraId="0DB28818" w14:textId="77777777" w:rsidR="005509FC" w:rsidRPr="004E3894" w:rsidRDefault="005509FC" w:rsidP="005509FC">
            <w:pPr>
              <w:spacing w:before="20" w:after="20"/>
              <w:rPr>
                <w:rFonts w:cstheme="minorHAnsi"/>
                <w:szCs w:val="22"/>
                <w:lang w:val="en-GB"/>
              </w:rPr>
            </w:pPr>
            <w:r w:rsidRPr="004E3894">
              <w:rPr>
                <w:rFonts w:cstheme="minorHAnsi"/>
                <w:szCs w:val="22"/>
                <w:lang w:val="en-GB"/>
              </w:rPr>
              <w:t>Other than a service to which another Category 1, Group T1, Group T4 or Group T6 professional attendance item applies.</w:t>
            </w:r>
          </w:p>
          <w:p w14:paraId="151BB3E6" w14:textId="77777777" w:rsidR="005509FC" w:rsidRPr="004E3894" w:rsidRDefault="005509FC" w:rsidP="005509FC">
            <w:pPr>
              <w:spacing w:before="20" w:after="20"/>
              <w:rPr>
                <w:rFonts w:cstheme="minorHAnsi"/>
                <w:szCs w:val="22"/>
                <w:lang w:val="en-GB"/>
              </w:rPr>
            </w:pPr>
            <w:r w:rsidRPr="004E3894">
              <w:rPr>
                <w:rFonts w:cstheme="minorHAnsi"/>
                <w:szCs w:val="22"/>
                <w:lang w:val="en-GB"/>
              </w:rPr>
              <w:t>Only to be claimed with a Group T8 procedure item:</w:t>
            </w:r>
          </w:p>
          <w:p w14:paraId="62D1345A" w14:textId="77777777" w:rsidR="005509FC" w:rsidRPr="004E3894" w:rsidRDefault="005509FC" w:rsidP="005509FC">
            <w:pPr>
              <w:pStyle w:val="ListParagraph"/>
              <w:numPr>
                <w:ilvl w:val="0"/>
                <w:numId w:val="36"/>
              </w:numPr>
              <w:spacing w:before="20" w:after="20"/>
              <w:rPr>
                <w:rFonts w:cstheme="minorHAnsi"/>
                <w:szCs w:val="22"/>
                <w:lang w:val="en-GB"/>
              </w:rPr>
            </w:pPr>
            <w:r w:rsidRPr="004E3894">
              <w:rPr>
                <w:rFonts w:cstheme="minorHAnsi"/>
                <w:szCs w:val="22"/>
                <w:lang w:val="en-GB"/>
              </w:rPr>
              <w:t xml:space="preserve">where the procedure has a schedule fee of less than $300; or </w:t>
            </w:r>
          </w:p>
          <w:p w14:paraId="0ED24A93" w14:textId="77777777" w:rsidR="005509FC" w:rsidRPr="004E3894" w:rsidRDefault="005509FC" w:rsidP="005509FC">
            <w:pPr>
              <w:pStyle w:val="ListParagraph"/>
              <w:numPr>
                <w:ilvl w:val="0"/>
                <w:numId w:val="36"/>
              </w:numPr>
              <w:spacing w:before="20" w:after="20"/>
              <w:rPr>
                <w:rFonts w:cstheme="minorHAnsi"/>
                <w:szCs w:val="22"/>
                <w:lang w:val="en-GB"/>
              </w:rPr>
            </w:pPr>
            <w:r w:rsidRPr="004E3894">
              <w:rPr>
                <w:rFonts w:cstheme="minorHAnsi"/>
                <w:szCs w:val="22"/>
                <w:lang w:val="en-GB"/>
              </w:rPr>
              <w:t>where the need for the procedure is identified during the consultation, has not otherwise been scheduled, is performed on the same day as the attendance, and where the procedure has a schedule fee of $300 or more.</w:t>
            </w:r>
          </w:p>
        </w:tc>
        <w:tc>
          <w:tcPr>
            <w:tcW w:w="0" w:type="auto"/>
          </w:tcPr>
          <w:p w14:paraId="34838FC4" w14:textId="77777777" w:rsidR="005509FC" w:rsidRPr="004E3894" w:rsidRDefault="005509FC" w:rsidP="005509FC">
            <w:pPr>
              <w:spacing w:before="20" w:after="20"/>
              <w:rPr>
                <w:rFonts w:cstheme="minorHAnsi"/>
                <w:szCs w:val="22"/>
                <w:lang w:val="en-GB"/>
              </w:rPr>
            </w:pPr>
            <w:r w:rsidRPr="004E3894">
              <w:rPr>
                <w:rFonts w:cstheme="minorHAnsi"/>
                <w:szCs w:val="22"/>
                <w:lang w:val="en-GB"/>
              </w:rPr>
              <w:t>Attendance at consulting room or hospital</w:t>
            </w:r>
          </w:p>
        </w:tc>
        <w:tc>
          <w:tcPr>
            <w:tcW w:w="0" w:type="auto"/>
          </w:tcPr>
          <w:p w14:paraId="362F2C0B" w14:textId="77777777" w:rsidR="005509FC" w:rsidRPr="004E3894" w:rsidRDefault="005509FC" w:rsidP="005509FC">
            <w:pPr>
              <w:spacing w:before="20" w:after="20"/>
              <w:rPr>
                <w:rFonts w:cstheme="minorHAnsi"/>
                <w:szCs w:val="22"/>
                <w:lang w:val="en-GB"/>
              </w:rPr>
            </w:pPr>
            <w:r w:rsidRPr="004E3894">
              <w:rPr>
                <w:rFonts w:cstheme="minorHAnsi"/>
                <w:szCs w:val="22"/>
                <w:lang w:val="en-GB"/>
              </w:rPr>
              <w:t>41–60 minutes</w:t>
            </w:r>
          </w:p>
        </w:tc>
      </w:tr>
      <w:tr w:rsidR="005509FC" w:rsidRPr="004E3894" w14:paraId="22E62F4F" w14:textId="77777777" w:rsidTr="00E33D4E">
        <w:tc>
          <w:tcPr>
            <w:tcW w:w="0" w:type="auto"/>
          </w:tcPr>
          <w:p w14:paraId="47974083" w14:textId="77777777" w:rsidR="005509FC" w:rsidRPr="004E3894" w:rsidRDefault="005509FC" w:rsidP="005509FC">
            <w:pPr>
              <w:spacing w:before="20" w:after="20"/>
              <w:rPr>
                <w:rFonts w:cstheme="minorHAnsi"/>
                <w:b/>
                <w:szCs w:val="22"/>
                <w:lang w:val="en-GB"/>
              </w:rPr>
            </w:pPr>
            <w:r w:rsidRPr="004E3894">
              <w:rPr>
                <w:rFonts w:cstheme="minorHAnsi"/>
                <w:szCs w:val="22"/>
                <w:lang w:val="en-GB"/>
              </w:rPr>
              <w:t>Level D</w:t>
            </w:r>
          </w:p>
          <w:p w14:paraId="1092AFD1" w14:textId="77777777" w:rsidR="005509FC" w:rsidRPr="004E3894" w:rsidRDefault="005509FC" w:rsidP="005509FC">
            <w:pPr>
              <w:spacing w:before="20" w:after="20"/>
              <w:rPr>
                <w:rFonts w:cstheme="minorHAnsi"/>
                <w:szCs w:val="22"/>
                <w:lang w:val="en-GB"/>
              </w:rPr>
            </w:pPr>
            <w:r w:rsidRPr="004E3894">
              <w:rPr>
                <w:rFonts w:cstheme="minorHAnsi"/>
                <w:szCs w:val="22"/>
                <w:lang w:val="en-GB"/>
              </w:rPr>
              <w:t>(XX2D)</w:t>
            </w:r>
          </w:p>
        </w:tc>
        <w:tc>
          <w:tcPr>
            <w:tcW w:w="0" w:type="auto"/>
            <w:vMerge/>
          </w:tcPr>
          <w:p w14:paraId="666FB0AD" w14:textId="77777777" w:rsidR="005509FC" w:rsidRPr="004E3894" w:rsidRDefault="005509FC" w:rsidP="005509FC">
            <w:pPr>
              <w:spacing w:before="20" w:after="20"/>
              <w:rPr>
                <w:rFonts w:cstheme="minorHAnsi"/>
                <w:szCs w:val="22"/>
                <w:lang w:val="en-GB"/>
              </w:rPr>
            </w:pPr>
          </w:p>
        </w:tc>
        <w:tc>
          <w:tcPr>
            <w:tcW w:w="0" w:type="auto"/>
          </w:tcPr>
          <w:p w14:paraId="65D9CF30" w14:textId="77777777" w:rsidR="005509FC" w:rsidRPr="004E3894" w:rsidRDefault="005509FC" w:rsidP="005509FC">
            <w:pPr>
              <w:spacing w:before="20" w:after="20"/>
              <w:rPr>
                <w:rFonts w:cstheme="minorHAnsi"/>
                <w:szCs w:val="22"/>
                <w:lang w:val="en-GB"/>
              </w:rPr>
            </w:pPr>
            <w:r w:rsidRPr="004E3894">
              <w:rPr>
                <w:rFonts w:cstheme="minorHAnsi"/>
                <w:szCs w:val="22"/>
                <w:lang w:val="en-GB"/>
              </w:rPr>
              <w:t>Attendance in a location other than consulting room or hospital</w:t>
            </w:r>
          </w:p>
        </w:tc>
        <w:tc>
          <w:tcPr>
            <w:tcW w:w="0" w:type="auto"/>
          </w:tcPr>
          <w:p w14:paraId="6FEE4551" w14:textId="77777777" w:rsidR="005509FC" w:rsidRPr="004E3894" w:rsidRDefault="005509FC" w:rsidP="005509FC">
            <w:pPr>
              <w:spacing w:before="20" w:after="20"/>
              <w:rPr>
                <w:rFonts w:cstheme="minorHAnsi"/>
                <w:szCs w:val="22"/>
                <w:lang w:val="en-GB"/>
              </w:rPr>
            </w:pPr>
            <w:r w:rsidRPr="004E3894">
              <w:rPr>
                <w:rFonts w:cstheme="minorHAnsi"/>
                <w:szCs w:val="22"/>
                <w:lang w:val="en-GB"/>
              </w:rPr>
              <w:t>41–60 minutes</w:t>
            </w:r>
          </w:p>
        </w:tc>
      </w:tr>
      <w:tr w:rsidR="005509FC" w:rsidRPr="004E3894" w14:paraId="6AA96962" w14:textId="77777777" w:rsidTr="00E33D4E">
        <w:tc>
          <w:tcPr>
            <w:tcW w:w="0" w:type="auto"/>
          </w:tcPr>
          <w:p w14:paraId="73B1BF57" w14:textId="77777777" w:rsidR="005509FC" w:rsidRPr="004E3894" w:rsidRDefault="005509FC" w:rsidP="005509FC">
            <w:pPr>
              <w:spacing w:before="20" w:after="20"/>
              <w:rPr>
                <w:rFonts w:cstheme="minorHAnsi"/>
                <w:b/>
                <w:szCs w:val="22"/>
                <w:lang w:val="en-GB"/>
              </w:rPr>
            </w:pPr>
            <w:r w:rsidRPr="004E3894">
              <w:rPr>
                <w:rFonts w:cstheme="minorHAnsi"/>
                <w:szCs w:val="22"/>
                <w:lang w:val="en-GB"/>
              </w:rPr>
              <w:t>Level E</w:t>
            </w:r>
          </w:p>
          <w:p w14:paraId="05065E0D" w14:textId="77777777" w:rsidR="005509FC" w:rsidRPr="004E3894" w:rsidRDefault="005509FC" w:rsidP="005509FC">
            <w:pPr>
              <w:spacing w:before="20" w:after="20"/>
              <w:rPr>
                <w:rFonts w:cstheme="minorHAnsi"/>
                <w:szCs w:val="22"/>
                <w:lang w:val="en-GB"/>
              </w:rPr>
            </w:pPr>
            <w:r w:rsidRPr="004E3894">
              <w:rPr>
                <w:rFonts w:cstheme="minorHAnsi"/>
                <w:szCs w:val="22"/>
                <w:lang w:val="en-GB"/>
              </w:rPr>
              <w:t>(XX1E)</w:t>
            </w:r>
          </w:p>
        </w:tc>
        <w:tc>
          <w:tcPr>
            <w:tcW w:w="0" w:type="auto"/>
            <w:vMerge w:val="restart"/>
          </w:tcPr>
          <w:p w14:paraId="6052CC7F" w14:textId="77777777" w:rsidR="005509FC" w:rsidRPr="004E3894" w:rsidRDefault="005509FC" w:rsidP="005509FC">
            <w:pPr>
              <w:spacing w:before="20" w:after="20"/>
              <w:rPr>
                <w:rFonts w:cstheme="minorHAnsi"/>
                <w:szCs w:val="22"/>
                <w:lang w:val="en-GB"/>
              </w:rPr>
            </w:pPr>
            <w:r w:rsidRPr="004E3894">
              <w:rPr>
                <w:rFonts w:cstheme="minorHAnsi"/>
                <w:szCs w:val="22"/>
                <w:lang w:val="en-GB"/>
              </w:rPr>
              <w:t>Professional attendance of more than 60 minutes by a consultant specialist in the practice of his or her speciality following patient referral, including any of the following that are clinically relevant:</w:t>
            </w:r>
          </w:p>
          <w:p w14:paraId="637C11AE" w14:textId="77777777" w:rsidR="005509FC" w:rsidRPr="004E3894" w:rsidRDefault="005509FC" w:rsidP="005509FC">
            <w:pPr>
              <w:pStyle w:val="ListParagraph"/>
              <w:numPr>
                <w:ilvl w:val="0"/>
                <w:numId w:val="20"/>
              </w:numPr>
              <w:spacing w:before="20" w:after="20"/>
              <w:ind w:left="357" w:hanging="357"/>
              <w:rPr>
                <w:rFonts w:cstheme="minorHAnsi"/>
                <w:szCs w:val="22"/>
                <w:lang w:val="en-GB"/>
              </w:rPr>
            </w:pPr>
            <w:r w:rsidRPr="004E3894">
              <w:rPr>
                <w:rFonts w:cstheme="minorHAnsi"/>
                <w:szCs w:val="22"/>
                <w:lang w:val="en-GB"/>
              </w:rPr>
              <w:t xml:space="preserve">extensive history of multiple complex conditions </w:t>
            </w:r>
          </w:p>
          <w:p w14:paraId="29BF2F7B" w14:textId="77777777" w:rsidR="005509FC" w:rsidRPr="004E3894" w:rsidRDefault="005509FC" w:rsidP="005509FC">
            <w:pPr>
              <w:pStyle w:val="ListParagraph"/>
              <w:numPr>
                <w:ilvl w:val="0"/>
                <w:numId w:val="20"/>
              </w:numPr>
              <w:spacing w:before="20" w:after="20"/>
              <w:ind w:left="357" w:hanging="357"/>
              <w:rPr>
                <w:rFonts w:cstheme="minorHAnsi"/>
                <w:szCs w:val="22"/>
                <w:lang w:val="en-GB"/>
              </w:rPr>
            </w:pPr>
            <w:r w:rsidRPr="004E3894">
              <w:rPr>
                <w:rFonts w:cstheme="minorHAnsi"/>
                <w:szCs w:val="22"/>
                <w:lang w:val="en-GB"/>
              </w:rPr>
              <w:t>extensive multi-system medical examination</w:t>
            </w:r>
          </w:p>
          <w:p w14:paraId="268D5169" w14:textId="77777777" w:rsidR="005509FC" w:rsidRPr="004E3894" w:rsidRDefault="005509FC" w:rsidP="005509FC">
            <w:pPr>
              <w:pStyle w:val="ListParagraph"/>
              <w:numPr>
                <w:ilvl w:val="0"/>
                <w:numId w:val="20"/>
              </w:numPr>
              <w:spacing w:before="20" w:after="20"/>
              <w:ind w:left="357" w:hanging="357"/>
              <w:rPr>
                <w:rFonts w:cstheme="minorHAnsi"/>
                <w:szCs w:val="22"/>
                <w:lang w:val="en-GB"/>
              </w:rPr>
            </w:pPr>
            <w:r w:rsidRPr="004E3894">
              <w:rPr>
                <w:rFonts w:cstheme="minorHAnsi"/>
                <w:szCs w:val="22"/>
                <w:lang w:val="en-GB"/>
              </w:rPr>
              <w:t>multiple complex diagnoses considered</w:t>
            </w:r>
          </w:p>
          <w:p w14:paraId="1678E6D0" w14:textId="77777777" w:rsidR="005509FC" w:rsidRPr="004E3894" w:rsidRDefault="005509FC" w:rsidP="005509FC">
            <w:pPr>
              <w:pStyle w:val="ListParagraph"/>
              <w:numPr>
                <w:ilvl w:val="0"/>
                <w:numId w:val="20"/>
              </w:numPr>
              <w:spacing w:before="20" w:after="20"/>
              <w:ind w:left="357" w:hanging="357"/>
              <w:rPr>
                <w:rFonts w:cstheme="minorHAnsi"/>
                <w:szCs w:val="22"/>
                <w:lang w:val="en-GB"/>
              </w:rPr>
            </w:pPr>
            <w:r w:rsidRPr="004E3894">
              <w:rPr>
                <w:rFonts w:cstheme="minorHAnsi"/>
                <w:szCs w:val="22"/>
                <w:lang w:val="en-GB"/>
              </w:rPr>
              <w:t>a comprehensive management plan</w:t>
            </w:r>
          </w:p>
          <w:p w14:paraId="373B7FD9" w14:textId="77777777" w:rsidR="005509FC" w:rsidRPr="004E3894" w:rsidRDefault="005509FC" w:rsidP="005509FC">
            <w:pPr>
              <w:pStyle w:val="ListParagraph"/>
              <w:numPr>
                <w:ilvl w:val="0"/>
                <w:numId w:val="20"/>
              </w:numPr>
              <w:spacing w:before="20" w:after="20"/>
              <w:ind w:left="357" w:hanging="357"/>
              <w:rPr>
                <w:rFonts w:cstheme="minorHAnsi"/>
                <w:szCs w:val="22"/>
                <w:lang w:val="en-GB"/>
              </w:rPr>
            </w:pPr>
            <w:r w:rsidRPr="004E3894">
              <w:rPr>
                <w:rFonts w:cstheme="minorHAnsi"/>
                <w:szCs w:val="22"/>
                <w:lang w:val="en-GB"/>
              </w:rPr>
              <w:t>the management plan is communicated in writing to the referring practitioner</w:t>
            </w:r>
            <w:bookmarkStart w:id="127" w:name="_Hlk520995906"/>
            <w:r w:rsidRPr="004E3894">
              <w:rPr>
                <w:rFonts w:cstheme="minorHAnsi"/>
                <w:szCs w:val="22"/>
                <w:lang w:val="en-GB"/>
              </w:rPr>
              <w:t xml:space="preserve"> and, if required;</w:t>
            </w:r>
          </w:p>
          <w:p w14:paraId="00A469D9" w14:textId="77777777" w:rsidR="005509FC" w:rsidRPr="004E3894" w:rsidRDefault="005509FC" w:rsidP="005509FC">
            <w:pPr>
              <w:pStyle w:val="ListParagraph"/>
              <w:numPr>
                <w:ilvl w:val="0"/>
                <w:numId w:val="20"/>
              </w:numPr>
              <w:spacing w:before="20" w:after="20"/>
              <w:ind w:left="357" w:hanging="357"/>
              <w:rPr>
                <w:rFonts w:cstheme="minorHAnsi"/>
                <w:szCs w:val="22"/>
                <w:lang w:val="en-GB"/>
              </w:rPr>
            </w:pPr>
            <w:r w:rsidRPr="004E3894">
              <w:rPr>
                <w:rFonts w:cstheme="minorHAnsi"/>
                <w:szCs w:val="22"/>
                <w:lang w:val="en-GB"/>
              </w:rPr>
              <w:t>discussion of multiple treatment options available, including:</w:t>
            </w:r>
          </w:p>
          <w:p w14:paraId="3E7D5E48" w14:textId="77777777" w:rsidR="005509FC" w:rsidRPr="004E3894" w:rsidRDefault="005509FC" w:rsidP="005509FC">
            <w:pPr>
              <w:pStyle w:val="ListParagraph"/>
              <w:numPr>
                <w:ilvl w:val="0"/>
                <w:numId w:val="26"/>
              </w:numPr>
              <w:spacing w:before="20" w:after="20"/>
              <w:rPr>
                <w:rFonts w:cstheme="minorHAnsi"/>
                <w:szCs w:val="22"/>
                <w:lang w:val="en-GB"/>
              </w:rPr>
            </w:pPr>
            <w:r w:rsidRPr="004E3894">
              <w:rPr>
                <w:rFonts w:cstheme="minorHAnsi"/>
                <w:szCs w:val="22"/>
                <w:lang w:val="en-GB"/>
              </w:rPr>
              <w:t>Discussion of treatment options to assess pros and cons of each option given patient characteristics and medical history</w:t>
            </w:r>
          </w:p>
          <w:p w14:paraId="6A96CFB0" w14:textId="77777777" w:rsidR="005509FC" w:rsidRPr="004E3894" w:rsidRDefault="005509FC" w:rsidP="005509FC">
            <w:pPr>
              <w:pStyle w:val="ListParagraph"/>
              <w:numPr>
                <w:ilvl w:val="0"/>
                <w:numId w:val="26"/>
              </w:numPr>
              <w:spacing w:before="20" w:after="20"/>
              <w:rPr>
                <w:rFonts w:cstheme="minorHAnsi"/>
                <w:szCs w:val="22"/>
                <w:lang w:val="en-GB"/>
              </w:rPr>
            </w:pPr>
            <w:r w:rsidRPr="004E3894">
              <w:rPr>
                <w:rFonts w:cstheme="minorHAnsi"/>
                <w:szCs w:val="22"/>
                <w:lang w:val="en-GB"/>
              </w:rPr>
              <w:t>Consideration and discussion of necessary referrals to other health professionals</w:t>
            </w:r>
          </w:p>
          <w:p w14:paraId="36AA8EF2" w14:textId="77777777" w:rsidR="005509FC" w:rsidRPr="004E3894" w:rsidRDefault="005509FC" w:rsidP="005509FC">
            <w:pPr>
              <w:pStyle w:val="ListParagraph"/>
              <w:numPr>
                <w:ilvl w:val="0"/>
                <w:numId w:val="26"/>
              </w:numPr>
              <w:spacing w:before="20" w:after="20"/>
              <w:rPr>
                <w:rFonts w:cstheme="minorHAnsi"/>
                <w:szCs w:val="22"/>
                <w:lang w:val="en-GB"/>
              </w:rPr>
            </w:pPr>
            <w:r w:rsidRPr="004E3894">
              <w:rPr>
                <w:rFonts w:cstheme="minorHAnsi"/>
                <w:szCs w:val="22"/>
                <w:lang w:val="en-GB"/>
              </w:rPr>
              <w:t>Written documentation made available for the patient and/or carer that outlines treatment options and information on associated risks and benefits</w:t>
            </w:r>
          </w:p>
          <w:p w14:paraId="483AA4FE" w14:textId="77777777" w:rsidR="005509FC" w:rsidRPr="004E3894" w:rsidRDefault="005509FC" w:rsidP="005509FC">
            <w:pPr>
              <w:pStyle w:val="ListParagraph"/>
              <w:numPr>
                <w:ilvl w:val="0"/>
                <w:numId w:val="20"/>
              </w:numPr>
              <w:spacing w:before="20" w:after="20"/>
              <w:ind w:left="360"/>
              <w:rPr>
                <w:rFonts w:cstheme="minorHAnsi"/>
                <w:szCs w:val="22"/>
                <w:lang w:val="en-GB"/>
              </w:rPr>
            </w:pPr>
            <w:r w:rsidRPr="004E3894">
              <w:rPr>
                <w:rFonts w:cstheme="minorHAnsi"/>
                <w:szCs w:val="22"/>
                <w:lang w:val="en-GB"/>
              </w:rPr>
              <w:t>outcomes documented and communicated in writing to the referring practitioner</w:t>
            </w:r>
          </w:p>
          <w:bookmarkEnd w:id="127"/>
          <w:p w14:paraId="0CD87E44" w14:textId="77777777" w:rsidR="005509FC" w:rsidRPr="004E3894" w:rsidRDefault="005509FC" w:rsidP="005509FC">
            <w:pPr>
              <w:spacing w:before="20" w:after="20"/>
              <w:rPr>
                <w:rFonts w:cstheme="minorHAnsi"/>
                <w:szCs w:val="22"/>
                <w:lang w:val="en-GB"/>
              </w:rPr>
            </w:pPr>
            <w:r w:rsidRPr="004E3894">
              <w:rPr>
                <w:rFonts w:cstheme="minorHAnsi"/>
                <w:szCs w:val="22"/>
                <w:lang w:val="en-GB"/>
              </w:rPr>
              <w:t>Other than a service to which another Category 1, Group T1, Group T4 or Group T6 professional attendance item applies.</w:t>
            </w:r>
          </w:p>
          <w:p w14:paraId="6870AFF2" w14:textId="77777777" w:rsidR="005509FC" w:rsidRPr="004E3894" w:rsidRDefault="005509FC" w:rsidP="005509FC">
            <w:pPr>
              <w:spacing w:before="20" w:after="20"/>
              <w:rPr>
                <w:rFonts w:cstheme="minorHAnsi"/>
                <w:szCs w:val="22"/>
                <w:lang w:val="en-GB"/>
              </w:rPr>
            </w:pPr>
            <w:r w:rsidRPr="004E3894">
              <w:rPr>
                <w:rFonts w:cstheme="minorHAnsi"/>
                <w:szCs w:val="22"/>
                <w:lang w:val="en-GB"/>
              </w:rPr>
              <w:t>Only to be claimed with a Group T8 procedure item:</w:t>
            </w:r>
          </w:p>
          <w:p w14:paraId="461ACE6D" w14:textId="77777777" w:rsidR="005509FC" w:rsidRPr="004E3894" w:rsidRDefault="005509FC" w:rsidP="005509FC">
            <w:pPr>
              <w:pStyle w:val="ListParagraph"/>
              <w:numPr>
                <w:ilvl w:val="0"/>
                <w:numId w:val="37"/>
              </w:numPr>
              <w:spacing w:before="20" w:after="20"/>
              <w:rPr>
                <w:rFonts w:cstheme="minorHAnsi"/>
                <w:szCs w:val="22"/>
                <w:lang w:val="en-GB"/>
              </w:rPr>
            </w:pPr>
            <w:r w:rsidRPr="004E3894">
              <w:rPr>
                <w:rFonts w:cstheme="minorHAnsi"/>
                <w:szCs w:val="22"/>
                <w:lang w:val="en-GB"/>
              </w:rPr>
              <w:t xml:space="preserve">where the procedure has a schedule fee of less than $300; or </w:t>
            </w:r>
          </w:p>
          <w:p w14:paraId="0D6DFA93" w14:textId="77777777" w:rsidR="005509FC" w:rsidRPr="004E3894" w:rsidRDefault="005509FC" w:rsidP="005509FC">
            <w:pPr>
              <w:pStyle w:val="ListParagraph"/>
              <w:numPr>
                <w:ilvl w:val="0"/>
                <w:numId w:val="37"/>
              </w:numPr>
              <w:spacing w:before="20" w:after="20"/>
              <w:rPr>
                <w:rFonts w:cstheme="minorHAnsi"/>
                <w:szCs w:val="22"/>
                <w:lang w:val="en-GB"/>
              </w:rPr>
            </w:pPr>
            <w:r w:rsidRPr="004E3894">
              <w:rPr>
                <w:rFonts w:cstheme="minorHAnsi"/>
                <w:szCs w:val="22"/>
                <w:lang w:val="en-GB"/>
              </w:rPr>
              <w:t>where the need for the procedure is identified during the consultation, has not otherwise been scheduled, is performed on the same day as the attendance, and where the procedure has a schedule fee of $300 or more.</w:t>
            </w:r>
          </w:p>
        </w:tc>
        <w:tc>
          <w:tcPr>
            <w:tcW w:w="0" w:type="auto"/>
          </w:tcPr>
          <w:p w14:paraId="4F329E1C" w14:textId="77777777" w:rsidR="005509FC" w:rsidRPr="004E3894" w:rsidRDefault="005509FC" w:rsidP="005509FC">
            <w:pPr>
              <w:spacing w:before="20" w:after="20"/>
              <w:rPr>
                <w:rFonts w:cstheme="minorHAnsi"/>
                <w:szCs w:val="22"/>
                <w:lang w:val="en-GB"/>
              </w:rPr>
            </w:pPr>
            <w:r w:rsidRPr="004E3894">
              <w:rPr>
                <w:rFonts w:cstheme="minorHAnsi"/>
                <w:szCs w:val="22"/>
                <w:lang w:val="en-GB"/>
              </w:rPr>
              <w:t>Attendance at consulting room or hospital</w:t>
            </w:r>
          </w:p>
        </w:tc>
        <w:tc>
          <w:tcPr>
            <w:tcW w:w="0" w:type="auto"/>
          </w:tcPr>
          <w:p w14:paraId="63E887AA" w14:textId="77777777" w:rsidR="005509FC" w:rsidRPr="004E3894" w:rsidRDefault="005509FC" w:rsidP="005509FC">
            <w:pPr>
              <w:spacing w:before="20" w:after="20"/>
              <w:rPr>
                <w:rFonts w:cstheme="minorHAnsi"/>
                <w:szCs w:val="22"/>
                <w:lang w:val="en-GB"/>
              </w:rPr>
            </w:pPr>
            <w:r w:rsidRPr="004E3894">
              <w:rPr>
                <w:rFonts w:cstheme="minorHAnsi"/>
                <w:szCs w:val="22"/>
                <w:lang w:val="en-GB"/>
              </w:rPr>
              <w:t>More than 60 minutes</w:t>
            </w:r>
          </w:p>
        </w:tc>
      </w:tr>
      <w:tr w:rsidR="005509FC" w:rsidRPr="004E3894" w14:paraId="35321670" w14:textId="77777777" w:rsidTr="00E33D4E">
        <w:tc>
          <w:tcPr>
            <w:tcW w:w="0" w:type="auto"/>
          </w:tcPr>
          <w:p w14:paraId="003CD2A3" w14:textId="77777777" w:rsidR="005509FC" w:rsidRPr="004E3894" w:rsidRDefault="005509FC" w:rsidP="005509FC">
            <w:pPr>
              <w:spacing w:before="20" w:after="20"/>
              <w:rPr>
                <w:rFonts w:cstheme="minorHAnsi"/>
                <w:b/>
                <w:szCs w:val="22"/>
                <w:lang w:val="en-GB"/>
              </w:rPr>
            </w:pPr>
            <w:r w:rsidRPr="004E3894">
              <w:rPr>
                <w:rFonts w:cstheme="minorHAnsi"/>
                <w:szCs w:val="22"/>
                <w:lang w:val="en-GB"/>
              </w:rPr>
              <w:t>Level E</w:t>
            </w:r>
          </w:p>
          <w:p w14:paraId="38695842" w14:textId="77777777" w:rsidR="005509FC" w:rsidRPr="004E3894" w:rsidRDefault="005509FC" w:rsidP="005509FC">
            <w:pPr>
              <w:spacing w:before="20" w:after="20"/>
              <w:rPr>
                <w:rFonts w:cstheme="minorHAnsi"/>
                <w:szCs w:val="22"/>
                <w:lang w:val="en-GB"/>
              </w:rPr>
            </w:pPr>
            <w:r w:rsidRPr="004E3894">
              <w:rPr>
                <w:rFonts w:cstheme="minorHAnsi"/>
                <w:szCs w:val="22"/>
                <w:lang w:val="en-GB"/>
              </w:rPr>
              <w:t>(XX2E)</w:t>
            </w:r>
          </w:p>
        </w:tc>
        <w:tc>
          <w:tcPr>
            <w:tcW w:w="0" w:type="auto"/>
            <w:vMerge/>
          </w:tcPr>
          <w:p w14:paraId="3C6BB9CA" w14:textId="77777777" w:rsidR="005509FC" w:rsidRPr="004E3894" w:rsidRDefault="005509FC" w:rsidP="005509FC">
            <w:pPr>
              <w:spacing w:before="20" w:after="20"/>
              <w:rPr>
                <w:rFonts w:cstheme="minorHAnsi"/>
                <w:szCs w:val="22"/>
                <w:lang w:val="en-GB"/>
              </w:rPr>
            </w:pPr>
          </w:p>
        </w:tc>
        <w:tc>
          <w:tcPr>
            <w:tcW w:w="0" w:type="auto"/>
          </w:tcPr>
          <w:p w14:paraId="0BC34C22" w14:textId="77777777" w:rsidR="005509FC" w:rsidRPr="004E3894" w:rsidRDefault="005509FC" w:rsidP="005509FC">
            <w:pPr>
              <w:spacing w:before="20" w:after="20"/>
              <w:rPr>
                <w:rFonts w:cstheme="minorHAnsi"/>
                <w:szCs w:val="22"/>
                <w:lang w:val="en-GB"/>
              </w:rPr>
            </w:pPr>
            <w:r w:rsidRPr="004E3894">
              <w:rPr>
                <w:rFonts w:cstheme="minorHAnsi"/>
                <w:szCs w:val="22"/>
                <w:lang w:val="en-GB"/>
              </w:rPr>
              <w:t>Attendance in a location other than consulting room or hospital</w:t>
            </w:r>
          </w:p>
        </w:tc>
        <w:tc>
          <w:tcPr>
            <w:tcW w:w="0" w:type="auto"/>
          </w:tcPr>
          <w:p w14:paraId="5E4C6E58" w14:textId="77777777" w:rsidR="005509FC" w:rsidRPr="004E3894" w:rsidRDefault="005509FC" w:rsidP="005509FC">
            <w:pPr>
              <w:spacing w:before="20" w:after="20"/>
              <w:rPr>
                <w:rFonts w:cstheme="minorHAnsi"/>
                <w:szCs w:val="22"/>
                <w:lang w:val="en-GB"/>
              </w:rPr>
            </w:pPr>
            <w:r w:rsidRPr="004E3894">
              <w:rPr>
                <w:rFonts w:cstheme="minorHAnsi"/>
                <w:szCs w:val="22"/>
                <w:lang w:val="en-GB"/>
              </w:rPr>
              <w:t>More than 60 minutes</w:t>
            </w:r>
          </w:p>
        </w:tc>
      </w:tr>
    </w:tbl>
    <w:p w14:paraId="280FAC7F" w14:textId="0B81851E" w:rsidR="00581273" w:rsidRPr="00C33C0B" w:rsidRDefault="00611C95" w:rsidP="003C5D5A">
      <w:pPr>
        <w:pStyle w:val="Heading2"/>
      </w:pPr>
      <w:bookmarkStart w:id="128" w:name="_Toc521442205"/>
      <w:bookmarkStart w:id="129" w:name="_Toc67952210"/>
      <w:bookmarkEnd w:id="124"/>
      <w:r w:rsidRPr="00C33C0B">
        <w:t>Rationale 1</w:t>
      </w:r>
      <w:bookmarkEnd w:id="128"/>
      <w:bookmarkEnd w:id="129"/>
    </w:p>
    <w:p w14:paraId="7C5942EC" w14:textId="77777777" w:rsidR="00A16657" w:rsidRDefault="00A16657" w:rsidP="00581273">
      <w:pPr>
        <w:rPr>
          <w:lang w:val="en-GB"/>
        </w:rPr>
      </w:pPr>
      <w:r>
        <w:rPr>
          <w:lang w:val="en-GB"/>
        </w:rPr>
        <w:t xml:space="preserve">This recommendation </w:t>
      </w:r>
      <w:r w:rsidR="00FE02ED">
        <w:rPr>
          <w:lang w:val="en-GB"/>
        </w:rPr>
        <w:t xml:space="preserve">focuses on introducing a standard attendance model </w:t>
      </w:r>
      <w:r w:rsidR="001C6790" w:rsidRPr="001C6790">
        <w:rPr>
          <w:lang w:val="en-GB"/>
        </w:rPr>
        <w:t>that is simpl</w:t>
      </w:r>
      <w:r w:rsidR="00FE02ED">
        <w:rPr>
          <w:lang w:val="en-GB"/>
        </w:rPr>
        <w:t>e</w:t>
      </w:r>
      <w:r w:rsidR="001C6790" w:rsidRPr="001C6790">
        <w:rPr>
          <w:lang w:val="en-GB"/>
        </w:rPr>
        <w:t xml:space="preserve">, </w:t>
      </w:r>
      <w:r w:rsidR="00BC4BC9">
        <w:rPr>
          <w:lang w:val="en-GB"/>
        </w:rPr>
        <w:t xml:space="preserve">is </w:t>
      </w:r>
      <w:r w:rsidR="001C6790" w:rsidRPr="001C6790">
        <w:rPr>
          <w:lang w:val="en-GB"/>
        </w:rPr>
        <w:t>more equitable, and enables more consiste</w:t>
      </w:r>
      <w:r w:rsidR="00FE02ED">
        <w:rPr>
          <w:lang w:val="en-GB"/>
        </w:rPr>
        <w:t>nt billing for similar services</w:t>
      </w:r>
      <w:r w:rsidR="001C6790" w:rsidRPr="001C6790">
        <w:rPr>
          <w:lang w:val="en-GB"/>
        </w:rPr>
        <w:t>.</w:t>
      </w:r>
      <w:r w:rsidR="001C6790">
        <w:rPr>
          <w:lang w:val="en-GB"/>
        </w:rPr>
        <w:t xml:space="preserve"> It is based on the following</w:t>
      </w:r>
      <w:r w:rsidR="00CB271F">
        <w:rPr>
          <w:lang w:val="en-GB"/>
        </w:rPr>
        <w:t>:</w:t>
      </w:r>
    </w:p>
    <w:p w14:paraId="0769602F" w14:textId="77777777" w:rsidR="00D26D4C" w:rsidRPr="00C33C0B" w:rsidRDefault="00581273" w:rsidP="006E5FB0">
      <w:pPr>
        <w:pStyle w:val="Bullet-green"/>
        <w:rPr>
          <w:lang w:val="en-GB"/>
        </w:rPr>
      </w:pPr>
      <w:r w:rsidRPr="00C33C0B">
        <w:rPr>
          <w:lang w:val="en-GB"/>
        </w:rPr>
        <w:t>The Committee recommends</w:t>
      </w:r>
      <w:r w:rsidR="001E0048" w:rsidRPr="00C33C0B">
        <w:rPr>
          <w:lang w:val="en-GB"/>
        </w:rPr>
        <w:t xml:space="preserve"> </w:t>
      </w:r>
      <w:r w:rsidR="006E3F24">
        <w:rPr>
          <w:lang w:val="en-GB"/>
        </w:rPr>
        <w:t>basing</w:t>
      </w:r>
      <w:r w:rsidR="001E0048" w:rsidRPr="00C33C0B">
        <w:rPr>
          <w:lang w:val="en-GB"/>
        </w:rPr>
        <w:t xml:space="preserve"> attendance </w:t>
      </w:r>
      <w:r w:rsidR="00AB28F3">
        <w:rPr>
          <w:lang w:val="en-GB" w:eastAsia="en-US"/>
        </w:rPr>
        <w:t xml:space="preserve">schedule fees </w:t>
      </w:r>
      <w:r w:rsidR="006E3F24">
        <w:rPr>
          <w:lang w:val="en-GB"/>
        </w:rPr>
        <w:t>on time,</w:t>
      </w:r>
      <w:r w:rsidR="001E0048" w:rsidRPr="00C33C0B">
        <w:rPr>
          <w:lang w:val="en-GB"/>
        </w:rPr>
        <w:t xml:space="preserve"> as the duration of the face-to-face encounter with the patient is </w:t>
      </w:r>
      <w:r w:rsidR="00BC4BC9">
        <w:rPr>
          <w:lang w:val="en-GB"/>
        </w:rPr>
        <w:t>indicative</w:t>
      </w:r>
      <w:r w:rsidR="00BC4BC9" w:rsidRPr="00C33C0B">
        <w:rPr>
          <w:lang w:val="en-GB"/>
        </w:rPr>
        <w:t xml:space="preserve"> </w:t>
      </w:r>
      <w:r w:rsidR="00D26D4C" w:rsidRPr="00C33C0B">
        <w:rPr>
          <w:lang w:val="en-GB"/>
        </w:rPr>
        <w:t>of the total amount of work</w:t>
      </w:r>
      <w:r w:rsidR="001E0048" w:rsidRPr="00C33C0B">
        <w:rPr>
          <w:lang w:val="en-GB"/>
        </w:rPr>
        <w:t xml:space="preserve"> and </w:t>
      </w:r>
      <w:r w:rsidR="00D7410F">
        <w:rPr>
          <w:lang w:val="en-GB"/>
        </w:rPr>
        <w:t xml:space="preserve">promotes </w:t>
      </w:r>
      <w:r w:rsidR="001E0048" w:rsidRPr="00C33C0B">
        <w:rPr>
          <w:lang w:val="en-GB"/>
        </w:rPr>
        <w:t>a more appropriate balance of procedural and consultative work</w:t>
      </w:r>
      <w:r w:rsidR="00D26D4C" w:rsidRPr="00C33C0B">
        <w:rPr>
          <w:lang w:val="en-GB"/>
        </w:rPr>
        <w:t>. Ti</w:t>
      </w:r>
      <w:r w:rsidR="00D7410F">
        <w:rPr>
          <w:lang w:val="en-GB"/>
        </w:rPr>
        <w:t>me</w:t>
      </w:r>
      <w:r w:rsidR="00BC4BC9">
        <w:rPr>
          <w:lang w:val="en-GB"/>
        </w:rPr>
        <w:t>-</w:t>
      </w:r>
      <w:r w:rsidR="00D7410F">
        <w:rPr>
          <w:lang w:val="en-GB"/>
        </w:rPr>
        <w:t>tiering will enable a simple</w:t>
      </w:r>
      <w:r w:rsidR="005A3460">
        <w:rPr>
          <w:lang w:val="en-GB"/>
        </w:rPr>
        <w:t xml:space="preserve"> </w:t>
      </w:r>
      <w:r w:rsidR="00AB28F3">
        <w:rPr>
          <w:lang w:val="en-GB" w:eastAsia="en-US"/>
        </w:rPr>
        <w:t xml:space="preserve">structure </w:t>
      </w:r>
      <w:r w:rsidR="00D26D4C" w:rsidRPr="00C33C0B">
        <w:rPr>
          <w:lang w:val="en-GB"/>
        </w:rPr>
        <w:t xml:space="preserve">for attendance items that </w:t>
      </w:r>
      <w:r w:rsidR="00AF3164" w:rsidRPr="00C33C0B">
        <w:rPr>
          <w:lang w:val="en-GB"/>
        </w:rPr>
        <w:t>enables</w:t>
      </w:r>
      <w:r w:rsidR="00D26D4C" w:rsidRPr="00C33C0B">
        <w:rPr>
          <w:lang w:val="en-GB"/>
        </w:rPr>
        <w:t xml:space="preserve"> more consistent </w:t>
      </w:r>
      <w:r w:rsidR="00AB28F3">
        <w:rPr>
          <w:lang w:val="en-GB"/>
        </w:rPr>
        <w:t xml:space="preserve">rebates for </w:t>
      </w:r>
      <w:r w:rsidR="00D26D4C" w:rsidRPr="00C33C0B">
        <w:rPr>
          <w:lang w:val="en-GB"/>
        </w:rPr>
        <w:t>patients for the same services</w:t>
      </w:r>
      <w:r w:rsidR="00BC4BC9">
        <w:rPr>
          <w:lang w:val="en-GB"/>
        </w:rPr>
        <w:t>, transparency for consumers,</w:t>
      </w:r>
      <w:r w:rsidR="007B533A">
        <w:rPr>
          <w:lang w:val="en-GB"/>
        </w:rPr>
        <w:t xml:space="preserve"> and clarity on informed financial consent</w:t>
      </w:r>
      <w:r w:rsidR="00D26D4C" w:rsidRPr="00C33C0B">
        <w:rPr>
          <w:lang w:val="en-GB"/>
        </w:rPr>
        <w:t>.</w:t>
      </w:r>
    </w:p>
    <w:p w14:paraId="709B95B5" w14:textId="77777777" w:rsidR="006D55C7" w:rsidRDefault="00D26D4C" w:rsidP="006E5FB0">
      <w:pPr>
        <w:pStyle w:val="Bullet-green"/>
        <w:rPr>
          <w:lang w:val="en-GB"/>
        </w:rPr>
      </w:pPr>
      <w:r w:rsidRPr="00C33C0B">
        <w:rPr>
          <w:lang w:val="en-GB"/>
        </w:rPr>
        <w:t xml:space="preserve">The Committee recommends using </w:t>
      </w:r>
      <w:r w:rsidR="00581273" w:rsidRPr="00C33C0B">
        <w:rPr>
          <w:lang w:val="en-GB"/>
        </w:rPr>
        <w:t>time</w:t>
      </w:r>
      <w:r w:rsidR="00E22B2D">
        <w:rPr>
          <w:lang w:val="en-GB"/>
        </w:rPr>
        <w:t xml:space="preserve"> </w:t>
      </w:r>
      <w:r w:rsidR="00581273" w:rsidRPr="00C33C0B">
        <w:rPr>
          <w:lang w:val="en-GB"/>
        </w:rPr>
        <w:t xml:space="preserve">tiers that </w:t>
      </w:r>
      <w:r w:rsidR="00E22B2D">
        <w:rPr>
          <w:lang w:val="en-GB"/>
        </w:rPr>
        <w:t>align</w:t>
      </w:r>
      <w:r w:rsidR="00581273" w:rsidRPr="00C33C0B">
        <w:rPr>
          <w:lang w:val="en-GB"/>
        </w:rPr>
        <w:t xml:space="preserve"> with those put forward by the</w:t>
      </w:r>
      <w:r w:rsidR="009447FE">
        <w:rPr>
          <w:lang w:val="en-GB"/>
        </w:rPr>
        <w:t xml:space="preserve"> </w:t>
      </w:r>
      <w:r w:rsidR="007B10AC" w:rsidRPr="00C33C0B">
        <w:rPr>
          <w:lang w:val="en-GB"/>
        </w:rPr>
        <w:t xml:space="preserve">GPPCCC </w:t>
      </w:r>
      <w:r w:rsidR="00581273" w:rsidRPr="00C33C0B">
        <w:rPr>
          <w:lang w:val="en-GB"/>
        </w:rPr>
        <w:t xml:space="preserve">to enable consistency of care for those accessing MBS attendance items. There is consensus </w:t>
      </w:r>
      <w:r w:rsidR="007B10AC" w:rsidRPr="00C33C0B">
        <w:rPr>
          <w:lang w:val="en-GB"/>
        </w:rPr>
        <w:t>within</w:t>
      </w:r>
      <w:r w:rsidR="00581273" w:rsidRPr="00C33C0B">
        <w:rPr>
          <w:lang w:val="en-GB"/>
        </w:rPr>
        <w:t xml:space="preserve"> the Committee that these tiers are simple and useable within </w:t>
      </w:r>
      <w:r w:rsidR="00BC4BC9">
        <w:rPr>
          <w:lang w:val="en-GB"/>
        </w:rPr>
        <w:t>standard</w:t>
      </w:r>
      <w:r w:rsidR="00BC4BC9" w:rsidRPr="00C33C0B">
        <w:rPr>
          <w:lang w:val="en-GB"/>
        </w:rPr>
        <w:t xml:space="preserve"> </w:t>
      </w:r>
      <w:r w:rsidR="00581273" w:rsidRPr="00C33C0B">
        <w:rPr>
          <w:lang w:val="en-GB"/>
        </w:rPr>
        <w:t>clinical practice, while accommodating the distinct activities of differing complexity levels</w:t>
      </w:r>
      <w:r w:rsidR="00F964DE">
        <w:rPr>
          <w:lang w:val="en-GB"/>
        </w:rPr>
        <w:t>.</w:t>
      </w:r>
    </w:p>
    <w:p w14:paraId="1BCB2828" w14:textId="77777777" w:rsidR="00581273" w:rsidRPr="00C33C0B" w:rsidRDefault="006D55C7" w:rsidP="006E5FB0">
      <w:pPr>
        <w:pStyle w:val="Bullet-green"/>
        <w:rPr>
          <w:lang w:val="en-GB"/>
        </w:rPr>
      </w:pPr>
      <w:r w:rsidRPr="00D90F3D">
        <w:t xml:space="preserve">The Committee </w:t>
      </w:r>
      <w:r w:rsidR="00922AA1">
        <w:t xml:space="preserve">has set a duration length of 5 minutes or less as the Committee considers there are attendances that can be completed in this time frame. </w:t>
      </w:r>
      <w:r w:rsidRPr="00D90F3D">
        <w:t xml:space="preserve">The Committee also noted that this would not exclude a person understanding the time brackets and asking for the full period of time if a clinician is rushing away or requesting to finish an attendance that they may be aware is drifting into a higher </w:t>
      </w:r>
      <w:r>
        <w:t>tier</w:t>
      </w:r>
      <w:r w:rsidRPr="00D90F3D">
        <w:t>.</w:t>
      </w:r>
      <w:r w:rsidR="00581273" w:rsidRPr="00C33C0B">
        <w:rPr>
          <w:lang w:val="en-GB"/>
        </w:rPr>
        <w:t xml:space="preserve"> </w:t>
      </w:r>
    </w:p>
    <w:p w14:paraId="5BD0537B" w14:textId="77777777" w:rsidR="00581273" w:rsidRPr="00C33C0B" w:rsidRDefault="00581273" w:rsidP="006E5FB0">
      <w:pPr>
        <w:pStyle w:val="Bullet-green"/>
        <w:rPr>
          <w:lang w:val="en-GB"/>
        </w:rPr>
      </w:pPr>
      <w:r w:rsidRPr="00C33C0B">
        <w:rPr>
          <w:lang w:val="en-GB"/>
        </w:rPr>
        <w:t>In addition, the introduction of time-tiered attendance items aims to:</w:t>
      </w:r>
    </w:p>
    <w:p w14:paraId="621F846D" w14:textId="77777777" w:rsidR="005B3ABE" w:rsidRDefault="005B3ABE">
      <w:pPr>
        <w:pStyle w:val="Bullet2"/>
      </w:pPr>
      <w:r w:rsidRPr="00C33C0B">
        <w:t>Reflect the work effort required for each attendance item</w:t>
      </w:r>
      <w:r w:rsidR="002215A8">
        <w:t>. E</w:t>
      </w:r>
      <w:r w:rsidRPr="00C33C0B">
        <w:t>vidence suggest</w:t>
      </w:r>
      <w:r w:rsidR="002215A8">
        <w:t>s</w:t>
      </w:r>
      <w:r w:rsidRPr="00C33C0B">
        <w:t xml:space="preserve"> that the duration of face-to-face patient attendances is </w:t>
      </w:r>
      <w:r w:rsidR="00CE6920">
        <w:t>indicative</w:t>
      </w:r>
      <w:r w:rsidR="00CE6920" w:rsidRPr="00C33C0B">
        <w:t xml:space="preserve"> </w:t>
      </w:r>
      <w:r w:rsidRPr="00C33C0B">
        <w:t>of the total amount of work performed in that attendance</w:t>
      </w:r>
      <w:r w:rsidR="007F3653">
        <w:t>.</w:t>
      </w:r>
    </w:p>
    <w:p w14:paraId="6E283544" w14:textId="77777777" w:rsidR="006D55C7" w:rsidRPr="00C33C0B" w:rsidRDefault="006D55C7" w:rsidP="00607BDA">
      <w:pPr>
        <w:pStyle w:val="Bullet2"/>
        <w:numPr>
          <w:ilvl w:val="0"/>
          <w:numId w:val="0"/>
        </w:numPr>
        <w:ind w:left="720"/>
      </w:pPr>
      <w:r w:rsidRPr="00DC2ED9">
        <w:t>An Australian study that examined 101,112 GP consultations and the relationship between consultation length, content and GP choice of attendance item demonstrated that GPs use both time and content when choosing item number, rather than relying only on specified time thresholds</w:t>
      </w:r>
      <w:sdt>
        <w:sdtPr>
          <w:id w:val="1776824164"/>
          <w:citation/>
        </w:sdtPr>
        <w:sdtContent>
          <w:r w:rsidR="00B85D72">
            <w:fldChar w:fldCharType="begin"/>
          </w:r>
          <w:r w:rsidR="00B85D72">
            <w:rPr>
              <w:lang w:val="en-AU"/>
            </w:rPr>
            <w:instrText xml:space="preserve"> CITATION Bri04 \l 3081 </w:instrText>
          </w:r>
          <w:r w:rsidR="00B85D72">
            <w:fldChar w:fldCharType="separate"/>
          </w:r>
          <w:r w:rsidR="00B85D72">
            <w:rPr>
              <w:noProof/>
              <w:lang w:val="en-AU"/>
            </w:rPr>
            <w:t xml:space="preserve"> </w:t>
          </w:r>
          <w:r w:rsidR="00B85D72" w:rsidRPr="00B85D72">
            <w:rPr>
              <w:noProof/>
              <w:lang w:val="en-AU"/>
            </w:rPr>
            <w:t>(3)</w:t>
          </w:r>
          <w:r w:rsidR="00B85D72">
            <w:fldChar w:fldCharType="end"/>
          </w:r>
        </w:sdtContent>
      </w:sdt>
      <w:r w:rsidRPr="00DC2ED9">
        <w:t xml:space="preserve">. The study found that the difference in consultation length </w:t>
      </w:r>
      <w:r>
        <w:t>between</w:t>
      </w:r>
      <w:r w:rsidRPr="00DC2ED9">
        <w:t xml:space="preserve"> Level B and Level C attendances was somewhat marginal, but that GPs </w:t>
      </w:r>
      <w:r>
        <w:t xml:space="preserve">were </w:t>
      </w:r>
      <w:r w:rsidRPr="00DC2ED9">
        <w:t>using both time and content appropriately when ch</w:t>
      </w:r>
      <w:r>
        <w:t>oosing attendance item numbers.</w:t>
      </w:r>
    </w:p>
    <w:p w14:paraId="17907295" w14:textId="77777777" w:rsidR="00541393" w:rsidRPr="00C33C0B" w:rsidRDefault="00541393">
      <w:pPr>
        <w:pStyle w:val="Bullet2"/>
      </w:pPr>
      <w:r w:rsidRPr="00C33C0B">
        <w:t>Enable consistent, high</w:t>
      </w:r>
      <w:r w:rsidR="00365539">
        <w:t>-</w:t>
      </w:r>
      <w:r w:rsidRPr="00C33C0B">
        <w:t xml:space="preserve">quality care by specifying both </w:t>
      </w:r>
      <w:r w:rsidR="00252FCB">
        <w:t xml:space="preserve">the </w:t>
      </w:r>
      <w:r w:rsidRPr="00C33C0B">
        <w:t xml:space="preserve">attendance </w:t>
      </w:r>
      <w:r w:rsidR="009513B7">
        <w:t>duration</w:t>
      </w:r>
      <w:r w:rsidR="00FD513E">
        <w:t xml:space="preserve"> required</w:t>
      </w:r>
      <w:r w:rsidRPr="00C33C0B">
        <w:t xml:space="preserve"> and</w:t>
      </w:r>
      <w:r w:rsidR="008304F8">
        <w:t xml:space="preserve"> </w:t>
      </w:r>
      <w:r w:rsidR="00FD513E">
        <w:t>recommended</w:t>
      </w:r>
      <w:r w:rsidRPr="00C33C0B">
        <w:t xml:space="preserve"> activities for each attendance item</w:t>
      </w:r>
      <w:r w:rsidR="00E85DA9">
        <w:t>.</w:t>
      </w:r>
    </w:p>
    <w:p w14:paraId="1B8881CB" w14:textId="77777777" w:rsidR="00541393" w:rsidRPr="00C33C0B" w:rsidRDefault="00622B51">
      <w:pPr>
        <w:pStyle w:val="Bullet2"/>
      </w:pPr>
      <w:r>
        <w:t xml:space="preserve">Encourage an </w:t>
      </w:r>
      <w:r w:rsidR="00541393" w:rsidRPr="00C33C0B">
        <w:t>approach to care</w:t>
      </w:r>
      <w:r>
        <w:t xml:space="preserve"> that emphasises </w:t>
      </w:r>
      <w:r w:rsidR="00541393" w:rsidRPr="00C33C0B">
        <w:t>shared decision-making, including discussion of available treatment options</w:t>
      </w:r>
      <w:r w:rsidR="00B64415">
        <w:t xml:space="preserve"> and pathways, costs, likely outcomes</w:t>
      </w:r>
      <w:r w:rsidR="007B533A">
        <w:t xml:space="preserve"> and informed consent.</w:t>
      </w:r>
    </w:p>
    <w:p w14:paraId="5EE7FD0B" w14:textId="77777777" w:rsidR="00045DD2" w:rsidRPr="00C33C0B" w:rsidRDefault="00757424">
      <w:pPr>
        <w:pStyle w:val="Bullet2"/>
      </w:pPr>
      <w:r>
        <w:t>Incorporate</w:t>
      </w:r>
      <w:r w:rsidRPr="00C33C0B">
        <w:t xml:space="preserve"> </w:t>
      </w:r>
      <w:r w:rsidR="0030069F" w:rsidRPr="00C33C0B">
        <w:t>attendance</w:t>
      </w:r>
      <w:r w:rsidR="00045DD2" w:rsidRPr="00C33C0B">
        <w:t xml:space="preserve"> </w:t>
      </w:r>
      <w:r w:rsidR="0030069F" w:rsidRPr="00C33C0B">
        <w:t>items created for exceptional circumstances</w:t>
      </w:r>
      <w:r w:rsidR="00731023">
        <w:t>—</w:t>
      </w:r>
      <w:r w:rsidR="0030069F" w:rsidRPr="00C33C0B">
        <w:t xml:space="preserve">often because the </w:t>
      </w:r>
      <w:r w:rsidR="00731023">
        <w:t>duration of the</w:t>
      </w:r>
      <w:r w:rsidR="0030069F" w:rsidRPr="00C33C0B">
        <w:t xml:space="preserve"> attendance </w:t>
      </w:r>
      <w:r w:rsidR="00731023">
        <w:t>is</w:t>
      </w:r>
      <w:r w:rsidR="00731023" w:rsidRPr="00C33C0B">
        <w:t xml:space="preserve"> </w:t>
      </w:r>
      <w:r w:rsidR="00D20840" w:rsidRPr="00C33C0B">
        <w:t>longer than for other specialtie</w:t>
      </w:r>
      <w:r w:rsidR="00731023">
        <w:t>s—</w:t>
      </w:r>
      <w:r w:rsidR="00045DD2" w:rsidRPr="00C33C0B">
        <w:t>into one simplified structure</w:t>
      </w:r>
      <w:r w:rsidR="00731023">
        <w:t>.</w:t>
      </w:r>
    </w:p>
    <w:p w14:paraId="04E386F6" w14:textId="77777777" w:rsidR="00581273" w:rsidRPr="00C33C0B" w:rsidRDefault="00581273">
      <w:pPr>
        <w:pStyle w:val="Bullet2"/>
      </w:pPr>
      <w:r w:rsidRPr="00C33C0B">
        <w:t xml:space="preserve">Simplify the attendance item schedule to enable more consistent billing to patients and more equitable </w:t>
      </w:r>
      <w:r w:rsidR="00B64415">
        <w:t xml:space="preserve">MBS reimbursements to patients for the services of </w:t>
      </w:r>
      <w:r w:rsidR="00AA329D">
        <w:t>consultant specialist</w:t>
      </w:r>
      <w:r w:rsidR="006219EB" w:rsidRPr="00C33C0B">
        <w:t>s</w:t>
      </w:r>
      <w:r w:rsidR="00111884">
        <w:t>.</w:t>
      </w:r>
    </w:p>
    <w:p w14:paraId="27BD376D" w14:textId="77777777" w:rsidR="00555E49" w:rsidRPr="00C33C0B" w:rsidRDefault="00555E49">
      <w:pPr>
        <w:pStyle w:val="Bullet2"/>
      </w:pPr>
      <w:r w:rsidRPr="00C33C0B">
        <w:t xml:space="preserve">Improve access to </w:t>
      </w:r>
      <w:r w:rsidR="00B450F7">
        <w:t>s</w:t>
      </w:r>
      <w:r w:rsidR="00D20840" w:rsidRPr="00C33C0B">
        <w:t>pecialists</w:t>
      </w:r>
      <w:r w:rsidRPr="00C33C0B">
        <w:t xml:space="preserve"> </w:t>
      </w:r>
      <w:r w:rsidR="00B450F7">
        <w:t>who</w:t>
      </w:r>
      <w:r w:rsidR="00B450F7" w:rsidRPr="00C33C0B">
        <w:t xml:space="preserve"> </w:t>
      </w:r>
      <w:r w:rsidRPr="00C33C0B">
        <w:t xml:space="preserve">are highly consultative but </w:t>
      </w:r>
      <w:r w:rsidR="00B64415">
        <w:t xml:space="preserve">whose patients </w:t>
      </w:r>
      <w:r w:rsidRPr="00C33C0B">
        <w:t xml:space="preserve">can currently only access A3 </w:t>
      </w:r>
      <w:r w:rsidR="00B83518">
        <w:t>s</w:t>
      </w:r>
      <w:r w:rsidRPr="00C33C0B">
        <w:t xml:space="preserve">pecialist </w:t>
      </w:r>
      <w:r w:rsidR="00B83518">
        <w:t>a</w:t>
      </w:r>
      <w:r w:rsidRPr="00C33C0B">
        <w:t>ttendance items</w:t>
      </w:r>
      <w:r w:rsidR="001817A3" w:rsidRPr="00C33C0B">
        <w:t xml:space="preserve"> </w:t>
      </w:r>
      <w:r w:rsidRPr="00C33C0B">
        <w:t>(</w:t>
      </w:r>
      <w:r w:rsidR="00D22998">
        <w:t>for example,</w:t>
      </w:r>
      <w:r w:rsidRPr="00C33C0B">
        <w:t xml:space="preserve"> sports</w:t>
      </w:r>
      <w:r w:rsidR="00D20840" w:rsidRPr="00C33C0B">
        <w:t xml:space="preserve"> and exercise</w:t>
      </w:r>
      <w:r w:rsidRPr="00C33C0B">
        <w:t xml:space="preserve"> medicine</w:t>
      </w:r>
      <w:r w:rsidR="00ED787B" w:rsidRPr="00C33C0B">
        <w:t>, dermatology</w:t>
      </w:r>
      <w:r w:rsidRPr="00C33C0B">
        <w:t>)</w:t>
      </w:r>
      <w:r w:rsidR="00EE6475">
        <w:t>.</w:t>
      </w:r>
    </w:p>
    <w:p w14:paraId="210422F2" w14:textId="77777777" w:rsidR="00581273" w:rsidRDefault="00581273">
      <w:pPr>
        <w:pStyle w:val="Bullet2"/>
      </w:pPr>
      <w:r w:rsidRPr="00C33C0B">
        <w:t xml:space="preserve">Reduce </w:t>
      </w:r>
      <w:r w:rsidR="00622B51">
        <w:t>the</w:t>
      </w:r>
      <w:r w:rsidR="000A7FE0" w:rsidRPr="00C33C0B">
        <w:t xml:space="preserve"> incentive</w:t>
      </w:r>
      <w:r w:rsidRPr="00C33C0B">
        <w:t xml:space="preserve"> to </w:t>
      </w:r>
      <w:r w:rsidR="007754FB" w:rsidRPr="00C33C0B">
        <w:t xml:space="preserve">inconsistently </w:t>
      </w:r>
      <w:r w:rsidR="00B64415">
        <w:t>itemise</w:t>
      </w:r>
      <w:r w:rsidR="00B64415" w:rsidRPr="00C33C0B">
        <w:t xml:space="preserve"> </w:t>
      </w:r>
      <w:r w:rsidRPr="00C33C0B">
        <w:t xml:space="preserve">initial attendances by </w:t>
      </w:r>
      <w:r w:rsidR="00B64415">
        <w:t xml:space="preserve">providing rebates to patients of </w:t>
      </w:r>
      <w:r w:rsidRPr="00C33C0B">
        <w:t>p</w:t>
      </w:r>
      <w:r w:rsidR="007754FB" w:rsidRPr="00C33C0B">
        <w:t xml:space="preserve">hysicians for longer attendances </w:t>
      </w:r>
      <w:r w:rsidRPr="00C33C0B">
        <w:t>and discussion of availab</w:t>
      </w:r>
      <w:r w:rsidR="00EE0C69" w:rsidRPr="00C33C0B">
        <w:t>le treatment options</w:t>
      </w:r>
      <w:r w:rsidR="00F02610">
        <w:t>.</w:t>
      </w:r>
      <w:r w:rsidR="006D55C7">
        <w:t xml:space="preserve"> </w:t>
      </w:r>
    </w:p>
    <w:p w14:paraId="36BD694B" w14:textId="77777777" w:rsidR="006D55C7" w:rsidRDefault="006D55C7">
      <w:pPr>
        <w:pStyle w:val="Bullet2"/>
      </w:pPr>
      <w:r>
        <w:t>For example, the U</w:t>
      </w:r>
      <w:r w:rsidRPr="00EE0C69">
        <w:t xml:space="preserve">rology </w:t>
      </w:r>
      <w:r>
        <w:t>Clinical C</w:t>
      </w:r>
      <w:r w:rsidRPr="00EE0C69">
        <w:t xml:space="preserve">ommittee </w:t>
      </w:r>
      <w:r>
        <w:t xml:space="preserve">has </w:t>
      </w:r>
      <w:r w:rsidR="00B64415">
        <w:t xml:space="preserve">identified the benefits of longer consultations for patients with prostate cancer </w:t>
      </w:r>
      <w:r>
        <w:t xml:space="preserve">to give </w:t>
      </w:r>
      <w:r w:rsidRPr="00EE0C69">
        <w:t xml:space="preserve">a </w:t>
      </w:r>
      <w:r>
        <w:t>full</w:t>
      </w:r>
      <w:r w:rsidRPr="00EE0C69">
        <w:t xml:space="preserve"> explanation of </w:t>
      </w:r>
      <w:r w:rsidR="00BA5E14">
        <w:t xml:space="preserve">the </w:t>
      </w:r>
      <w:r w:rsidRPr="00EE0C69">
        <w:t xml:space="preserve">treatment options </w:t>
      </w:r>
      <w:r>
        <w:t>available</w:t>
      </w:r>
      <w:r w:rsidR="00BA5E14">
        <w:t xml:space="preserve">. </w:t>
      </w:r>
    </w:p>
    <w:p w14:paraId="1B7D31BF" w14:textId="77777777" w:rsidR="003C6FAA" w:rsidRDefault="003C6FAA" w:rsidP="003C6FAA">
      <w:pPr>
        <w:pStyle w:val="Bullet-green"/>
      </w:pPr>
      <w:r>
        <w:t>The Committee recommends keeping prolonged attendance items</w:t>
      </w:r>
      <w:r w:rsidR="00DC7CCD">
        <w:t xml:space="preserve"> unchanged</w:t>
      </w:r>
      <w:r>
        <w:t xml:space="preserve"> (Group A5, items 160-164) as these items are for attendances from one to five hours (longer than the recommended time tiers) and are for specific clinical scenarios.</w:t>
      </w:r>
    </w:p>
    <w:p w14:paraId="2CEA3B83" w14:textId="77777777" w:rsidR="00E5557E" w:rsidRDefault="00A23801" w:rsidP="00B20C96">
      <w:pPr>
        <w:pStyle w:val="Bullet-green"/>
      </w:pPr>
      <w:r>
        <w:t>T</w:t>
      </w:r>
      <w:r w:rsidRPr="001B05B0">
        <w:t xml:space="preserve">he Committee </w:t>
      </w:r>
      <w:r>
        <w:t>recognises</w:t>
      </w:r>
      <w:r w:rsidRPr="00445975">
        <w:t xml:space="preserve"> </w:t>
      </w:r>
      <w:r>
        <w:t xml:space="preserve">that </w:t>
      </w:r>
      <w:r>
        <w:rPr>
          <w:lang w:val="en-GB" w:eastAsia="en-US"/>
        </w:rPr>
        <w:t xml:space="preserve">schedule fees </w:t>
      </w:r>
      <w:r>
        <w:t>for attendance items take non-patient-</w:t>
      </w:r>
      <w:r w:rsidRPr="00445975">
        <w:t>facing time</w:t>
      </w:r>
      <w:r>
        <w:t xml:space="preserve"> into account.</w:t>
      </w:r>
      <w:r w:rsidRPr="00445975">
        <w:t xml:space="preserve"> </w:t>
      </w:r>
      <w:r>
        <w:t xml:space="preserve">This may include making notes, accessing results or contacting peers. </w:t>
      </w:r>
    </w:p>
    <w:p w14:paraId="30F9E33D" w14:textId="77777777" w:rsidR="00A23801" w:rsidRDefault="00A23801" w:rsidP="00B20C96">
      <w:pPr>
        <w:pStyle w:val="Bullet-green"/>
      </w:pPr>
      <w:r>
        <w:t>The methodology for calculating</w:t>
      </w:r>
      <w:r w:rsidRPr="00445975">
        <w:t xml:space="preserve"> </w:t>
      </w:r>
      <w:r>
        <w:t xml:space="preserve">schedule </w:t>
      </w:r>
      <w:r w:rsidRPr="00445975">
        <w:t xml:space="preserve">fees is outside </w:t>
      </w:r>
      <w:r>
        <w:t>the scope of the</w:t>
      </w:r>
      <w:r w:rsidRPr="00445975">
        <w:t xml:space="preserve"> Committee.</w:t>
      </w:r>
    </w:p>
    <w:p w14:paraId="7D8F5C0B" w14:textId="77777777" w:rsidR="000207BA" w:rsidRDefault="006D55C7" w:rsidP="00B20C96">
      <w:pPr>
        <w:pStyle w:val="Bullet-green"/>
      </w:pPr>
      <w:r>
        <w:t>Non-patient-facing time should not contribute to the duration of the attendance</w:t>
      </w:r>
      <w:r w:rsidR="00E5557E">
        <w:t>. However,</w:t>
      </w:r>
      <w:r>
        <w:t xml:space="preserve"> </w:t>
      </w:r>
      <w:r w:rsidR="00E5557E">
        <w:t xml:space="preserve">non-patient facing time should be implicitly included in the </w:t>
      </w:r>
      <w:r>
        <w:t xml:space="preserve">calculation of </w:t>
      </w:r>
      <w:r w:rsidRPr="00923113">
        <w:t>schedule fees for attendance items</w:t>
      </w:r>
      <w:r>
        <w:t xml:space="preserve">. </w:t>
      </w:r>
      <w:r w:rsidR="000207BA">
        <w:t>T</w:t>
      </w:r>
      <w:r w:rsidR="000207BA" w:rsidRPr="00CD6819">
        <w:t xml:space="preserve">he Committee notes that this does not account for differences in non-patient-facing time between specialties, and that </w:t>
      </w:r>
      <w:r w:rsidR="00BA5E14">
        <w:t>clinicians</w:t>
      </w:r>
      <w:r w:rsidR="00BA5E14" w:rsidRPr="00CD6819">
        <w:t xml:space="preserve"> </w:t>
      </w:r>
      <w:r w:rsidR="000207BA" w:rsidRPr="00CD6819">
        <w:t xml:space="preserve">do not always </w:t>
      </w:r>
      <w:r w:rsidR="00BA5E14">
        <w:t>explain</w:t>
      </w:r>
      <w:r w:rsidR="000930A7">
        <w:t xml:space="preserve"> or discuss</w:t>
      </w:r>
      <w:r w:rsidR="00BA5E14">
        <w:t xml:space="preserve"> with consumers the </w:t>
      </w:r>
      <w:r w:rsidR="00AD6FDD">
        <w:t>need for</w:t>
      </w:r>
      <w:r w:rsidR="00BA5E14">
        <w:t>,</w:t>
      </w:r>
      <w:r w:rsidR="00AD6FDD">
        <w:t xml:space="preserve"> or cost of</w:t>
      </w:r>
      <w:r w:rsidR="00BA5E14">
        <w:t>,</w:t>
      </w:r>
      <w:r w:rsidR="00AD6FDD">
        <w:t xml:space="preserve"> </w:t>
      </w:r>
      <w:r w:rsidR="000207BA" w:rsidRPr="00CD6819">
        <w:t>the non-patient-facing component of attendances.</w:t>
      </w:r>
    </w:p>
    <w:p w14:paraId="7FCB1DBC" w14:textId="77777777" w:rsidR="00006116" w:rsidRPr="00607BDA" w:rsidRDefault="00006116" w:rsidP="00607BDA">
      <w:pPr>
        <w:pStyle w:val="Heading3"/>
      </w:pPr>
      <w:bookmarkStart w:id="130" w:name="_Toc67952211"/>
      <w:r>
        <w:t>Alternative</w:t>
      </w:r>
      <w:r w:rsidRPr="00C33C0B">
        <w:t xml:space="preserve"> options to time</w:t>
      </w:r>
      <w:r>
        <w:t>-</w:t>
      </w:r>
      <w:r w:rsidRPr="00C33C0B">
        <w:t>tiering</w:t>
      </w:r>
      <w:bookmarkEnd w:id="130"/>
      <w:r w:rsidRPr="00607BDA">
        <w:t xml:space="preserve"> </w:t>
      </w:r>
    </w:p>
    <w:p w14:paraId="2E40AC5C" w14:textId="77777777" w:rsidR="003624B5" w:rsidRPr="00C33C0B" w:rsidRDefault="003624B5" w:rsidP="003624B5">
      <w:pPr>
        <w:pStyle w:val="Bullet-green"/>
        <w:numPr>
          <w:ilvl w:val="0"/>
          <w:numId w:val="0"/>
        </w:numPr>
        <w:rPr>
          <w:lang w:val="en-GB"/>
        </w:rPr>
      </w:pPr>
      <w:r w:rsidRPr="00C33C0B">
        <w:rPr>
          <w:lang w:val="en-GB"/>
        </w:rPr>
        <w:t>The Committee considered introducing three levels of attendance items</w:t>
      </w:r>
      <w:r>
        <w:rPr>
          <w:lang w:val="en-GB"/>
        </w:rPr>
        <w:t>,</w:t>
      </w:r>
      <w:r w:rsidRPr="00C33C0B">
        <w:rPr>
          <w:lang w:val="en-GB"/>
        </w:rPr>
        <w:t xml:space="preserve"> based on the proportion of MBS income derived from attendance items (with Level 1 receiving the lowest </w:t>
      </w:r>
      <w:r>
        <w:rPr>
          <w:lang w:val="en-GB"/>
        </w:rPr>
        <w:t>schedule fee</w:t>
      </w:r>
      <w:r w:rsidRPr="00C33C0B">
        <w:rPr>
          <w:lang w:val="en-GB"/>
        </w:rPr>
        <w:t>):</w:t>
      </w:r>
    </w:p>
    <w:p w14:paraId="02211107" w14:textId="77777777" w:rsidR="003624B5" w:rsidRPr="00C33C0B" w:rsidRDefault="003624B5">
      <w:pPr>
        <w:pStyle w:val="Bullet-green"/>
      </w:pPr>
      <w:r w:rsidRPr="00C33C0B">
        <w:t>Level 1: Less than 40</w:t>
      </w:r>
      <w:r>
        <w:t xml:space="preserve"> per cent of</w:t>
      </w:r>
      <w:r w:rsidRPr="00C33C0B">
        <w:t xml:space="preserve"> income derived from attendances</w:t>
      </w:r>
      <w:r>
        <w:t>.</w:t>
      </w:r>
    </w:p>
    <w:p w14:paraId="4996F795" w14:textId="77777777" w:rsidR="003624B5" w:rsidRPr="00C33C0B" w:rsidRDefault="003624B5">
      <w:pPr>
        <w:pStyle w:val="Bullet-green"/>
      </w:pPr>
      <w:r w:rsidRPr="00C33C0B">
        <w:t>Level 2: Between 40</w:t>
      </w:r>
      <w:r>
        <w:t xml:space="preserve"> and </w:t>
      </w:r>
      <w:r w:rsidRPr="00C33C0B">
        <w:t>65</w:t>
      </w:r>
      <w:r>
        <w:t xml:space="preserve"> per cent</w:t>
      </w:r>
      <w:r w:rsidRPr="00C33C0B">
        <w:t xml:space="preserve"> of income derived from attendances</w:t>
      </w:r>
      <w:r>
        <w:t>.</w:t>
      </w:r>
    </w:p>
    <w:p w14:paraId="3FA4F842" w14:textId="77777777" w:rsidR="003624B5" w:rsidRPr="00C33C0B" w:rsidRDefault="003624B5">
      <w:pPr>
        <w:pStyle w:val="Bullet-green"/>
      </w:pPr>
      <w:r w:rsidRPr="00C33C0B">
        <w:t>Level 3: More than 65</w:t>
      </w:r>
      <w:r>
        <w:t xml:space="preserve"> per cent </w:t>
      </w:r>
      <w:r w:rsidRPr="00C33C0B">
        <w:t>of income derived from attendances</w:t>
      </w:r>
      <w:r>
        <w:t>.</w:t>
      </w:r>
    </w:p>
    <w:p w14:paraId="36D4C063" w14:textId="77777777" w:rsidR="003624B5" w:rsidRPr="00C33C0B" w:rsidRDefault="003624B5" w:rsidP="003624B5">
      <w:pPr>
        <w:pStyle w:val="Bullet-green"/>
        <w:numPr>
          <w:ilvl w:val="0"/>
          <w:numId w:val="0"/>
        </w:numPr>
        <w:ind w:left="431" w:hanging="431"/>
        <w:rPr>
          <w:lang w:val="en-GB"/>
        </w:rPr>
      </w:pPr>
      <w:r w:rsidRPr="00C33C0B">
        <w:rPr>
          <w:lang w:val="en-GB"/>
        </w:rPr>
        <w:t>The Committee did not endorse this approach for the following reasons:</w:t>
      </w:r>
    </w:p>
    <w:p w14:paraId="1AE56996" w14:textId="77777777" w:rsidR="003624B5" w:rsidRPr="00607BDA" w:rsidRDefault="003624B5">
      <w:pPr>
        <w:pStyle w:val="Bullet-green"/>
      </w:pPr>
      <w:r w:rsidRPr="00607BDA">
        <w:t>Specialist groups would need to be categorised based on MBS income derived from attendance items at a single point in time, meaning that future changes in clinical practice would not be reflected in the model.</w:t>
      </w:r>
    </w:p>
    <w:p w14:paraId="6E106E3D" w14:textId="77777777" w:rsidR="003624B5" w:rsidRPr="00006116" w:rsidRDefault="003624B5">
      <w:pPr>
        <w:pStyle w:val="Bullet-green"/>
      </w:pPr>
      <w:r w:rsidRPr="00006116">
        <w:t>There are large sub-specialty differences in use of attendance items and this approach would not accurately reflect the distinct and variable differences across sub-specialties.</w:t>
      </w:r>
    </w:p>
    <w:p w14:paraId="076216B2" w14:textId="77777777" w:rsidR="003624B5" w:rsidRPr="00006116" w:rsidRDefault="003624B5">
      <w:pPr>
        <w:pStyle w:val="Bullet-green"/>
      </w:pPr>
      <w:r w:rsidRPr="00006116">
        <w:t>Such a system is not clear or defensible to consumers, to whom MBS payments are made.</w:t>
      </w:r>
    </w:p>
    <w:p w14:paraId="590D59F1" w14:textId="77777777" w:rsidR="00472A1E" w:rsidRPr="00C33C0B" w:rsidRDefault="00472A1E" w:rsidP="003C5D5A">
      <w:pPr>
        <w:pStyle w:val="Heading2"/>
      </w:pPr>
      <w:bookmarkStart w:id="131" w:name="_Toc67952212"/>
      <w:bookmarkStart w:id="132" w:name="_Hlk529009374"/>
      <w:bookmarkEnd w:id="106"/>
      <w:r w:rsidRPr="00C33C0B">
        <w:t>Recommendation 2</w:t>
      </w:r>
      <w:r w:rsidR="00052ADF">
        <w:t xml:space="preserve"> – Introduce new attendance items for acute, urgent and unplanned attendances</w:t>
      </w:r>
      <w:bookmarkEnd w:id="131"/>
    </w:p>
    <w:p w14:paraId="704063FD" w14:textId="77777777" w:rsidR="00052ADF" w:rsidRDefault="00052ADF" w:rsidP="00052ADF">
      <w:pPr>
        <w:pStyle w:val="Bullet-green"/>
        <w:numPr>
          <w:ilvl w:val="0"/>
          <w:numId w:val="0"/>
        </w:numPr>
        <w:ind w:left="431" w:hanging="431"/>
        <w:rPr>
          <w:lang w:val="en-GB"/>
        </w:rPr>
      </w:pPr>
      <w:r>
        <w:rPr>
          <w:lang w:val="en-GB"/>
        </w:rPr>
        <w:t>The Committee recommends:</w:t>
      </w:r>
    </w:p>
    <w:p w14:paraId="7148E142" w14:textId="77777777" w:rsidR="00472A1E" w:rsidRDefault="00052ADF" w:rsidP="000831A1">
      <w:pPr>
        <w:pStyle w:val="Bullet-green"/>
        <w:numPr>
          <w:ilvl w:val="0"/>
          <w:numId w:val="65"/>
        </w:numPr>
        <w:rPr>
          <w:lang w:val="en-GB"/>
        </w:rPr>
      </w:pPr>
      <w:r>
        <w:rPr>
          <w:lang w:val="en-GB"/>
        </w:rPr>
        <w:t>c</w:t>
      </w:r>
      <w:r w:rsidR="00472A1E">
        <w:rPr>
          <w:lang w:val="en-GB"/>
        </w:rPr>
        <w:t>reat</w:t>
      </w:r>
      <w:r>
        <w:rPr>
          <w:lang w:val="en-GB"/>
        </w:rPr>
        <w:t>ing</w:t>
      </w:r>
      <w:r w:rsidR="00472A1E" w:rsidRPr="00C33C0B">
        <w:rPr>
          <w:lang w:val="en-GB"/>
        </w:rPr>
        <w:t xml:space="preserve"> </w:t>
      </w:r>
      <w:r w:rsidR="00472A1E">
        <w:rPr>
          <w:lang w:val="en-GB"/>
        </w:rPr>
        <w:t xml:space="preserve">four </w:t>
      </w:r>
      <w:r w:rsidR="00472A1E" w:rsidRPr="00C33C0B">
        <w:rPr>
          <w:lang w:val="en-GB"/>
        </w:rPr>
        <w:t xml:space="preserve">new </w:t>
      </w:r>
      <w:r w:rsidR="00472A1E">
        <w:rPr>
          <w:lang w:val="en-GB"/>
        </w:rPr>
        <w:t>time</w:t>
      </w:r>
      <w:r w:rsidR="00E15B86">
        <w:rPr>
          <w:lang w:val="en-GB"/>
        </w:rPr>
        <w:t>-</w:t>
      </w:r>
      <w:r w:rsidR="00472A1E">
        <w:rPr>
          <w:lang w:val="en-GB"/>
        </w:rPr>
        <w:t xml:space="preserve">tiered </w:t>
      </w:r>
      <w:r w:rsidR="00472A1E" w:rsidRPr="00C33C0B">
        <w:rPr>
          <w:lang w:val="en-GB"/>
        </w:rPr>
        <w:t>attendance item</w:t>
      </w:r>
      <w:r w:rsidR="00472A1E">
        <w:rPr>
          <w:lang w:val="en-GB"/>
        </w:rPr>
        <w:t>s for acute, urgent, and unplanned attendances</w:t>
      </w:r>
      <w:r w:rsidR="006549E9">
        <w:rPr>
          <w:lang w:val="en-GB"/>
        </w:rPr>
        <w:t xml:space="preserve">; </w:t>
      </w:r>
    </w:p>
    <w:p w14:paraId="13F6A707" w14:textId="77777777" w:rsidR="00472A1E" w:rsidRPr="00607BDA" w:rsidRDefault="00052ADF" w:rsidP="000831A1">
      <w:pPr>
        <w:pStyle w:val="Bullet-green"/>
        <w:numPr>
          <w:ilvl w:val="0"/>
          <w:numId w:val="65"/>
        </w:numPr>
        <w:rPr>
          <w:lang w:val="en-GB"/>
        </w:rPr>
      </w:pPr>
      <w:r>
        <w:rPr>
          <w:lang w:val="en-GB"/>
        </w:rPr>
        <w:t>sp</w:t>
      </w:r>
      <w:r w:rsidR="00472A1E" w:rsidRPr="00607BDA">
        <w:rPr>
          <w:lang w:val="en-GB"/>
        </w:rPr>
        <w:t>ecify</w:t>
      </w:r>
      <w:r>
        <w:rPr>
          <w:lang w:val="en-GB"/>
        </w:rPr>
        <w:t>ing</w:t>
      </w:r>
      <w:r w:rsidR="00472A1E" w:rsidRPr="00607BDA">
        <w:rPr>
          <w:lang w:val="en-GB"/>
        </w:rPr>
        <w:t xml:space="preserve"> that these items are only to be used in specific situations where the attendance is acute, urgent, unplanned, and does not take place in the consultant specialist’s consulting rooms or in the emergency department of a public hospital</w:t>
      </w:r>
      <w:r w:rsidR="006549E9">
        <w:rPr>
          <w:lang w:val="en-GB"/>
        </w:rPr>
        <w:t>;</w:t>
      </w:r>
      <w:r w:rsidR="00472A1E" w:rsidRPr="00607BDA">
        <w:rPr>
          <w:lang w:val="en-GB"/>
        </w:rPr>
        <w:t xml:space="preserve"> </w:t>
      </w:r>
    </w:p>
    <w:p w14:paraId="7872695E" w14:textId="77777777" w:rsidR="00472A1E" w:rsidRPr="00607BDA" w:rsidRDefault="00052ADF" w:rsidP="000831A1">
      <w:pPr>
        <w:pStyle w:val="Bullet-green"/>
        <w:numPr>
          <w:ilvl w:val="0"/>
          <w:numId w:val="65"/>
        </w:numPr>
        <w:rPr>
          <w:lang w:val="en-GB"/>
        </w:rPr>
      </w:pPr>
      <w:r>
        <w:rPr>
          <w:lang w:val="en-GB"/>
        </w:rPr>
        <w:t>s</w:t>
      </w:r>
      <w:r w:rsidR="00472A1E" w:rsidRPr="00607BDA">
        <w:rPr>
          <w:lang w:val="en-GB"/>
        </w:rPr>
        <w:t>pecify</w:t>
      </w:r>
      <w:r>
        <w:rPr>
          <w:lang w:val="en-GB"/>
        </w:rPr>
        <w:t>ing</w:t>
      </w:r>
      <w:r w:rsidR="00472A1E" w:rsidRPr="00607BDA">
        <w:rPr>
          <w:lang w:val="en-GB"/>
        </w:rPr>
        <w:t xml:space="preserve"> that the duration of these time tiers should be the same as Levels B, C, D, and E used for standard attendance items (</w:t>
      </w:r>
      <w:r w:rsidRPr="00607BDA">
        <w:rPr>
          <w:i/>
          <w:lang w:val="en-GB"/>
        </w:rPr>
        <w:t xml:space="preserve">refer to </w:t>
      </w:r>
      <w:r w:rsidR="00472A1E" w:rsidRPr="00607BDA">
        <w:rPr>
          <w:i/>
          <w:lang w:val="en-GB"/>
        </w:rPr>
        <w:t>Recommendation 1</w:t>
      </w:r>
      <w:r w:rsidR="00472A1E" w:rsidRPr="00607BDA">
        <w:rPr>
          <w:lang w:val="en-GB"/>
        </w:rPr>
        <w:t>)</w:t>
      </w:r>
      <w:r w:rsidR="006549E9">
        <w:rPr>
          <w:lang w:val="en-GB"/>
        </w:rPr>
        <w:t>;</w:t>
      </w:r>
    </w:p>
    <w:p w14:paraId="58413355" w14:textId="77777777" w:rsidR="00472A1E" w:rsidRPr="00C33C0B" w:rsidRDefault="00472A1E" w:rsidP="000831A1">
      <w:pPr>
        <w:pStyle w:val="Bullet-green"/>
        <w:numPr>
          <w:ilvl w:val="0"/>
          <w:numId w:val="65"/>
        </w:numPr>
        <w:rPr>
          <w:lang w:val="en-GB"/>
        </w:rPr>
      </w:pPr>
      <w:r w:rsidRPr="00C33C0B">
        <w:rPr>
          <w:lang w:val="en-GB"/>
        </w:rPr>
        <w:t>a schedule fee</w:t>
      </w:r>
      <w:r>
        <w:rPr>
          <w:lang w:val="en-GB"/>
        </w:rPr>
        <w:t xml:space="preserve"> for these items </w:t>
      </w:r>
      <w:r w:rsidR="00DC7CCD">
        <w:rPr>
          <w:lang w:val="en-GB"/>
        </w:rPr>
        <w:t xml:space="preserve">that is higher than the schedule fee for </w:t>
      </w:r>
      <w:r w:rsidR="0023319F">
        <w:rPr>
          <w:lang w:val="en-GB"/>
        </w:rPr>
        <w:t>standard time</w:t>
      </w:r>
      <w:r w:rsidR="00E15B86">
        <w:rPr>
          <w:lang w:val="en-GB"/>
        </w:rPr>
        <w:t>-</w:t>
      </w:r>
      <w:r w:rsidR="0023319F">
        <w:rPr>
          <w:lang w:val="en-GB"/>
        </w:rPr>
        <w:t xml:space="preserve">tiered </w:t>
      </w:r>
      <w:r w:rsidR="00DC7CCD">
        <w:rPr>
          <w:lang w:val="en-GB"/>
        </w:rPr>
        <w:t>attendances of equivalent duration</w:t>
      </w:r>
      <w:r w:rsidR="006549E9">
        <w:rPr>
          <w:lang w:val="en-GB"/>
        </w:rPr>
        <w:t>;</w:t>
      </w:r>
      <w:r w:rsidR="00052ADF">
        <w:rPr>
          <w:lang w:val="en-GB"/>
        </w:rPr>
        <w:t xml:space="preserve"> and</w:t>
      </w:r>
      <w:r w:rsidR="00466F00">
        <w:rPr>
          <w:lang w:val="en-GB"/>
        </w:rPr>
        <w:t xml:space="preserve"> </w:t>
      </w:r>
    </w:p>
    <w:p w14:paraId="585B2B34" w14:textId="77777777" w:rsidR="00472A1E" w:rsidRPr="00C33C0B" w:rsidRDefault="00052ADF" w:rsidP="000831A1">
      <w:pPr>
        <w:pStyle w:val="Bullet-green"/>
        <w:numPr>
          <w:ilvl w:val="0"/>
          <w:numId w:val="65"/>
        </w:numPr>
        <w:rPr>
          <w:lang w:val="en-GB"/>
        </w:rPr>
      </w:pPr>
      <w:r>
        <w:rPr>
          <w:lang w:val="en-GB"/>
        </w:rPr>
        <w:t>that t</w:t>
      </w:r>
      <w:r w:rsidR="00472A1E">
        <w:rPr>
          <w:lang w:val="en-GB"/>
        </w:rPr>
        <w:t>hese items</w:t>
      </w:r>
      <w:r w:rsidR="00472A1E" w:rsidRPr="00C33C0B">
        <w:rPr>
          <w:lang w:val="en-GB"/>
        </w:rPr>
        <w:t xml:space="preserve"> should </w:t>
      </w:r>
      <w:r w:rsidR="00472A1E">
        <w:rPr>
          <w:lang w:val="en-GB"/>
        </w:rPr>
        <w:t xml:space="preserve">be restricted from being </w:t>
      </w:r>
      <w:r w:rsidR="00472A1E" w:rsidRPr="00C33C0B">
        <w:rPr>
          <w:lang w:val="en-GB"/>
        </w:rPr>
        <w:t xml:space="preserve">claimed </w:t>
      </w:r>
      <w:r w:rsidR="00E15B86">
        <w:rPr>
          <w:lang w:val="en-GB"/>
        </w:rPr>
        <w:t>alongside</w:t>
      </w:r>
      <w:r w:rsidR="00E15B86" w:rsidRPr="00C33C0B">
        <w:rPr>
          <w:lang w:val="en-GB"/>
        </w:rPr>
        <w:t xml:space="preserve"> </w:t>
      </w:r>
      <w:r w:rsidR="00472A1E" w:rsidRPr="00C33C0B">
        <w:rPr>
          <w:lang w:val="en-GB"/>
        </w:rPr>
        <w:t>prolonged attendance item</w:t>
      </w:r>
      <w:r w:rsidR="00472A1E">
        <w:rPr>
          <w:lang w:val="en-GB"/>
        </w:rPr>
        <w:t xml:space="preserve">s 160-164 </w:t>
      </w:r>
      <w:r w:rsidR="00472A1E" w:rsidRPr="00C33C0B">
        <w:rPr>
          <w:lang w:val="en-GB"/>
        </w:rPr>
        <w:t>where the patient is in imminent danger of death.</w:t>
      </w:r>
    </w:p>
    <w:p w14:paraId="3C95563D" w14:textId="5091FE46" w:rsidR="00F13F89" w:rsidRDefault="003C7571" w:rsidP="003C7571">
      <w:pPr>
        <w:pStyle w:val="Caption"/>
      </w:pPr>
      <w:bookmarkStart w:id="133" w:name="_Toc529028297"/>
      <w:r>
        <w:t xml:space="preserve">Table </w:t>
      </w:r>
      <w:fldSimple w:instr=" SEQ Table \* ARABIC ">
        <w:r w:rsidR="00832059">
          <w:rPr>
            <w:noProof/>
          </w:rPr>
          <w:t>5</w:t>
        </w:r>
      </w:fldSimple>
      <w:r w:rsidR="00F13F89">
        <w:t xml:space="preserve">: </w:t>
      </w:r>
      <w:r w:rsidR="00F13F89" w:rsidRPr="00F13F89">
        <w:t>Acute attendance item descriptors</w:t>
      </w:r>
      <w:bookmarkEnd w:id="133"/>
    </w:p>
    <w:tbl>
      <w:tblPr>
        <w:tblStyle w:val="GridTable1Light"/>
        <w:tblW w:w="5000" w:type="pct"/>
        <w:tblLook w:val="04A0" w:firstRow="1" w:lastRow="0" w:firstColumn="1" w:lastColumn="0" w:noHBand="0" w:noVBand="1"/>
        <w:tblDescription w:val="Table 5 is a list of acute attendance item descriptors. This table contain 3 column table. Column 1 is the item. Column 2 is the duration of the item. Column 3 is the item descriptor. "/>
      </w:tblPr>
      <w:tblGrid>
        <w:gridCol w:w="641"/>
        <w:gridCol w:w="1027"/>
        <w:gridCol w:w="6634"/>
      </w:tblGrid>
      <w:tr w:rsidR="00472A1E" w:rsidRPr="00187EEE" w14:paraId="6680A381" w14:textId="77777777" w:rsidTr="00E33D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5" w:type="dxa"/>
          </w:tcPr>
          <w:p w14:paraId="481A2EA9" w14:textId="77777777" w:rsidR="00472A1E" w:rsidRPr="00187EEE" w:rsidRDefault="00472A1E" w:rsidP="00472A1E">
            <w:pPr>
              <w:spacing w:before="20" w:after="20"/>
              <w:rPr>
                <w:bCs w:val="0"/>
                <w:szCs w:val="22"/>
                <w:lang w:val="en-GB"/>
              </w:rPr>
            </w:pPr>
            <w:r w:rsidRPr="00187EEE">
              <w:rPr>
                <w:bCs w:val="0"/>
                <w:szCs w:val="22"/>
                <w:lang w:val="en-GB"/>
              </w:rPr>
              <w:t>Item</w:t>
            </w:r>
          </w:p>
        </w:tc>
        <w:tc>
          <w:tcPr>
            <w:tcW w:w="874" w:type="dxa"/>
          </w:tcPr>
          <w:p w14:paraId="2F7CF4B1" w14:textId="77777777" w:rsidR="00472A1E" w:rsidRPr="00187EEE" w:rsidRDefault="00472A1E" w:rsidP="00472A1E">
            <w:pPr>
              <w:spacing w:before="20" w:after="20"/>
              <w:cnfStyle w:val="100000000000" w:firstRow="1" w:lastRow="0" w:firstColumn="0" w:lastColumn="0" w:oddVBand="0" w:evenVBand="0" w:oddHBand="0" w:evenHBand="0" w:firstRowFirstColumn="0" w:firstRowLastColumn="0" w:lastRowFirstColumn="0" w:lastRowLastColumn="0"/>
              <w:rPr>
                <w:bCs w:val="0"/>
                <w:szCs w:val="22"/>
                <w:lang w:val="en-GB"/>
              </w:rPr>
            </w:pPr>
            <w:r w:rsidRPr="00187EEE">
              <w:rPr>
                <w:bCs w:val="0"/>
                <w:szCs w:val="22"/>
                <w:lang w:val="en-GB"/>
              </w:rPr>
              <w:t>Duration</w:t>
            </w:r>
          </w:p>
        </w:tc>
        <w:tc>
          <w:tcPr>
            <w:tcW w:w="6879" w:type="dxa"/>
          </w:tcPr>
          <w:p w14:paraId="67C40855" w14:textId="77777777" w:rsidR="00472A1E" w:rsidRPr="00187EEE" w:rsidRDefault="00472A1E" w:rsidP="00472A1E">
            <w:pPr>
              <w:spacing w:before="20" w:after="20"/>
              <w:cnfStyle w:val="100000000000" w:firstRow="1" w:lastRow="0" w:firstColumn="0" w:lastColumn="0" w:oddVBand="0" w:evenVBand="0" w:oddHBand="0" w:evenHBand="0" w:firstRowFirstColumn="0" w:firstRowLastColumn="0" w:lastRowFirstColumn="0" w:lastRowLastColumn="0"/>
              <w:rPr>
                <w:bCs w:val="0"/>
                <w:szCs w:val="22"/>
                <w:lang w:val="en-GB"/>
              </w:rPr>
            </w:pPr>
            <w:r w:rsidRPr="00187EEE">
              <w:rPr>
                <w:bCs w:val="0"/>
                <w:szCs w:val="22"/>
                <w:lang w:val="en-GB"/>
              </w:rPr>
              <w:t xml:space="preserve">Item descriptor </w:t>
            </w:r>
          </w:p>
        </w:tc>
      </w:tr>
      <w:tr w:rsidR="00472A1E" w:rsidRPr="00C33C0B" w14:paraId="730CADD9" w14:textId="77777777" w:rsidTr="0030327D">
        <w:tc>
          <w:tcPr>
            <w:cnfStyle w:val="001000000000" w:firstRow="0" w:lastRow="0" w:firstColumn="1" w:lastColumn="0" w:oddVBand="0" w:evenVBand="0" w:oddHBand="0" w:evenHBand="0" w:firstRowFirstColumn="0" w:firstRowLastColumn="0" w:lastRowFirstColumn="0" w:lastRowLastColumn="0"/>
            <w:tcW w:w="615" w:type="dxa"/>
          </w:tcPr>
          <w:p w14:paraId="700D8B04" w14:textId="77777777" w:rsidR="00472A1E" w:rsidRPr="00FB4BB4" w:rsidRDefault="00472A1E" w:rsidP="00FB4BB4">
            <w:r w:rsidRPr="00FB4BB4">
              <w:t>XY1</w:t>
            </w:r>
          </w:p>
        </w:tc>
        <w:tc>
          <w:tcPr>
            <w:tcW w:w="874" w:type="dxa"/>
          </w:tcPr>
          <w:p w14:paraId="529AFBA8" w14:textId="77777777" w:rsidR="00472A1E" w:rsidRPr="00C33C0B" w:rsidRDefault="00472A1E" w:rsidP="00472A1E">
            <w:pPr>
              <w:spacing w:before="20" w:after="20"/>
              <w:cnfStyle w:val="000000000000" w:firstRow="0" w:lastRow="0" w:firstColumn="0" w:lastColumn="0" w:oddVBand="0" w:evenVBand="0" w:oddHBand="0" w:evenHBand="0" w:firstRowFirstColumn="0" w:firstRowLastColumn="0" w:lastRowFirstColumn="0" w:lastRowLastColumn="0"/>
              <w:rPr>
                <w:bCs/>
                <w:lang w:val="en-GB"/>
              </w:rPr>
            </w:pPr>
            <w:r>
              <w:rPr>
                <w:bCs/>
                <w:lang w:val="en-GB"/>
              </w:rPr>
              <w:t>5-20 minutes</w:t>
            </w:r>
          </w:p>
        </w:tc>
        <w:tc>
          <w:tcPr>
            <w:tcW w:w="6879" w:type="dxa"/>
            <w:vMerge w:val="restart"/>
          </w:tcPr>
          <w:p w14:paraId="1EB548C1" w14:textId="77777777" w:rsidR="00472A1E" w:rsidRPr="00C33C0B" w:rsidRDefault="00472A1E" w:rsidP="00472A1E">
            <w:p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 xml:space="preserve">Professional attendance </w:t>
            </w:r>
            <w:r>
              <w:rPr>
                <w:bCs/>
                <w:lang w:val="en-GB"/>
              </w:rPr>
              <w:t xml:space="preserve">of more than [X] minutes but not more than [X] minutes </w:t>
            </w:r>
            <w:r w:rsidRPr="00C33C0B">
              <w:rPr>
                <w:bCs/>
                <w:lang w:val="en-GB"/>
              </w:rPr>
              <w:t xml:space="preserve">by a </w:t>
            </w:r>
            <w:r>
              <w:rPr>
                <w:bCs/>
                <w:lang w:val="en-GB"/>
              </w:rPr>
              <w:t xml:space="preserve">consultant specialist that is acute, </w:t>
            </w:r>
            <w:r w:rsidRPr="00C33C0B">
              <w:rPr>
                <w:bCs/>
                <w:lang w:val="en-GB"/>
              </w:rPr>
              <w:t>urgent,</w:t>
            </w:r>
            <w:r>
              <w:rPr>
                <w:bCs/>
                <w:lang w:val="en-GB"/>
              </w:rPr>
              <w:t xml:space="preserve"> unplanned, and </w:t>
            </w:r>
            <w:r w:rsidRPr="002E7957">
              <w:rPr>
                <w:bCs/>
                <w:lang w:val="en-GB"/>
              </w:rPr>
              <w:t>does not take place in consulting rooms or in the emergency department of a public hospital</w:t>
            </w:r>
            <w:r>
              <w:rPr>
                <w:bCs/>
                <w:lang w:val="en-GB"/>
              </w:rPr>
              <w:t xml:space="preserve">, and where </w:t>
            </w:r>
            <w:r w:rsidRPr="00C33C0B">
              <w:rPr>
                <w:bCs/>
                <w:lang w:val="en-GB"/>
              </w:rPr>
              <w:t>the patient is:</w:t>
            </w:r>
          </w:p>
          <w:p w14:paraId="2BB4DD18" w14:textId="77777777" w:rsidR="00472A1E" w:rsidRPr="00C33C0B" w:rsidRDefault="00472A1E" w:rsidP="000831A1">
            <w:pPr>
              <w:pStyle w:val="ListParagraph"/>
              <w:numPr>
                <w:ilvl w:val="0"/>
                <w:numId w:val="21"/>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at risk of serious morbidity or mortality requiring urgent assessment and resuscitation; or</w:t>
            </w:r>
          </w:p>
          <w:p w14:paraId="5492B869" w14:textId="77777777" w:rsidR="00472A1E" w:rsidRPr="00C33C0B" w:rsidRDefault="00472A1E" w:rsidP="000831A1">
            <w:pPr>
              <w:pStyle w:val="ListParagraph"/>
              <w:numPr>
                <w:ilvl w:val="0"/>
                <w:numId w:val="21"/>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from suspected acute organ or system failure; or</w:t>
            </w:r>
          </w:p>
          <w:p w14:paraId="1BB9740E" w14:textId="77777777" w:rsidR="00472A1E" w:rsidRPr="00C33C0B" w:rsidRDefault="00472A1E" w:rsidP="000831A1">
            <w:pPr>
              <w:pStyle w:val="ListParagraph"/>
              <w:numPr>
                <w:ilvl w:val="0"/>
                <w:numId w:val="21"/>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from an illness or injury where the viability or function of a body part or organ is acutely threatened; or</w:t>
            </w:r>
          </w:p>
          <w:p w14:paraId="34A603BF" w14:textId="77777777" w:rsidR="00472A1E" w:rsidRPr="00C33C0B" w:rsidRDefault="00472A1E" w:rsidP="000831A1">
            <w:pPr>
              <w:pStyle w:val="ListParagraph"/>
              <w:numPr>
                <w:ilvl w:val="0"/>
                <w:numId w:val="21"/>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from a potentially life-threatening complication of an infection (i.e., sepsis)</w:t>
            </w:r>
          </w:p>
          <w:p w14:paraId="5FEA74E0" w14:textId="77777777" w:rsidR="00472A1E" w:rsidRPr="00C33C0B" w:rsidRDefault="00472A1E" w:rsidP="000831A1">
            <w:pPr>
              <w:pStyle w:val="ListParagraph"/>
              <w:numPr>
                <w:ilvl w:val="0"/>
                <w:numId w:val="21"/>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from a drug overdose, toxic substance or toxin effect; or</w:t>
            </w:r>
          </w:p>
          <w:p w14:paraId="4092A1F2" w14:textId="77777777" w:rsidR="00472A1E" w:rsidRPr="00C33C0B" w:rsidRDefault="00472A1E" w:rsidP="000831A1">
            <w:pPr>
              <w:pStyle w:val="ListParagraph"/>
              <w:numPr>
                <w:ilvl w:val="0"/>
                <w:numId w:val="21"/>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experiencing severe psychiatric disturbance whereby the health of the patient or other people is at immediate risk; or</w:t>
            </w:r>
          </w:p>
          <w:p w14:paraId="545BA252" w14:textId="77777777" w:rsidR="00472A1E" w:rsidRPr="00C33C0B" w:rsidRDefault="00472A1E" w:rsidP="000831A1">
            <w:pPr>
              <w:pStyle w:val="ListParagraph"/>
              <w:numPr>
                <w:ilvl w:val="0"/>
                <w:numId w:val="21"/>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acute severe pain where the viability or function of a body part or organ is suspected to be acutely threatened; or</w:t>
            </w:r>
          </w:p>
          <w:p w14:paraId="5A6F02B9" w14:textId="77777777" w:rsidR="00472A1E" w:rsidRPr="00C33C0B" w:rsidRDefault="00472A1E" w:rsidP="000831A1">
            <w:pPr>
              <w:pStyle w:val="ListParagraph"/>
              <w:numPr>
                <w:ilvl w:val="0"/>
                <w:numId w:val="21"/>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acute significant haemorrhage requiring urgent assessment and treatment</w:t>
            </w:r>
          </w:p>
          <w:p w14:paraId="6FC8525D" w14:textId="77777777" w:rsidR="00472A1E" w:rsidRPr="00C33C0B" w:rsidRDefault="00472A1E" w:rsidP="00472A1E">
            <w:p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Not to be claimed with prolonged attendance items 160, 161, 162, 163, or 164</w:t>
            </w:r>
            <w:r>
              <w:rPr>
                <w:bCs/>
                <w:lang w:val="en-GB"/>
              </w:rPr>
              <w:t xml:space="preserve"> </w:t>
            </w:r>
          </w:p>
        </w:tc>
      </w:tr>
      <w:bookmarkEnd w:id="132"/>
      <w:tr w:rsidR="00472A1E" w:rsidRPr="00C33C0B" w14:paraId="62776190" w14:textId="77777777" w:rsidTr="0030327D">
        <w:tc>
          <w:tcPr>
            <w:cnfStyle w:val="001000000000" w:firstRow="0" w:lastRow="0" w:firstColumn="1" w:lastColumn="0" w:oddVBand="0" w:evenVBand="0" w:oddHBand="0" w:evenHBand="0" w:firstRowFirstColumn="0" w:firstRowLastColumn="0" w:lastRowFirstColumn="0" w:lastRowLastColumn="0"/>
            <w:tcW w:w="615" w:type="dxa"/>
          </w:tcPr>
          <w:p w14:paraId="4876459C" w14:textId="77777777" w:rsidR="00472A1E" w:rsidRPr="00FB4BB4" w:rsidRDefault="00472A1E" w:rsidP="00FB4BB4">
            <w:r w:rsidRPr="00FB4BB4">
              <w:t>XY2</w:t>
            </w:r>
          </w:p>
        </w:tc>
        <w:tc>
          <w:tcPr>
            <w:tcW w:w="874" w:type="dxa"/>
          </w:tcPr>
          <w:p w14:paraId="7C593B2C" w14:textId="77777777" w:rsidR="00472A1E" w:rsidRPr="00C33C0B" w:rsidRDefault="00472A1E" w:rsidP="00472A1E">
            <w:pPr>
              <w:spacing w:before="20" w:after="20"/>
              <w:cnfStyle w:val="000000000000" w:firstRow="0" w:lastRow="0" w:firstColumn="0" w:lastColumn="0" w:oddVBand="0" w:evenVBand="0" w:oddHBand="0" w:evenHBand="0" w:firstRowFirstColumn="0" w:firstRowLastColumn="0" w:lastRowFirstColumn="0" w:lastRowLastColumn="0"/>
              <w:rPr>
                <w:bCs/>
                <w:lang w:val="en-GB"/>
              </w:rPr>
            </w:pPr>
            <w:r>
              <w:rPr>
                <w:bCs/>
                <w:lang w:val="en-GB"/>
              </w:rPr>
              <w:t>21-40 minutes</w:t>
            </w:r>
          </w:p>
        </w:tc>
        <w:tc>
          <w:tcPr>
            <w:tcW w:w="6879" w:type="dxa"/>
            <w:vMerge/>
          </w:tcPr>
          <w:p w14:paraId="06400E75" w14:textId="77777777" w:rsidR="00472A1E" w:rsidRPr="00C33C0B" w:rsidRDefault="00472A1E" w:rsidP="00472A1E">
            <w:pPr>
              <w:spacing w:before="20" w:after="20"/>
              <w:cnfStyle w:val="000000000000" w:firstRow="0" w:lastRow="0" w:firstColumn="0" w:lastColumn="0" w:oddVBand="0" w:evenVBand="0" w:oddHBand="0" w:evenHBand="0" w:firstRowFirstColumn="0" w:firstRowLastColumn="0" w:lastRowFirstColumn="0" w:lastRowLastColumn="0"/>
              <w:rPr>
                <w:bCs/>
                <w:lang w:val="en-GB"/>
              </w:rPr>
            </w:pPr>
          </w:p>
        </w:tc>
      </w:tr>
      <w:tr w:rsidR="00472A1E" w:rsidRPr="00C33C0B" w14:paraId="2D49365E" w14:textId="77777777" w:rsidTr="0030327D">
        <w:tc>
          <w:tcPr>
            <w:cnfStyle w:val="001000000000" w:firstRow="0" w:lastRow="0" w:firstColumn="1" w:lastColumn="0" w:oddVBand="0" w:evenVBand="0" w:oddHBand="0" w:evenHBand="0" w:firstRowFirstColumn="0" w:firstRowLastColumn="0" w:lastRowFirstColumn="0" w:lastRowLastColumn="0"/>
            <w:tcW w:w="615" w:type="dxa"/>
          </w:tcPr>
          <w:p w14:paraId="18E6C0F5" w14:textId="77777777" w:rsidR="00472A1E" w:rsidRPr="00FB4BB4" w:rsidRDefault="00472A1E" w:rsidP="00FB4BB4">
            <w:r w:rsidRPr="00FB4BB4">
              <w:t>XY3</w:t>
            </w:r>
          </w:p>
        </w:tc>
        <w:tc>
          <w:tcPr>
            <w:tcW w:w="874" w:type="dxa"/>
          </w:tcPr>
          <w:p w14:paraId="67854334" w14:textId="77777777" w:rsidR="00472A1E" w:rsidRPr="00C33C0B" w:rsidRDefault="00472A1E" w:rsidP="00472A1E">
            <w:pPr>
              <w:spacing w:before="20" w:after="20"/>
              <w:cnfStyle w:val="000000000000" w:firstRow="0" w:lastRow="0" w:firstColumn="0" w:lastColumn="0" w:oddVBand="0" w:evenVBand="0" w:oddHBand="0" w:evenHBand="0" w:firstRowFirstColumn="0" w:firstRowLastColumn="0" w:lastRowFirstColumn="0" w:lastRowLastColumn="0"/>
              <w:rPr>
                <w:bCs/>
                <w:lang w:val="en-GB"/>
              </w:rPr>
            </w:pPr>
            <w:r>
              <w:rPr>
                <w:bCs/>
                <w:lang w:val="en-GB"/>
              </w:rPr>
              <w:t>41-60 minutes</w:t>
            </w:r>
          </w:p>
        </w:tc>
        <w:tc>
          <w:tcPr>
            <w:tcW w:w="6879" w:type="dxa"/>
            <w:vMerge/>
          </w:tcPr>
          <w:p w14:paraId="7E7017AD" w14:textId="77777777" w:rsidR="00472A1E" w:rsidRPr="00C33C0B" w:rsidRDefault="00472A1E" w:rsidP="00472A1E">
            <w:pPr>
              <w:spacing w:before="20" w:after="20"/>
              <w:cnfStyle w:val="000000000000" w:firstRow="0" w:lastRow="0" w:firstColumn="0" w:lastColumn="0" w:oddVBand="0" w:evenVBand="0" w:oddHBand="0" w:evenHBand="0" w:firstRowFirstColumn="0" w:firstRowLastColumn="0" w:lastRowFirstColumn="0" w:lastRowLastColumn="0"/>
              <w:rPr>
                <w:bCs/>
                <w:lang w:val="en-GB"/>
              </w:rPr>
            </w:pPr>
          </w:p>
        </w:tc>
      </w:tr>
      <w:tr w:rsidR="00472A1E" w:rsidRPr="00C33C0B" w14:paraId="3C50E12C" w14:textId="77777777" w:rsidTr="0030327D">
        <w:tc>
          <w:tcPr>
            <w:cnfStyle w:val="001000000000" w:firstRow="0" w:lastRow="0" w:firstColumn="1" w:lastColumn="0" w:oddVBand="0" w:evenVBand="0" w:oddHBand="0" w:evenHBand="0" w:firstRowFirstColumn="0" w:firstRowLastColumn="0" w:lastRowFirstColumn="0" w:lastRowLastColumn="0"/>
            <w:tcW w:w="615" w:type="dxa"/>
          </w:tcPr>
          <w:p w14:paraId="6CB78AFD" w14:textId="77777777" w:rsidR="00472A1E" w:rsidRPr="00FB4BB4" w:rsidRDefault="00472A1E" w:rsidP="00FB4BB4">
            <w:r w:rsidRPr="00FB4BB4">
              <w:t>XY4</w:t>
            </w:r>
          </w:p>
        </w:tc>
        <w:tc>
          <w:tcPr>
            <w:tcW w:w="874" w:type="dxa"/>
          </w:tcPr>
          <w:p w14:paraId="585BF9C1" w14:textId="77777777" w:rsidR="00472A1E" w:rsidRPr="00C33C0B" w:rsidRDefault="00472A1E" w:rsidP="00472A1E">
            <w:pPr>
              <w:spacing w:before="20" w:after="20"/>
              <w:cnfStyle w:val="000000000000" w:firstRow="0" w:lastRow="0" w:firstColumn="0" w:lastColumn="0" w:oddVBand="0" w:evenVBand="0" w:oddHBand="0" w:evenHBand="0" w:firstRowFirstColumn="0" w:firstRowLastColumn="0" w:lastRowFirstColumn="0" w:lastRowLastColumn="0"/>
              <w:rPr>
                <w:bCs/>
                <w:lang w:val="en-GB"/>
              </w:rPr>
            </w:pPr>
            <w:r>
              <w:rPr>
                <w:bCs/>
                <w:lang w:val="en-GB"/>
              </w:rPr>
              <w:t>More than 60 minutes</w:t>
            </w:r>
          </w:p>
        </w:tc>
        <w:tc>
          <w:tcPr>
            <w:tcW w:w="6879" w:type="dxa"/>
            <w:vMerge/>
          </w:tcPr>
          <w:p w14:paraId="5B89460A" w14:textId="77777777" w:rsidR="00472A1E" w:rsidRPr="00C33C0B" w:rsidRDefault="00472A1E" w:rsidP="00472A1E">
            <w:pPr>
              <w:spacing w:before="20" w:after="20"/>
              <w:cnfStyle w:val="000000000000" w:firstRow="0" w:lastRow="0" w:firstColumn="0" w:lastColumn="0" w:oddVBand="0" w:evenVBand="0" w:oddHBand="0" w:evenHBand="0" w:firstRowFirstColumn="0" w:firstRowLastColumn="0" w:lastRowFirstColumn="0" w:lastRowLastColumn="0"/>
              <w:rPr>
                <w:bCs/>
                <w:lang w:val="en-GB"/>
              </w:rPr>
            </w:pPr>
          </w:p>
        </w:tc>
      </w:tr>
    </w:tbl>
    <w:p w14:paraId="05DB3246" w14:textId="5926ED46" w:rsidR="00175794" w:rsidRPr="00C33C0B" w:rsidRDefault="00175794" w:rsidP="003C5D5A">
      <w:pPr>
        <w:pStyle w:val="Heading2"/>
      </w:pPr>
      <w:bookmarkStart w:id="134" w:name="_Toc67952213"/>
      <w:r w:rsidRPr="00C33C0B">
        <w:t>Rationale 2</w:t>
      </w:r>
      <w:bookmarkEnd w:id="134"/>
    </w:p>
    <w:p w14:paraId="45246060" w14:textId="77777777" w:rsidR="00175794" w:rsidRDefault="00175794" w:rsidP="00175794">
      <w:pPr>
        <w:rPr>
          <w:lang w:val="en-GB"/>
        </w:rPr>
      </w:pPr>
      <w:bookmarkStart w:id="135" w:name="_Hlk528946769"/>
      <w:r>
        <w:rPr>
          <w:lang w:val="en-GB"/>
        </w:rPr>
        <w:t>This recommendation focuses on reimbursing acute, urgent, and unplanned attendances through the introduction of new attendance items. It is based on the following</w:t>
      </w:r>
      <w:r w:rsidR="00CB271F">
        <w:rPr>
          <w:lang w:val="en-GB"/>
        </w:rPr>
        <w:t>:</w:t>
      </w:r>
    </w:p>
    <w:bookmarkEnd w:id="135"/>
    <w:p w14:paraId="1F921E84" w14:textId="77777777" w:rsidR="00175794" w:rsidRPr="00C33C0B" w:rsidRDefault="00175794" w:rsidP="00175794">
      <w:pPr>
        <w:pStyle w:val="Bullet-green"/>
        <w:rPr>
          <w:lang w:val="en-GB"/>
        </w:rPr>
      </w:pPr>
      <w:r w:rsidRPr="00C33C0B">
        <w:rPr>
          <w:lang w:val="en-GB"/>
        </w:rPr>
        <w:t xml:space="preserve">The Committee </w:t>
      </w:r>
      <w:r>
        <w:rPr>
          <w:lang w:val="en-GB"/>
        </w:rPr>
        <w:t>notes</w:t>
      </w:r>
      <w:r w:rsidRPr="00C33C0B">
        <w:rPr>
          <w:lang w:val="en-GB"/>
        </w:rPr>
        <w:t xml:space="preserve"> that acute attendances are different to other standard attendances</w:t>
      </w:r>
      <w:r>
        <w:rPr>
          <w:lang w:val="en-GB"/>
        </w:rPr>
        <w:t>,</w:t>
      </w:r>
      <w:r w:rsidRPr="00C33C0B">
        <w:rPr>
          <w:lang w:val="en-GB"/>
        </w:rPr>
        <w:t xml:space="preserve"> in that they:</w:t>
      </w:r>
    </w:p>
    <w:p w14:paraId="43A9670C" w14:textId="77777777" w:rsidR="00175794" w:rsidRPr="001810DB" w:rsidRDefault="0016086D" w:rsidP="00175794">
      <w:pPr>
        <w:pStyle w:val="Bullet2"/>
      </w:pPr>
      <w:r>
        <w:t>a</w:t>
      </w:r>
      <w:r w:rsidRPr="00C024E6">
        <w:t xml:space="preserve">re </w:t>
      </w:r>
      <w:r w:rsidR="00175794">
        <w:t xml:space="preserve">acute, urgent, and </w:t>
      </w:r>
      <w:r w:rsidR="00175794" w:rsidRPr="00C024E6">
        <w:t xml:space="preserve">unplanned </w:t>
      </w:r>
      <w:r w:rsidR="00175794">
        <w:t xml:space="preserve">in nature </w:t>
      </w:r>
      <w:r w:rsidR="00175794" w:rsidRPr="00C024E6">
        <w:t xml:space="preserve">and may </w:t>
      </w:r>
      <w:r w:rsidR="00175794">
        <w:t xml:space="preserve">result in </w:t>
      </w:r>
      <w:r w:rsidR="00175794" w:rsidRPr="00C024E6">
        <w:t xml:space="preserve">a </w:t>
      </w:r>
      <w:r w:rsidR="00175794">
        <w:t>consultant specialist</w:t>
      </w:r>
      <w:r w:rsidR="00175794" w:rsidRPr="006923B9">
        <w:t xml:space="preserve"> </w:t>
      </w:r>
      <w:r w:rsidR="00123F01">
        <w:t xml:space="preserve">postponing or cancelling </w:t>
      </w:r>
      <w:r w:rsidR="00175794" w:rsidRPr="006923B9">
        <w:t xml:space="preserve">a </w:t>
      </w:r>
      <w:r w:rsidR="00175794" w:rsidRPr="00793027">
        <w:t>previously scheduled procedural list, theatre list</w:t>
      </w:r>
      <w:r w:rsidR="00175794" w:rsidRPr="000970B9">
        <w:t xml:space="preserve"> or attendances in consulting rooms</w:t>
      </w:r>
      <w:r w:rsidR="006549E9">
        <w:t>;</w:t>
      </w:r>
      <w:r>
        <w:t xml:space="preserve"> and</w:t>
      </w:r>
    </w:p>
    <w:p w14:paraId="54E320EF" w14:textId="77777777" w:rsidR="00175794" w:rsidRPr="00C024E6" w:rsidRDefault="0016086D" w:rsidP="00175794">
      <w:pPr>
        <w:pStyle w:val="Bullet2"/>
      </w:pPr>
      <w:r>
        <w:t>o</w:t>
      </w:r>
      <w:r w:rsidR="00175794">
        <w:t xml:space="preserve">ften </w:t>
      </w:r>
      <w:r w:rsidR="00C8435D">
        <w:t>i</w:t>
      </w:r>
      <w:r w:rsidR="00175794" w:rsidRPr="002B506F">
        <w:t xml:space="preserve">nvolve multiple face-to-face patient </w:t>
      </w:r>
      <w:r w:rsidR="00EC0BDD">
        <w:t>interactions</w:t>
      </w:r>
      <w:r w:rsidR="00175794" w:rsidRPr="003E5BE4">
        <w:t>,</w:t>
      </w:r>
      <w:r w:rsidR="00175794" w:rsidRPr="0067229E">
        <w:t xml:space="preserve"> as well as conversations with </w:t>
      </w:r>
      <w:r w:rsidR="00175794" w:rsidRPr="00C024E6">
        <w:t xml:space="preserve">multiple other medical professionals (for example, </w:t>
      </w:r>
      <w:r w:rsidR="000930A7">
        <w:t xml:space="preserve">locating </w:t>
      </w:r>
      <w:r w:rsidR="00175794" w:rsidRPr="00C024E6">
        <w:t>results of investigations ordered at the initial touchpoint wit</w:t>
      </w:r>
      <w:r w:rsidR="00123F01">
        <w:t>h the patient) and liaising with carers to access patient information.</w:t>
      </w:r>
    </w:p>
    <w:p w14:paraId="2873480B" w14:textId="77777777" w:rsidR="00175794" w:rsidRPr="00607BDA" w:rsidRDefault="00A74C08" w:rsidP="00607BDA">
      <w:pPr>
        <w:pStyle w:val="Bullet-green"/>
        <w:rPr>
          <w:lang w:val="en-GB"/>
        </w:rPr>
      </w:pPr>
      <w:r w:rsidRPr="00A74C08">
        <w:rPr>
          <w:lang w:val="en-GB"/>
        </w:rPr>
        <w:t>The Committee</w:t>
      </w:r>
      <w:r>
        <w:rPr>
          <w:lang w:val="en-GB"/>
        </w:rPr>
        <w:t xml:space="preserve"> therefore</w:t>
      </w:r>
      <w:r w:rsidRPr="00A74C08">
        <w:rPr>
          <w:lang w:val="en-GB"/>
        </w:rPr>
        <w:t xml:space="preserve"> recommends a schedule fee for these items that is higher than the schedule fee for standard time</w:t>
      </w:r>
      <w:r w:rsidR="00E15B86">
        <w:rPr>
          <w:lang w:val="en-GB"/>
        </w:rPr>
        <w:t>-</w:t>
      </w:r>
      <w:r w:rsidRPr="00A74C08">
        <w:rPr>
          <w:lang w:val="en-GB"/>
        </w:rPr>
        <w:t>tiered attendances of equivalent duration</w:t>
      </w:r>
      <w:r>
        <w:rPr>
          <w:lang w:val="en-GB"/>
        </w:rPr>
        <w:t>.</w:t>
      </w:r>
    </w:p>
    <w:p w14:paraId="699F91F4" w14:textId="77777777" w:rsidR="00175794" w:rsidRDefault="00175794" w:rsidP="0016086D">
      <w:pPr>
        <w:pStyle w:val="Bullet-green"/>
        <w:rPr>
          <w:lang w:val="en-GB"/>
        </w:rPr>
      </w:pPr>
      <w:r w:rsidRPr="00607BDA">
        <w:rPr>
          <w:lang w:val="en-GB"/>
        </w:rPr>
        <w:t xml:space="preserve">The Committee has attempted to be as comprehensive as possible in drafting a list of clinical scenarios for appropriate use of these items to prevent potential misuse. </w:t>
      </w:r>
    </w:p>
    <w:p w14:paraId="29AF342E" w14:textId="77777777" w:rsidR="00184BDA" w:rsidRPr="00C33C0B" w:rsidRDefault="00B20C96" w:rsidP="003C5D5A">
      <w:pPr>
        <w:pStyle w:val="Heading2"/>
      </w:pPr>
      <w:bookmarkStart w:id="136" w:name="_Toc67952214"/>
      <w:bookmarkStart w:id="137" w:name="_Hlk529009310"/>
      <w:r>
        <w:t xml:space="preserve">Recommendation 3 - </w:t>
      </w:r>
      <w:r w:rsidR="00184BDA" w:rsidRPr="00C33C0B">
        <w:t>Further considerations when implementing time</w:t>
      </w:r>
      <w:r w:rsidR="00E5557E">
        <w:noBreakHyphen/>
      </w:r>
      <w:r w:rsidR="00184BDA" w:rsidRPr="00C33C0B">
        <w:t>tiering</w:t>
      </w:r>
      <w:bookmarkEnd w:id="136"/>
    </w:p>
    <w:p w14:paraId="417189D3" w14:textId="77777777" w:rsidR="00184BDA" w:rsidRPr="00C33C0B" w:rsidRDefault="00B20C96" w:rsidP="00607BDA">
      <w:pPr>
        <w:pStyle w:val="Bullet-green"/>
        <w:numPr>
          <w:ilvl w:val="0"/>
          <w:numId w:val="0"/>
        </w:numPr>
        <w:rPr>
          <w:lang w:val="en-GB"/>
        </w:rPr>
      </w:pPr>
      <w:r>
        <w:rPr>
          <w:lang w:val="en-GB"/>
        </w:rPr>
        <w:t>T</w:t>
      </w:r>
      <w:r w:rsidR="00184BDA" w:rsidRPr="00C33C0B">
        <w:rPr>
          <w:lang w:val="en-GB"/>
        </w:rPr>
        <w:t>he Committee recommends</w:t>
      </w:r>
      <w:r w:rsidR="00184BDA">
        <w:rPr>
          <w:lang w:val="en-GB"/>
        </w:rPr>
        <w:t xml:space="preserve"> </w:t>
      </w:r>
      <w:r w:rsidR="00184BDA" w:rsidRPr="00C33C0B">
        <w:rPr>
          <w:lang w:val="en-GB"/>
        </w:rPr>
        <w:t xml:space="preserve">the </w:t>
      </w:r>
      <w:r w:rsidR="00E5557E">
        <w:rPr>
          <w:lang w:val="en-GB"/>
        </w:rPr>
        <w:t xml:space="preserve">Government works closely with peak organisations, clinicians and consumers to refine the detail of implementation, and ensure an effective and sustainable transition. In particular, the </w:t>
      </w:r>
      <w:r w:rsidR="00184BDA" w:rsidRPr="00C33C0B">
        <w:rPr>
          <w:lang w:val="en-GB"/>
        </w:rPr>
        <w:t xml:space="preserve">following </w:t>
      </w:r>
      <w:r w:rsidR="00E5557E">
        <w:rPr>
          <w:lang w:val="en-GB"/>
        </w:rPr>
        <w:t xml:space="preserve">should </w:t>
      </w:r>
      <w:r>
        <w:rPr>
          <w:lang w:val="en-GB"/>
        </w:rPr>
        <w:t xml:space="preserve">be considered </w:t>
      </w:r>
      <w:r w:rsidR="00184BDA" w:rsidRPr="00C33C0B">
        <w:rPr>
          <w:lang w:val="en-GB"/>
        </w:rPr>
        <w:t>when moving towards implementation:</w:t>
      </w:r>
    </w:p>
    <w:p w14:paraId="3BC13793" w14:textId="77777777" w:rsidR="00184BDA" w:rsidRPr="00C33C0B" w:rsidRDefault="00864030" w:rsidP="000831A1">
      <w:pPr>
        <w:pStyle w:val="Bullet2"/>
        <w:numPr>
          <w:ilvl w:val="0"/>
          <w:numId w:val="69"/>
        </w:numPr>
      </w:pPr>
      <w:r>
        <w:t>c</w:t>
      </w:r>
      <w:r w:rsidR="00184BDA" w:rsidRPr="00C33C0B">
        <w:t>ollect</w:t>
      </w:r>
      <w:r w:rsidR="00B20C96">
        <w:t>ing</w:t>
      </w:r>
      <w:r w:rsidR="00184BDA" w:rsidRPr="00C33C0B">
        <w:t xml:space="preserve"> data on the duration of attendances across specialties, and the activities performed during these attendances, </w:t>
      </w:r>
      <w:r w:rsidR="00184BDA">
        <w:t>similar to the</w:t>
      </w:r>
      <w:r w:rsidR="00184BDA" w:rsidRPr="00C33C0B">
        <w:t xml:space="preserve"> data </w:t>
      </w:r>
      <w:r w:rsidR="00E5557E">
        <w:t xml:space="preserve">previously </w:t>
      </w:r>
      <w:r w:rsidR="00184BDA" w:rsidRPr="00C33C0B">
        <w:t xml:space="preserve">collected from GPs </w:t>
      </w:r>
      <w:r w:rsidR="00184BDA">
        <w:t>through</w:t>
      </w:r>
      <w:r w:rsidR="00184BDA" w:rsidRPr="00C33C0B">
        <w:t xml:space="preserve"> the </w:t>
      </w:r>
      <w:r w:rsidR="00184BDA" w:rsidRPr="00C33C0B">
        <w:rPr>
          <w:i/>
        </w:rPr>
        <w:t>Better</w:t>
      </w:r>
      <w:r w:rsidR="00184BDA">
        <w:rPr>
          <w:i/>
        </w:rPr>
        <w:t>ing the</w:t>
      </w:r>
      <w:r w:rsidR="00184BDA" w:rsidRPr="00C33C0B">
        <w:rPr>
          <w:i/>
        </w:rPr>
        <w:t xml:space="preserve"> Evaluation and Care of Health</w:t>
      </w:r>
      <w:r w:rsidR="00184BDA" w:rsidRPr="00C33C0B">
        <w:t xml:space="preserve"> program (BEACH data)</w:t>
      </w:r>
      <w:r w:rsidR="006549E9">
        <w:t>;</w:t>
      </w:r>
    </w:p>
    <w:p w14:paraId="7E7DC6A9" w14:textId="77777777" w:rsidR="00184BDA" w:rsidRPr="00C33C0B" w:rsidRDefault="00864030" w:rsidP="000831A1">
      <w:pPr>
        <w:pStyle w:val="Bullet2"/>
        <w:numPr>
          <w:ilvl w:val="0"/>
          <w:numId w:val="69"/>
        </w:numPr>
      </w:pPr>
      <w:r>
        <w:t>us</w:t>
      </w:r>
      <w:r w:rsidR="00B20C96">
        <w:t xml:space="preserve">ing </w:t>
      </w:r>
      <w:r w:rsidR="00184BDA">
        <w:t>the</w:t>
      </w:r>
      <w:r w:rsidR="00184BDA" w:rsidRPr="00C33C0B">
        <w:t xml:space="preserve"> data to accurately model the impact of time</w:t>
      </w:r>
      <w:r w:rsidR="00B20C96">
        <w:t>-</w:t>
      </w:r>
      <w:r w:rsidR="00184BDA" w:rsidRPr="00C33C0B">
        <w:t>tiering on service volume and benefits</w:t>
      </w:r>
      <w:r w:rsidR="006549E9">
        <w:t>;</w:t>
      </w:r>
    </w:p>
    <w:p w14:paraId="3A3B2D71" w14:textId="77777777" w:rsidR="00184BDA" w:rsidRPr="00C33C0B" w:rsidRDefault="00864030" w:rsidP="000831A1">
      <w:pPr>
        <w:pStyle w:val="Bullet2"/>
        <w:numPr>
          <w:ilvl w:val="0"/>
          <w:numId w:val="69"/>
        </w:numPr>
      </w:pPr>
      <w:r>
        <w:t>i</w:t>
      </w:r>
      <w:r w:rsidR="00184BDA" w:rsidRPr="00C33C0B">
        <w:t>nvest</w:t>
      </w:r>
      <w:r w:rsidR="00B20C96">
        <w:t>ing</w:t>
      </w:r>
      <w:r w:rsidR="00184BDA" w:rsidRPr="00C33C0B">
        <w:t xml:space="preserve"> in change management to facilitate </w:t>
      </w:r>
      <w:r w:rsidR="00184BDA">
        <w:t xml:space="preserve">the </w:t>
      </w:r>
      <w:r w:rsidR="00184BDA" w:rsidRPr="00C33C0B">
        <w:t>transition</w:t>
      </w:r>
      <w:r w:rsidR="00184BDA">
        <w:t xml:space="preserve"> to the new items</w:t>
      </w:r>
      <w:r w:rsidR="00184BDA" w:rsidRPr="00C33C0B">
        <w:t xml:space="preserve"> and </w:t>
      </w:r>
      <w:r w:rsidR="00184BDA">
        <w:t xml:space="preserve">build </w:t>
      </w:r>
      <w:r w:rsidR="00184BDA" w:rsidRPr="00C33C0B">
        <w:t>understanding of the benefits of the time-tiering model</w:t>
      </w:r>
      <w:r w:rsidR="006549E9">
        <w:t>;</w:t>
      </w:r>
    </w:p>
    <w:p w14:paraId="0B4B1F32" w14:textId="77777777" w:rsidR="00184BDA" w:rsidRDefault="00864030" w:rsidP="000831A1">
      <w:pPr>
        <w:pStyle w:val="Bullet2"/>
        <w:numPr>
          <w:ilvl w:val="0"/>
          <w:numId w:val="69"/>
        </w:numPr>
      </w:pPr>
      <w:r>
        <w:t>m</w:t>
      </w:r>
      <w:r w:rsidR="00184BDA" w:rsidRPr="00C33C0B">
        <w:t>ak</w:t>
      </w:r>
      <w:r w:rsidR="00B20C96">
        <w:t>ing</w:t>
      </w:r>
      <w:r w:rsidR="00184BDA" w:rsidRPr="00C33C0B">
        <w:t xml:space="preserve"> the model </w:t>
      </w:r>
      <w:r w:rsidR="001948EE">
        <w:t>clear</w:t>
      </w:r>
      <w:r w:rsidR="001948EE" w:rsidRPr="00C33C0B">
        <w:t xml:space="preserve"> </w:t>
      </w:r>
      <w:r w:rsidR="00184BDA" w:rsidRPr="00C33C0B">
        <w:t xml:space="preserve">to provide transparency and consistency for </w:t>
      </w:r>
      <w:r w:rsidR="001948EE">
        <w:t>clin</w:t>
      </w:r>
      <w:r w:rsidR="000930A7">
        <w:t>i</w:t>
      </w:r>
      <w:r w:rsidR="001948EE">
        <w:t>cians</w:t>
      </w:r>
      <w:r w:rsidR="001948EE" w:rsidRPr="00C33C0B">
        <w:t xml:space="preserve"> </w:t>
      </w:r>
      <w:r w:rsidR="00184BDA" w:rsidRPr="00C33C0B">
        <w:t>and consumers</w:t>
      </w:r>
      <w:r w:rsidR="006549E9">
        <w:t>;</w:t>
      </w:r>
    </w:p>
    <w:p w14:paraId="5BF87E28" w14:textId="77777777" w:rsidR="00184BDA" w:rsidRPr="00C33C0B" w:rsidRDefault="00184BDA" w:rsidP="000831A1">
      <w:pPr>
        <w:pStyle w:val="Bullet2"/>
        <w:numPr>
          <w:ilvl w:val="0"/>
          <w:numId w:val="69"/>
        </w:numPr>
      </w:pPr>
      <w:r>
        <w:t>adding a longer time tier (i.e. Level F) should the need be identified. If introduced, this should accompany an estimate of ser</w:t>
      </w:r>
      <w:r w:rsidR="006549E9">
        <w:t>vices claimed through this tier;</w:t>
      </w:r>
    </w:p>
    <w:p w14:paraId="670C98D3" w14:textId="77777777" w:rsidR="00184BDA" w:rsidRDefault="00864030" w:rsidP="000831A1">
      <w:pPr>
        <w:pStyle w:val="Bullet2"/>
        <w:numPr>
          <w:ilvl w:val="0"/>
          <w:numId w:val="69"/>
        </w:numPr>
      </w:pPr>
      <w:r>
        <w:t>e</w:t>
      </w:r>
      <w:r w:rsidR="00184BDA">
        <w:t>nsur</w:t>
      </w:r>
      <w:r>
        <w:t>ing</w:t>
      </w:r>
      <w:r w:rsidR="00184BDA">
        <w:t xml:space="preserve"> early, active, and regular reviews of attendance items post implementation of time-tiering, including:</w:t>
      </w:r>
    </w:p>
    <w:p w14:paraId="694FBDC0" w14:textId="77777777" w:rsidR="00184BDA" w:rsidRDefault="006549E9" w:rsidP="000831A1">
      <w:pPr>
        <w:pStyle w:val="BulletStyle3"/>
        <w:numPr>
          <w:ilvl w:val="0"/>
          <w:numId w:val="70"/>
        </w:numPr>
      </w:pPr>
      <w:r>
        <w:t>p</w:t>
      </w:r>
      <w:r w:rsidR="00184BDA">
        <w:t>otential impac</w:t>
      </w:r>
      <w:r>
        <w:t xml:space="preserve">t on out-of-pocket patient </w:t>
      </w:r>
      <w:r w:rsidR="001948EE">
        <w:t>costs</w:t>
      </w:r>
      <w:r>
        <w:t>;</w:t>
      </w:r>
    </w:p>
    <w:p w14:paraId="332F6C8E" w14:textId="77777777" w:rsidR="00E5557E" w:rsidRDefault="006549E9" w:rsidP="000831A1">
      <w:pPr>
        <w:pStyle w:val="BulletStyle3"/>
        <w:numPr>
          <w:ilvl w:val="0"/>
          <w:numId w:val="70"/>
        </w:numPr>
      </w:pPr>
      <w:r>
        <w:t>p</w:t>
      </w:r>
      <w:r w:rsidR="00184BDA">
        <w:t xml:space="preserve">otential impact on patient waiting lists, either as a result of longer attendances being performed or as a result of consultant specialists </w:t>
      </w:r>
      <w:r w:rsidR="001948EE">
        <w:t xml:space="preserve">accepting fewer </w:t>
      </w:r>
      <w:r>
        <w:t>new patients</w:t>
      </w:r>
      <w:r w:rsidR="001948EE">
        <w:t>/referrals</w:t>
      </w:r>
      <w:r>
        <w:t xml:space="preserve">; </w:t>
      </w:r>
    </w:p>
    <w:p w14:paraId="3D645C74" w14:textId="77777777" w:rsidR="00184BDA" w:rsidRDefault="00E5557E" w:rsidP="000831A1">
      <w:pPr>
        <w:pStyle w:val="BulletStyle3"/>
        <w:numPr>
          <w:ilvl w:val="0"/>
          <w:numId w:val="70"/>
        </w:numPr>
      </w:pPr>
      <w:r>
        <w:t xml:space="preserve">potential uncertainty for consumers on the cost of a consultation and ensuring there is robust informed financial consent; </w:t>
      </w:r>
      <w:r w:rsidR="006549E9">
        <w:t>and</w:t>
      </w:r>
    </w:p>
    <w:p w14:paraId="4E3B91F3" w14:textId="77777777" w:rsidR="00184BDA" w:rsidRPr="00C33C0B" w:rsidRDefault="006549E9" w:rsidP="000831A1">
      <w:pPr>
        <w:pStyle w:val="BulletStyle3"/>
        <w:numPr>
          <w:ilvl w:val="0"/>
          <w:numId w:val="70"/>
        </w:numPr>
      </w:pPr>
      <w:r>
        <w:t>p</w:t>
      </w:r>
      <w:r w:rsidR="00184BDA">
        <w:t xml:space="preserve">atient-reported experience and outcomes. </w:t>
      </w:r>
    </w:p>
    <w:p w14:paraId="5E5AFFE0" w14:textId="77777777" w:rsidR="00184BDA" w:rsidRDefault="00864030" w:rsidP="000831A1">
      <w:pPr>
        <w:pStyle w:val="Bullet2"/>
        <w:numPr>
          <w:ilvl w:val="0"/>
          <w:numId w:val="69"/>
        </w:numPr>
      </w:pPr>
      <w:r>
        <w:t>m</w:t>
      </w:r>
      <w:r w:rsidR="00184BDA" w:rsidRPr="00C33C0B">
        <w:t>ak</w:t>
      </w:r>
      <w:r>
        <w:t>ing</w:t>
      </w:r>
      <w:r w:rsidR="00184BDA" w:rsidRPr="00C33C0B">
        <w:t xml:space="preserve"> the item descriptors sufficiently detailed to enable auditing through </w:t>
      </w:r>
      <w:r w:rsidR="00184BDA">
        <w:t xml:space="preserve">the </w:t>
      </w:r>
      <w:r w:rsidR="00184BDA" w:rsidRPr="00C33C0B">
        <w:t xml:space="preserve">review of clinical notes, allowing verification that activities of sufficient complexity </w:t>
      </w:r>
      <w:r w:rsidR="00184BDA">
        <w:t xml:space="preserve">were performed, </w:t>
      </w:r>
      <w:r w:rsidR="00184BDA" w:rsidRPr="00C33C0B">
        <w:t xml:space="preserve">as stated in </w:t>
      </w:r>
      <w:r w:rsidR="00184BDA">
        <w:t xml:space="preserve">the </w:t>
      </w:r>
      <w:r w:rsidR="00184BDA" w:rsidRPr="00C33C0B">
        <w:t>descriptor</w:t>
      </w:r>
      <w:r w:rsidR="006549E9">
        <w:t>s;</w:t>
      </w:r>
    </w:p>
    <w:p w14:paraId="64172417" w14:textId="77777777" w:rsidR="00184BDA" w:rsidRPr="00C33C0B" w:rsidRDefault="00184BDA" w:rsidP="000831A1">
      <w:pPr>
        <w:pStyle w:val="Bullet2"/>
        <w:numPr>
          <w:ilvl w:val="0"/>
          <w:numId w:val="69"/>
        </w:numPr>
      </w:pPr>
      <w:r w:rsidRPr="00C33C0B">
        <w:t>harmonising all attendance time</w:t>
      </w:r>
      <w:r>
        <w:t xml:space="preserve"> </w:t>
      </w:r>
      <w:r w:rsidRPr="00C33C0B">
        <w:t xml:space="preserve">tiers in the MBS that apply to other </w:t>
      </w:r>
      <w:r>
        <w:t>consultant specialist</w:t>
      </w:r>
      <w:r w:rsidRPr="00C33C0B">
        <w:t>s (including psychiatry, obstetrics, anaesthesia, intensive care</w:t>
      </w:r>
      <w:r>
        <w:t>,</w:t>
      </w:r>
      <w:r w:rsidRPr="00C33C0B">
        <w:t xml:space="preserve"> </w:t>
      </w:r>
      <w:r w:rsidR="001948EE">
        <w:t xml:space="preserve">general practice </w:t>
      </w:r>
      <w:r w:rsidRPr="00C33C0B">
        <w:t>and emergency medicine)</w:t>
      </w:r>
      <w:r w:rsidR="006549E9">
        <w:t xml:space="preserve">; </w:t>
      </w:r>
      <w:r w:rsidR="00864030">
        <w:t>and</w:t>
      </w:r>
    </w:p>
    <w:p w14:paraId="66D07FE3" w14:textId="77777777" w:rsidR="00184BDA" w:rsidRPr="00C33C0B" w:rsidRDefault="00184BDA" w:rsidP="000831A1">
      <w:pPr>
        <w:pStyle w:val="Bullet2"/>
        <w:numPr>
          <w:ilvl w:val="0"/>
          <w:numId w:val="69"/>
        </w:numPr>
      </w:pPr>
      <w:r w:rsidRPr="00C33C0B">
        <w:t>set</w:t>
      </w:r>
      <w:r w:rsidR="00864030">
        <w:t>ting</w:t>
      </w:r>
      <w:r w:rsidRPr="00C33C0B">
        <w:t xml:space="preserve"> time</w:t>
      </w:r>
      <w:r w:rsidR="00864030">
        <w:t>-</w:t>
      </w:r>
      <w:r w:rsidRPr="00C33C0B">
        <w:t xml:space="preserve">tiers that </w:t>
      </w:r>
      <w:r w:rsidR="00676C1D">
        <w:t xml:space="preserve">have the most common attendance times near the middle of each tier, to support fair and reasonable practice. </w:t>
      </w:r>
    </w:p>
    <w:p w14:paraId="67C71921" w14:textId="77777777" w:rsidR="00B47BFB" w:rsidRPr="00C33C0B" w:rsidRDefault="00B47BFB" w:rsidP="003C5D5A">
      <w:pPr>
        <w:pStyle w:val="Heading2"/>
      </w:pPr>
      <w:bookmarkStart w:id="138" w:name="_Toc67952215"/>
      <w:bookmarkEnd w:id="137"/>
      <w:r>
        <w:t>Recommendation 4 – Approach to fee setting</w:t>
      </w:r>
      <w:bookmarkEnd w:id="138"/>
    </w:p>
    <w:p w14:paraId="5C1BF5E1" w14:textId="77777777" w:rsidR="00184BDA" w:rsidRPr="00C33C0B" w:rsidRDefault="00184BDA" w:rsidP="00607BDA">
      <w:pPr>
        <w:pStyle w:val="Bullet-green"/>
        <w:numPr>
          <w:ilvl w:val="0"/>
          <w:numId w:val="0"/>
        </w:numPr>
        <w:rPr>
          <w:lang w:val="en-GB"/>
        </w:rPr>
      </w:pPr>
      <w:r w:rsidRPr="00C33C0B">
        <w:rPr>
          <w:lang w:val="en-GB"/>
        </w:rPr>
        <w:t xml:space="preserve">The Committee recommends </w:t>
      </w:r>
      <w:r>
        <w:rPr>
          <w:lang w:val="en-GB"/>
        </w:rPr>
        <w:t>consideration of</w:t>
      </w:r>
      <w:r w:rsidRPr="00C33C0B">
        <w:rPr>
          <w:lang w:val="en-GB"/>
        </w:rPr>
        <w:t xml:space="preserve"> </w:t>
      </w:r>
      <w:r>
        <w:rPr>
          <w:lang w:val="en-GB"/>
        </w:rPr>
        <w:t xml:space="preserve">the </w:t>
      </w:r>
      <w:r w:rsidRPr="00C33C0B">
        <w:rPr>
          <w:lang w:val="en-GB"/>
        </w:rPr>
        <w:t xml:space="preserve">following </w:t>
      </w:r>
      <w:r>
        <w:rPr>
          <w:lang w:val="en-GB"/>
        </w:rPr>
        <w:t>with regard to</w:t>
      </w:r>
      <w:r w:rsidRPr="00C33C0B">
        <w:rPr>
          <w:lang w:val="en-GB"/>
        </w:rPr>
        <w:t xml:space="preserve"> </w:t>
      </w:r>
      <w:r>
        <w:rPr>
          <w:lang w:val="en-GB"/>
        </w:rPr>
        <w:t xml:space="preserve">schedule </w:t>
      </w:r>
      <w:r w:rsidRPr="00C33C0B">
        <w:rPr>
          <w:lang w:val="en-GB"/>
        </w:rPr>
        <w:t>fees</w:t>
      </w:r>
      <w:r w:rsidR="00B47BFB">
        <w:rPr>
          <w:lang w:val="en-GB"/>
        </w:rPr>
        <w:t xml:space="preserve"> (</w:t>
      </w:r>
      <w:r w:rsidR="00B47BFB" w:rsidRPr="00C33C0B">
        <w:rPr>
          <w:lang w:val="en-GB"/>
        </w:rPr>
        <w:t>recognis</w:t>
      </w:r>
      <w:r w:rsidR="00B47BFB">
        <w:rPr>
          <w:lang w:val="en-GB"/>
        </w:rPr>
        <w:t>ing</w:t>
      </w:r>
      <w:r w:rsidR="00B47BFB" w:rsidRPr="00C33C0B">
        <w:rPr>
          <w:lang w:val="en-GB"/>
        </w:rPr>
        <w:t xml:space="preserve"> that fee-setting is </w:t>
      </w:r>
      <w:r w:rsidR="00B47BFB">
        <w:rPr>
          <w:lang w:val="en-GB"/>
        </w:rPr>
        <w:t>out of</w:t>
      </w:r>
      <w:r w:rsidR="00B47BFB" w:rsidRPr="00C33C0B">
        <w:rPr>
          <w:lang w:val="en-GB"/>
        </w:rPr>
        <w:t xml:space="preserve"> </w:t>
      </w:r>
      <w:r w:rsidR="00B41D29">
        <w:rPr>
          <w:lang w:val="en-GB"/>
        </w:rPr>
        <w:t xml:space="preserve">the Committee’s </w:t>
      </w:r>
      <w:r w:rsidR="00B47BFB">
        <w:rPr>
          <w:lang w:val="en-GB"/>
        </w:rPr>
        <w:t>scope)</w:t>
      </w:r>
      <w:r w:rsidRPr="00C33C0B">
        <w:rPr>
          <w:lang w:val="en-GB"/>
        </w:rPr>
        <w:t>:</w:t>
      </w:r>
    </w:p>
    <w:p w14:paraId="37B4B259" w14:textId="77777777" w:rsidR="00184BDA" w:rsidRPr="00C33C0B" w:rsidRDefault="00B47BFB" w:rsidP="000831A1">
      <w:pPr>
        <w:pStyle w:val="Bullet2"/>
        <w:numPr>
          <w:ilvl w:val="0"/>
          <w:numId w:val="71"/>
        </w:numPr>
      </w:pPr>
      <w:r>
        <w:t>b</w:t>
      </w:r>
      <w:r w:rsidR="00184BDA" w:rsidRPr="00C33C0B">
        <w:t>uild</w:t>
      </w:r>
      <w:r>
        <w:t>ing</w:t>
      </w:r>
      <w:r w:rsidR="00184BDA" w:rsidRPr="00C33C0B">
        <w:t xml:space="preserve"> support among peak bodies, </w:t>
      </w:r>
      <w:r w:rsidR="00184BDA">
        <w:t>clinicians</w:t>
      </w:r>
      <w:r w:rsidR="00184BDA" w:rsidRPr="00C33C0B">
        <w:t xml:space="preserve"> and consumers for </w:t>
      </w:r>
      <w:r w:rsidR="00184BDA">
        <w:t xml:space="preserve">the </w:t>
      </w:r>
      <w:r w:rsidR="00184BDA" w:rsidRPr="00C33C0B">
        <w:t>principles of time</w:t>
      </w:r>
      <w:r w:rsidR="00184BDA">
        <w:t>-</w:t>
      </w:r>
      <w:r w:rsidR="00184BDA" w:rsidRPr="00C33C0B">
        <w:t xml:space="preserve">tiering before introducing </w:t>
      </w:r>
      <w:r w:rsidR="00184BDA">
        <w:t xml:space="preserve">schedule </w:t>
      </w:r>
      <w:r w:rsidR="00184BDA" w:rsidRPr="00C33C0B">
        <w:t>fees</w:t>
      </w:r>
      <w:r w:rsidR="006D683C">
        <w:t>;</w:t>
      </w:r>
    </w:p>
    <w:p w14:paraId="2A2AD29B" w14:textId="77777777" w:rsidR="00184BDA" w:rsidRPr="00C33C0B" w:rsidRDefault="00B47BFB" w:rsidP="000831A1">
      <w:pPr>
        <w:pStyle w:val="Bullet2"/>
        <w:numPr>
          <w:ilvl w:val="0"/>
          <w:numId w:val="71"/>
        </w:numPr>
      </w:pPr>
      <w:r>
        <w:t>e</w:t>
      </w:r>
      <w:r w:rsidR="00184BDA">
        <w:t>nsur</w:t>
      </w:r>
      <w:r>
        <w:t>ing</w:t>
      </w:r>
      <w:r w:rsidR="00184BDA" w:rsidRPr="00C33C0B">
        <w:t xml:space="preserve"> a linear relationship between attendance time</w:t>
      </w:r>
      <w:r w:rsidR="00184BDA">
        <w:t xml:space="preserve"> </w:t>
      </w:r>
      <w:r w:rsidR="00184BDA" w:rsidRPr="00C33C0B">
        <w:t xml:space="preserve">tiers and schedule fees </w:t>
      </w:r>
      <w:r w:rsidR="00184BDA">
        <w:t>from</w:t>
      </w:r>
      <w:r w:rsidR="00184BDA" w:rsidRPr="00C33C0B">
        <w:t xml:space="preserve"> the outset</w:t>
      </w:r>
      <w:r w:rsidR="006D683C">
        <w:t>;</w:t>
      </w:r>
    </w:p>
    <w:p w14:paraId="47DE48B8" w14:textId="77777777" w:rsidR="00184BDA" w:rsidRDefault="00AD23FF" w:rsidP="000831A1">
      <w:pPr>
        <w:pStyle w:val="Bullet2"/>
        <w:numPr>
          <w:ilvl w:val="0"/>
          <w:numId w:val="71"/>
        </w:numPr>
      </w:pPr>
      <w:r>
        <w:t>ensuring non</w:t>
      </w:r>
      <w:r>
        <w:noBreakHyphen/>
        <w:t>patient facing time is factored into the new fee structure</w:t>
      </w:r>
      <w:r w:rsidR="00A6186B">
        <w:t xml:space="preserve"> and ensuring that this fact is well communicated</w:t>
      </w:r>
      <w:r w:rsidR="006D683C">
        <w:t>;</w:t>
      </w:r>
      <w:r w:rsidR="00B47BFB">
        <w:t xml:space="preserve"> and</w:t>
      </w:r>
      <w:r w:rsidR="00184BDA" w:rsidRPr="00C33C0B">
        <w:t xml:space="preserve"> </w:t>
      </w:r>
    </w:p>
    <w:p w14:paraId="35988E77" w14:textId="77777777" w:rsidR="00B20C96" w:rsidRDefault="00B47BFB" w:rsidP="000831A1">
      <w:pPr>
        <w:pStyle w:val="Bullet2"/>
        <w:numPr>
          <w:ilvl w:val="0"/>
          <w:numId w:val="71"/>
        </w:numPr>
      </w:pPr>
      <w:r>
        <w:t>recognising</w:t>
      </w:r>
      <w:r w:rsidR="00B20C96">
        <w:t xml:space="preserve"> that there is a lack</w:t>
      </w:r>
      <w:r w:rsidR="00B20C96" w:rsidRPr="00C33C0B">
        <w:t xml:space="preserve"> of data on the current duration of </w:t>
      </w:r>
      <w:r w:rsidR="00B20C96">
        <w:t>consultant specialist</w:t>
      </w:r>
      <w:r w:rsidR="00B20C96" w:rsidRPr="00C33C0B">
        <w:t xml:space="preserve"> attendance times and the activities performed in these attendances</w:t>
      </w:r>
      <w:r w:rsidR="00B20C96">
        <w:t xml:space="preserve">. </w:t>
      </w:r>
    </w:p>
    <w:p w14:paraId="389E39FB" w14:textId="77777777" w:rsidR="00B47BFB" w:rsidRDefault="00B47BFB" w:rsidP="003C5D5A">
      <w:pPr>
        <w:pStyle w:val="Heading2"/>
      </w:pPr>
      <w:bookmarkStart w:id="139" w:name="_Toc67952216"/>
      <w:r>
        <w:t>Rationale 4</w:t>
      </w:r>
      <w:bookmarkEnd w:id="139"/>
    </w:p>
    <w:p w14:paraId="2923285A" w14:textId="77777777" w:rsidR="002A00C2" w:rsidRDefault="002A00C2" w:rsidP="002A00C2">
      <w:pPr>
        <w:rPr>
          <w:lang w:val="en-GB"/>
        </w:rPr>
      </w:pPr>
      <w:r>
        <w:rPr>
          <w:lang w:val="en-GB"/>
        </w:rPr>
        <w:t>This recommendation focuses on assisting the fee setting process to set appropriate fees. It is based on the following:</w:t>
      </w:r>
    </w:p>
    <w:p w14:paraId="44CFDA30" w14:textId="77777777" w:rsidR="00F43999" w:rsidRDefault="00F43999" w:rsidP="002A00C2">
      <w:pPr>
        <w:pStyle w:val="Bullet-green"/>
        <w:rPr>
          <w:lang w:val="en-GB"/>
        </w:rPr>
      </w:pPr>
      <w:r>
        <w:rPr>
          <w:lang w:val="en-GB"/>
        </w:rPr>
        <w:t xml:space="preserve">The Committee agreed that it was going to be necessary to work closely with providers </w:t>
      </w:r>
      <w:r w:rsidR="000930A7">
        <w:rPr>
          <w:lang w:val="en-GB"/>
        </w:rPr>
        <w:t xml:space="preserve">and consumers </w:t>
      </w:r>
      <w:r>
        <w:rPr>
          <w:lang w:val="en-GB"/>
        </w:rPr>
        <w:t>in order to achieve effective and sustainable outcomes.</w:t>
      </w:r>
    </w:p>
    <w:p w14:paraId="74F246F0" w14:textId="77777777" w:rsidR="00B20C96" w:rsidRPr="00607BDA" w:rsidRDefault="00B47BFB" w:rsidP="00607BDA">
      <w:pPr>
        <w:pStyle w:val="Bullet-green"/>
        <w:rPr>
          <w:lang w:val="en-GB"/>
        </w:rPr>
      </w:pPr>
      <w:r w:rsidRPr="00607BDA">
        <w:rPr>
          <w:lang w:val="en-GB"/>
        </w:rPr>
        <w:t>The Committee recognises that there is no single “optimum attendance time”, given the wide variation that exists both between and within specialties. Attempting to structure schedule fees to incentivise an optimum attendance time is not recommended.</w:t>
      </w:r>
    </w:p>
    <w:p w14:paraId="0D986DC9" w14:textId="77777777" w:rsidR="002A00C2" w:rsidRDefault="002A00C2" w:rsidP="002A00C2">
      <w:pPr>
        <w:pStyle w:val="Bullet-green"/>
        <w:rPr>
          <w:lang w:val="en-GB"/>
        </w:rPr>
      </w:pPr>
      <w:r>
        <w:rPr>
          <w:lang w:val="en-GB"/>
        </w:rPr>
        <w:t xml:space="preserve">The Committee notes </w:t>
      </w:r>
      <w:r w:rsidRPr="00C33C0B">
        <w:t>that significant non-patient</w:t>
      </w:r>
      <w:r>
        <w:t>-</w:t>
      </w:r>
      <w:r w:rsidRPr="00C33C0B">
        <w:t>facing time is spent on each attendance</w:t>
      </w:r>
      <w:r>
        <w:rPr>
          <w:lang w:val="en-GB"/>
        </w:rPr>
        <w:t xml:space="preserve">, </w:t>
      </w:r>
      <w:r w:rsidR="00B47BFB" w:rsidRPr="00607BDA">
        <w:rPr>
          <w:lang w:val="en-GB"/>
        </w:rPr>
        <w:t xml:space="preserve">for example, reviewing results prior to seeing patients, writing to the referring doctor, writing management plans. </w:t>
      </w:r>
    </w:p>
    <w:p w14:paraId="2BB87098" w14:textId="77777777" w:rsidR="00B47BFB" w:rsidRPr="00607BDA" w:rsidRDefault="00B47BFB" w:rsidP="00607BDA">
      <w:pPr>
        <w:pStyle w:val="Bullet-green"/>
        <w:rPr>
          <w:lang w:val="en-GB"/>
        </w:rPr>
      </w:pPr>
      <w:r w:rsidRPr="00607BDA">
        <w:rPr>
          <w:lang w:val="en-GB"/>
        </w:rPr>
        <w:t>The Provider Benefits Integrity Division (PBID) has explained to the Committee that non-patient-facing time is included in the calculation of schedule fees for MBS items, and has recommended that non-patient-facing time is not specified in item descriptors, as this is difficult to audit, and again will vary across different specialist groups.</w:t>
      </w:r>
    </w:p>
    <w:p w14:paraId="5DC43003" w14:textId="77777777" w:rsidR="00B47BFB" w:rsidRPr="00607BDA" w:rsidRDefault="002A00C2" w:rsidP="00607BDA">
      <w:pPr>
        <w:pStyle w:val="Bullet-green"/>
        <w:rPr>
          <w:lang w:val="en-GB"/>
        </w:rPr>
      </w:pPr>
      <w:r w:rsidRPr="00607BDA">
        <w:rPr>
          <w:lang w:val="en-GB"/>
        </w:rPr>
        <w:t>The Committee notes that there is a lack of data on the current duration of consultant specialist attendance times and the activities performed in these attendances</w:t>
      </w:r>
      <w:r w:rsidR="00A6186B">
        <w:rPr>
          <w:lang w:val="en-GB"/>
        </w:rPr>
        <w:t>.</w:t>
      </w:r>
      <w:r w:rsidRPr="00607BDA">
        <w:rPr>
          <w:lang w:val="en-GB"/>
        </w:rPr>
        <w:t xml:space="preserve"> </w:t>
      </w:r>
      <w:r w:rsidR="00B47BFB" w:rsidRPr="00607BDA">
        <w:rPr>
          <w:lang w:val="en-GB"/>
        </w:rPr>
        <w:t xml:space="preserve">This </w:t>
      </w:r>
      <w:r w:rsidRPr="00607BDA">
        <w:rPr>
          <w:lang w:val="en-GB"/>
        </w:rPr>
        <w:t xml:space="preserve">lack of data </w:t>
      </w:r>
      <w:r w:rsidR="00B47BFB" w:rsidRPr="00607BDA">
        <w:rPr>
          <w:lang w:val="en-GB"/>
        </w:rPr>
        <w:t>reduces the ability to accurately set time tiers and schedule fees, and to predict the impact of these recommendations on individual specialties.</w:t>
      </w:r>
    </w:p>
    <w:p w14:paraId="4A72D727" w14:textId="77777777" w:rsidR="003D361C" w:rsidRPr="00E01DFE" w:rsidRDefault="003D361C" w:rsidP="003D361C">
      <w:pPr>
        <w:pStyle w:val="Heading2"/>
      </w:pPr>
      <w:bookmarkStart w:id="140" w:name="_Toc22893986"/>
      <w:bookmarkStart w:id="141" w:name="_Toc67952217"/>
      <w:r w:rsidRPr="00230AEE">
        <w:t>Recommendation 5</w:t>
      </w:r>
      <w:r>
        <w:t xml:space="preserve"> – Impact of time</w:t>
      </w:r>
      <w:r>
        <w:noBreakHyphen/>
        <w:t>tiering on distant outreach services</w:t>
      </w:r>
      <w:bookmarkEnd w:id="140"/>
      <w:bookmarkEnd w:id="141"/>
    </w:p>
    <w:p w14:paraId="32B4DADF" w14:textId="77777777" w:rsidR="003D361C" w:rsidRDefault="003D361C" w:rsidP="003D361C">
      <w:r>
        <w:t>The Committee recommends that to address the potential concerns of time-</w:t>
      </w:r>
      <w:r>
        <w:softHyphen/>
        <w:t>tiering on distant outreach services the following steps will need to be considered:</w:t>
      </w:r>
    </w:p>
    <w:p w14:paraId="5F3D5F79" w14:textId="77777777" w:rsidR="003D361C" w:rsidRDefault="003D361C" w:rsidP="003D361C">
      <w:pPr>
        <w:pStyle w:val="ListParagraph"/>
        <w:numPr>
          <w:ilvl w:val="0"/>
          <w:numId w:val="113"/>
        </w:numPr>
        <w:spacing w:before="0" w:after="160"/>
        <w:ind w:left="714" w:hanging="357"/>
      </w:pPr>
      <w:r>
        <w:t>Data will need to be collected on this practice, if possible from MBS data or other sources;</w:t>
      </w:r>
    </w:p>
    <w:p w14:paraId="50848337" w14:textId="77777777" w:rsidR="003D361C" w:rsidRDefault="003D361C" w:rsidP="003D361C">
      <w:pPr>
        <w:pStyle w:val="ListParagraph"/>
        <w:numPr>
          <w:ilvl w:val="0"/>
          <w:numId w:val="113"/>
        </w:numPr>
        <w:spacing w:before="0" w:after="160"/>
        <w:ind w:left="714" w:hanging="357"/>
      </w:pPr>
      <w:r>
        <w:t xml:space="preserve">If such a problem does exist, a non MBS process will need to be developed to address the issue; </w:t>
      </w:r>
    </w:p>
    <w:p w14:paraId="06AAC228" w14:textId="77777777" w:rsidR="003D361C" w:rsidRDefault="003D361C" w:rsidP="003D361C">
      <w:pPr>
        <w:pStyle w:val="ListParagraph"/>
        <w:numPr>
          <w:ilvl w:val="0"/>
          <w:numId w:val="113"/>
        </w:numPr>
        <w:spacing w:before="0" w:after="160"/>
        <w:ind w:left="714" w:hanging="357"/>
      </w:pPr>
      <w:r>
        <w:t xml:space="preserve">Any such process should continue to support patient access to local services where </w:t>
      </w:r>
      <w:r w:rsidR="000930A7">
        <w:t>needed</w:t>
      </w:r>
      <w:r>
        <w:t>; and</w:t>
      </w:r>
    </w:p>
    <w:p w14:paraId="5FE71E98" w14:textId="77777777" w:rsidR="003D361C" w:rsidRDefault="003D361C" w:rsidP="003D361C">
      <w:pPr>
        <w:pStyle w:val="ListParagraph"/>
        <w:numPr>
          <w:ilvl w:val="0"/>
          <w:numId w:val="113"/>
        </w:numPr>
        <w:spacing w:before="0" w:after="160"/>
        <w:ind w:left="714" w:hanging="357"/>
      </w:pPr>
      <w:r>
        <w:t xml:space="preserve">A community need must be demonstrated in order to justify a non-MBS solution. </w:t>
      </w:r>
    </w:p>
    <w:p w14:paraId="408D918C" w14:textId="77777777" w:rsidR="003D361C" w:rsidRDefault="003D361C" w:rsidP="003D361C">
      <w:pPr>
        <w:pStyle w:val="Heading2"/>
      </w:pPr>
      <w:bookmarkStart w:id="142" w:name="_Toc22893987"/>
      <w:bookmarkStart w:id="143" w:name="_Toc67952218"/>
      <w:r w:rsidRPr="00E01DFE">
        <w:t>Rationale 5</w:t>
      </w:r>
      <w:bookmarkEnd w:id="142"/>
      <w:bookmarkEnd w:id="143"/>
    </w:p>
    <w:p w14:paraId="12158A05" w14:textId="77777777" w:rsidR="003D361C" w:rsidRDefault="003D361C" w:rsidP="003D361C">
      <w:r>
        <w:t xml:space="preserve">It has been argued that the viability of some outreach services will suffer if time-tiering replaces fee for service, in so doing removing local access to essential services from patients in rural and remote regions. </w:t>
      </w:r>
      <w:r w:rsidR="00856FC5">
        <w:t xml:space="preserve"> The existing disparity in rebate of initial vs subsequent consultations may have led to remunerative structures that have a significant dependence on initial consultations to maintain viability</w:t>
      </w:r>
      <w:r>
        <w:t xml:space="preserve"> </w:t>
      </w:r>
    </w:p>
    <w:p w14:paraId="5F5C9358" w14:textId="77777777" w:rsidR="003D361C" w:rsidRPr="00755840" w:rsidRDefault="001D2CD1" w:rsidP="003D361C">
      <w:r>
        <w:t>It is accepted that in some rural, regional and remote areas, there is not a critical population mass (or infrastructure) to attract or retain some consultant specialists by relying on the MBS alone.</w:t>
      </w:r>
      <w:r w:rsidR="00856FC5">
        <w:t xml:space="preserve"> </w:t>
      </w:r>
      <w:r w:rsidR="003D361C">
        <w:t xml:space="preserve">From a strategic perspective it is intended that all Australians have timely and appropriate access to high quality medical and surgical services </w:t>
      </w:r>
      <w:r w:rsidR="000930A7">
        <w:t xml:space="preserve">as </w:t>
      </w:r>
      <w:r w:rsidR="003D361C">
        <w:t>needed. This can be best achieved by the development of local service</w:t>
      </w:r>
      <w:r w:rsidR="000930A7">
        <w:t xml:space="preserve"> models</w:t>
      </w:r>
      <w:r>
        <w:t xml:space="preserve"> that may require both MBS and non MBS support</w:t>
      </w:r>
      <w:r w:rsidR="003D361C">
        <w:t xml:space="preserve">. </w:t>
      </w:r>
    </w:p>
    <w:p w14:paraId="42AF98DE" w14:textId="77777777" w:rsidR="0063055E" w:rsidRPr="00C33C0B" w:rsidRDefault="0063055E" w:rsidP="0063055E">
      <w:pPr>
        <w:pStyle w:val="Heading1"/>
      </w:pPr>
      <w:bookmarkStart w:id="144" w:name="_Toc67952219"/>
      <w:r w:rsidRPr="00C33C0B">
        <w:t>Complex plan</w:t>
      </w:r>
      <w:r>
        <w:t xml:space="preserve"> recommendations</w:t>
      </w:r>
      <w:bookmarkEnd w:id="144"/>
    </w:p>
    <w:p w14:paraId="65885E34" w14:textId="77777777" w:rsidR="002C2B9B" w:rsidRPr="00607BDA" w:rsidRDefault="006E6B20" w:rsidP="003C5D5A">
      <w:pPr>
        <w:pStyle w:val="Heading2"/>
      </w:pPr>
      <w:bookmarkStart w:id="145" w:name="_Toc67952220"/>
      <w:r w:rsidRPr="00607BDA">
        <w:t xml:space="preserve">The </w:t>
      </w:r>
      <w:r>
        <w:t>c</w:t>
      </w:r>
      <w:r w:rsidRPr="00607BDA">
        <w:t>omplex plan context</w:t>
      </w:r>
      <w:bookmarkEnd w:id="145"/>
    </w:p>
    <w:p w14:paraId="3B92DDC3" w14:textId="77777777" w:rsidR="0063055E" w:rsidRPr="00C33C0B" w:rsidRDefault="0063055E" w:rsidP="0063055E">
      <w:pPr>
        <w:rPr>
          <w:lang w:val="en-GB"/>
        </w:rPr>
      </w:pPr>
      <w:r w:rsidRPr="00C33C0B">
        <w:rPr>
          <w:lang w:val="en-GB"/>
        </w:rPr>
        <w:t xml:space="preserve">The MBS has </w:t>
      </w:r>
      <w:r>
        <w:rPr>
          <w:lang w:val="en-GB"/>
        </w:rPr>
        <w:t>eight</w:t>
      </w:r>
      <w:r w:rsidRPr="00C33C0B">
        <w:rPr>
          <w:lang w:val="en-GB"/>
        </w:rPr>
        <w:t xml:space="preserve"> items related to the development of complex plans</w:t>
      </w:r>
      <w:r>
        <w:rPr>
          <w:lang w:val="en-GB"/>
        </w:rPr>
        <w:t>.</w:t>
      </w:r>
      <w:r w:rsidRPr="00C33C0B">
        <w:rPr>
          <w:rStyle w:val="FootnoteReference"/>
          <w:lang w:val="en-GB"/>
        </w:rPr>
        <w:footnoteReference w:id="5"/>
      </w:r>
      <w:r>
        <w:rPr>
          <w:lang w:val="en-GB"/>
        </w:rPr>
        <w:t xml:space="preserve"> These items accounted for</w:t>
      </w:r>
      <w:r w:rsidR="00277440">
        <w:rPr>
          <w:lang w:val="en-GB"/>
        </w:rPr>
        <w:t xml:space="preserve"> 1.7 million services and $3</w:t>
      </w:r>
      <w:r w:rsidRPr="00C33C0B">
        <w:rPr>
          <w:lang w:val="en-GB"/>
        </w:rPr>
        <w:t>18</w:t>
      </w:r>
      <w:r>
        <w:rPr>
          <w:lang w:val="en-GB"/>
        </w:rPr>
        <w:t xml:space="preserve"> million</w:t>
      </w:r>
      <w:r w:rsidRPr="00C33C0B">
        <w:rPr>
          <w:lang w:val="en-GB"/>
        </w:rPr>
        <w:t xml:space="preserve"> in benefits in 2016/17. </w:t>
      </w:r>
      <w:r w:rsidR="00DF3AC6">
        <w:rPr>
          <w:lang w:val="en-GB"/>
        </w:rPr>
        <w:t xml:space="preserve">The majority of </w:t>
      </w:r>
      <w:r w:rsidR="004A5331">
        <w:rPr>
          <w:lang w:val="en-GB"/>
        </w:rPr>
        <w:t xml:space="preserve">complex plan </w:t>
      </w:r>
      <w:r w:rsidR="00DF3AC6">
        <w:rPr>
          <w:lang w:val="en-GB"/>
        </w:rPr>
        <w:t xml:space="preserve">benefits and services </w:t>
      </w:r>
      <w:r w:rsidR="0038490A">
        <w:rPr>
          <w:lang w:val="en-GB"/>
        </w:rPr>
        <w:t xml:space="preserve">relate </w:t>
      </w:r>
      <w:r w:rsidR="004A5331">
        <w:rPr>
          <w:lang w:val="en-GB"/>
        </w:rPr>
        <w:t>to consultant physician items 132 and 133 (93% of benefits, 96% of services).</w:t>
      </w:r>
    </w:p>
    <w:p w14:paraId="0C5258C3" w14:textId="77777777" w:rsidR="0063055E" w:rsidRPr="00C33C0B" w:rsidRDefault="0063055E" w:rsidP="0063055E">
      <w:pPr>
        <w:rPr>
          <w:lang w:val="en-GB"/>
        </w:rPr>
      </w:pPr>
      <w:r w:rsidRPr="00C33C0B">
        <w:rPr>
          <w:lang w:val="en-GB"/>
        </w:rPr>
        <w:t>Complex plan items specify the assessment, diagnos</w:t>
      </w:r>
      <w:r w:rsidR="009B5FE0">
        <w:rPr>
          <w:lang w:val="en-GB"/>
        </w:rPr>
        <w:t>i</w:t>
      </w:r>
      <w:r w:rsidRPr="00C33C0B">
        <w:rPr>
          <w:lang w:val="en-GB"/>
        </w:rPr>
        <w:t xml:space="preserve">s and development of a comprehensive </w:t>
      </w:r>
      <w:r w:rsidR="005635EA">
        <w:rPr>
          <w:lang w:val="en-GB"/>
        </w:rPr>
        <w:t xml:space="preserve">patient </w:t>
      </w:r>
      <w:r w:rsidRPr="00C33C0B">
        <w:rPr>
          <w:lang w:val="en-GB"/>
        </w:rPr>
        <w:t>management plan</w:t>
      </w:r>
      <w:r w:rsidR="007868F4">
        <w:rPr>
          <w:lang w:val="en-GB"/>
        </w:rPr>
        <w:t xml:space="preserve"> and </w:t>
      </w:r>
      <w:r w:rsidR="007868F4" w:rsidRPr="007868F4">
        <w:rPr>
          <w:lang w:val="en-GB"/>
        </w:rPr>
        <w:t>enable the referring clinician and the patient to bett</w:t>
      </w:r>
      <w:r w:rsidR="007868F4">
        <w:rPr>
          <w:lang w:val="en-GB"/>
        </w:rPr>
        <w:t>er manage everyday health care.</w:t>
      </w:r>
      <w:r w:rsidR="006E6B20">
        <w:rPr>
          <w:lang w:val="en-GB"/>
        </w:rPr>
        <w:t xml:space="preserve"> The items cover:</w:t>
      </w:r>
    </w:p>
    <w:p w14:paraId="4E23D8ED" w14:textId="77777777" w:rsidR="0063055E" w:rsidRPr="00607BDA" w:rsidRDefault="0063055E" w:rsidP="00607BDA">
      <w:pPr>
        <w:pStyle w:val="Bullet-green"/>
        <w:rPr>
          <w:lang w:val="en-GB"/>
        </w:rPr>
      </w:pPr>
      <w:r w:rsidRPr="006E6B20">
        <w:rPr>
          <w:lang w:val="en-GB"/>
        </w:rPr>
        <w:t xml:space="preserve">Consultant physician complex plan </w:t>
      </w:r>
      <w:r w:rsidR="006E6B20" w:rsidRPr="006E6B20">
        <w:rPr>
          <w:lang w:val="en-GB"/>
        </w:rPr>
        <w:t>(</w:t>
      </w:r>
      <w:r w:rsidRPr="006E6B20">
        <w:rPr>
          <w:lang w:val="en-GB"/>
        </w:rPr>
        <w:t>items 132 and 133</w:t>
      </w:r>
      <w:r w:rsidR="006E6B20" w:rsidRPr="006E6B20">
        <w:rPr>
          <w:lang w:val="en-GB"/>
        </w:rPr>
        <w:t xml:space="preserve">) - </w:t>
      </w:r>
      <w:r w:rsidR="006E6B20" w:rsidRPr="00607BDA">
        <w:rPr>
          <w:lang w:val="en-GB"/>
        </w:rPr>
        <w:t>a</w:t>
      </w:r>
      <w:r w:rsidRPr="00607BDA">
        <w:rPr>
          <w:lang w:val="en-GB"/>
        </w:rPr>
        <w:t>ttendances of</w:t>
      </w:r>
      <w:r w:rsidR="002C01EB" w:rsidRPr="00607BDA">
        <w:rPr>
          <w:lang w:val="en-GB"/>
        </w:rPr>
        <w:t xml:space="preserve"> at least</w:t>
      </w:r>
      <w:r w:rsidRPr="00607BDA">
        <w:rPr>
          <w:lang w:val="en-GB"/>
        </w:rPr>
        <w:t xml:space="preserve"> 45 minutes and 20 minutes, respectively, for the creation and review of a complex plan.</w:t>
      </w:r>
    </w:p>
    <w:p w14:paraId="5045DCC1" w14:textId="77777777" w:rsidR="006E6B20" w:rsidRDefault="0063055E" w:rsidP="00607BDA">
      <w:pPr>
        <w:pStyle w:val="Bullet-green"/>
        <w:rPr>
          <w:lang w:val="en-GB"/>
        </w:rPr>
      </w:pPr>
      <w:r w:rsidRPr="006E6B20">
        <w:rPr>
          <w:lang w:val="en-GB"/>
        </w:rPr>
        <w:t xml:space="preserve">Paediatric complex plan </w:t>
      </w:r>
      <w:r w:rsidR="006E6B20" w:rsidRPr="006E6B20">
        <w:rPr>
          <w:lang w:val="en-GB"/>
        </w:rPr>
        <w:t>(</w:t>
      </w:r>
      <w:r w:rsidRPr="006E6B20">
        <w:rPr>
          <w:lang w:val="en-GB"/>
        </w:rPr>
        <w:t>items 135 and 137</w:t>
      </w:r>
      <w:r w:rsidR="006E6B20" w:rsidRPr="006E6B20">
        <w:rPr>
          <w:lang w:val="en-GB"/>
        </w:rPr>
        <w:t xml:space="preserve">) - </w:t>
      </w:r>
      <w:r w:rsidR="006E6B20" w:rsidRPr="00607BDA">
        <w:rPr>
          <w:lang w:val="en-GB"/>
        </w:rPr>
        <w:t>a</w:t>
      </w:r>
      <w:r w:rsidRPr="00607BDA">
        <w:rPr>
          <w:lang w:val="en-GB"/>
        </w:rPr>
        <w:t xml:space="preserve">ttendances of at least 45 minutes for a child aged under 13 years with autism or another pervasive developmental disorder (item 135) or </w:t>
      </w:r>
      <w:r w:rsidRPr="006E6B20">
        <w:rPr>
          <w:lang w:val="en-GB"/>
        </w:rPr>
        <w:t>an eligible disability (item 137).</w:t>
      </w:r>
      <w:r w:rsidR="006E6B20" w:rsidRPr="006E6B20">
        <w:rPr>
          <w:lang w:val="en-GB"/>
        </w:rPr>
        <w:t xml:space="preserve"> </w:t>
      </w:r>
    </w:p>
    <w:p w14:paraId="2332BE18" w14:textId="77777777" w:rsidR="0063055E" w:rsidRPr="006E6B20" w:rsidRDefault="0063055E" w:rsidP="00607BDA">
      <w:pPr>
        <w:pStyle w:val="Bullet-green"/>
        <w:numPr>
          <w:ilvl w:val="0"/>
          <w:numId w:val="0"/>
        </w:numPr>
        <w:ind w:left="431"/>
        <w:rPr>
          <w:lang w:val="en-GB"/>
        </w:rPr>
      </w:pPr>
      <w:r w:rsidRPr="006E6B20">
        <w:rPr>
          <w:lang w:val="en-GB"/>
        </w:rPr>
        <w:t xml:space="preserve">These items </w:t>
      </w:r>
      <w:r w:rsidR="005635EA">
        <w:rPr>
          <w:lang w:val="en-GB"/>
        </w:rPr>
        <w:t xml:space="preserve">enable assessment of the need and eligibility </w:t>
      </w:r>
      <w:r w:rsidRPr="006E6B20">
        <w:rPr>
          <w:lang w:val="en-GB"/>
        </w:rPr>
        <w:t>for a package of</w:t>
      </w:r>
      <w:r w:rsidR="004A5331" w:rsidRPr="006E6B20">
        <w:rPr>
          <w:lang w:val="en-GB"/>
        </w:rPr>
        <w:t xml:space="preserve"> </w:t>
      </w:r>
      <w:r w:rsidRPr="006E6B20">
        <w:rPr>
          <w:lang w:val="en-GB"/>
        </w:rPr>
        <w:t xml:space="preserve">allied health professional </w:t>
      </w:r>
      <w:r w:rsidR="000943EE" w:rsidRPr="006E6B20">
        <w:rPr>
          <w:lang w:val="en-GB"/>
        </w:rPr>
        <w:t>services</w:t>
      </w:r>
      <w:r w:rsidR="006E6B20">
        <w:rPr>
          <w:lang w:val="en-GB"/>
        </w:rPr>
        <w:t xml:space="preserve"> including </w:t>
      </w:r>
      <w:r w:rsidR="006E6B20">
        <w:t>four allied health assessment services and 20 allied health treatment services per eligible child</w:t>
      </w:r>
      <w:r w:rsidRPr="006E6B20">
        <w:rPr>
          <w:lang w:val="en-GB"/>
        </w:rPr>
        <w:t>.</w:t>
      </w:r>
    </w:p>
    <w:p w14:paraId="6CB35A5C" w14:textId="77777777" w:rsidR="0063055E" w:rsidRPr="006E6B20" w:rsidRDefault="0063055E" w:rsidP="00607BDA">
      <w:pPr>
        <w:pStyle w:val="Bullet-green"/>
        <w:rPr>
          <w:lang w:val="en-GB"/>
        </w:rPr>
      </w:pPr>
      <w:r w:rsidRPr="006E6B20">
        <w:rPr>
          <w:lang w:val="en-GB"/>
        </w:rPr>
        <w:t>Geriatric complex plan</w:t>
      </w:r>
      <w:r w:rsidR="009D18C0">
        <w:rPr>
          <w:lang w:val="en-GB"/>
        </w:rPr>
        <w:t xml:space="preserve"> </w:t>
      </w:r>
      <w:r w:rsidR="006E6B20" w:rsidRPr="006E6B20">
        <w:rPr>
          <w:lang w:val="en-GB"/>
        </w:rPr>
        <w:t>(</w:t>
      </w:r>
      <w:r w:rsidRPr="006E6B20">
        <w:rPr>
          <w:lang w:val="en-GB"/>
        </w:rPr>
        <w:t>items 141, 143, 145 and 147</w:t>
      </w:r>
      <w:r w:rsidR="006E6B20" w:rsidRPr="006E6B20">
        <w:rPr>
          <w:lang w:val="en-GB"/>
        </w:rPr>
        <w:t xml:space="preserve">) - </w:t>
      </w:r>
      <w:r w:rsidR="006E6B20">
        <w:rPr>
          <w:lang w:val="en-GB"/>
        </w:rPr>
        <w:t>a</w:t>
      </w:r>
      <w:r w:rsidRPr="00607BDA">
        <w:rPr>
          <w:lang w:val="en-GB"/>
        </w:rPr>
        <w:t xml:space="preserve">ttendances of </w:t>
      </w:r>
      <w:r w:rsidR="0025591E" w:rsidRPr="00607BDA">
        <w:rPr>
          <w:lang w:val="en-GB"/>
        </w:rPr>
        <w:t xml:space="preserve">more than </w:t>
      </w:r>
      <w:r w:rsidRPr="00607BDA">
        <w:rPr>
          <w:lang w:val="en-GB"/>
        </w:rPr>
        <w:t>60</w:t>
      </w:r>
      <w:r w:rsidR="006E6B20">
        <w:rPr>
          <w:lang w:val="en-GB"/>
        </w:rPr>
        <w:t> </w:t>
      </w:r>
      <w:r w:rsidRPr="00607BDA">
        <w:rPr>
          <w:lang w:val="en-GB"/>
        </w:rPr>
        <w:t xml:space="preserve">minutes and 30 minutes, respectively, for </w:t>
      </w:r>
      <w:r w:rsidRPr="006E6B20">
        <w:rPr>
          <w:lang w:val="en-GB"/>
        </w:rPr>
        <w:t>the creation and review of a complex plan (two items each for attendances at consulting rooms/hospital or elsewhere).</w:t>
      </w:r>
    </w:p>
    <w:p w14:paraId="379E6BBD" w14:textId="77777777" w:rsidR="0063055E" w:rsidRPr="00607BDA" w:rsidRDefault="0063055E" w:rsidP="00607BDA">
      <w:pPr>
        <w:pStyle w:val="Bullet-green"/>
        <w:rPr>
          <w:lang w:val="en-GB"/>
        </w:rPr>
      </w:pPr>
      <w:r w:rsidRPr="006E6B20">
        <w:rPr>
          <w:lang w:val="en-GB"/>
        </w:rPr>
        <w:t xml:space="preserve">Addiction medicine complex plan </w:t>
      </w:r>
      <w:r w:rsidR="006E6B20" w:rsidRPr="006E6B20">
        <w:rPr>
          <w:lang w:val="en-GB"/>
        </w:rPr>
        <w:t>(</w:t>
      </w:r>
      <w:r w:rsidRPr="006E6B20">
        <w:rPr>
          <w:lang w:val="en-GB"/>
        </w:rPr>
        <w:t>items 6023 and 6024</w:t>
      </w:r>
      <w:r w:rsidR="006E6B20" w:rsidRPr="006E6B20">
        <w:rPr>
          <w:lang w:val="en-GB"/>
        </w:rPr>
        <w:t xml:space="preserve">) - </w:t>
      </w:r>
      <w:r w:rsidR="006E6B20">
        <w:rPr>
          <w:lang w:val="en-GB"/>
        </w:rPr>
        <w:t>a</w:t>
      </w:r>
      <w:r w:rsidRPr="00607BDA">
        <w:rPr>
          <w:lang w:val="en-GB"/>
        </w:rPr>
        <w:t>ttendances of</w:t>
      </w:r>
      <w:r w:rsidR="00250B7A" w:rsidRPr="00607BDA">
        <w:rPr>
          <w:lang w:val="en-GB"/>
        </w:rPr>
        <w:t xml:space="preserve"> at least</w:t>
      </w:r>
      <w:r w:rsidRPr="00607BDA">
        <w:rPr>
          <w:lang w:val="en-GB"/>
        </w:rPr>
        <w:t xml:space="preserve"> 45 minutes and 20 minutes, respectively, for the creation and review of a complex plan. </w:t>
      </w:r>
    </w:p>
    <w:p w14:paraId="5398164A" w14:textId="77777777" w:rsidR="0063055E" w:rsidRPr="00D559D6" w:rsidRDefault="0063055E" w:rsidP="00607BDA">
      <w:pPr>
        <w:pStyle w:val="Bullet-green"/>
      </w:pPr>
      <w:r w:rsidRPr="006E6B20">
        <w:rPr>
          <w:lang w:val="en-GB"/>
        </w:rPr>
        <w:t xml:space="preserve">Sexual health medicine complex plan </w:t>
      </w:r>
      <w:r w:rsidR="006E6B20" w:rsidRPr="006E6B20">
        <w:rPr>
          <w:lang w:val="en-GB"/>
        </w:rPr>
        <w:t>(</w:t>
      </w:r>
      <w:r w:rsidRPr="006E6B20">
        <w:rPr>
          <w:lang w:val="en-GB"/>
        </w:rPr>
        <w:t>items 6057 and 6058</w:t>
      </w:r>
      <w:r w:rsidR="006E6B20" w:rsidRPr="006E6B20">
        <w:rPr>
          <w:lang w:val="en-GB"/>
        </w:rPr>
        <w:t xml:space="preserve">) - </w:t>
      </w:r>
      <w:r w:rsidR="006E6B20">
        <w:t>a</w:t>
      </w:r>
      <w:r w:rsidRPr="00D559D6">
        <w:t xml:space="preserve">ttendances of </w:t>
      </w:r>
      <w:r w:rsidR="003860A4">
        <w:t xml:space="preserve">at least </w:t>
      </w:r>
      <w:r w:rsidRPr="00D559D6">
        <w:t>45 minutes and 20 minutes</w:t>
      </w:r>
      <w:r>
        <w:t>, respectively,</w:t>
      </w:r>
      <w:r w:rsidRPr="00D559D6">
        <w:t xml:space="preserve"> for the creation and review of a complex plan. </w:t>
      </w:r>
    </w:p>
    <w:p w14:paraId="0C9BEC8D" w14:textId="77777777" w:rsidR="0063055E" w:rsidRPr="00C33C0B" w:rsidRDefault="00FD5587" w:rsidP="003C5D5A">
      <w:pPr>
        <w:pStyle w:val="Heading2"/>
      </w:pPr>
      <w:bookmarkStart w:id="146" w:name="_Toc67952221"/>
      <w:bookmarkStart w:id="147" w:name="_Hlk529009241"/>
      <w:r>
        <w:t xml:space="preserve">Recommendation </w:t>
      </w:r>
      <w:r w:rsidR="003D361C">
        <w:t>6</w:t>
      </w:r>
      <w:r w:rsidR="0063055E">
        <w:t xml:space="preserve"> </w:t>
      </w:r>
      <w:r w:rsidR="00A42BFB">
        <w:t>- Removing consultant physician, addiction medicine, and sexual health medicine complex plan items</w:t>
      </w:r>
      <w:bookmarkEnd w:id="146"/>
    </w:p>
    <w:p w14:paraId="54CEA4A1" w14:textId="77777777" w:rsidR="0063055E" w:rsidRPr="00C33C0B" w:rsidRDefault="006E6B20" w:rsidP="00607BDA">
      <w:pPr>
        <w:pStyle w:val="Bullet-green"/>
        <w:numPr>
          <w:ilvl w:val="0"/>
          <w:numId w:val="0"/>
        </w:numPr>
      </w:pPr>
      <w:r>
        <w:t>The Committee recommends r</w:t>
      </w:r>
      <w:r w:rsidR="000943EE">
        <w:t>emov</w:t>
      </w:r>
      <w:r>
        <w:t>ing</w:t>
      </w:r>
      <w:r w:rsidR="000943EE">
        <w:t xml:space="preserve"> consultant physician, addiction medicine, and sexual health medicine complex plan items from the MBS</w:t>
      </w:r>
      <w:r>
        <w:t xml:space="preserve"> (items 132, 133, 6023, 6024, 6057, and 6058)</w:t>
      </w:r>
      <w:r w:rsidR="00A42BFB">
        <w:t>.</w:t>
      </w:r>
    </w:p>
    <w:p w14:paraId="168E924D" w14:textId="77777777" w:rsidR="0063055E" w:rsidRPr="00C33C0B" w:rsidRDefault="0063055E" w:rsidP="003C5D5A">
      <w:pPr>
        <w:pStyle w:val="Heading2"/>
      </w:pPr>
      <w:bookmarkStart w:id="148" w:name="_Toc67952222"/>
      <w:bookmarkEnd w:id="147"/>
      <w:r w:rsidRPr="00C33C0B">
        <w:t xml:space="preserve">Rationale </w:t>
      </w:r>
      <w:r w:rsidR="003D361C">
        <w:t>6</w:t>
      </w:r>
      <w:bookmarkEnd w:id="148"/>
    </w:p>
    <w:p w14:paraId="768F5755" w14:textId="77777777" w:rsidR="0063055E" w:rsidRDefault="0063055E" w:rsidP="0063055E">
      <w:pPr>
        <w:rPr>
          <w:lang w:val="en-GB"/>
        </w:rPr>
      </w:pPr>
      <w:r>
        <w:rPr>
          <w:lang w:val="en-GB"/>
        </w:rPr>
        <w:t>This recommendation focuses on</w:t>
      </w:r>
      <w:r w:rsidR="00C90552">
        <w:rPr>
          <w:lang w:val="en-GB"/>
        </w:rPr>
        <w:t xml:space="preserve"> incorporating the creation of complex plans into standard time</w:t>
      </w:r>
      <w:r w:rsidR="0025414F">
        <w:rPr>
          <w:lang w:val="en-GB"/>
        </w:rPr>
        <w:t>-</w:t>
      </w:r>
      <w:r w:rsidR="00C90552">
        <w:rPr>
          <w:lang w:val="en-GB"/>
        </w:rPr>
        <w:t>tiered attendances</w:t>
      </w:r>
      <w:r w:rsidR="005635EA">
        <w:rPr>
          <w:lang w:val="en-GB"/>
        </w:rPr>
        <w:t xml:space="preserve"> for the following reasons</w:t>
      </w:r>
      <w:r w:rsidR="009A20C2">
        <w:rPr>
          <w:lang w:val="en-GB"/>
        </w:rPr>
        <w:t>:</w:t>
      </w:r>
    </w:p>
    <w:p w14:paraId="74163D07" w14:textId="77777777" w:rsidR="0063055E" w:rsidRPr="00C33C0B" w:rsidRDefault="0063055E" w:rsidP="0063055E">
      <w:pPr>
        <w:pStyle w:val="Bullet-green"/>
        <w:rPr>
          <w:lang w:val="en-GB"/>
        </w:rPr>
      </w:pPr>
      <w:r w:rsidRPr="00C33C0B">
        <w:rPr>
          <w:lang w:val="en-GB"/>
        </w:rPr>
        <w:t>Item 132 was introduced to the MBS in 2007</w:t>
      </w:r>
      <w:r w:rsidR="004F01C2">
        <w:rPr>
          <w:lang w:val="en-GB"/>
        </w:rPr>
        <w:t xml:space="preserve"> with the intention </w:t>
      </w:r>
      <w:r w:rsidR="007A540A">
        <w:rPr>
          <w:lang w:val="en-GB"/>
        </w:rPr>
        <w:t xml:space="preserve">of supporting </w:t>
      </w:r>
      <w:r w:rsidRPr="00C33C0B">
        <w:rPr>
          <w:lang w:val="en-GB"/>
        </w:rPr>
        <w:t>patients with chronic and complex conditions</w:t>
      </w:r>
      <w:r>
        <w:rPr>
          <w:lang w:val="en-GB"/>
        </w:rPr>
        <w:t xml:space="preserve"> through the </w:t>
      </w:r>
      <w:r w:rsidRPr="00C33C0B">
        <w:rPr>
          <w:lang w:val="en-GB"/>
        </w:rPr>
        <w:t xml:space="preserve">creation of a comprehensive management plan by </w:t>
      </w:r>
      <w:r>
        <w:rPr>
          <w:lang w:val="en-GB"/>
        </w:rPr>
        <w:t>c</w:t>
      </w:r>
      <w:r w:rsidRPr="00C33C0B">
        <w:rPr>
          <w:lang w:val="en-GB"/>
        </w:rPr>
        <w:t xml:space="preserve">onsultant </w:t>
      </w:r>
      <w:r w:rsidR="008C78CE">
        <w:rPr>
          <w:lang w:val="en-GB"/>
        </w:rPr>
        <w:t>specialists</w:t>
      </w:r>
      <w:r w:rsidRPr="00C33C0B">
        <w:rPr>
          <w:lang w:val="en-GB"/>
        </w:rPr>
        <w:t xml:space="preserve"> that </w:t>
      </w:r>
      <w:r w:rsidR="007A540A">
        <w:rPr>
          <w:lang w:val="en-GB"/>
        </w:rPr>
        <w:t xml:space="preserve">would enable </w:t>
      </w:r>
      <w:r w:rsidRPr="00C33C0B">
        <w:rPr>
          <w:lang w:val="en-GB"/>
        </w:rPr>
        <w:t xml:space="preserve">ongoing management </w:t>
      </w:r>
      <w:r w:rsidR="007A540A">
        <w:rPr>
          <w:lang w:val="en-GB"/>
        </w:rPr>
        <w:t>by the referring practitioner (usually the patient’s GP).</w:t>
      </w:r>
    </w:p>
    <w:p w14:paraId="14303E24" w14:textId="77777777" w:rsidR="0063055E" w:rsidRDefault="0063055E" w:rsidP="0063055E">
      <w:pPr>
        <w:pStyle w:val="Bullet-green"/>
        <w:rPr>
          <w:lang w:val="en-GB"/>
        </w:rPr>
      </w:pPr>
      <w:r w:rsidRPr="00C33C0B">
        <w:rPr>
          <w:lang w:val="en-GB"/>
        </w:rPr>
        <w:t>In the past five years, there has been rapid growth in use of item 132 (12</w:t>
      </w:r>
      <w:r>
        <w:rPr>
          <w:lang w:val="en-GB"/>
        </w:rPr>
        <w:t xml:space="preserve"> per cent</w:t>
      </w:r>
      <w:r w:rsidRPr="00C33C0B">
        <w:rPr>
          <w:lang w:val="en-GB"/>
        </w:rPr>
        <w:t xml:space="preserve"> compound annual growth rate)</w:t>
      </w:r>
      <w:r>
        <w:rPr>
          <w:lang w:val="en-GB"/>
        </w:rPr>
        <w:t>.</w:t>
      </w:r>
      <w:r w:rsidRPr="00C33C0B">
        <w:rPr>
          <w:lang w:val="en-GB"/>
        </w:rPr>
        <w:t xml:space="preserve"> </w:t>
      </w:r>
      <w:r>
        <w:rPr>
          <w:lang w:val="en-GB"/>
        </w:rPr>
        <w:t>E</w:t>
      </w:r>
      <w:r w:rsidRPr="00C33C0B">
        <w:rPr>
          <w:lang w:val="en-GB"/>
        </w:rPr>
        <w:t xml:space="preserve">vidence suggests that the item is </w:t>
      </w:r>
      <w:r w:rsidR="004F01C2">
        <w:rPr>
          <w:lang w:val="en-GB"/>
        </w:rPr>
        <w:t xml:space="preserve">not being used </w:t>
      </w:r>
      <w:r w:rsidRPr="00C33C0B">
        <w:rPr>
          <w:lang w:val="en-GB"/>
        </w:rPr>
        <w:t>for the development of a management plan for</w:t>
      </w:r>
      <w:r w:rsidR="009A20C2">
        <w:rPr>
          <w:lang w:val="en-GB"/>
        </w:rPr>
        <w:t xml:space="preserve"> use by</w:t>
      </w:r>
      <w:r w:rsidRPr="00C33C0B">
        <w:rPr>
          <w:lang w:val="en-GB"/>
        </w:rPr>
        <w:t xml:space="preserve"> the referring practitioner. </w:t>
      </w:r>
      <w:r w:rsidR="005A5C4E">
        <w:rPr>
          <w:lang w:val="en-GB"/>
        </w:rPr>
        <w:t xml:space="preserve">While in 2016-17, </w:t>
      </w:r>
      <w:r w:rsidRPr="00C33C0B">
        <w:rPr>
          <w:lang w:val="en-GB"/>
        </w:rPr>
        <w:t>41</w:t>
      </w:r>
      <w:r>
        <w:rPr>
          <w:lang w:val="en-GB"/>
        </w:rPr>
        <w:t xml:space="preserve"> per cent</w:t>
      </w:r>
      <w:r w:rsidRPr="00C33C0B">
        <w:rPr>
          <w:lang w:val="en-GB"/>
        </w:rPr>
        <w:t xml:space="preserve"> of patients who receive</w:t>
      </w:r>
      <w:r w:rsidR="001C0D52">
        <w:rPr>
          <w:lang w:val="en-GB"/>
        </w:rPr>
        <w:t>d</w:t>
      </w:r>
      <w:r w:rsidRPr="00C33C0B">
        <w:rPr>
          <w:lang w:val="en-GB"/>
        </w:rPr>
        <w:t xml:space="preserve"> a complex plan d</w:t>
      </w:r>
      <w:r w:rsidR="005A5C4E">
        <w:rPr>
          <w:lang w:val="en-GB"/>
        </w:rPr>
        <w:t>id</w:t>
      </w:r>
      <w:r w:rsidRPr="00C33C0B">
        <w:rPr>
          <w:lang w:val="en-GB"/>
        </w:rPr>
        <w:t xml:space="preserve"> not visit the referring practitioner in the </w:t>
      </w:r>
      <w:r>
        <w:rPr>
          <w:lang w:val="en-GB"/>
        </w:rPr>
        <w:t xml:space="preserve">following </w:t>
      </w:r>
      <w:r w:rsidRPr="00C33C0B">
        <w:rPr>
          <w:lang w:val="en-GB"/>
        </w:rPr>
        <w:t>six months</w:t>
      </w:r>
      <w:r w:rsidR="00A42BFB">
        <w:rPr>
          <w:rStyle w:val="FootnoteReference"/>
          <w:lang w:val="en-GB"/>
        </w:rPr>
        <w:footnoteReference w:id="6"/>
      </w:r>
      <w:r w:rsidR="00FA7B6B">
        <w:rPr>
          <w:lang w:val="en-GB"/>
        </w:rPr>
        <w:t xml:space="preserve">. </w:t>
      </w:r>
      <w:r w:rsidR="00B90BAA">
        <w:rPr>
          <w:lang w:val="en-GB"/>
        </w:rPr>
        <w:t>Feedback received during consultation queried the proportion of consumers that receive treatment from the consultant specialist rather than the GP. In 2017</w:t>
      </w:r>
      <w:r w:rsidR="00B90BAA">
        <w:rPr>
          <w:lang w:val="en-GB"/>
        </w:rPr>
        <w:noBreakHyphen/>
        <w:t>18, 26 per cent of patients did not visit either the GP or the consultant specialist within six months of receiving a complex plan</w:t>
      </w:r>
      <w:r w:rsidR="00B90BAA" w:rsidRPr="001E18A5">
        <w:rPr>
          <w:rStyle w:val="FootnoteReference"/>
        </w:rPr>
        <w:t>7</w:t>
      </w:r>
      <w:r w:rsidR="00B90BAA">
        <w:rPr>
          <w:lang w:val="en-GB"/>
        </w:rPr>
        <w:t>.</w:t>
      </w:r>
    </w:p>
    <w:p w14:paraId="19CCA3A7" w14:textId="77777777" w:rsidR="00366500" w:rsidRPr="00C33C0B" w:rsidRDefault="00767F2D" w:rsidP="0063055E">
      <w:pPr>
        <w:pStyle w:val="Bullet-green"/>
        <w:rPr>
          <w:lang w:val="en-GB"/>
        </w:rPr>
      </w:pPr>
      <w:r>
        <w:rPr>
          <w:lang w:val="en-GB"/>
        </w:rPr>
        <w:t>The Committee considered the option of</w:t>
      </w:r>
      <w:r w:rsidR="00366500">
        <w:rPr>
          <w:lang w:val="en-GB"/>
        </w:rPr>
        <w:t xml:space="preserve"> keeping these items in the MBS with new claiming restrictions</w:t>
      </w:r>
      <w:r w:rsidR="00510C8D">
        <w:rPr>
          <w:lang w:val="en-GB"/>
        </w:rPr>
        <w:t xml:space="preserve"> (stipulating that it must be requested by the referring practitioner and not initiated by the consultant specialist) and with a recommended schedule fee </w:t>
      </w:r>
      <w:r>
        <w:rPr>
          <w:lang w:val="en-GB"/>
        </w:rPr>
        <w:t>set relative to one of the longer standard time</w:t>
      </w:r>
      <w:r w:rsidR="00ED4B15">
        <w:rPr>
          <w:lang w:val="en-GB"/>
        </w:rPr>
        <w:t>-</w:t>
      </w:r>
      <w:r>
        <w:rPr>
          <w:lang w:val="en-GB"/>
        </w:rPr>
        <w:t>tiered attendance items</w:t>
      </w:r>
      <w:r w:rsidR="00510C8D">
        <w:rPr>
          <w:lang w:val="en-GB"/>
        </w:rPr>
        <w:t xml:space="preserve">. However, no strong rationale was brought forward as to why these </w:t>
      </w:r>
      <w:r>
        <w:rPr>
          <w:lang w:val="en-GB"/>
        </w:rPr>
        <w:t xml:space="preserve">items represented a unique, discrete service that </w:t>
      </w:r>
      <w:r w:rsidR="00510C8D">
        <w:rPr>
          <w:lang w:val="en-GB"/>
        </w:rPr>
        <w:t xml:space="preserve">could not be </w:t>
      </w:r>
      <w:r w:rsidR="003C0612">
        <w:rPr>
          <w:lang w:val="en-GB"/>
        </w:rPr>
        <w:t xml:space="preserve">performed </w:t>
      </w:r>
      <w:r>
        <w:rPr>
          <w:lang w:val="en-GB"/>
        </w:rPr>
        <w:t>under the new time</w:t>
      </w:r>
      <w:r w:rsidR="00CB271F">
        <w:rPr>
          <w:lang w:val="en-GB"/>
        </w:rPr>
        <w:t>-</w:t>
      </w:r>
      <w:r>
        <w:rPr>
          <w:lang w:val="en-GB"/>
        </w:rPr>
        <w:t>tiered items.</w:t>
      </w:r>
    </w:p>
    <w:p w14:paraId="5AAEF676" w14:textId="348331D7" w:rsidR="006A6C60" w:rsidRDefault="0063055E" w:rsidP="0063055E">
      <w:pPr>
        <w:pStyle w:val="Bullet-green"/>
        <w:rPr>
          <w:lang w:val="en-GB"/>
        </w:rPr>
      </w:pPr>
      <w:r>
        <w:rPr>
          <w:lang w:val="en-GB"/>
        </w:rPr>
        <w:t>The</w:t>
      </w:r>
      <w:r w:rsidRPr="00C33C0B">
        <w:rPr>
          <w:lang w:val="en-GB"/>
        </w:rPr>
        <w:t xml:space="preserve"> Committee</w:t>
      </w:r>
      <w:r>
        <w:rPr>
          <w:lang w:val="en-GB"/>
        </w:rPr>
        <w:t xml:space="preserve"> also</w:t>
      </w:r>
      <w:r w:rsidRPr="00C33C0B">
        <w:rPr>
          <w:lang w:val="en-GB"/>
        </w:rPr>
        <w:t xml:space="preserve"> note</w:t>
      </w:r>
      <w:r>
        <w:rPr>
          <w:lang w:val="en-GB"/>
        </w:rPr>
        <w:t>s</w:t>
      </w:r>
      <w:r w:rsidRPr="00C33C0B">
        <w:rPr>
          <w:lang w:val="en-GB"/>
        </w:rPr>
        <w:t xml:space="preserve"> that management plans should be additive and synergistic, building on the initial plan that was created, rather than being separately created and existing as a stand-alone entity. Specifically, it was noted that the </w:t>
      </w:r>
      <w:r>
        <w:rPr>
          <w:lang w:val="en-GB"/>
        </w:rPr>
        <w:t>c</w:t>
      </w:r>
      <w:r w:rsidRPr="00C33C0B">
        <w:rPr>
          <w:lang w:val="en-GB"/>
        </w:rPr>
        <w:t xml:space="preserve">onsultant </w:t>
      </w:r>
      <w:r w:rsidR="008C78CE">
        <w:rPr>
          <w:lang w:val="en-GB"/>
        </w:rPr>
        <w:t>specialist</w:t>
      </w:r>
      <w:r w:rsidRPr="00C33C0B">
        <w:rPr>
          <w:lang w:val="en-GB"/>
        </w:rPr>
        <w:t xml:space="preserve"> should build upon a consumer’s General Practice Manageme</w:t>
      </w:r>
      <w:r w:rsidR="007868F4">
        <w:rPr>
          <w:lang w:val="en-GB"/>
        </w:rPr>
        <w:t>nt Plan (where one is in place) and relate directly to the patient’s goals.</w:t>
      </w:r>
    </w:p>
    <w:p w14:paraId="1E0EB003" w14:textId="1A5B4225" w:rsidR="0063055E" w:rsidRPr="00C33C0B" w:rsidRDefault="006A6C60" w:rsidP="008A5CDC">
      <w:pPr>
        <w:spacing w:before="0" w:after="0"/>
        <w:rPr>
          <w:lang w:val="en-GB"/>
        </w:rPr>
      </w:pPr>
      <w:r>
        <w:rPr>
          <w:lang w:val="en-GB"/>
        </w:rPr>
        <w:br w:type="page"/>
      </w:r>
    </w:p>
    <w:p w14:paraId="053200EF" w14:textId="77777777" w:rsidR="0063055E" w:rsidRPr="00C33C0B" w:rsidRDefault="0063055E" w:rsidP="003C5D5A">
      <w:pPr>
        <w:pStyle w:val="Heading2"/>
      </w:pPr>
      <w:bookmarkStart w:id="149" w:name="_Toc67952223"/>
      <w:bookmarkStart w:id="150" w:name="_Hlk529009124"/>
      <w:r w:rsidRPr="00C33C0B">
        <w:t xml:space="preserve">Recommendation </w:t>
      </w:r>
      <w:r w:rsidR="003D361C">
        <w:t>7</w:t>
      </w:r>
      <w:r w:rsidR="00A42BFB">
        <w:t xml:space="preserve"> - </w:t>
      </w:r>
      <w:r w:rsidR="003D361C">
        <w:t xml:space="preserve">Retain </w:t>
      </w:r>
      <w:r w:rsidR="003D361C">
        <w:rPr>
          <w:lang w:val="en-GB"/>
        </w:rPr>
        <w:t>access to paediatric complex plan items with strengthened descriptor</w:t>
      </w:r>
      <w:bookmarkEnd w:id="149"/>
      <w:r w:rsidR="003D361C" w:rsidDel="003D361C">
        <w:rPr>
          <w:lang w:val="en-GB"/>
        </w:rPr>
        <w:t xml:space="preserve"> </w:t>
      </w:r>
    </w:p>
    <w:p w14:paraId="6A5A9229" w14:textId="77777777" w:rsidR="00D8387A" w:rsidRDefault="00D8387A" w:rsidP="004B28D3">
      <w:pPr>
        <w:pStyle w:val="Bullet-green"/>
        <w:keepNext/>
        <w:numPr>
          <w:ilvl w:val="0"/>
          <w:numId w:val="0"/>
        </w:numPr>
        <w:ind w:left="431" w:hanging="431"/>
      </w:pPr>
      <w:r>
        <w:t>The Committee recommends:</w:t>
      </w:r>
    </w:p>
    <w:p w14:paraId="2FA617B8" w14:textId="36632328" w:rsidR="00D8387A" w:rsidRDefault="00D8387A" w:rsidP="004B28D3">
      <w:pPr>
        <w:pStyle w:val="Bullet-green"/>
        <w:keepNext/>
        <w:numPr>
          <w:ilvl w:val="0"/>
          <w:numId w:val="63"/>
        </w:numPr>
        <w:ind w:left="714" w:hanging="357"/>
      </w:pPr>
      <w:r>
        <w:t>item 289 to be referred to the Psychiatry Clinical Committee</w:t>
      </w:r>
      <w:r w:rsidR="006D683C">
        <w:t>;</w:t>
      </w:r>
    </w:p>
    <w:p w14:paraId="11E8CC1B" w14:textId="356E4310" w:rsidR="006F41C3" w:rsidRDefault="00D8387A" w:rsidP="004B28D3">
      <w:pPr>
        <w:pStyle w:val="Bullet-green"/>
        <w:numPr>
          <w:ilvl w:val="0"/>
          <w:numId w:val="63"/>
        </w:numPr>
        <w:spacing w:before="120"/>
        <w:ind w:left="714" w:hanging="357"/>
      </w:pPr>
      <w:r>
        <w:t>a</w:t>
      </w:r>
      <w:r w:rsidR="00D917C6">
        <w:t xml:space="preserve">mend item </w:t>
      </w:r>
      <w:r>
        <w:t xml:space="preserve">135 </w:t>
      </w:r>
      <w:r w:rsidR="00D917C6">
        <w:t>descriptor for paediatric complex plan (changes in bold)</w:t>
      </w:r>
      <w:r>
        <w:t xml:space="preserve"> to</w:t>
      </w:r>
      <w:r w:rsidR="00D917C6">
        <w:t>:</w:t>
      </w:r>
    </w:p>
    <w:p w14:paraId="620F8B1C" w14:textId="45EC2B71" w:rsidR="004B28D3" w:rsidRDefault="004B28D3" w:rsidP="004B28D3">
      <w:pPr>
        <w:pStyle w:val="Bullet-green"/>
        <w:numPr>
          <w:ilvl w:val="0"/>
          <w:numId w:val="0"/>
        </w:numPr>
        <w:spacing w:before="120"/>
        <w:ind w:left="357"/>
      </w:pPr>
      <w:r>
        <w:rPr>
          <w:noProof/>
          <w:lang w:val="en-US" w:eastAsia="en-US"/>
        </w:rPr>
        <mc:AlternateContent>
          <mc:Choice Requires="wps">
            <w:drawing>
              <wp:inline distT="0" distB="0" distL="0" distR="0" wp14:anchorId="45E8F0D1" wp14:editId="146B6B21">
                <wp:extent cx="5057775" cy="6343015"/>
                <wp:effectExtent l="0" t="0" r="28575" b="2095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343015"/>
                        </a:xfrm>
                        <a:prstGeom prst="rect">
                          <a:avLst/>
                        </a:prstGeom>
                        <a:solidFill>
                          <a:srgbClr val="FFFFFF"/>
                        </a:solidFill>
                        <a:ln w="15875">
                          <a:solidFill>
                            <a:schemeClr val="accent6">
                              <a:lumMod val="75000"/>
                            </a:schemeClr>
                          </a:solidFill>
                          <a:miter lim="800000"/>
                          <a:headEnd/>
                          <a:tailEnd/>
                        </a:ln>
                      </wps:spPr>
                      <wps:txbx>
                        <w:txbxContent>
                          <w:p w14:paraId="27533358" w14:textId="77777777" w:rsidR="00023621" w:rsidRPr="00607BDA" w:rsidRDefault="00023621" w:rsidP="004B28D3">
                            <w:pPr>
                              <w:pStyle w:val="Bullet-green"/>
                              <w:numPr>
                                <w:ilvl w:val="0"/>
                                <w:numId w:val="0"/>
                              </w:numPr>
                              <w:rPr>
                                <w:b/>
                              </w:rPr>
                            </w:pPr>
                            <w:r w:rsidRPr="00607BDA">
                              <w:rPr>
                                <w:b/>
                              </w:rPr>
                              <w:t>Item 135</w:t>
                            </w:r>
                          </w:p>
                          <w:p w14:paraId="3DE56C3E" w14:textId="77777777" w:rsidR="00023621" w:rsidRPr="00997E71" w:rsidRDefault="00023621" w:rsidP="004B28D3">
                            <w:pPr>
                              <w:pStyle w:val="Bullet-green"/>
                              <w:numPr>
                                <w:ilvl w:val="0"/>
                                <w:numId w:val="0"/>
                              </w:numPr>
                            </w:pPr>
                            <w:r w:rsidRPr="00997E71">
                              <w:t xml:space="preserve">Professional attendance of at least </w:t>
                            </w:r>
                            <w:r w:rsidRPr="00C72AFF">
                              <w:t xml:space="preserve">60 minutes </w:t>
                            </w:r>
                            <w:r w:rsidRPr="00997E71">
                              <w:t xml:space="preserve">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w:t>
                            </w:r>
                            <w:r>
                              <w:t>13</w:t>
                            </w:r>
                            <w:r w:rsidRPr="00997E71">
                              <w:t xml:space="preserve"> years with </w:t>
                            </w:r>
                            <w:r>
                              <w:t>a complex</w:t>
                            </w:r>
                            <w:r w:rsidRPr="00C72AFF">
                              <w:t xml:space="preserve"> neurodevelopmental</w:t>
                            </w:r>
                            <w:r w:rsidRPr="00997E71">
                              <w:t xml:space="preserve"> disorder, if the consultant paediatrician does all of the following:</w:t>
                            </w:r>
                          </w:p>
                          <w:p w14:paraId="257665FC" w14:textId="77777777" w:rsidR="00023621" w:rsidRPr="00997E71" w:rsidRDefault="00023621" w:rsidP="004B28D3">
                            <w:pPr>
                              <w:pStyle w:val="Bullet-green"/>
                              <w:numPr>
                                <w:ilvl w:val="0"/>
                                <w:numId w:val="64"/>
                              </w:numPr>
                            </w:pPr>
                            <w:r w:rsidRPr="00997E71">
                              <w:t xml:space="preserve">undertakes a comprehensive assessment </w:t>
                            </w:r>
                            <w:r w:rsidRPr="00607BDA">
                              <w:t>for the purposes of making a diagnosis</w:t>
                            </w:r>
                            <w:r w:rsidRPr="00997E71">
                              <w:t xml:space="preserve"> (if appropriate, using information provided by an eligible allied health provider)</w:t>
                            </w:r>
                            <w:r>
                              <w:t>,</w:t>
                            </w:r>
                          </w:p>
                          <w:p w14:paraId="4A3337C2" w14:textId="77777777" w:rsidR="00023621" w:rsidRPr="00997E71" w:rsidRDefault="00023621" w:rsidP="004B28D3">
                            <w:pPr>
                              <w:pStyle w:val="Bullet-green"/>
                              <w:numPr>
                                <w:ilvl w:val="0"/>
                                <w:numId w:val="64"/>
                              </w:numPr>
                            </w:pPr>
                            <w:r w:rsidRPr="00997E71">
                              <w:t>develops a treatment and management plan, which must include the following:</w:t>
                            </w:r>
                          </w:p>
                          <w:p w14:paraId="29EEE4B2" w14:textId="77777777" w:rsidR="00023621" w:rsidRPr="00997E71" w:rsidRDefault="00023621" w:rsidP="004B28D3">
                            <w:pPr>
                              <w:pStyle w:val="Bullet-green"/>
                              <w:numPr>
                                <w:ilvl w:val="0"/>
                                <w:numId w:val="0"/>
                              </w:numPr>
                              <w:ind w:left="1077"/>
                            </w:pPr>
                            <w:r w:rsidRPr="00997E71">
                              <w:t xml:space="preserve">(i) an assessment for the </w:t>
                            </w:r>
                            <w:r w:rsidRPr="00997E71">
                              <w:rPr>
                                <w:b/>
                                <w:bCs/>
                              </w:rPr>
                              <w:t>purposes of</w:t>
                            </w:r>
                            <w:r>
                              <w:rPr>
                                <w:b/>
                                <w:bCs/>
                              </w:rPr>
                              <w:t xml:space="preserve"> making a</w:t>
                            </w:r>
                            <w:r w:rsidRPr="00997E71">
                              <w:rPr>
                                <w:b/>
                                <w:bCs/>
                              </w:rPr>
                              <w:t xml:space="preserve"> diagnosis</w:t>
                            </w:r>
                            <w:r w:rsidRPr="00997E71">
                              <w:t xml:space="preserve"> of the patient's condition;</w:t>
                            </w:r>
                          </w:p>
                          <w:p w14:paraId="4CC844A0" w14:textId="77777777" w:rsidR="00023621" w:rsidRPr="00997E71" w:rsidRDefault="00023621" w:rsidP="004B28D3">
                            <w:pPr>
                              <w:pStyle w:val="Bullet-green"/>
                              <w:numPr>
                                <w:ilvl w:val="0"/>
                                <w:numId w:val="0"/>
                              </w:numPr>
                              <w:ind w:left="1077"/>
                            </w:pPr>
                            <w:r w:rsidRPr="00997E71">
                              <w:t>(ii) a risk assessment;</w:t>
                            </w:r>
                          </w:p>
                          <w:p w14:paraId="39FD7E4D" w14:textId="77777777" w:rsidR="00023621" w:rsidRPr="00997E71" w:rsidRDefault="00023621" w:rsidP="004B28D3">
                            <w:pPr>
                              <w:pStyle w:val="Bullet-green"/>
                              <w:numPr>
                                <w:ilvl w:val="0"/>
                                <w:numId w:val="0"/>
                              </w:numPr>
                              <w:ind w:left="1077"/>
                            </w:pPr>
                            <w:r w:rsidRPr="00997E71">
                              <w:t>(iii) treatment options and decisions;</w:t>
                            </w:r>
                          </w:p>
                          <w:p w14:paraId="4CE31116" w14:textId="77777777" w:rsidR="00023621" w:rsidRPr="00997E71" w:rsidRDefault="00023621" w:rsidP="004B28D3">
                            <w:pPr>
                              <w:pStyle w:val="Bullet-green"/>
                              <w:numPr>
                                <w:ilvl w:val="0"/>
                                <w:numId w:val="0"/>
                              </w:numPr>
                              <w:ind w:left="1077"/>
                            </w:pPr>
                            <w:r w:rsidRPr="00997E71">
                              <w:t>(iv) if necessary-medical recommendations;</w:t>
                            </w:r>
                          </w:p>
                          <w:p w14:paraId="3E134CEA" w14:textId="77777777" w:rsidR="00023621" w:rsidRPr="00997E71" w:rsidRDefault="00023621" w:rsidP="004B28D3">
                            <w:pPr>
                              <w:pStyle w:val="Bullet-green"/>
                              <w:numPr>
                                <w:ilvl w:val="0"/>
                                <w:numId w:val="64"/>
                              </w:numPr>
                            </w:pPr>
                            <w:r w:rsidRPr="00997E71">
                              <w:t>provides a copy of the treatment and management plan to:</w:t>
                            </w:r>
                          </w:p>
                          <w:p w14:paraId="057A7145" w14:textId="77777777" w:rsidR="00023621" w:rsidRPr="00997E71" w:rsidRDefault="00023621" w:rsidP="004B28D3">
                            <w:pPr>
                              <w:pStyle w:val="Bullet-green"/>
                              <w:numPr>
                                <w:ilvl w:val="0"/>
                                <w:numId w:val="0"/>
                              </w:numPr>
                              <w:ind w:left="1077"/>
                            </w:pPr>
                            <w:r w:rsidRPr="00997E71">
                              <w:t>(i) the referring practitioner; and</w:t>
                            </w:r>
                          </w:p>
                          <w:p w14:paraId="455829C0" w14:textId="77777777" w:rsidR="00023621" w:rsidRPr="00997E71" w:rsidRDefault="00023621" w:rsidP="004B28D3">
                            <w:pPr>
                              <w:pStyle w:val="Bullet-green"/>
                              <w:numPr>
                                <w:ilvl w:val="0"/>
                                <w:numId w:val="0"/>
                              </w:numPr>
                              <w:ind w:left="1077"/>
                            </w:pPr>
                            <w:r w:rsidRPr="00997E71">
                              <w:t>(ii) one or more allied health providers, if appropriate, for the treatment of the patient;</w:t>
                            </w:r>
                          </w:p>
                          <w:p w14:paraId="624681BD" w14:textId="77777777" w:rsidR="00023621" w:rsidRDefault="00023621" w:rsidP="004B28D3">
                            <w:r w:rsidRPr="00997E71">
                              <w:t>(other than attendance on a patient for whom payment has previously been made under this item or item 137, 139 or 289)</w:t>
                            </w:r>
                            <w:r>
                              <w:t>”</w:t>
                            </w:r>
                          </w:p>
                        </w:txbxContent>
                      </wps:txbx>
                      <wps:bodyPr rot="0" vert="horz" wrap="square" lIns="91440" tIns="45720" rIns="91440" bIns="45720" anchor="t" anchorCtr="0">
                        <a:spAutoFit/>
                      </wps:bodyPr>
                    </wps:wsp>
                  </a:graphicData>
                </a:graphic>
              </wp:inline>
            </w:drawing>
          </mc:Choice>
          <mc:Fallback>
            <w:pict>
              <v:shape w14:anchorId="45E8F0D1" id="Text Box 2" o:spid="_x0000_s1027" type="#_x0000_t202" style="width:398.25pt;height:4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" strokecolor="#e36c0a [2409]" strokeweight="1.25pt">
                <v:textbox style="mso-fit-shape-to-text:t">
                  <w:txbxContent>
                    <w:p w14:paraId="27533358" w14:textId="77777777" w:rsidR="00023621" w:rsidRPr="00607BDA" w:rsidRDefault="00023621" w:rsidP="004B28D3">
                      <w:pPr>
                        <w:pStyle w:val="Bullet-green"/>
                        <w:numPr>
                          <w:ilvl w:val="0"/>
                          <w:numId w:val="0"/>
                        </w:numPr>
                        <w:rPr>
                          <w:b/>
                        </w:rPr>
                      </w:pPr>
                      <w:r w:rsidRPr="00607BDA">
                        <w:rPr>
                          <w:b/>
                        </w:rPr>
                        <w:t>Item 135</w:t>
                      </w:r>
                    </w:p>
                    <w:p w14:paraId="3DE56C3E" w14:textId="77777777" w:rsidR="00023621" w:rsidRPr="00997E71" w:rsidRDefault="00023621" w:rsidP="004B28D3">
                      <w:pPr>
                        <w:pStyle w:val="Bullet-green"/>
                        <w:numPr>
                          <w:ilvl w:val="0"/>
                          <w:numId w:val="0"/>
                        </w:numPr>
                      </w:pPr>
                      <w:r w:rsidRPr="00997E71">
                        <w:t xml:space="preserve">Professional attendance of at least </w:t>
                      </w:r>
                      <w:r w:rsidRPr="00C72AFF">
                        <w:t xml:space="preserve">60 minutes </w:t>
                      </w:r>
                      <w:r w:rsidRPr="00997E71">
                        <w:t xml:space="preserve">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w:t>
                      </w:r>
                      <w:r>
                        <w:t>13</w:t>
                      </w:r>
                      <w:r w:rsidRPr="00997E71">
                        <w:t xml:space="preserve"> years with </w:t>
                      </w:r>
                      <w:r>
                        <w:t>a complex</w:t>
                      </w:r>
                      <w:r w:rsidRPr="00C72AFF">
                        <w:t xml:space="preserve"> neurodevelopmental</w:t>
                      </w:r>
                      <w:r w:rsidRPr="00997E71">
                        <w:t xml:space="preserve"> disorder, if the consultant paediatrician does all of the following:</w:t>
                      </w:r>
                    </w:p>
                    <w:p w14:paraId="257665FC" w14:textId="77777777" w:rsidR="00023621" w:rsidRPr="00997E71" w:rsidRDefault="00023621" w:rsidP="004B28D3">
                      <w:pPr>
                        <w:pStyle w:val="Bullet-green"/>
                        <w:numPr>
                          <w:ilvl w:val="0"/>
                          <w:numId w:val="64"/>
                        </w:numPr>
                      </w:pPr>
                      <w:r w:rsidRPr="00997E71">
                        <w:t xml:space="preserve">undertakes a comprehensive assessment </w:t>
                      </w:r>
                      <w:r w:rsidRPr="00607BDA">
                        <w:t>for the purposes of making a diagnosis</w:t>
                      </w:r>
                      <w:r w:rsidRPr="00997E71">
                        <w:t xml:space="preserve"> (if appropriate, using information provided by an eligible allied health provider)</w:t>
                      </w:r>
                      <w:r>
                        <w:t>,</w:t>
                      </w:r>
                    </w:p>
                    <w:p w14:paraId="4A3337C2" w14:textId="77777777" w:rsidR="00023621" w:rsidRPr="00997E71" w:rsidRDefault="00023621" w:rsidP="004B28D3">
                      <w:pPr>
                        <w:pStyle w:val="Bullet-green"/>
                        <w:numPr>
                          <w:ilvl w:val="0"/>
                          <w:numId w:val="64"/>
                        </w:numPr>
                      </w:pPr>
                      <w:r w:rsidRPr="00997E71">
                        <w:t>develops a treatment and management plan, which must include the following:</w:t>
                      </w:r>
                    </w:p>
                    <w:p w14:paraId="29EEE4B2" w14:textId="77777777" w:rsidR="00023621" w:rsidRPr="00997E71" w:rsidRDefault="00023621" w:rsidP="004B28D3">
                      <w:pPr>
                        <w:pStyle w:val="Bullet-green"/>
                        <w:numPr>
                          <w:ilvl w:val="0"/>
                          <w:numId w:val="0"/>
                        </w:numPr>
                        <w:ind w:left="1077"/>
                      </w:pPr>
                      <w:r w:rsidRPr="00997E71">
                        <w:t xml:space="preserve">(i) an assessment for the </w:t>
                      </w:r>
                      <w:r w:rsidRPr="00997E71">
                        <w:rPr>
                          <w:b/>
                          <w:bCs/>
                        </w:rPr>
                        <w:t>purposes of</w:t>
                      </w:r>
                      <w:r>
                        <w:rPr>
                          <w:b/>
                          <w:bCs/>
                        </w:rPr>
                        <w:t xml:space="preserve"> making a</w:t>
                      </w:r>
                      <w:r w:rsidRPr="00997E71">
                        <w:rPr>
                          <w:b/>
                          <w:bCs/>
                        </w:rPr>
                        <w:t xml:space="preserve"> diagnosis</w:t>
                      </w:r>
                      <w:r w:rsidRPr="00997E71">
                        <w:t xml:space="preserve"> of the patient's condition;</w:t>
                      </w:r>
                    </w:p>
                    <w:p w14:paraId="4CC844A0" w14:textId="77777777" w:rsidR="00023621" w:rsidRPr="00997E71" w:rsidRDefault="00023621" w:rsidP="004B28D3">
                      <w:pPr>
                        <w:pStyle w:val="Bullet-green"/>
                        <w:numPr>
                          <w:ilvl w:val="0"/>
                          <w:numId w:val="0"/>
                        </w:numPr>
                        <w:ind w:left="1077"/>
                      </w:pPr>
                      <w:r w:rsidRPr="00997E71">
                        <w:t>(ii) a risk assessment;</w:t>
                      </w:r>
                    </w:p>
                    <w:p w14:paraId="39FD7E4D" w14:textId="77777777" w:rsidR="00023621" w:rsidRPr="00997E71" w:rsidRDefault="00023621" w:rsidP="004B28D3">
                      <w:pPr>
                        <w:pStyle w:val="Bullet-green"/>
                        <w:numPr>
                          <w:ilvl w:val="0"/>
                          <w:numId w:val="0"/>
                        </w:numPr>
                        <w:ind w:left="1077"/>
                      </w:pPr>
                      <w:r w:rsidRPr="00997E71">
                        <w:t>(iii) treatment options and decisions;</w:t>
                      </w:r>
                    </w:p>
                    <w:p w14:paraId="4CE31116" w14:textId="77777777" w:rsidR="00023621" w:rsidRPr="00997E71" w:rsidRDefault="00023621" w:rsidP="004B28D3">
                      <w:pPr>
                        <w:pStyle w:val="Bullet-green"/>
                        <w:numPr>
                          <w:ilvl w:val="0"/>
                          <w:numId w:val="0"/>
                        </w:numPr>
                        <w:ind w:left="1077"/>
                      </w:pPr>
                      <w:r w:rsidRPr="00997E71">
                        <w:t>(iv) if necessary-medical recommendations;</w:t>
                      </w:r>
                    </w:p>
                    <w:p w14:paraId="3E134CEA" w14:textId="77777777" w:rsidR="00023621" w:rsidRPr="00997E71" w:rsidRDefault="00023621" w:rsidP="004B28D3">
                      <w:pPr>
                        <w:pStyle w:val="Bullet-green"/>
                        <w:numPr>
                          <w:ilvl w:val="0"/>
                          <w:numId w:val="64"/>
                        </w:numPr>
                      </w:pPr>
                      <w:r w:rsidRPr="00997E71">
                        <w:t>provides a copy of the treatment and management plan to:</w:t>
                      </w:r>
                    </w:p>
                    <w:p w14:paraId="057A7145" w14:textId="77777777" w:rsidR="00023621" w:rsidRPr="00997E71" w:rsidRDefault="00023621" w:rsidP="004B28D3">
                      <w:pPr>
                        <w:pStyle w:val="Bullet-green"/>
                        <w:numPr>
                          <w:ilvl w:val="0"/>
                          <w:numId w:val="0"/>
                        </w:numPr>
                        <w:ind w:left="1077"/>
                      </w:pPr>
                      <w:r w:rsidRPr="00997E71">
                        <w:t>(i) the referring practitioner; and</w:t>
                      </w:r>
                    </w:p>
                    <w:p w14:paraId="455829C0" w14:textId="77777777" w:rsidR="00023621" w:rsidRPr="00997E71" w:rsidRDefault="00023621" w:rsidP="004B28D3">
                      <w:pPr>
                        <w:pStyle w:val="Bullet-green"/>
                        <w:numPr>
                          <w:ilvl w:val="0"/>
                          <w:numId w:val="0"/>
                        </w:numPr>
                        <w:ind w:left="1077"/>
                      </w:pPr>
                      <w:r w:rsidRPr="00997E71">
                        <w:t>(ii) one or more allied health providers, if appropriate, for the treatment of the patient;</w:t>
                      </w:r>
                    </w:p>
                    <w:p w14:paraId="624681BD" w14:textId="77777777" w:rsidR="00023621" w:rsidRDefault="00023621" w:rsidP="004B28D3">
                      <w:r w:rsidRPr="00997E71">
                        <w:t>(other than attendance on a patient for whom payment has previously been made under this item or item 137, 139 or 289)</w:t>
                      </w:r>
                      <w:r>
                        <w:t>”</w:t>
                      </w:r>
                    </w:p>
                  </w:txbxContent>
                </v:textbox>
                <w10:anchorlock/>
              </v:shape>
            </w:pict>
          </mc:Fallback>
        </mc:AlternateContent>
      </w:r>
    </w:p>
    <w:p w14:paraId="2AEAEE9E" w14:textId="77777777" w:rsidR="006F41C3" w:rsidRDefault="006F41C3" w:rsidP="000831A1">
      <w:pPr>
        <w:pStyle w:val="Bullet-green"/>
        <w:numPr>
          <w:ilvl w:val="0"/>
          <w:numId w:val="63"/>
        </w:numPr>
      </w:pPr>
      <w:r>
        <w:t>amend the explanatory notes to include the following:</w:t>
      </w:r>
    </w:p>
    <w:p w14:paraId="11D0EFD4" w14:textId="77777777" w:rsidR="00A375AE" w:rsidRDefault="006F41C3" w:rsidP="00607BDA">
      <w:pPr>
        <w:pStyle w:val="Bullet-green"/>
        <w:numPr>
          <w:ilvl w:val="0"/>
          <w:numId w:val="0"/>
        </w:numPr>
        <w:ind w:left="360"/>
      </w:pPr>
      <w:r>
        <w:rPr>
          <w:noProof/>
          <w:lang w:val="en-US" w:eastAsia="en-US"/>
        </w:rPr>
        <mc:AlternateContent>
          <mc:Choice Requires="wps">
            <w:drawing>
              <wp:inline distT="0" distB="0" distL="0" distR="0" wp14:anchorId="5FC987B1" wp14:editId="51678105">
                <wp:extent cx="5058000" cy="2329200"/>
                <wp:effectExtent l="0" t="0" r="28575"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2329200"/>
                        </a:xfrm>
                        <a:prstGeom prst="rect">
                          <a:avLst/>
                        </a:prstGeom>
                        <a:solidFill>
                          <a:srgbClr val="FFFFFF"/>
                        </a:solidFill>
                        <a:ln w="15875">
                          <a:solidFill>
                            <a:srgbClr val="F79646">
                              <a:lumMod val="75000"/>
                            </a:srgbClr>
                          </a:solidFill>
                          <a:miter lim="800000"/>
                          <a:headEnd/>
                          <a:tailEnd/>
                        </a:ln>
                      </wps:spPr>
                      <wps:txbx>
                        <w:txbxContent>
                          <w:p w14:paraId="38CB7B73" w14:textId="77777777" w:rsidR="00023621" w:rsidRPr="00607BDA" w:rsidRDefault="00023621" w:rsidP="006F41C3">
                            <w:pPr>
                              <w:pStyle w:val="Bullet-green"/>
                              <w:numPr>
                                <w:ilvl w:val="0"/>
                                <w:numId w:val="0"/>
                              </w:numPr>
                              <w:rPr>
                                <w:b/>
                              </w:rPr>
                            </w:pPr>
                            <w:r>
                              <w:rPr>
                                <w:b/>
                              </w:rPr>
                              <w:t>Explanatory Note – Item 135</w:t>
                            </w:r>
                          </w:p>
                          <w:p w14:paraId="714BBB8C" w14:textId="77777777" w:rsidR="00023621" w:rsidRPr="006F41C3" w:rsidRDefault="00023621" w:rsidP="006F41C3">
                            <w:pPr>
                              <w:pStyle w:val="Bullet-green"/>
                              <w:ind w:left="0"/>
                            </w:pPr>
                            <w:r w:rsidRPr="006F41C3">
                              <w:t>The item is intended for the initial assessment of patients where by the complexity of the condition is characterised by severe multi-domain cognitive and functional disabilities, delay or impairment”</w:t>
                            </w:r>
                          </w:p>
                          <w:p w14:paraId="0166EE30" w14:textId="77777777" w:rsidR="00023621" w:rsidRPr="006F41C3" w:rsidRDefault="00023621" w:rsidP="00607BDA">
                            <w:pPr>
                              <w:pStyle w:val="Bullet-green"/>
                              <w:numPr>
                                <w:ilvl w:val="0"/>
                                <w:numId w:val="0"/>
                              </w:numPr>
                            </w:pPr>
                            <w:r w:rsidRPr="006F41C3">
                              <w:t xml:space="preserve">The following conditions are examples of neurodevelopment disorders for which the item is intended (but not limited to): </w:t>
                            </w:r>
                          </w:p>
                          <w:p w14:paraId="64CC5285" w14:textId="77777777" w:rsidR="00023621" w:rsidRDefault="00023621" w:rsidP="000831A1">
                            <w:pPr>
                              <w:pStyle w:val="Bullet-green"/>
                              <w:numPr>
                                <w:ilvl w:val="0"/>
                                <w:numId w:val="38"/>
                              </w:numPr>
                            </w:pPr>
                            <w:r>
                              <w:t>Autism Spectrum Disorder</w:t>
                            </w:r>
                          </w:p>
                          <w:p w14:paraId="0D86A32B" w14:textId="77777777" w:rsidR="00023621" w:rsidRPr="006F41C3" w:rsidRDefault="00023621" w:rsidP="000831A1">
                            <w:pPr>
                              <w:pStyle w:val="Bullet-green"/>
                              <w:numPr>
                                <w:ilvl w:val="0"/>
                                <w:numId w:val="38"/>
                              </w:numPr>
                            </w:pPr>
                            <w:r w:rsidRPr="006F41C3">
                              <w:t>Fetal Alcohol Syndrome Disorder (FASD)</w:t>
                            </w:r>
                          </w:p>
                          <w:p w14:paraId="012E6850" w14:textId="77777777" w:rsidR="00023621" w:rsidRPr="006F41C3" w:rsidRDefault="00023621" w:rsidP="000831A1">
                            <w:pPr>
                              <w:pStyle w:val="Bullet-green"/>
                              <w:numPr>
                                <w:ilvl w:val="0"/>
                                <w:numId w:val="38"/>
                              </w:numPr>
                            </w:pPr>
                            <w:r w:rsidRPr="006F41C3">
                              <w:t xml:space="preserve">Fragile X Syndrome </w:t>
                            </w:r>
                          </w:p>
                          <w:p w14:paraId="6C6487AC" w14:textId="77777777" w:rsidR="00023621" w:rsidRPr="006F41C3" w:rsidRDefault="00023621" w:rsidP="000831A1">
                            <w:pPr>
                              <w:pStyle w:val="Bullet-green"/>
                              <w:numPr>
                                <w:ilvl w:val="0"/>
                                <w:numId w:val="38"/>
                              </w:numPr>
                            </w:pPr>
                            <w:r w:rsidRPr="006F41C3">
                              <w:t>Rett’s Syndrome</w:t>
                            </w:r>
                          </w:p>
                          <w:p w14:paraId="67B5BDAE" w14:textId="77777777" w:rsidR="00023621" w:rsidRPr="006F41C3" w:rsidRDefault="00023621" w:rsidP="000831A1">
                            <w:pPr>
                              <w:pStyle w:val="Bullet-green"/>
                              <w:numPr>
                                <w:ilvl w:val="0"/>
                                <w:numId w:val="38"/>
                              </w:numPr>
                            </w:pPr>
                            <w:r w:rsidRPr="006F41C3">
                              <w:t xml:space="preserve">Lesch-Nyhan Syndrome </w:t>
                            </w:r>
                          </w:p>
                          <w:p w14:paraId="423AACAE" w14:textId="77777777" w:rsidR="00023621" w:rsidRPr="006F41C3" w:rsidRDefault="00023621" w:rsidP="000831A1">
                            <w:pPr>
                              <w:pStyle w:val="Bullet-green"/>
                              <w:numPr>
                                <w:ilvl w:val="0"/>
                                <w:numId w:val="38"/>
                              </w:numPr>
                            </w:pPr>
                            <w:r w:rsidRPr="006F41C3">
                              <w:t xml:space="preserve">Cornelia de Lange Syndrome </w:t>
                            </w:r>
                          </w:p>
                          <w:p w14:paraId="5FFF5B56" w14:textId="77777777" w:rsidR="00023621" w:rsidRPr="006F41C3" w:rsidRDefault="00023621" w:rsidP="000831A1">
                            <w:pPr>
                              <w:pStyle w:val="Bullet-green"/>
                              <w:numPr>
                                <w:ilvl w:val="0"/>
                                <w:numId w:val="38"/>
                              </w:numPr>
                            </w:pPr>
                            <w:r w:rsidRPr="006F41C3">
                              <w:t>Prader-Willi Syndrome</w:t>
                            </w:r>
                          </w:p>
                          <w:p w14:paraId="625FE10F" w14:textId="77777777" w:rsidR="00023621" w:rsidRPr="006F41C3" w:rsidRDefault="00023621" w:rsidP="000831A1">
                            <w:pPr>
                              <w:pStyle w:val="Bullet-green"/>
                              <w:numPr>
                                <w:ilvl w:val="0"/>
                                <w:numId w:val="38"/>
                              </w:numPr>
                            </w:pPr>
                            <w:r w:rsidRPr="006F41C3">
                              <w:t>Angelman Syndrome</w:t>
                            </w:r>
                          </w:p>
                          <w:p w14:paraId="1349EF18" w14:textId="77777777" w:rsidR="00023621" w:rsidRPr="006F41C3" w:rsidRDefault="00023621" w:rsidP="000831A1">
                            <w:pPr>
                              <w:pStyle w:val="Bullet-green"/>
                              <w:numPr>
                                <w:ilvl w:val="0"/>
                                <w:numId w:val="38"/>
                              </w:numPr>
                            </w:pPr>
                            <w:r w:rsidRPr="006F41C3">
                              <w:t>22 q deletion Syndrome (previously Velocardiofacial Syndrome)</w:t>
                            </w:r>
                          </w:p>
                          <w:p w14:paraId="16661BC0" w14:textId="77777777" w:rsidR="00023621" w:rsidRPr="006F41C3" w:rsidRDefault="00023621" w:rsidP="000831A1">
                            <w:pPr>
                              <w:pStyle w:val="Bullet-green"/>
                              <w:numPr>
                                <w:ilvl w:val="0"/>
                                <w:numId w:val="38"/>
                              </w:numPr>
                            </w:pPr>
                            <w:r w:rsidRPr="006F41C3">
                              <w:t>Smith-Magenis Syndrome</w:t>
                            </w:r>
                          </w:p>
                          <w:p w14:paraId="664358C8" w14:textId="77777777" w:rsidR="00023621" w:rsidRPr="006F41C3" w:rsidRDefault="00023621" w:rsidP="000831A1">
                            <w:pPr>
                              <w:pStyle w:val="Bullet-green"/>
                              <w:numPr>
                                <w:ilvl w:val="0"/>
                                <w:numId w:val="38"/>
                              </w:numPr>
                            </w:pPr>
                            <w:r w:rsidRPr="006F41C3">
                              <w:t>Williams Syndrome</w:t>
                            </w:r>
                          </w:p>
                          <w:p w14:paraId="40B1EE29" w14:textId="77777777" w:rsidR="00023621" w:rsidRPr="006F41C3" w:rsidRDefault="00023621" w:rsidP="00607BDA">
                            <w:pPr>
                              <w:pStyle w:val="Bullet-green"/>
                              <w:numPr>
                                <w:ilvl w:val="0"/>
                                <w:numId w:val="0"/>
                              </w:numPr>
                            </w:pPr>
                            <w:r w:rsidRPr="006F41C3">
                              <w:t>The following conditions are examples of conditions for which the item is not intended, as they can be assessed with a standard paediatric consultation:</w:t>
                            </w:r>
                          </w:p>
                          <w:p w14:paraId="050A7E41" w14:textId="77777777" w:rsidR="00023621" w:rsidRDefault="00023621" w:rsidP="000831A1">
                            <w:pPr>
                              <w:pStyle w:val="Bullet-green"/>
                              <w:numPr>
                                <w:ilvl w:val="0"/>
                                <w:numId w:val="61"/>
                              </w:numPr>
                            </w:pPr>
                            <w:r w:rsidRPr="006F41C3">
                              <w:t>Stand-alone diagnosis of Attention Deficit Hyperactivity Disorder without other severe neurodevelopmental co-morbidities or co-existing multi-domain disabilities</w:t>
                            </w:r>
                            <w:r>
                              <w:t>.</w:t>
                            </w:r>
                          </w:p>
                        </w:txbxContent>
                      </wps:txbx>
                      <wps:bodyPr rot="0" vert="horz" wrap="square" lIns="91440" tIns="45720" rIns="91440" bIns="45720" anchor="t" anchorCtr="0">
                        <a:spAutoFit/>
                      </wps:bodyPr>
                    </wps:wsp>
                  </a:graphicData>
                </a:graphic>
              </wp:inline>
            </w:drawing>
          </mc:Choice>
          <mc:Fallback>
            <w:pict>
              <v:shape w14:anchorId="5FC987B1" id="_x0000_s1028" type="#_x0000_t202" style="width:398.25pt;height:1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" strokecolor="#e46c0a" strokeweight="1.25pt">
                <v:textbox style="mso-fit-shape-to-text:t">
                  <w:txbxContent>
                    <w:p w14:paraId="38CB7B73" w14:textId="77777777" w:rsidR="00023621" w:rsidRPr="00607BDA" w:rsidRDefault="00023621" w:rsidP="006F41C3">
                      <w:pPr>
                        <w:pStyle w:val="Bullet-green"/>
                        <w:numPr>
                          <w:ilvl w:val="0"/>
                          <w:numId w:val="0"/>
                        </w:numPr>
                        <w:rPr>
                          <w:b/>
                        </w:rPr>
                      </w:pPr>
                      <w:r>
                        <w:rPr>
                          <w:b/>
                        </w:rPr>
                        <w:t>Explanatory Note – Item 135</w:t>
                      </w:r>
                    </w:p>
                    <w:p w14:paraId="714BBB8C" w14:textId="77777777" w:rsidR="00023621" w:rsidRPr="006F41C3" w:rsidRDefault="00023621" w:rsidP="006F41C3">
                      <w:pPr>
                        <w:pStyle w:val="Bullet-green"/>
                        <w:ind w:left="0"/>
                      </w:pPr>
                      <w:r w:rsidRPr="006F41C3">
                        <w:t>The item is intended for the initial assessment of patients where by the complexity of the condition is characterised by severe multi-domain cognitive and functional disabilities, delay or impairment”</w:t>
                      </w:r>
                    </w:p>
                    <w:p w14:paraId="0166EE30" w14:textId="77777777" w:rsidR="00023621" w:rsidRPr="006F41C3" w:rsidRDefault="00023621" w:rsidP="00607BDA">
                      <w:pPr>
                        <w:pStyle w:val="Bullet-green"/>
                        <w:numPr>
                          <w:ilvl w:val="0"/>
                          <w:numId w:val="0"/>
                        </w:numPr>
                      </w:pPr>
                      <w:r w:rsidRPr="006F41C3">
                        <w:t xml:space="preserve">The following conditions are examples of neurodevelopment disorders for which the item is intended (but not limited to): </w:t>
                      </w:r>
                    </w:p>
                    <w:p w14:paraId="64CC5285" w14:textId="77777777" w:rsidR="00023621" w:rsidRDefault="00023621" w:rsidP="000831A1">
                      <w:pPr>
                        <w:pStyle w:val="Bullet-green"/>
                        <w:numPr>
                          <w:ilvl w:val="0"/>
                          <w:numId w:val="38"/>
                        </w:numPr>
                      </w:pPr>
                      <w:r>
                        <w:t>Autism Spectrum Disorder</w:t>
                      </w:r>
                    </w:p>
                    <w:p w14:paraId="0D86A32B" w14:textId="77777777" w:rsidR="00023621" w:rsidRPr="006F41C3" w:rsidRDefault="00023621" w:rsidP="000831A1">
                      <w:pPr>
                        <w:pStyle w:val="Bullet-green"/>
                        <w:numPr>
                          <w:ilvl w:val="0"/>
                          <w:numId w:val="38"/>
                        </w:numPr>
                      </w:pPr>
                      <w:r w:rsidRPr="006F41C3">
                        <w:t>Fetal Alcohol Syndrome Disorder (FASD)</w:t>
                      </w:r>
                    </w:p>
                    <w:p w14:paraId="012E6850" w14:textId="77777777" w:rsidR="00023621" w:rsidRPr="006F41C3" w:rsidRDefault="00023621" w:rsidP="000831A1">
                      <w:pPr>
                        <w:pStyle w:val="Bullet-green"/>
                        <w:numPr>
                          <w:ilvl w:val="0"/>
                          <w:numId w:val="38"/>
                        </w:numPr>
                      </w:pPr>
                      <w:r w:rsidRPr="006F41C3">
                        <w:t xml:space="preserve">Fragile X Syndrome </w:t>
                      </w:r>
                    </w:p>
                    <w:p w14:paraId="6C6487AC" w14:textId="77777777" w:rsidR="00023621" w:rsidRPr="006F41C3" w:rsidRDefault="00023621" w:rsidP="000831A1">
                      <w:pPr>
                        <w:pStyle w:val="Bullet-green"/>
                        <w:numPr>
                          <w:ilvl w:val="0"/>
                          <w:numId w:val="38"/>
                        </w:numPr>
                      </w:pPr>
                      <w:r w:rsidRPr="006F41C3">
                        <w:t>Rett’s Syndrome</w:t>
                      </w:r>
                    </w:p>
                    <w:p w14:paraId="67B5BDAE" w14:textId="77777777" w:rsidR="00023621" w:rsidRPr="006F41C3" w:rsidRDefault="00023621" w:rsidP="000831A1">
                      <w:pPr>
                        <w:pStyle w:val="Bullet-green"/>
                        <w:numPr>
                          <w:ilvl w:val="0"/>
                          <w:numId w:val="38"/>
                        </w:numPr>
                      </w:pPr>
                      <w:r w:rsidRPr="006F41C3">
                        <w:t xml:space="preserve">Lesch-Nyhan Syndrome </w:t>
                      </w:r>
                    </w:p>
                    <w:p w14:paraId="423AACAE" w14:textId="77777777" w:rsidR="00023621" w:rsidRPr="006F41C3" w:rsidRDefault="00023621" w:rsidP="000831A1">
                      <w:pPr>
                        <w:pStyle w:val="Bullet-green"/>
                        <w:numPr>
                          <w:ilvl w:val="0"/>
                          <w:numId w:val="38"/>
                        </w:numPr>
                      </w:pPr>
                      <w:r w:rsidRPr="006F41C3">
                        <w:t xml:space="preserve">Cornelia de Lange Syndrome </w:t>
                      </w:r>
                    </w:p>
                    <w:p w14:paraId="5FFF5B56" w14:textId="77777777" w:rsidR="00023621" w:rsidRPr="006F41C3" w:rsidRDefault="00023621" w:rsidP="000831A1">
                      <w:pPr>
                        <w:pStyle w:val="Bullet-green"/>
                        <w:numPr>
                          <w:ilvl w:val="0"/>
                          <w:numId w:val="38"/>
                        </w:numPr>
                      </w:pPr>
                      <w:r w:rsidRPr="006F41C3">
                        <w:t>Prader-Willi Syndrome</w:t>
                      </w:r>
                    </w:p>
                    <w:p w14:paraId="625FE10F" w14:textId="77777777" w:rsidR="00023621" w:rsidRPr="006F41C3" w:rsidRDefault="00023621" w:rsidP="000831A1">
                      <w:pPr>
                        <w:pStyle w:val="Bullet-green"/>
                        <w:numPr>
                          <w:ilvl w:val="0"/>
                          <w:numId w:val="38"/>
                        </w:numPr>
                      </w:pPr>
                      <w:r w:rsidRPr="006F41C3">
                        <w:t>Angelman Syndrome</w:t>
                      </w:r>
                    </w:p>
                    <w:p w14:paraId="1349EF18" w14:textId="77777777" w:rsidR="00023621" w:rsidRPr="006F41C3" w:rsidRDefault="00023621" w:rsidP="000831A1">
                      <w:pPr>
                        <w:pStyle w:val="Bullet-green"/>
                        <w:numPr>
                          <w:ilvl w:val="0"/>
                          <w:numId w:val="38"/>
                        </w:numPr>
                      </w:pPr>
                      <w:r w:rsidRPr="006F41C3">
                        <w:t>22 q deletion Syndrome (previously Velocardiofacial Syndrome)</w:t>
                      </w:r>
                    </w:p>
                    <w:p w14:paraId="16661BC0" w14:textId="77777777" w:rsidR="00023621" w:rsidRPr="006F41C3" w:rsidRDefault="00023621" w:rsidP="000831A1">
                      <w:pPr>
                        <w:pStyle w:val="Bullet-green"/>
                        <w:numPr>
                          <w:ilvl w:val="0"/>
                          <w:numId w:val="38"/>
                        </w:numPr>
                      </w:pPr>
                      <w:r w:rsidRPr="006F41C3">
                        <w:t>Smith-Magenis Syndrome</w:t>
                      </w:r>
                    </w:p>
                    <w:p w14:paraId="664358C8" w14:textId="77777777" w:rsidR="00023621" w:rsidRPr="006F41C3" w:rsidRDefault="00023621" w:rsidP="000831A1">
                      <w:pPr>
                        <w:pStyle w:val="Bullet-green"/>
                        <w:numPr>
                          <w:ilvl w:val="0"/>
                          <w:numId w:val="38"/>
                        </w:numPr>
                      </w:pPr>
                      <w:r w:rsidRPr="006F41C3">
                        <w:t>Williams Syndrome</w:t>
                      </w:r>
                    </w:p>
                    <w:p w14:paraId="40B1EE29" w14:textId="77777777" w:rsidR="00023621" w:rsidRPr="006F41C3" w:rsidRDefault="00023621" w:rsidP="00607BDA">
                      <w:pPr>
                        <w:pStyle w:val="Bullet-green"/>
                        <w:numPr>
                          <w:ilvl w:val="0"/>
                          <w:numId w:val="0"/>
                        </w:numPr>
                      </w:pPr>
                      <w:r w:rsidRPr="006F41C3">
                        <w:t>The following conditions are examples of conditions for which the item is not intended, as they can be assessed with a standard paediatric consultation:</w:t>
                      </w:r>
                    </w:p>
                    <w:p w14:paraId="050A7E41" w14:textId="77777777" w:rsidR="00023621" w:rsidRDefault="00023621" w:rsidP="000831A1">
                      <w:pPr>
                        <w:pStyle w:val="Bullet-green"/>
                        <w:numPr>
                          <w:ilvl w:val="0"/>
                          <w:numId w:val="61"/>
                        </w:numPr>
                      </w:pPr>
                      <w:r w:rsidRPr="006F41C3">
                        <w:t>Stand-alone diagnosis of Attention Deficit Hyperactivity Disorder without other severe neurodevelopmental co-morbidities or co-existing multi-domain disabilities</w:t>
                      </w:r>
                      <w:r>
                        <w:t>.</w:t>
                      </w:r>
                    </w:p>
                  </w:txbxContent>
                </v:textbox>
                <w10:anchorlock/>
              </v:shape>
            </w:pict>
          </mc:Fallback>
        </mc:AlternateContent>
      </w:r>
    </w:p>
    <w:p w14:paraId="178D55FC" w14:textId="77777777" w:rsidR="00567FF0" w:rsidRDefault="00567FF0" w:rsidP="000831A1">
      <w:pPr>
        <w:pStyle w:val="Bullet-green"/>
        <w:numPr>
          <w:ilvl w:val="0"/>
          <w:numId w:val="63"/>
        </w:numPr>
      </w:pPr>
      <w:r>
        <w:t>that expert bodies are consulted to agree on an appropriate definition of complexity and severity, and which domains of cognitive and functional impairment should be considered.</w:t>
      </w:r>
    </w:p>
    <w:p w14:paraId="24286057" w14:textId="77777777" w:rsidR="003D361C" w:rsidRDefault="003D361C" w:rsidP="003D361C">
      <w:pPr>
        <w:pStyle w:val="Bullet-green"/>
        <w:numPr>
          <w:ilvl w:val="0"/>
          <w:numId w:val="63"/>
        </w:numPr>
      </w:pPr>
      <w:r>
        <w:t>that the inequity of patient rebates for paediatric complex plans and geriatric complex plans be addressed over time.</w:t>
      </w:r>
    </w:p>
    <w:p w14:paraId="3C04C17F" w14:textId="77777777" w:rsidR="0063055E" w:rsidRPr="00C33C0B" w:rsidRDefault="0063055E" w:rsidP="003C5D5A">
      <w:pPr>
        <w:pStyle w:val="Heading2"/>
      </w:pPr>
      <w:bookmarkStart w:id="151" w:name="_Toc67952224"/>
      <w:bookmarkEnd w:id="150"/>
      <w:r w:rsidRPr="00C33C0B">
        <w:t xml:space="preserve">Rationale </w:t>
      </w:r>
      <w:r w:rsidR="00971845">
        <w:t>7</w:t>
      </w:r>
      <w:bookmarkEnd w:id="151"/>
    </w:p>
    <w:p w14:paraId="1D800173" w14:textId="77777777" w:rsidR="00971845" w:rsidRDefault="00971845" w:rsidP="00971845">
      <w:pPr>
        <w:rPr>
          <w:lang w:val="en-GB" w:eastAsia="en-US"/>
        </w:rPr>
      </w:pPr>
      <w:r>
        <w:rPr>
          <w:lang w:val="en-GB" w:eastAsia="en-US"/>
        </w:rPr>
        <w:t>The Committee supports the retention of item 135 given the paediatric complex plan is for a specific patient population groups and are linked to associated allied health professional (AHP) services.</w:t>
      </w:r>
    </w:p>
    <w:p w14:paraId="52C46A39" w14:textId="77777777" w:rsidR="0063055E" w:rsidRDefault="00971845" w:rsidP="0063055E">
      <w:pPr>
        <w:rPr>
          <w:lang w:val="en-GB" w:eastAsia="en-US"/>
        </w:rPr>
      </w:pPr>
      <w:r>
        <w:rPr>
          <w:lang w:val="en-GB" w:eastAsia="en-US"/>
        </w:rPr>
        <w:t xml:space="preserve">The proposed amendments to the item descriptor and explanatory notes </w:t>
      </w:r>
      <w:r w:rsidR="0063055E">
        <w:rPr>
          <w:lang w:val="en-GB" w:eastAsia="en-US"/>
        </w:rPr>
        <w:t xml:space="preserve">focus on </w:t>
      </w:r>
      <w:r w:rsidR="00BD5F72">
        <w:rPr>
          <w:lang w:val="en-GB" w:eastAsia="en-US"/>
        </w:rPr>
        <w:t xml:space="preserve">allowing </w:t>
      </w:r>
      <w:r w:rsidR="00B1551B">
        <w:rPr>
          <w:lang w:val="en-GB" w:eastAsia="en-US"/>
        </w:rPr>
        <w:t xml:space="preserve">appropriate </w:t>
      </w:r>
      <w:r w:rsidR="00BD5F72">
        <w:rPr>
          <w:lang w:val="en-GB" w:eastAsia="en-US"/>
        </w:rPr>
        <w:t xml:space="preserve">access to paediatric complex plan items </w:t>
      </w:r>
      <w:r w:rsidR="00B1551B">
        <w:rPr>
          <w:lang w:val="en-GB" w:eastAsia="en-US"/>
        </w:rPr>
        <w:t xml:space="preserve">and their associated AHP services </w:t>
      </w:r>
      <w:r w:rsidR="001C335A">
        <w:rPr>
          <w:lang w:val="en-GB" w:eastAsia="en-US"/>
        </w:rPr>
        <w:t>for</w:t>
      </w:r>
      <w:r w:rsidR="00CB271F">
        <w:rPr>
          <w:lang w:val="en-GB" w:eastAsia="en-US"/>
        </w:rPr>
        <w:t xml:space="preserve"> </w:t>
      </w:r>
      <w:r w:rsidR="00F15150">
        <w:rPr>
          <w:lang w:val="en-GB" w:eastAsia="en-US"/>
        </w:rPr>
        <w:t xml:space="preserve">eligible </w:t>
      </w:r>
      <w:r w:rsidR="00CB271F">
        <w:rPr>
          <w:lang w:val="en-GB" w:eastAsia="en-US"/>
        </w:rPr>
        <w:t>patients</w:t>
      </w:r>
      <w:r w:rsidR="001C335A">
        <w:rPr>
          <w:lang w:val="en-GB" w:eastAsia="en-US"/>
        </w:rPr>
        <w:t xml:space="preserve">, including </w:t>
      </w:r>
      <w:r w:rsidR="007747F4">
        <w:rPr>
          <w:lang w:val="en-GB" w:eastAsia="en-US"/>
        </w:rPr>
        <w:t xml:space="preserve">children with </w:t>
      </w:r>
      <w:r w:rsidR="00EE304C">
        <w:rPr>
          <w:lang w:val="en-GB"/>
        </w:rPr>
        <w:t>fetal</w:t>
      </w:r>
      <w:r w:rsidR="001C335A" w:rsidRPr="00C33C0B">
        <w:rPr>
          <w:lang w:val="en-GB"/>
        </w:rPr>
        <w:t xml:space="preserve"> </w:t>
      </w:r>
      <w:r w:rsidR="001C335A">
        <w:rPr>
          <w:lang w:val="en-GB"/>
        </w:rPr>
        <w:t>a</w:t>
      </w:r>
      <w:r w:rsidR="001C335A" w:rsidRPr="00C33C0B">
        <w:rPr>
          <w:lang w:val="en-GB"/>
        </w:rPr>
        <w:t xml:space="preserve">lcohol </w:t>
      </w:r>
      <w:r w:rsidR="001C335A">
        <w:rPr>
          <w:lang w:val="en-GB"/>
        </w:rPr>
        <w:t>s</w:t>
      </w:r>
      <w:r w:rsidR="001C335A" w:rsidRPr="00C33C0B">
        <w:rPr>
          <w:lang w:val="en-GB"/>
        </w:rPr>
        <w:t xml:space="preserve">pectrum </w:t>
      </w:r>
      <w:r w:rsidR="001C335A">
        <w:rPr>
          <w:lang w:val="en-GB"/>
        </w:rPr>
        <w:t>disorder (FASD) and other complex neurodevelopmental disorders</w:t>
      </w:r>
      <w:r w:rsidR="0063055E">
        <w:rPr>
          <w:lang w:val="en-GB" w:eastAsia="en-US"/>
        </w:rPr>
        <w:t>. It is based on the following</w:t>
      </w:r>
      <w:r w:rsidR="00CB271F">
        <w:rPr>
          <w:lang w:val="en-GB" w:eastAsia="en-US"/>
        </w:rPr>
        <w:t>:</w:t>
      </w:r>
    </w:p>
    <w:p w14:paraId="542BF78E" w14:textId="77777777" w:rsidR="0063055E" w:rsidRPr="00C33C0B" w:rsidRDefault="0063055E" w:rsidP="0063055E">
      <w:pPr>
        <w:pStyle w:val="Bullet-green"/>
        <w:rPr>
          <w:lang w:val="en-GB" w:eastAsia="en-US"/>
        </w:rPr>
      </w:pPr>
      <w:r w:rsidRPr="00C33C0B">
        <w:rPr>
          <w:lang w:val="en-GB" w:eastAsia="en-US"/>
        </w:rPr>
        <w:t xml:space="preserve">The Committee considered a policy paper put forward by the Department on the most appropriate use of MBS items to fund services for FASD. This included input from external stakeholders, including the Royal Australasian College of Physicians (RACP), </w:t>
      </w:r>
      <w:r>
        <w:rPr>
          <w:lang w:val="en-GB" w:eastAsia="en-US"/>
        </w:rPr>
        <w:t>t</w:t>
      </w:r>
      <w:r w:rsidRPr="00C33C0B">
        <w:rPr>
          <w:lang w:val="en-GB" w:eastAsia="en-US"/>
        </w:rPr>
        <w:t>he Royal Australian and New Zealand College of Psychiatrists (RANZCP), the Australian and New Zealand Association of Paediatric Surgeons (ANZAPS)</w:t>
      </w:r>
      <w:r w:rsidR="00AD0D61">
        <w:rPr>
          <w:lang w:val="en-GB" w:eastAsia="en-US"/>
        </w:rPr>
        <w:t>,</w:t>
      </w:r>
      <w:r w:rsidR="006373F3">
        <w:rPr>
          <w:lang w:val="en-GB" w:eastAsia="en-US"/>
        </w:rPr>
        <w:t xml:space="preserve"> the Neurodevelopmental and Behavioural Paediatric Society of Australasia (NBPSA),</w:t>
      </w:r>
      <w:r w:rsidR="00AD0D61">
        <w:rPr>
          <w:lang w:val="en-GB" w:eastAsia="en-US"/>
        </w:rPr>
        <w:t xml:space="preserve"> </w:t>
      </w:r>
      <w:r w:rsidR="00AD0D61" w:rsidRPr="00C33C0B">
        <w:rPr>
          <w:lang w:val="en-GB" w:eastAsia="en-US"/>
        </w:rPr>
        <w:t xml:space="preserve">the Department of Social Services (DSS) </w:t>
      </w:r>
      <w:r w:rsidRPr="00C33C0B">
        <w:rPr>
          <w:lang w:val="en-GB" w:eastAsia="en-US"/>
        </w:rPr>
        <w:t>and the National Disability Insurance Agency (NDIA).</w:t>
      </w:r>
    </w:p>
    <w:p w14:paraId="35C4DD2D" w14:textId="77777777" w:rsidR="0063055E" w:rsidRPr="00C33C0B" w:rsidRDefault="0063055E" w:rsidP="0063055E">
      <w:pPr>
        <w:pStyle w:val="Bullet-green"/>
        <w:rPr>
          <w:lang w:val="en-GB" w:eastAsia="en-US"/>
        </w:rPr>
      </w:pPr>
      <w:r w:rsidRPr="00C33C0B">
        <w:rPr>
          <w:lang w:val="en-GB" w:eastAsia="en-US"/>
        </w:rPr>
        <w:t>A number of approaches were put forward by these stakeholders, including</w:t>
      </w:r>
      <w:r>
        <w:rPr>
          <w:lang w:val="en-GB" w:eastAsia="en-US"/>
        </w:rPr>
        <w:t xml:space="preserve"> the following</w:t>
      </w:r>
      <w:r w:rsidRPr="00C33C0B">
        <w:rPr>
          <w:lang w:val="en-GB" w:eastAsia="en-US"/>
        </w:rPr>
        <w:t>:</w:t>
      </w:r>
    </w:p>
    <w:p w14:paraId="5C65D1FA" w14:textId="77777777" w:rsidR="0063055E" w:rsidRPr="00C33C0B" w:rsidRDefault="0063055E" w:rsidP="0063055E">
      <w:pPr>
        <w:pStyle w:val="Bullet2"/>
      </w:pPr>
      <w:r w:rsidRPr="00C33C0B">
        <w:t>Allow services for FASD to be claimed under existing MBS items</w:t>
      </w:r>
      <w:r>
        <w:t>.</w:t>
      </w:r>
    </w:p>
    <w:p w14:paraId="49353A5D" w14:textId="77777777" w:rsidR="0063055E" w:rsidRPr="00C33C0B" w:rsidRDefault="0063055E" w:rsidP="0063055E">
      <w:pPr>
        <w:pStyle w:val="Bullet2"/>
      </w:pPr>
      <w:r w:rsidRPr="00C33C0B">
        <w:t>Recognise that existing items use outdated terminology (the term pervasive developmental disorder</w:t>
      </w:r>
      <w:r>
        <w:t>, or</w:t>
      </w:r>
      <w:r w:rsidRPr="00C33C0B">
        <w:t xml:space="preserve"> PDD) and update these in line with contemporary clinical practice</w:t>
      </w:r>
      <w:r>
        <w:t>.</w:t>
      </w:r>
    </w:p>
    <w:p w14:paraId="1A0CD3C2" w14:textId="77777777" w:rsidR="0063055E" w:rsidRPr="00C33C0B" w:rsidRDefault="0063055E" w:rsidP="0063055E">
      <w:pPr>
        <w:pStyle w:val="Bullet2"/>
      </w:pPr>
      <w:r w:rsidRPr="00C33C0B">
        <w:t>Add a new MBS item for FASD as the population is different to what the current items cover</w:t>
      </w:r>
      <w:r>
        <w:t>.</w:t>
      </w:r>
    </w:p>
    <w:p w14:paraId="7924885F" w14:textId="77777777" w:rsidR="00A35B74" w:rsidRDefault="00E92441" w:rsidP="00BD5F72">
      <w:pPr>
        <w:pStyle w:val="Bullet-green"/>
        <w:rPr>
          <w:lang w:val="en-GB"/>
        </w:rPr>
      </w:pPr>
      <w:r>
        <w:rPr>
          <w:lang w:val="en-GB"/>
        </w:rPr>
        <w:t>Members from the</w:t>
      </w:r>
      <w:r w:rsidR="0063055E" w:rsidRPr="00C33C0B">
        <w:rPr>
          <w:lang w:val="en-GB"/>
        </w:rPr>
        <w:t xml:space="preserve"> </w:t>
      </w:r>
      <w:r w:rsidR="0063055E">
        <w:rPr>
          <w:lang w:val="en-GB"/>
        </w:rPr>
        <w:t>Committee</w:t>
      </w:r>
      <w:r w:rsidR="0063055E" w:rsidRPr="00C33C0B">
        <w:rPr>
          <w:lang w:val="en-GB"/>
        </w:rPr>
        <w:t xml:space="preserve"> and the Psychiatry Clinical Committee discussed this topic and decided to</w:t>
      </w:r>
      <w:r w:rsidR="0063055E">
        <w:rPr>
          <w:lang w:val="en-GB"/>
        </w:rPr>
        <w:t xml:space="preserve"> implement the second approach,</w:t>
      </w:r>
      <w:r w:rsidR="0063055E" w:rsidRPr="00C33C0B">
        <w:rPr>
          <w:lang w:val="en-GB"/>
        </w:rPr>
        <w:t xml:space="preserve"> upda</w:t>
      </w:r>
      <w:r w:rsidR="0063055E">
        <w:rPr>
          <w:lang w:val="en-GB"/>
        </w:rPr>
        <w:t>ting</w:t>
      </w:r>
      <w:r w:rsidR="0063055E" w:rsidRPr="00C33C0B">
        <w:rPr>
          <w:lang w:val="en-GB"/>
        </w:rPr>
        <w:t xml:space="preserve"> the terminology in items 135 and 289 so that FASD</w:t>
      </w:r>
      <w:r w:rsidR="001C335A">
        <w:rPr>
          <w:lang w:val="en-GB"/>
        </w:rPr>
        <w:t xml:space="preserve"> and other complex neurodevelopmental disorders </w:t>
      </w:r>
      <w:r w:rsidR="0063055E">
        <w:rPr>
          <w:lang w:val="en-GB"/>
        </w:rPr>
        <w:t>can</w:t>
      </w:r>
      <w:r w:rsidR="0063055E" w:rsidRPr="00C33C0B">
        <w:rPr>
          <w:lang w:val="en-GB"/>
        </w:rPr>
        <w:t xml:space="preserve"> be claimed under these items</w:t>
      </w:r>
      <w:r w:rsidR="009F0A08">
        <w:rPr>
          <w:lang w:val="en-GB"/>
        </w:rPr>
        <w:t xml:space="preserve"> and including the intended specific conditions in the explanatory notes</w:t>
      </w:r>
      <w:r w:rsidR="0063055E" w:rsidRPr="00C33C0B">
        <w:rPr>
          <w:lang w:val="en-GB"/>
        </w:rPr>
        <w:t xml:space="preserve"> This option was chosen because it present</w:t>
      </w:r>
      <w:r w:rsidR="0063055E">
        <w:rPr>
          <w:lang w:val="en-GB"/>
        </w:rPr>
        <w:t>s</w:t>
      </w:r>
      <w:r w:rsidR="0063055E" w:rsidRPr="00C33C0B">
        <w:rPr>
          <w:lang w:val="en-GB"/>
        </w:rPr>
        <w:t xml:space="preserve"> an opportunity for outdated terminology to be updated</w:t>
      </w:r>
      <w:r w:rsidR="0063055E">
        <w:rPr>
          <w:lang w:val="en-GB"/>
        </w:rPr>
        <w:t>,</w:t>
      </w:r>
      <w:r w:rsidR="0063055E" w:rsidRPr="00C33C0B">
        <w:rPr>
          <w:lang w:val="en-GB"/>
        </w:rPr>
        <w:t xml:space="preserve"> and for both paediatricians and psychiatrists to have access to MBS items for </w:t>
      </w:r>
      <w:r w:rsidR="001C335A">
        <w:rPr>
          <w:lang w:val="en-GB"/>
        </w:rPr>
        <w:t>FASD and other complex neurodevelopmental disorders.</w:t>
      </w:r>
      <w:r w:rsidR="00501223">
        <w:rPr>
          <w:lang w:val="en-GB"/>
        </w:rPr>
        <w:t xml:space="preserve"> </w:t>
      </w:r>
    </w:p>
    <w:p w14:paraId="0990AEFC" w14:textId="77777777" w:rsidR="00A35B74" w:rsidRDefault="00501223" w:rsidP="0004747F">
      <w:pPr>
        <w:pStyle w:val="Bullet-green"/>
        <w:rPr>
          <w:lang w:val="en-GB"/>
        </w:rPr>
      </w:pPr>
      <w:r>
        <w:rPr>
          <w:lang w:val="en-GB"/>
        </w:rPr>
        <w:t xml:space="preserve">The Committee agrees that the item is intended </w:t>
      </w:r>
      <w:r w:rsidR="00AB49A9">
        <w:rPr>
          <w:lang w:val="en-GB"/>
        </w:rPr>
        <w:t>to relate to</w:t>
      </w:r>
      <w:r>
        <w:rPr>
          <w:lang w:val="en-GB"/>
        </w:rPr>
        <w:t xml:space="preserve"> any neurodevelopmental disorders</w:t>
      </w:r>
      <w:r w:rsidR="00AB49A9">
        <w:rPr>
          <w:lang w:val="en-GB"/>
        </w:rPr>
        <w:t>,</w:t>
      </w:r>
      <w:r>
        <w:rPr>
          <w:lang w:val="en-GB"/>
        </w:rPr>
        <w:t xml:space="preserve"> as defined by severity and complexity rather than by diagnostic labels. The Committee recognises that there are conditions and situations where this item is not appropriate, such as for standalone Attention Deficit Hyperactivity Disorder with no other complex or severe neurodevelopmental co-morbidities where standard consultation assessments are more appropriate.</w:t>
      </w:r>
    </w:p>
    <w:p w14:paraId="0E95A070" w14:textId="77777777" w:rsidR="00A35B74" w:rsidRPr="0004747F" w:rsidRDefault="00A35B74" w:rsidP="0004747F">
      <w:pPr>
        <w:pStyle w:val="Bullet-green"/>
        <w:rPr>
          <w:lang w:val="en-GB"/>
        </w:rPr>
      </w:pPr>
      <w:r w:rsidRPr="00A35B74">
        <w:rPr>
          <w:lang w:val="en-GB"/>
        </w:rPr>
        <w:t xml:space="preserve">The Committee agrees that </w:t>
      </w:r>
      <w:r>
        <w:t>the requirement to confirm a diagnosis at the initial assessment should be changed to “for the purposes of diagnosis”, as a definitive diagnosis may only be confirmed in subsequent attendances and after all relevant multidisciplinary diagnostic assessments are completed.</w:t>
      </w:r>
    </w:p>
    <w:p w14:paraId="1D38A695" w14:textId="77777777" w:rsidR="00301462" w:rsidRPr="00C33C0B" w:rsidRDefault="00301462" w:rsidP="00301462">
      <w:pPr>
        <w:pStyle w:val="Heading2"/>
      </w:pPr>
      <w:bookmarkStart w:id="152" w:name="_Toc22893994"/>
      <w:bookmarkStart w:id="153" w:name="_Toc67952225"/>
      <w:r>
        <w:t>Recommendation 8 – Retain the comprehensive geriatric assessment items</w:t>
      </w:r>
      <w:bookmarkEnd w:id="152"/>
      <w:bookmarkEnd w:id="153"/>
      <w:r>
        <w:t xml:space="preserve"> </w:t>
      </w:r>
    </w:p>
    <w:p w14:paraId="215B56F5" w14:textId="77777777" w:rsidR="00301462" w:rsidRPr="00C33C0B" w:rsidRDefault="00301462" w:rsidP="00301462">
      <w:pPr>
        <w:pStyle w:val="Bullet-green"/>
        <w:numPr>
          <w:ilvl w:val="0"/>
          <w:numId w:val="0"/>
        </w:numPr>
      </w:pPr>
      <w:r>
        <w:t>The Committee recommends retaining items 141, 143, 145 and 147 and not including under time</w:t>
      </w:r>
      <w:r>
        <w:noBreakHyphen/>
        <w:t>tiering.</w:t>
      </w:r>
    </w:p>
    <w:p w14:paraId="4823AAA7" w14:textId="77777777" w:rsidR="00301462" w:rsidRPr="00C33C0B" w:rsidRDefault="00301462" w:rsidP="00301462">
      <w:pPr>
        <w:pStyle w:val="Heading2"/>
      </w:pPr>
      <w:bookmarkStart w:id="154" w:name="_Toc22893995"/>
      <w:bookmarkStart w:id="155" w:name="_Toc67952226"/>
      <w:r w:rsidRPr="00C33C0B">
        <w:t xml:space="preserve">Rationale </w:t>
      </w:r>
      <w:r>
        <w:t>8</w:t>
      </w:r>
      <w:bookmarkEnd w:id="154"/>
      <w:bookmarkEnd w:id="155"/>
    </w:p>
    <w:p w14:paraId="1B56A49C" w14:textId="77777777" w:rsidR="00301462" w:rsidRDefault="00301462" w:rsidP="00301462">
      <w:pPr>
        <w:pStyle w:val="Bullet-green"/>
        <w:numPr>
          <w:ilvl w:val="0"/>
          <w:numId w:val="0"/>
        </w:numPr>
      </w:pPr>
      <w:r w:rsidRPr="004A1AB0">
        <w:t xml:space="preserve">The Committee noted the feedback received on the draft report, which originally proposed folding </w:t>
      </w:r>
      <w:r>
        <w:t xml:space="preserve">all of </w:t>
      </w:r>
      <w:r w:rsidRPr="004A1AB0">
        <w:t>the geriatric MBS items into time</w:t>
      </w:r>
      <w:r w:rsidRPr="004A1AB0">
        <w:noBreakHyphen/>
        <w:t xml:space="preserve">tiering. In particular, the Committee noted </w:t>
      </w:r>
      <w:r>
        <w:t xml:space="preserve">there are a number of unique, </w:t>
      </w:r>
      <w:r w:rsidRPr="004A1AB0">
        <w:t xml:space="preserve">specific requirements </w:t>
      </w:r>
      <w:r>
        <w:t>for a c</w:t>
      </w:r>
      <w:r w:rsidRPr="004A1AB0">
        <w:t xml:space="preserve">omprehensive </w:t>
      </w:r>
      <w:r>
        <w:t>a</w:t>
      </w:r>
      <w:r w:rsidRPr="004A1AB0">
        <w:t>ssessment</w:t>
      </w:r>
      <w:r>
        <w:t xml:space="preserve"> and management plan. These include </w:t>
      </w:r>
      <w:r w:rsidRPr="0044548B">
        <w:t xml:space="preserve">diagnosis, identification of problems, goal setting and forming a comprehensive management plan for holistic treatment, rehabilitation, support and long-term follow-up. </w:t>
      </w:r>
      <w:r w:rsidRPr="004A1AB0">
        <w:t xml:space="preserve">The Committee agreed to retain these items in the MBS to ensure that older Australians can continue to access this </w:t>
      </w:r>
      <w:r>
        <w:t>high</w:t>
      </w:r>
      <w:r>
        <w:noBreakHyphen/>
        <w:t>value</w:t>
      </w:r>
      <w:r w:rsidRPr="004A1AB0">
        <w:t xml:space="preserve"> care.</w:t>
      </w:r>
    </w:p>
    <w:p w14:paraId="65F5A346" w14:textId="77777777" w:rsidR="00F15150" w:rsidRDefault="00F15150" w:rsidP="00C659C3">
      <w:pPr>
        <w:pStyle w:val="Bullet-green"/>
        <w:numPr>
          <w:ilvl w:val="0"/>
          <w:numId w:val="0"/>
        </w:numPr>
      </w:pPr>
      <w:r>
        <w:t>The Committee also recommends that the inequity of patient rebates for paediatric complex</w:t>
      </w:r>
      <w:r w:rsidR="00C659C3">
        <w:t xml:space="preserve"> </w:t>
      </w:r>
      <w:r>
        <w:t>plans and geriatric complex plans be addressed over time.</w:t>
      </w:r>
    </w:p>
    <w:p w14:paraId="2D7330D0" w14:textId="77777777" w:rsidR="0070614E" w:rsidRPr="00C33C0B" w:rsidRDefault="0070614E" w:rsidP="0087562B">
      <w:pPr>
        <w:pStyle w:val="Heading1"/>
      </w:pPr>
      <w:bookmarkStart w:id="156" w:name="_Toc67952227"/>
      <w:r w:rsidRPr="00C33C0B">
        <w:t>Telehealth</w:t>
      </w:r>
      <w:r w:rsidR="0087562B">
        <w:t xml:space="preserve"> recommendations</w:t>
      </w:r>
      <w:bookmarkEnd w:id="156"/>
    </w:p>
    <w:p w14:paraId="37246B23" w14:textId="77777777" w:rsidR="002C2B9B" w:rsidRPr="00607BDA" w:rsidRDefault="002C2B9B" w:rsidP="003C5D5A">
      <w:pPr>
        <w:pStyle w:val="Heading2"/>
      </w:pPr>
      <w:bookmarkStart w:id="157" w:name="_Toc67952228"/>
      <w:r w:rsidRPr="00607BDA">
        <w:t>Current telehealth framework</w:t>
      </w:r>
      <w:bookmarkEnd w:id="157"/>
    </w:p>
    <w:p w14:paraId="0B2EF3D0" w14:textId="77777777" w:rsidR="0070614E" w:rsidRPr="00C33C0B" w:rsidRDefault="0070614E" w:rsidP="0070614E">
      <w:pPr>
        <w:rPr>
          <w:lang w:val="en-GB"/>
        </w:rPr>
      </w:pPr>
      <w:r w:rsidRPr="00C33C0B">
        <w:rPr>
          <w:lang w:val="en-GB"/>
        </w:rPr>
        <w:t>The MBS has 1</w:t>
      </w:r>
      <w:r w:rsidR="009C2398" w:rsidRPr="00C33C0B">
        <w:rPr>
          <w:lang w:val="en-GB"/>
        </w:rPr>
        <w:t>7</w:t>
      </w:r>
      <w:r w:rsidRPr="00C33C0B">
        <w:rPr>
          <w:lang w:val="en-GB"/>
        </w:rPr>
        <w:t xml:space="preserve"> telehealth attendance items</w:t>
      </w:r>
      <w:r w:rsidR="00785016">
        <w:rPr>
          <w:lang w:val="en-GB"/>
        </w:rPr>
        <w:t xml:space="preserve"> with </w:t>
      </w:r>
      <w:r w:rsidRPr="00C33C0B">
        <w:rPr>
          <w:lang w:val="en-GB"/>
        </w:rPr>
        <w:t>67,000 services</w:t>
      </w:r>
      <w:r w:rsidR="00785016">
        <w:rPr>
          <w:lang w:val="en-GB"/>
        </w:rPr>
        <w:t xml:space="preserve"> provided in conjunction with an existing</w:t>
      </w:r>
      <w:r w:rsidR="005D32C7">
        <w:rPr>
          <w:lang w:val="en-GB"/>
        </w:rPr>
        <w:t xml:space="preserve"> consultation item in FY2016/17</w:t>
      </w:r>
      <w:r w:rsidR="005D20B2">
        <w:rPr>
          <w:lang w:val="en-GB"/>
        </w:rPr>
        <w:t>.</w:t>
      </w:r>
      <w:r w:rsidRPr="00C33C0B">
        <w:rPr>
          <w:rStyle w:val="FootnoteReference"/>
          <w:lang w:val="en-GB"/>
        </w:rPr>
        <w:footnoteReference w:id="7"/>
      </w:r>
      <w:r w:rsidRPr="00C33C0B">
        <w:rPr>
          <w:lang w:val="en-GB"/>
        </w:rPr>
        <w:t xml:space="preserve"> These items inclu</w:t>
      </w:r>
      <w:r w:rsidR="001F6540" w:rsidRPr="00C33C0B">
        <w:rPr>
          <w:lang w:val="en-GB"/>
        </w:rPr>
        <w:t>de:</w:t>
      </w:r>
    </w:p>
    <w:p w14:paraId="234C1ABA" w14:textId="77777777" w:rsidR="0070614E" w:rsidRPr="00C33C0B" w:rsidRDefault="009C2398" w:rsidP="0070614E">
      <w:pPr>
        <w:pStyle w:val="Bullet-green"/>
        <w:rPr>
          <w:lang w:val="en-GB"/>
        </w:rPr>
      </w:pPr>
      <w:r w:rsidRPr="00C33C0B">
        <w:rPr>
          <w:lang w:val="en-GB"/>
        </w:rPr>
        <w:t>Nine</w:t>
      </w:r>
      <w:r w:rsidR="0070614E" w:rsidRPr="00C33C0B">
        <w:rPr>
          <w:lang w:val="en-GB"/>
        </w:rPr>
        <w:t xml:space="preserve"> telehealth loading items valued at 50</w:t>
      </w:r>
      <w:r w:rsidR="00901C5C">
        <w:rPr>
          <w:lang w:val="en-GB"/>
        </w:rPr>
        <w:t xml:space="preserve"> per cent</w:t>
      </w:r>
      <w:r w:rsidR="0070614E" w:rsidRPr="00C33C0B">
        <w:rPr>
          <w:lang w:val="en-GB"/>
        </w:rPr>
        <w:t xml:space="preserve"> of the </w:t>
      </w:r>
      <w:r w:rsidR="00E06128">
        <w:rPr>
          <w:lang w:val="en-GB"/>
        </w:rPr>
        <w:t>schedule fee</w:t>
      </w:r>
      <w:r w:rsidR="00E06128" w:rsidRPr="00C33C0B">
        <w:rPr>
          <w:lang w:val="en-GB"/>
        </w:rPr>
        <w:t xml:space="preserve"> </w:t>
      </w:r>
      <w:r w:rsidR="0070614E" w:rsidRPr="00C33C0B">
        <w:rPr>
          <w:lang w:val="en-GB"/>
        </w:rPr>
        <w:t>for the attendance item</w:t>
      </w:r>
      <w:r w:rsidR="00AB49A9">
        <w:rPr>
          <w:lang w:val="en-GB"/>
        </w:rPr>
        <w:t xml:space="preserve"> with which</w:t>
      </w:r>
      <w:r w:rsidR="0070614E" w:rsidRPr="00C33C0B">
        <w:rPr>
          <w:lang w:val="en-GB"/>
        </w:rPr>
        <w:t xml:space="preserve"> they are co-claimed, </w:t>
      </w:r>
      <w:r w:rsidR="00F76F3C" w:rsidRPr="00C33C0B">
        <w:rPr>
          <w:lang w:val="en-GB"/>
        </w:rPr>
        <w:t>accounting for</w:t>
      </w:r>
      <w:r w:rsidR="0070614E" w:rsidRPr="00C33C0B">
        <w:rPr>
          <w:lang w:val="en-GB"/>
        </w:rPr>
        <w:t xml:space="preserve"> </w:t>
      </w:r>
      <w:r w:rsidR="008B0075">
        <w:rPr>
          <w:lang w:val="en-GB"/>
        </w:rPr>
        <w:t xml:space="preserve">more than </w:t>
      </w:r>
      <w:r w:rsidR="0070614E" w:rsidRPr="00C33C0B">
        <w:rPr>
          <w:lang w:val="en-GB"/>
        </w:rPr>
        <w:t>98</w:t>
      </w:r>
      <w:r w:rsidR="008B0075">
        <w:rPr>
          <w:lang w:val="en-GB"/>
        </w:rPr>
        <w:t xml:space="preserve"> per cent</w:t>
      </w:r>
      <w:r w:rsidR="0070614E" w:rsidRPr="00C33C0B">
        <w:rPr>
          <w:lang w:val="en-GB"/>
        </w:rPr>
        <w:t xml:space="preserve"> of telehealth service volume </w:t>
      </w:r>
      <w:r w:rsidR="001F6540" w:rsidRPr="00C33C0B">
        <w:rPr>
          <w:lang w:val="en-GB"/>
        </w:rPr>
        <w:t>and spend</w:t>
      </w:r>
      <w:r w:rsidR="008B0075">
        <w:rPr>
          <w:lang w:val="en-GB"/>
        </w:rPr>
        <w:t>.</w:t>
      </w:r>
    </w:p>
    <w:p w14:paraId="39AA12D5" w14:textId="77777777" w:rsidR="0070614E" w:rsidRPr="00C33C0B" w:rsidRDefault="009C2398" w:rsidP="0070614E">
      <w:pPr>
        <w:pStyle w:val="Bullet-green"/>
        <w:rPr>
          <w:lang w:val="en-GB"/>
        </w:rPr>
      </w:pPr>
      <w:r w:rsidRPr="00C33C0B">
        <w:rPr>
          <w:lang w:val="en-GB"/>
        </w:rPr>
        <w:t>Eight</w:t>
      </w:r>
      <w:r w:rsidR="00320A2E" w:rsidRPr="00C33C0B">
        <w:rPr>
          <w:lang w:val="en-GB"/>
        </w:rPr>
        <w:t xml:space="preserve"> </w:t>
      </w:r>
      <w:r w:rsidR="0070614E" w:rsidRPr="00C33C0B">
        <w:rPr>
          <w:lang w:val="en-GB"/>
        </w:rPr>
        <w:t>items for telehealth attendances under 10 minutes</w:t>
      </w:r>
      <w:r w:rsidR="00953D1E">
        <w:rPr>
          <w:lang w:val="en-GB"/>
        </w:rPr>
        <w:t>,</w:t>
      </w:r>
      <w:r w:rsidR="001F6540" w:rsidRPr="00C33C0B">
        <w:rPr>
          <w:rStyle w:val="FootnoteReference"/>
          <w:lang w:val="en-GB"/>
        </w:rPr>
        <w:footnoteReference w:id="8"/>
      </w:r>
      <w:r w:rsidR="0070614E" w:rsidRPr="00C33C0B">
        <w:rPr>
          <w:lang w:val="en-GB"/>
        </w:rPr>
        <w:t xml:space="preserve"> </w:t>
      </w:r>
      <w:r w:rsidR="00F76F3C" w:rsidRPr="00C33C0B">
        <w:rPr>
          <w:lang w:val="en-GB"/>
        </w:rPr>
        <w:t xml:space="preserve">accounting for just </w:t>
      </w:r>
      <w:r w:rsidR="0070614E" w:rsidRPr="00C33C0B">
        <w:rPr>
          <w:lang w:val="en-GB"/>
        </w:rPr>
        <w:t>159</w:t>
      </w:r>
      <w:r w:rsidR="00D66821">
        <w:rPr>
          <w:lang w:val="en-GB"/>
        </w:rPr>
        <w:t> </w:t>
      </w:r>
      <w:r w:rsidR="0070614E" w:rsidRPr="00C33C0B">
        <w:rPr>
          <w:lang w:val="en-GB"/>
        </w:rPr>
        <w:t>services in 2016/17</w:t>
      </w:r>
      <w:r w:rsidR="002F0DBF">
        <w:rPr>
          <w:lang w:val="en-GB"/>
        </w:rPr>
        <w:t>.</w:t>
      </w:r>
      <w:r w:rsidR="0070614E" w:rsidRPr="00C33C0B">
        <w:rPr>
          <w:lang w:val="en-GB"/>
        </w:rPr>
        <w:t xml:space="preserve"> </w:t>
      </w:r>
    </w:p>
    <w:p w14:paraId="4CA1573C" w14:textId="77777777" w:rsidR="00A35105" w:rsidRDefault="00A35105" w:rsidP="00A35105">
      <w:pPr>
        <w:pStyle w:val="Bullet-green"/>
        <w:numPr>
          <w:ilvl w:val="0"/>
          <w:numId w:val="0"/>
        </w:numPr>
        <w:rPr>
          <w:lang w:val="en-GB"/>
        </w:rPr>
      </w:pPr>
      <w:r w:rsidRPr="00C33C0B">
        <w:rPr>
          <w:lang w:val="en-GB"/>
        </w:rPr>
        <w:t xml:space="preserve">The Committee </w:t>
      </w:r>
      <w:r w:rsidR="00FA6C77" w:rsidRPr="00C33C0B">
        <w:rPr>
          <w:lang w:val="en-GB"/>
        </w:rPr>
        <w:t>noted</w:t>
      </w:r>
      <w:r w:rsidRPr="00C33C0B">
        <w:rPr>
          <w:lang w:val="en-GB"/>
        </w:rPr>
        <w:t xml:space="preserve"> that the 2011 telehealth incentive scheme and loading items have been successful in capturing early adopters</w:t>
      </w:r>
      <w:r w:rsidR="00D7544E" w:rsidRPr="00C33C0B">
        <w:rPr>
          <w:lang w:val="en-GB"/>
        </w:rPr>
        <w:t xml:space="preserve">, with </w:t>
      </w:r>
      <w:r w:rsidR="003C6B36" w:rsidRPr="00C33C0B">
        <w:rPr>
          <w:lang w:val="en-GB"/>
        </w:rPr>
        <w:t xml:space="preserve">almost 2,000 providers </w:t>
      </w:r>
      <w:r w:rsidR="00D518F6" w:rsidRPr="00C33C0B">
        <w:rPr>
          <w:lang w:val="en-GB"/>
        </w:rPr>
        <w:t xml:space="preserve">using these items </w:t>
      </w:r>
      <w:r w:rsidR="00F84D08" w:rsidRPr="00C33C0B">
        <w:rPr>
          <w:lang w:val="en-GB"/>
        </w:rPr>
        <w:t>in</w:t>
      </w:r>
      <w:r w:rsidR="00206E80">
        <w:rPr>
          <w:lang w:val="en-GB"/>
        </w:rPr>
        <w:t xml:space="preserve"> </w:t>
      </w:r>
      <w:r w:rsidR="00F84D08" w:rsidRPr="00C33C0B">
        <w:rPr>
          <w:lang w:val="en-GB"/>
        </w:rPr>
        <w:t>2016/17</w:t>
      </w:r>
      <w:r w:rsidRPr="00C33C0B">
        <w:rPr>
          <w:lang w:val="en-GB"/>
        </w:rPr>
        <w:t xml:space="preserve">. However, the Committee recognises that barriers to uptake </w:t>
      </w:r>
      <w:r w:rsidR="000A7254">
        <w:rPr>
          <w:lang w:val="en-GB"/>
        </w:rPr>
        <w:t>persist</w:t>
      </w:r>
      <w:r w:rsidR="00F76F3C" w:rsidRPr="00C33C0B">
        <w:rPr>
          <w:lang w:val="en-GB"/>
        </w:rPr>
        <w:t xml:space="preserve">, as evidenced </w:t>
      </w:r>
      <w:r w:rsidRPr="00C33C0B">
        <w:rPr>
          <w:lang w:val="en-GB"/>
        </w:rPr>
        <w:t xml:space="preserve">by the significant slowing of growth in </w:t>
      </w:r>
      <w:r w:rsidR="00F76F3C" w:rsidRPr="00C33C0B">
        <w:rPr>
          <w:lang w:val="en-GB"/>
        </w:rPr>
        <w:t>services</w:t>
      </w:r>
      <w:r w:rsidR="00465DEA">
        <w:rPr>
          <w:lang w:val="en-GB"/>
        </w:rPr>
        <w:t xml:space="preserve"> (</w:t>
      </w:r>
      <w:r w:rsidR="00F76F3C" w:rsidRPr="00C33C0B">
        <w:rPr>
          <w:lang w:val="en-GB"/>
        </w:rPr>
        <w:t xml:space="preserve">from </w:t>
      </w:r>
      <w:r w:rsidRPr="00C33C0B">
        <w:rPr>
          <w:lang w:val="en-GB"/>
        </w:rPr>
        <w:t>167</w:t>
      </w:r>
      <w:r w:rsidR="00465DEA">
        <w:rPr>
          <w:lang w:val="en-GB"/>
        </w:rPr>
        <w:t xml:space="preserve"> per cent</w:t>
      </w:r>
      <w:r w:rsidRPr="00C33C0B">
        <w:rPr>
          <w:lang w:val="en-GB"/>
        </w:rPr>
        <w:t xml:space="preserve"> </w:t>
      </w:r>
      <w:r w:rsidR="00F76F3C" w:rsidRPr="00C33C0B">
        <w:rPr>
          <w:lang w:val="en-GB"/>
        </w:rPr>
        <w:t xml:space="preserve">growth </w:t>
      </w:r>
      <w:r w:rsidRPr="00C33C0B">
        <w:rPr>
          <w:lang w:val="en-GB"/>
        </w:rPr>
        <w:t>in the first year of implementation</w:t>
      </w:r>
      <w:r w:rsidR="00F76F3C" w:rsidRPr="00C33C0B">
        <w:rPr>
          <w:lang w:val="en-GB"/>
        </w:rPr>
        <w:t xml:space="preserve"> down to</w:t>
      </w:r>
      <w:r w:rsidRPr="00C33C0B">
        <w:rPr>
          <w:lang w:val="en-GB"/>
        </w:rPr>
        <w:t xml:space="preserve"> 8</w:t>
      </w:r>
      <w:r w:rsidR="00465DEA">
        <w:rPr>
          <w:lang w:val="en-GB"/>
        </w:rPr>
        <w:t xml:space="preserve"> per cent</w:t>
      </w:r>
      <w:r w:rsidRPr="00C33C0B">
        <w:rPr>
          <w:lang w:val="en-GB"/>
        </w:rPr>
        <w:t xml:space="preserve"> </w:t>
      </w:r>
      <w:r w:rsidR="00F76F3C" w:rsidRPr="00C33C0B">
        <w:rPr>
          <w:lang w:val="en-GB"/>
        </w:rPr>
        <w:t xml:space="preserve">growth </w:t>
      </w:r>
      <w:r w:rsidRPr="00C33C0B">
        <w:rPr>
          <w:lang w:val="en-GB"/>
        </w:rPr>
        <w:t>last year</w:t>
      </w:r>
      <w:r w:rsidR="00465DEA">
        <w:rPr>
          <w:lang w:val="en-GB"/>
        </w:rPr>
        <w:t>)</w:t>
      </w:r>
      <w:r w:rsidRPr="00C33C0B">
        <w:rPr>
          <w:lang w:val="en-GB"/>
        </w:rPr>
        <w:t>.</w:t>
      </w:r>
    </w:p>
    <w:p w14:paraId="649C7B2D" w14:textId="77777777" w:rsidR="001810DB" w:rsidRDefault="001810DB" w:rsidP="00A35105">
      <w:pPr>
        <w:pStyle w:val="Bullet-green"/>
        <w:numPr>
          <w:ilvl w:val="0"/>
          <w:numId w:val="0"/>
        </w:numPr>
        <w:rPr>
          <w:lang w:val="en-GB"/>
        </w:rPr>
      </w:pPr>
      <w:r>
        <w:rPr>
          <w:lang w:val="en-GB"/>
        </w:rPr>
        <w:t>There are currently two applications of telehealth in Australia:</w:t>
      </w:r>
    </w:p>
    <w:p w14:paraId="622E5A24" w14:textId="77777777" w:rsidR="001810DB" w:rsidRPr="00C33C0B" w:rsidRDefault="001810DB" w:rsidP="001810DB">
      <w:pPr>
        <w:pStyle w:val="Bullet-green"/>
        <w:rPr>
          <w:lang w:val="en-GB"/>
        </w:rPr>
      </w:pPr>
      <w:r w:rsidRPr="001810DB">
        <w:rPr>
          <w:lang w:val="en-GB"/>
        </w:rPr>
        <w:t>Patient supported by a health professional:</w:t>
      </w:r>
      <w:r w:rsidRPr="00C33C0B">
        <w:rPr>
          <w:b/>
          <w:lang w:val="en-GB"/>
        </w:rPr>
        <w:t xml:space="preserve"> </w:t>
      </w:r>
      <w:r w:rsidRPr="00C33C0B">
        <w:rPr>
          <w:lang w:val="en-GB"/>
        </w:rPr>
        <w:t>A</w:t>
      </w:r>
      <w:r w:rsidRPr="00C33C0B">
        <w:rPr>
          <w:b/>
          <w:lang w:val="en-GB"/>
        </w:rPr>
        <w:t xml:space="preserve"> </w:t>
      </w:r>
      <w:r w:rsidRPr="00C33C0B">
        <w:rPr>
          <w:lang w:val="en-GB"/>
        </w:rPr>
        <w:t>health professional (</w:t>
      </w:r>
      <w:r>
        <w:rPr>
          <w:lang w:val="en-GB"/>
        </w:rPr>
        <w:t>for example, a</w:t>
      </w:r>
      <w:r w:rsidR="00910150">
        <w:rPr>
          <w:lang w:val="en-GB"/>
        </w:rPr>
        <w:t xml:space="preserve"> GP, nurse practitioner or</w:t>
      </w:r>
      <w:r w:rsidRPr="00C33C0B">
        <w:rPr>
          <w:lang w:val="en-GB"/>
        </w:rPr>
        <w:t xml:space="preserve"> physiotherapist) is with the patient for the telehealth attendance. This creates a communication bridge between consumers, primary care and </w:t>
      </w:r>
      <w:r w:rsidR="00AA329D">
        <w:rPr>
          <w:lang w:val="en-GB"/>
        </w:rPr>
        <w:t>consultant specialist</w:t>
      </w:r>
      <w:r w:rsidRPr="00C33C0B">
        <w:rPr>
          <w:lang w:val="en-GB"/>
        </w:rPr>
        <w:t>s</w:t>
      </w:r>
      <w:r w:rsidR="00A07E45">
        <w:rPr>
          <w:lang w:val="en-GB"/>
        </w:rPr>
        <w:t>,</w:t>
      </w:r>
      <w:r w:rsidRPr="00C33C0B">
        <w:rPr>
          <w:lang w:val="en-GB"/>
        </w:rPr>
        <w:t xml:space="preserve"> minimises the number of times a patient has to “tell their story”</w:t>
      </w:r>
      <w:r w:rsidR="00A07E45">
        <w:rPr>
          <w:lang w:val="en-GB"/>
        </w:rPr>
        <w:t>,</w:t>
      </w:r>
      <w:r w:rsidRPr="00C33C0B">
        <w:rPr>
          <w:lang w:val="en-GB"/>
        </w:rPr>
        <w:t xml:space="preserve"> and allows for</w:t>
      </w:r>
      <w:r>
        <w:rPr>
          <w:lang w:val="en-GB"/>
        </w:rPr>
        <w:t xml:space="preserve"> a</w:t>
      </w:r>
      <w:r w:rsidRPr="00C33C0B">
        <w:rPr>
          <w:lang w:val="en-GB"/>
        </w:rPr>
        <w:t xml:space="preserve"> more complex examination than can be undertaken if the patient is alone</w:t>
      </w:r>
      <w:r>
        <w:rPr>
          <w:lang w:val="en-GB"/>
        </w:rPr>
        <w:t>.</w:t>
      </w:r>
    </w:p>
    <w:p w14:paraId="27450D64" w14:textId="77777777" w:rsidR="001810DB" w:rsidRPr="00C33C0B" w:rsidRDefault="001810DB" w:rsidP="001810DB">
      <w:pPr>
        <w:pStyle w:val="Bullet-green"/>
        <w:rPr>
          <w:lang w:val="en-GB"/>
        </w:rPr>
      </w:pPr>
      <w:r w:rsidRPr="001810DB">
        <w:rPr>
          <w:lang w:val="en-GB"/>
        </w:rPr>
        <w:t xml:space="preserve">Directly with </w:t>
      </w:r>
      <w:r w:rsidR="00D80492">
        <w:rPr>
          <w:lang w:val="en-GB"/>
        </w:rPr>
        <w:t xml:space="preserve">the </w:t>
      </w:r>
      <w:r w:rsidRPr="001810DB">
        <w:rPr>
          <w:lang w:val="en-GB"/>
        </w:rPr>
        <w:t>patient:</w:t>
      </w:r>
      <w:r w:rsidRPr="00C33C0B">
        <w:rPr>
          <w:b/>
          <w:lang w:val="en-GB"/>
        </w:rPr>
        <w:t xml:space="preserve"> </w:t>
      </w:r>
      <w:r w:rsidRPr="00C33C0B">
        <w:rPr>
          <w:lang w:val="en-GB"/>
        </w:rPr>
        <w:t xml:space="preserve">This item is better suited </w:t>
      </w:r>
      <w:r w:rsidR="004931BF">
        <w:rPr>
          <w:lang w:val="en-GB"/>
        </w:rPr>
        <w:t>to</w:t>
      </w:r>
      <w:r w:rsidRPr="00C33C0B">
        <w:rPr>
          <w:lang w:val="en-GB"/>
        </w:rPr>
        <w:t xml:space="preserve"> providing ongoing or follow-up care, is more cost-effective, and increases access</w:t>
      </w:r>
      <w:r w:rsidR="00F15150">
        <w:rPr>
          <w:lang w:val="en-GB"/>
        </w:rPr>
        <w:t xml:space="preserve"> by patients</w:t>
      </w:r>
      <w:r w:rsidRPr="00C33C0B">
        <w:rPr>
          <w:lang w:val="en-GB"/>
        </w:rPr>
        <w:t xml:space="preserve"> to </w:t>
      </w:r>
      <w:r w:rsidR="00AA329D">
        <w:rPr>
          <w:lang w:val="en-GB"/>
        </w:rPr>
        <w:t>consultant specialist</w:t>
      </w:r>
      <w:r w:rsidRPr="00C33C0B">
        <w:rPr>
          <w:lang w:val="en-GB"/>
        </w:rPr>
        <w:t xml:space="preserve"> services</w:t>
      </w:r>
      <w:r>
        <w:rPr>
          <w:lang w:val="en-GB"/>
        </w:rPr>
        <w:t>.</w:t>
      </w:r>
    </w:p>
    <w:p w14:paraId="1F1F87E7" w14:textId="77777777" w:rsidR="00403598" w:rsidRPr="00C33C0B" w:rsidRDefault="00403598" w:rsidP="003C5D5A">
      <w:pPr>
        <w:pStyle w:val="Heading2"/>
      </w:pPr>
      <w:bookmarkStart w:id="158" w:name="_Toc528950799"/>
      <w:bookmarkStart w:id="159" w:name="_Toc529028077"/>
      <w:bookmarkStart w:id="160" w:name="_Toc530121918"/>
      <w:bookmarkStart w:id="161" w:name="_Toc530122095"/>
      <w:bookmarkStart w:id="162" w:name="_Toc67952229"/>
      <w:bookmarkEnd w:id="158"/>
      <w:bookmarkEnd w:id="159"/>
      <w:bookmarkEnd w:id="160"/>
      <w:bookmarkEnd w:id="161"/>
      <w:r w:rsidRPr="00C33C0B">
        <w:t>Benefits of telehealth</w:t>
      </w:r>
      <w:bookmarkEnd w:id="162"/>
    </w:p>
    <w:p w14:paraId="17AD62D7" w14:textId="77777777" w:rsidR="00E71A93" w:rsidRPr="00C33C0B" w:rsidRDefault="00E71A93" w:rsidP="00A35105">
      <w:pPr>
        <w:pStyle w:val="Bullet-green"/>
        <w:numPr>
          <w:ilvl w:val="0"/>
          <w:numId w:val="0"/>
        </w:numPr>
        <w:rPr>
          <w:lang w:val="en-GB"/>
        </w:rPr>
      </w:pPr>
      <w:r w:rsidRPr="00C33C0B">
        <w:rPr>
          <w:lang w:val="en-GB"/>
        </w:rPr>
        <w:t>The Committee recognises that there are huge benefits to be gained from the uptake and appropriate use of telehealth, including:</w:t>
      </w:r>
    </w:p>
    <w:p w14:paraId="71B5953D" w14:textId="77777777" w:rsidR="00F1773A" w:rsidRPr="00C33C0B" w:rsidRDefault="00F1773A" w:rsidP="00F1773A">
      <w:pPr>
        <w:pStyle w:val="Bullet-green"/>
        <w:rPr>
          <w:lang w:val="en-GB"/>
        </w:rPr>
      </w:pPr>
      <w:r w:rsidRPr="00C33C0B">
        <w:rPr>
          <w:lang w:val="en-GB"/>
        </w:rPr>
        <w:t xml:space="preserve">Increased access </w:t>
      </w:r>
      <w:r w:rsidR="00DB2318">
        <w:rPr>
          <w:lang w:val="en-GB"/>
        </w:rPr>
        <w:t>for</w:t>
      </w:r>
      <w:r w:rsidR="00DB2318" w:rsidRPr="00C33C0B">
        <w:rPr>
          <w:lang w:val="en-GB"/>
        </w:rPr>
        <w:t xml:space="preserve"> </w:t>
      </w:r>
      <w:r w:rsidRPr="00C33C0B">
        <w:rPr>
          <w:lang w:val="en-GB"/>
        </w:rPr>
        <w:t>pati</w:t>
      </w:r>
      <w:r w:rsidR="001D559F" w:rsidRPr="00C33C0B">
        <w:rPr>
          <w:lang w:val="en-GB"/>
        </w:rPr>
        <w:t>ents in rural and remote areas</w:t>
      </w:r>
      <w:r w:rsidR="00540D0E">
        <w:rPr>
          <w:lang w:val="en-GB"/>
        </w:rPr>
        <w:t>,</w:t>
      </w:r>
      <w:r w:rsidR="001D559F" w:rsidRPr="00C33C0B">
        <w:rPr>
          <w:lang w:val="en-GB"/>
        </w:rPr>
        <w:t xml:space="preserve"> </w:t>
      </w:r>
      <w:r w:rsidRPr="00C33C0B">
        <w:rPr>
          <w:lang w:val="en-GB"/>
        </w:rPr>
        <w:t xml:space="preserve">and for </w:t>
      </w:r>
      <w:r w:rsidR="001D559F" w:rsidRPr="00C33C0B">
        <w:rPr>
          <w:lang w:val="en-GB"/>
        </w:rPr>
        <w:t xml:space="preserve">those </w:t>
      </w:r>
      <w:r w:rsidRPr="00C33C0B">
        <w:rPr>
          <w:lang w:val="en-GB"/>
        </w:rPr>
        <w:t xml:space="preserve">who may find it difficult to attend consulting rooms or </w:t>
      </w:r>
      <w:r w:rsidR="0047073B">
        <w:rPr>
          <w:lang w:val="en-GB"/>
        </w:rPr>
        <w:t xml:space="preserve">a </w:t>
      </w:r>
      <w:r w:rsidRPr="00C33C0B">
        <w:rPr>
          <w:lang w:val="en-GB"/>
        </w:rPr>
        <w:t>hospital (</w:t>
      </w:r>
      <w:r w:rsidR="0047073B">
        <w:rPr>
          <w:lang w:val="en-GB"/>
        </w:rPr>
        <w:t>for example,</w:t>
      </w:r>
      <w:r w:rsidR="001D559F" w:rsidRPr="00C33C0B">
        <w:rPr>
          <w:lang w:val="en-GB"/>
        </w:rPr>
        <w:t xml:space="preserve"> </w:t>
      </w:r>
      <w:r w:rsidR="00A07E45">
        <w:rPr>
          <w:lang w:val="en-GB"/>
        </w:rPr>
        <w:t xml:space="preserve">consumers with significant mobility challenges, or </w:t>
      </w:r>
      <w:r w:rsidR="001D559F" w:rsidRPr="00C33C0B">
        <w:rPr>
          <w:lang w:val="en-GB"/>
        </w:rPr>
        <w:t>parents who have a child with a disability)</w:t>
      </w:r>
      <w:r w:rsidR="00662AF8">
        <w:rPr>
          <w:lang w:val="en-GB"/>
        </w:rPr>
        <w:t>.</w:t>
      </w:r>
    </w:p>
    <w:p w14:paraId="5E2B3BC5" w14:textId="77777777" w:rsidR="00403598" w:rsidRPr="00C33C0B" w:rsidRDefault="00E71A93" w:rsidP="00E71A93">
      <w:pPr>
        <w:pStyle w:val="Bullet-green"/>
        <w:rPr>
          <w:lang w:val="en-GB"/>
        </w:rPr>
      </w:pPr>
      <w:r w:rsidRPr="00C33C0B">
        <w:rPr>
          <w:lang w:val="en-GB"/>
        </w:rPr>
        <w:t>Reduced t</w:t>
      </w:r>
      <w:r w:rsidR="00403598" w:rsidRPr="00C33C0B">
        <w:rPr>
          <w:lang w:val="en-GB"/>
        </w:rPr>
        <w:t>ravel time</w:t>
      </w:r>
      <w:r w:rsidR="00804B53" w:rsidRPr="00C33C0B">
        <w:rPr>
          <w:lang w:val="en-GB"/>
        </w:rPr>
        <w:t xml:space="preserve"> and costs for patients</w:t>
      </w:r>
      <w:r w:rsidR="00F424FF">
        <w:rPr>
          <w:lang w:val="en-GB"/>
        </w:rPr>
        <w:t>,</w:t>
      </w:r>
      <w:r w:rsidR="00804B53" w:rsidRPr="00C33C0B">
        <w:rPr>
          <w:lang w:val="en-GB"/>
        </w:rPr>
        <w:t xml:space="preserve"> </w:t>
      </w:r>
      <w:r w:rsidR="00F1773A" w:rsidRPr="00C33C0B">
        <w:rPr>
          <w:lang w:val="en-GB"/>
        </w:rPr>
        <w:t xml:space="preserve">resulting in </w:t>
      </w:r>
      <w:r w:rsidR="00804B53" w:rsidRPr="00C33C0B">
        <w:rPr>
          <w:lang w:val="en-GB"/>
        </w:rPr>
        <w:t xml:space="preserve">patient savings, </w:t>
      </w:r>
      <w:r w:rsidR="00F1773A" w:rsidRPr="00C33C0B">
        <w:rPr>
          <w:lang w:val="en-GB"/>
        </w:rPr>
        <w:t>fewer tr</w:t>
      </w:r>
      <w:r w:rsidR="001D559F" w:rsidRPr="00C33C0B">
        <w:rPr>
          <w:lang w:val="en-GB"/>
        </w:rPr>
        <w:t xml:space="preserve">avel grants </w:t>
      </w:r>
      <w:r w:rsidR="00804B53" w:rsidRPr="00C33C0B">
        <w:rPr>
          <w:lang w:val="en-GB"/>
        </w:rPr>
        <w:t xml:space="preserve">and </w:t>
      </w:r>
      <w:r w:rsidR="00F15150">
        <w:rPr>
          <w:lang w:val="en-GB"/>
        </w:rPr>
        <w:t xml:space="preserve">less time </w:t>
      </w:r>
      <w:r w:rsidR="001D559F" w:rsidRPr="00C33C0B">
        <w:rPr>
          <w:lang w:val="en-GB"/>
        </w:rPr>
        <w:t>off work</w:t>
      </w:r>
      <w:r w:rsidR="00E02391">
        <w:rPr>
          <w:lang w:val="en-GB"/>
        </w:rPr>
        <w:t>.</w:t>
      </w:r>
      <w:r w:rsidR="001D559F" w:rsidRPr="00C33C0B">
        <w:rPr>
          <w:lang w:val="en-GB"/>
        </w:rPr>
        <w:t xml:space="preserve"> </w:t>
      </w:r>
    </w:p>
    <w:p w14:paraId="3BA0E316" w14:textId="77777777" w:rsidR="00F1773A" w:rsidRPr="00C33C0B" w:rsidRDefault="00F1773A" w:rsidP="00E71A93">
      <w:pPr>
        <w:pStyle w:val="Bullet-green"/>
        <w:rPr>
          <w:lang w:val="en-GB"/>
        </w:rPr>
      </w:pPr>
      <w:r w:rsidRPr="00C33C0B">
        <w:rPr>
          <w:lang w:val="en-GB"/>
        </w:rPr>
        <w:t xml:space="preserve">Reduced travel time and costs for </w:t>
      </w:r>
      <w:r w:rsidR="00F15150">
        <w:rPr>
          <w:lang w:val="en-GB"/>
        </w:rPr>
        <w:t>clinicians</w:t>
      </w:r>
      <w:r w:rsidR="00804B53" w:rsidRPr="00C33C0B">
        <w:rPr>
          <w:lang w:val="en-GB"/>
        </w:rPr>
        <w:t>, resulting in saved clinician days</w:t>
      </w:r>
      <w:r w:rsidR="00C53783">
        <w:rPr>
          <w:lang w:val="en-GB"/>
        </w:rPr>
        <w:t>.</w:t>
      </w:r>
    </w:p>
    <w:p w14:paraId="263499C3" w14:textId="77777777" w:rsidR="0070614E" w:rsidRPr="00C33C0B" w:rsidRDefault="0070614E" w:rsidP="003C5D5A">
      <w:pPr>
        <w:pStyle w:val="Heading2"/>
      </w:pPr>
      <w:bookmarkStart w:id="163" w:name="_Toc67952230"/>
      <w:r w:rsidRPr="00C33C0B">
        <w:t>B</w:t>
      </w:r>
      <w:r w:rsidR="009E1450" w:rsidRPr="00C33C0B">
        <w:t>arriers to telehealth growth</w:t>
      </w:r>
      <w:bookmarkEnd w:id="163"/>
    </w:p>
    <w:p w14:paraId="4AFB8E5A" w14:textId="77777777" w:rsidR="0070614E" w:rsidRPr="00C33C0B" w:rsidRDefault="005C71B8" w:rsidP="00607BDA">
      <w:pPr>
        <w:pStyle w:val="Bullet-green"/>
        <w:numPr>
          <w:ilvl w:val="0"/>
          <w:numId w:val="0"/>
        </w:numPr>
        <w:rPr>
          <w:lang w:val="en-GB"/>
        </w:rPr>
      </w:pPr>
      <w:r>
        <w:rPr>
          <w:lang w:val="en-GB"/>
        </w:rPr>
        <w:t>Recognising</w:t>
      </w:r>
      <w:r w:rsidRPr="00C33C0B">
        <w:rPr>
          <w:lang w:val="en-GB"/>
        </w:rPr>
        <w:t xml:space="preserve"> </w:t>
      </w:r>
      <w:r w:rsidR="0070614E" w:rsidRPr="00C33C0B">
        <w:rPr>
          <w:lang w:val="en-GB"/>
        </w:rPr>
        <w:t xml:space="preserve">the significant slow-down in growth of services, the Committee </w:t>
      </w:r>
      <w:r w:rsidR="009E1450" w:rsidRPr="00C33C0B">
        <w:rPr>
          <w:lang w:val="en-GB"/>
        </w:rPr>
        <w:t>has noted</w:t>
      </w:r>
      <w:r w:rsidR="0070614E" w:rsidRPr="00C33C0B">
        <w:rPr>
          <w:lang w:val="en-GB"/>
        </w:rPr>
        <w:t xml:space="preserve"> significant barriers </w:t>
      </w:r>
      <w:r w:rsidR="009E1450" w:rsidRPr="00C33C0B">
        <w:rPr>
          <w:lang w:val="en-GB"/>
        </w:rPr>
        <w:t xml:space="preserve">to </w:t>
      </w:r>
      <w:r w:rsidR="000062A1">
        <w:rPr>
          <w:lang w:val="en-GB"/>
        </w:rPr>
        <w:t xml:space="preserve">the </w:t>
      </w:r>
      <w:r w:rsidR="009E1450" w:rsidRPr="00C33C0B">
        <w:rPr>
          <w:lang w:val="en-GB"/>
        </w:rPr>
        <w:t>increased adoption of telehealth</w:t>
      </w:r>
      <w:r w:rsidR="00137097">
        <w:rPr>
          <w:lang w:val="en-GB"/>
        </w:rPr>
        <w:t xml:space="preserve">, particularly </w:t>
      </w:r>
      <w:r w:rsidR="00137097">
        <w:t>p</w:t>
      </w:r>
      <w:r w:rsidR="00137097" w:rsidRPr="00C33C0B">
        <w:t xml:space="preserve">atient and primary care awareness </w:t>
      </w:r>
      <w:r w:rsidR="00137097">
        <w:t>and consultant specialist</w:t>
      </w:r>
      <w:r w:rsidR="00137097" w:rsidRPr="00C33C0B">
        <w:t>s’ perception of telehealth</w:t>
      </w:r>
      <w:r w:rsidR="00A477E1">
        <w:rPr>
          <w:lang w:val="en-GB"/>
        </w:rPr>
        <w:t>.</w:t>
      </w:r>
    </w:p>
    <w:p w14:paraId="2F90FB99" w14:textId="77777777" w:rsidR="00137097" w:rsidRPr="001932EC" w:rsidRDefault="000701B6" w:rsidP="001E18A5">
      <w:pPr>
        <w:pStyle w:val="Bullet-green"/>
        <w:numPr>
          <w:ilvl w:val="0"/>
          <w:numId w:val="116"/>
        </w:numPr>
        <w:rPr>
          <w:lang w:val="en-GB"/>
        </w:rPr>
      </w:pPr>
      <w:r>
        <w:rPr>
          <w:lang w:val="en-GB"/>
        </w:rPr>
        <w:t xml:space="preserve">Patients may not have </w:t>
      </w:r>
      <w:r w:rsidRPr="000701B6">
        <w:rPr>
          <w:lang w:val="en-GB"/>
        </w:rPr>
        <w:t xml:space="preserve">access to information about when to request </w:t>
      </w:r>
      <w:r>
        <w:rPr>
          <w:lang w:val="en-GB"/>
        </w:rPr>
        <w:t xml:space="preserve">telehealth, </w:t>
      </w:r>
      <w:r w:rsidRPr="001932EC">
        <w:rPr>
          <w:lang w:val="en-GB"/>
        </w:rPr>
        <w:t>how to access it</w:t>
      </w:r>
      <w:r>
        <w:rPr>
          <w:lang w:val="en-GB"/>
        </w:rPr>
        <w:t xml:space="preserve">, and </w:t>
      </w:r>
      <w:r w:rsidR="0070614E" w:rsidRPr="001932EC">
        <w:rPr>
          <w:lang w:val="en-GB"/>
        </w:rPr>
        <w:t>a clear understanding o</w:t>
      </w:r>
      <w:r w:rsidR="00CF0A05" w:rsidRPr="001932EC">
        <w:rPr>
          <w:lang w:val="en-GB"/>
        </w:rPr>
        <w:t xml:space="preserve">f </w:t>
      </w:r>
      <w:r>
        <w:rPr>
          <w:lang w:val="en-GB"/>
        </w:rPr>
        <w:t xml:space="preserve">its </w:t>
      </w:r>
      <w:r w:rsidR="008977CD" w:rsidRPr="001932EC">
        <w:rPr>
          <w:lang w:val="en-GB"/>
        </w:rPr>
        <w:t>benefits</w:t>
      </w:r>
      <w:r>
        <w:rPr>
          <w:lang w:val="en-GB"/>
        </w:rPr>
        <w:t>.</w:t>
      </w:r>
      <w:r w:rsidR="00137097">
        <w:rPr>
          <w:lang w:val="en-GB"/>
        </w:rPr>
        <w:t xml:space="preserve"> </w:t>
      </w:r>
    </w:p>
    <w:p w14:paraId="6810DB72" w14:textId="77777777" w:rsidR="008977CD" w:rsidRPr="001932EC" w:rsidRDefault="008977CD" w:rsidP="001E18A5">
      <w:pPr>
        <w:pStyle w:val="Bullet-green"/>
        <w:numPr>
          <w:ilvl w:val="0"/>
          <w:numId w:val="116"/>
        </w:numPr>
        <w:rPr>
          <w:lang w:val="en-GB"/>
        </w:rPr>
      </w:pPr>
      <w:r w:rsidRPr="001932EC">
        <w:rPr>
          <w:lang w:val="en-GB"/>
        </w:rPr>
        <w:t xml:space="preserve">GPs </w:t>
      </w:r>
      <w:r w:rsidR="00121576" w:rsidRPr="001932EC">
        <w:rPr>
          <w:lang w:val="en-GB"/>
        </w:rPr>
        <w:t xml:space="preserve">may not be aware of </w:t>
      </w:r>
      <w:r w:rsidR="00ED2651" w:rsidRPr="001932EC">
        <w:rPr>
          <w:lang w:val="en-GB"/>
        </w:rPr>
        <w:t xml:space="preserve">the </w:t>
      </w:r>
      <w:r w:rsidR="00121576" w:rsidRPr="001932EC">
        <w:rPr>
          <w:lang w:val="en-GB"/>
        </w:rPr>
        <w:t xml:space="preserve">patient population groups </w:t>
      </w:r>
      <w:r w:rsidR="00ED2651" w:rsidRPr="001932EC">
        <w:rPr>
          <w:lang w:val="en-GB"/>
        </w:rPr>
        <w:t xml:space="preserve">that </w:t>
      </w:r>
      <w:r w:rsidR="00121576" w:rsidRPr="001932EC">
        <w:rPr>
          <w:lang w:val="en-GB"/>
        </w:rPr>
        <w:t>would benefit most from telehealth, when to recommend it to these patients</w:t>
      </w:r>
      <w:r w:rsidR="000701B6">
        <w:rPr>
          <w:lang w:val="en-GB"/>
        </w:rPr>
        <w:t>, and how to integrate it into their practice</w:t>
      </w:r>
      <w:r w:rsidR="00153957" w:rsidRPr="001932EC">
        <w:rPr>
          <w:lang w:val="en-GB"/>
        </w:rPr>
        <w:t>.</w:t>
      </w:r>
      <w:r w:rsidR="00C659C3">
        <w:rPr>
          <w:lang w:val="en-GB"/>
        </w:rPr>
        <w:t xml:space="preserve"> Likewise, consumers may be unaware this service option is available.</w:t>
      </w:r>
    </w:p>
    <w:p w14:paraId="69BF8D76" w14:textId="77777777" w:rsidR="00121576" w:rsidRPr="001932EC" w:rsidRDefault="00121576" w:rsidP="001E18A5">
      <w:pPr>
        <w:pStyle w:val="Bullet-green"/>
        <w:numPr>
          <w:ilvl w:val="0"/>
          <w:numId w:val="116"/>
        </w:numPr>
        <w:rPr>
          <w:lang w:val="en-GB"/>
        </w:rPr>
      </w:pPr>
      <w:r w:rsidRPr="001932EC">
        <w:rPr>
          <w:lang w:val="en-GB"/>
        </w:rPr>
        <w:t xml:space="preserve">Primary care workers may not be </w:t>
      </w:r>
      <w:r w:rsidR="00C60FBE" w:rsidRPr="001932EC">
        <w:rPr>
          <w:lang w:val="en-GB"/>
        </w:rPr>
        <w:t>aware of existing MBS items for</w:t>
      </w:r>
      <w:r w:rsidRPr="001932EC">
        <w:rPr>
          <w:lang w:val="en-GB"/>
        </w:rPr>
        <w:t xml:space="preserve"> </w:t>
      </w:r>
      <w:r w:rsidR="00C60FBE" w:rsidRPr="001932EC">
        <w:rPr>
          <w:lang w:val="en-GB"/>
        </w:rPr>
        <w:t xml:space="preserve">providing clinical </w:t>
      </w:r>
      <w:r w:rsidRPr="001932EC">
        <w:rPr>
          <w:lang w:val="en-GB"/>
        </w:rPr>
        <w:t xml:space="preserve">support </w:t>
      </w:r>
      <w:r w:rsidR="00C60FBE" w:rsidRPr="001932EC">
        <w:rPr>
          <w:lang w:val="en-GB"/>
        </w:rPr>
        <w:t>to a patient who is participating in a telehealth attendance</w:t>
      </w:r>
      <w:r w:rsidR="00B2675D" w:rsidRPr="001932EC">
        <w:rPr>
          <w:lang w:val="en-GB"/>
        </w:rPr>
        <w:t>.</w:t>
      </w:r>
    </w:p>
    <w:p w14:paraId="74A2DB07" w14:textId="77777777" w:rsidR="00A976D3" w:rsidRPr="00C33C0B" w:rsidRDefault="00A07E45" w:rsidP="001E18A5">
      <w:pPr>
        <w:pStyle w:val="Bullet-green"/>
        <w:numPr>
          <w:ilvl w:val="0"/>
          <w:numId w:val="116"/>
        </w:numPr>
        <w:rPr>
          <w:lang w:val="en-GB"/>
        </w:rPr>
      </w:pPr>
      <w:r>
        <w:rPr>
          <w:lang w:val="en-GB"/>
        </w:rPr>
        <w:t>Clinicians</w:t>
      </w:r>
      <w:r w:rsidRPr="00C33C0B">
        <w:rPr>
          <w:lang w:val="en-GB"/>
        </w:rPr>
        <w:t xml:space="preserve"> </w:t>
      </w:r>
      <w:r w:rsidR="00C60FBE" w:rsidRPr="00C33C0B">
        <w:rPr>
          <w:lang w:val="en-GB"/>
        </w:rPr>
        <w:t>may be</w:t>
      </w:r>
      <w:r w:rsidR="00A976D3" w:rsidRPr="00C33C0B">
        <w:rPr>
          <w:lang w:val="en-GB"/>
        </w:rPr>
        <w:t xml:space="preserve"> unwilling to change their clinical practice to adopt telehealth and </w:t>
      </w:r>
      <w:r w:rsidR="00476094">
        <w:rPr>
          <w:lang w:val="en-GB"/>
        </w:rPr>
        <w:t>may</w:t>
      </w:r>
      <w:r w:rsidR="00476094" w:rsidRPr="00C33C0B">
        <w:rPr>
          <w:lang w:val="en-GB"/>
        </w:rPr>
        <w:t xml:space="preserve"> </w:t>
      </w:r>
      <w:r w:rsidR="00A976D3" w:rsidRPr="00C33C0B">
        <w:rPr>
          <w:lang w:val="en-GB"/>
        </w:rPr>
        <w:t>not</w:t>
      </w:r>
      <w:r w:rsidR="00476094">
        <w:rPr>
          <w:lang w:val="en-GB"/>
        </w:rPr>
        <w:t xml:space="preserve"> be</w:t>
      </w:r>
      <w:r w:rsidR="00A976D3" w:rsidRPr="00C33C0B">
        <w:rPr>
          <w:lang w:val="en-GB"/>
        </w:rPr>
        <w:t xml:space="preserve"> convinced of </w:t>
      </w:r>
      <w:r w:rsidR="00CB205C">
        <w:rPr>
          <w:lang w:val="en-GB"/>
        </w:rPr>
        <w:t xml:space="preserve">its </w:t>
      </w:r>
      <w:r w:rsidR="00A976D3" w:rsidRPr="00C33C0B">
        <w:rPr>
          <w:lang w:val="en-GB"/>
        </w:rPr>
        <w:t>effectiveness</w:t>
      </w:r>
      <w:r w:rsidR="0014139C">
        <w:rPr>
          <w:lang w:val="en-GB"/>
        </w:rPr>
        <w:t xml:space="preserve"> </w:t>
      </w:r>
      <w:sdt>
        <w:sdtPr>
          <w:rPr>
            <w:lang w:val="en-GB"/>
          </w:rPr>
          <w:id w:val="555748891"/>
          <w:citation/>
        </w:sdtPr>
        <w:sdtContent>
          <w:r w:rsidR="00137097">
            <w:rPr>
              <w:lang w:val="en-GB"/>
            </w:rPr>
            <w:fldChar w:fldCharType="begin"/>
          </w:r>
          <w:r w:rsidR="00B85D72">
            <w:instrText xml:space="preserve">CITATION Wag14 \l 3081 </w:instrText>
          </w:r>
          <w:r w:rsidR="00137097">
            <w:rPr>
              <w:lang w:val="en-GB"/>
            </w:rPr>
            <w:fldChar w:fldCharType="separate"/>
          </w:r>
          <w:r w:rsidR="00B85D72">
            <w:rPr>
              <w:noProof/>
            </w:rPr>
            <w:t>(4)</w:t>
          </w:r>
          <w:r w:rsidR="00137097">
            <w:rPr>
              <w:lang w:val="en-GB"/>
            </w:rPr>
            <w:fldChar w:fldCharType="end"/>
          </w:r>
        </w:sdtContent>
      </w:sdt>
      <w:r w:rsidR="00EC0BDD">
        <w:rPr>
          <w:lang w:val="en-GB"/>
        </w:rPr>
        <w:t>.</w:t>
      </w:r>
      <w:r w:rsidR="00137097">
        <w:rPr>
          <w:lang w:val="en-GB"/>
        </w:rPr>
        <w:t xml:space="preserve"> </w:t>
      </w:r>
      <w:r w:rsidR="00A976D3" w:rsidRPr="00C33C0B">
        <w:rPr>
          <w:lang w:val="en-GB"/>
        </w:rPr>
        <w:t xml:space="preserve">There </w:t>
      </w:r>
      <w:r w:rsidR="00C60FBE" w:rsidRPr="00C33C0B">
        <w:rPr>
          <w:lang w:val="en-GB"/>
        </w:rPr>
        <w:t xml:space="preserve">may be </w:t>
      </w:r>
      <w:r w:rsidR="00A976D3" w:rsidRPr="00C33C0B">
        <w:rPr>
          <w:lang w:val="en-GB"/>
        </w:rPr>
        <w:t>a lack of understanding of the functionality and security of telehealth</w:t>
      </w:r>
      <w:r w:rsidR="000701B6">
        <w:rPr>
          <w:lang w:val="en-GB"/>
        </w:rPr>
        <w:t>.</w:t>
      </w:r>
    </w:p>
    <w:p w14:paraId="26B9A2B7" w14:textId="20E09517" w:rsidR="00C67501" w:rsidRDefault="00A976D3" w:rsidP="00607BDA">
      <w:pPr>
        <w:pStyle w:val="Bullet-green"/>
        <w:numPr>
          <w:ilvl w:val="0"/>
          <w:numId w:val="0"/>
        </w:numPr>
        <w:rPr>
          <w:lang w:val="en-GB"/>
        </w:rPr>
      </w:pPr>
      <w:r w:rsidRPr="00C33C0B">
        <w:rPr>
          <w:lang w:val="en-GB"/>
        </w:rPr>
        <w:t xml:space="preserve">Telehealth </w:t>
      </w:r>
      <w:r w:rsidR="00137097">
        <w:rPr>
          <w:lang w:val="en-GB"/>
        </w:rPr>
        <w:t xml:space="preserve">also </w:t>
      </w:r>
      <w:r w:rsidRPr="00C33C0B">
        <w:rPr>
          <w:lang w:val="en-GB"/>
        </w:rPr>
        <w:t xml:space="preserve">requires additional technology and administrative support to enable efficient delivery, such as telehealth equipment, scheduling software, and </w:t>
      </w:r>
      <w:r w:rsidR="00CA4C5C">
        <w:rPr>
          <w:lang w:val="en-GB"/>
        </w:rPr>
        <w:t>mechanisms to collate</w:t>
      </w:r>
      <w:r w:rsidR="00CA4C5C" w:rsidRPr="00C33C0B">
        <w:rPr>
          <w:lang w:val="en-GB"/>
        </w:rPr>
        <w:t xml:space="preserve"> </w:t>
      </w:r>
      <w:r w:rsidRPr="00C33C0B">
        <w:rPr>
          <w:lang w:val="en-GB"/>
        </w:rPr>
        <w:t>and email patient records and investigation results</w:t>
      </w:r>
      <w:r w:rsidR="00020823">
        <w:rPr>
          <w:lang w:val="en-GB"/>
        </w:rPr>
        <w:t>.</w:t>
      </w:r>
      <w:r w:rsidR="00137097">
        <w:rPr>
          <w:lang w:val="en-GB"/>
        </w:rPr>
        <w:t xml:space="preserve"> These technical issues may be regarded as significant barriers to access to potential provider users.</w:t>
      </w:r>
    </w:p>
    <w:p w14:paraId="1DCC6670" w14:textId="72F70E85" w:rsidR="00B05B38" w:rsidRDefault="0070614E" w:rsidP="008A5CDC">
      <w:pPr>
        <w:pStyle w:val="Heading2"/>
      </w:pPr>
      <w:bookmarkStart w:id="164" w:name="_Toc67952231"/>
      <w:bookmarkStart w:id="165" w:name="_Hlk529009011"/>
      <w:r w:rsidRPr="00C33C0B">
        <w:t xml:space="preserve">Recommendation </w:t>
      </w:r>
      <w:r w:rsidR="00301462">
        <w:t>9</w:t>
      </w:r>
      <w:r w:rsidR="00A42BFB">
        <w:t xml:space="preserve"> – A new framework for telehealth</w:t>
      </w:r>
      <w:bookmarkEnd w:id="164"/>
    </w:p>
    <w:p w14:paraId="38785847" w14:textId="77777777" w:rsidR="00AB1CF1" w:rsidRPr="00BD2E78" w:rsidRDefault="00AB1CF1" w:rsidP="00817AE1">
      <w:pPr>
        <w:pStyle w:val="BoxNormal"/>
        <w:rPr>
          <w:b/>
        </w:rPr>
      </w:pPr>
      <w:r w:rsidRPr="00BD2E78">
        <w:rPr>
          <w:b/>
        </w:rPr>
        <w:t>Taskforce Note</w:t>
      </w:r>
    </w:p>
    <w:p w14:paraId="0AF4F1F1" w14:textId="7BDF5C74" w:rsidR="00AB1CF1" w:rsidRPr="00AB1CF1" w:rsidRDefault="00AB1CF1" w:rsidP="00817AE1">
      <w:pPr>
        <w:pStyle w:val="BoxNormal"/>
        <w:rPr>
          <w:lang w:val="en-US" w:eastAsia="en-US"/>
        </w:rPr>
      </w:pPr>
      <w:r w:rsidRPr="00AB1CF1">
        <w:rPr>
          <w:lang w:val="en-US" w:eastAsia="en-US"/>
        </w:rPr>
        <w:t>The Taskforce referred the SCPCCC’s telehealth recommendations to its Telehealth Working Group, which considered the remaining telehealth recommendations from across the MBS Review and developed guiding principles and recommendations to underpin future use and reform of telehealth. These are set out in the Taskforce’s Telehealth Report.</w:t>
      </w:r>
    </w:p>
    <w:p w14:paraId="43A150AC" w14:textId="54F12A33" w:rsidR="00907726" w:rsidRDefault="00907726" w:rsidP="00607BDA">
      <w:pPr>
        <w:pStyle w:val="Bullet-green"/>
        <w:numPr>
          <w:ilvl w:val="0"/>
          <w:numId w:val="0"/>
        </w:numPr>
      </w:pPr>
      <w:r>
        <w:t>The Committee recommends:</w:t>
      </w:r>
    </w:p>
    <w:p w14:paraId="1EA0A131" w14:textId="77777777" w:rsidR="00907726" w:rsidRDefault="006F41C3" w:rsidP="000831A1">
      <w:pPr>
        <w:pStyle w:val="Bullet-green"/>
        <w:numPr>
          <w:ilvl w:val="0"/>
          <w:numId w:val="61"/>
        </w:numPr>
      </w:pPr>
      <w:r>
        <w:t>R</w:t>
      </w:r>
      <w:r w:rsidR="00907726">
        <w:t xml:space="preserve">emoving the eight specialty-specific telehealth attendance items (items 113, 114, 384, 2799, 3003, 6004, 6025, and </w:t>
      </w:r>
      <w:r w:rsidR="008D3C48">
        <w:t>6059) from the MBS;</w:t>
      </w:r>
    </w:p>
    <w:p w14:paraId="13548BF3" w14:textId="7DD5083E" w:rsidR="00907726" w:rsidRPr="00607BDA" w:rsidRDefault="00907726" w:rsidP="000831A1">
      <w:pPr>
        <w:pStyle w:val="Bullet-green"/>
        <w:numPr>
          <w:ilvl w:val="0"/>
          <w:numId w:val="61"/>
        </w:numPr>
      </w:pPr>
      <w:r>
        <w:rPr>
          <w:lang w:val="en-GB"/>
        </w:rPr>
        <w:t>incrementally reducing</w:t>
      </w:r>
      <w:r w:rsidRPr="00C33C0B">
        <w:rPr>
          <w:lang w:val="en-GB"/>
        </w:rPr>
        <w:t xml:space="preserve"> </w:t>
      </w:r>
      <w:r w:rsidR="006F72E1">
        <w:rPr>
          <w:lang w:val="en-GB"/>
        </w:rPr>
        <w:t xml:space="preserve">the </w:t>
      </w:r>
      <w:r w:rsidRPr="00971319">
        <w:rPr>
          <w:lang w:val="en-GB"/>
        </w:rPr>
        <w:t>derived fee for th</w:t>
      </w:r>
      <w:r>
        <w:rPr>
          <w:lang w:val="en-GB"/>
        </w:rPr>
        <w:t>e nine telehealth loading items</w:t>
      </w:r>
      <w:r>
        <w:t xml:space="preserve"> (items 99, 112, 149, 389, 2820, 3015, 6016, 6026, and 6060)</w:t>
      </w:r>
      <w:r>
        <w:rPr>
          <w:lang w:val="en-GB"/>
        </w:rPr>
        <w:t xml:space="preserve"> to zero</w:t>
      </w:r>
      <w:r w:rsidR="008D3C48">
        <w:rPr>
          <w:lang w:val="en-GB"/>
        </w:rPr>
        <w:t>;</w:t>
      </w:r>
      <w:r w:rsidR="00EA0868">
        <w:rPr>
          <w:lang w:val="en-GB"/>
        </w:rPr>
        <w:t xml:space="preserve"> </w:t>
      </w:r>
    </w:p>
    <w:p w14:paraId="2D89B721" w14:textId="77777777" w:rsidR="00907726" w:rsidRDefault="00907726" w:rsidP="000831A1">
      <w:pPr>
        <w:pStyle w:val="Bullet-green"/>
        <w:numPr>
          <w:ilvl w:val="0"/>
          <w:numId w:val="61"/>
        </w:numPr>
      </w:pPr>
      <w:r>
        <w:t xml:space="preserve">undertaking </w:t>
      </w:r>
      <w:r w:rsidRPr="00C33C0B">
        <w:t xml:space="preserve">annual analysis of </w:t>
      </w:r>
      <w:r>
        <w:t xml:space="preserve">the phase out </w:t>
      </w:r>
      <w:r w:rsidRPr="00C33C0B">
        <w:t xml:space="preserve">so </w:t>
      </w:r>
      <w:r>
        <w:t>to identify</w:t>
      </w:r>
      <w:r w:rsidRPr="00C33C0B">
        <w:t xml:space="preserve"> p</w:t>
      </w:r>
      <w:r>
        <w:t>o</w:t>
      </w:r>
      <w:r w:rsidR="008D3C48">
        <w:t>tential unintended consequences;</w:t>
      </w:r>
      <w:r w:rsidR="002E5E59">
        <w:t xml:space="preserve"> and</w:t>
      </w:r>
    </w:p>
    <w:p w14:paraId="17433C44" w14:textId="77777777" w:rsidR="006D23CC" w:rsidRDefault="002E5E59" w:rsidP="000831A1">
      <w:pPr>
        <w:pStyle w:val="Bullet-green"/>
        <w:numPr>
          <w:ilvl w:val="0"/>
          <w:numId w:val="61"/>
        </w:numPr>
      </w:pPr>
      <w:r>
        <w:t>introducing new telehealth-specific attendance items (after the nine loading items have been removed) that mirror the standard time-tiered attendance items, with the same fees, and with item descriptors that describe recommended activities to be performed in each tier.</w:t>
      </w:r>
    </w:p>
    <w:p w14:paraId="096BB6ED" w14:textId="69499DFC" w:rsidR="00EB34DC" w:rsidRDefault="000E0DE2" w:rsidP="000E0DE2">
      <w:pPr>
        <w:pStyle w:val="Caption"/>
      </w:pPr>
      <w:bookmarkStart w:id="166" w:name="_Toc529028298"/>
      <w:r>
        <w:t xml:space="preserve">Table </w:t>
      </w:r>
      <w:fldSimple w:instr=" SEQ Table \* ARABIC ">
        <w:r w:rsidR="00832059">
          <w:rPr>
            <w:noProof/>
          </w:rPr>
          <w:t>6</w:t>
        </w:r>
      </w:fldSimple>
      <w:r w:rsidR="00EB34DC">
        <w:t xml:space="preserve">: </w:t>
      </w:r>
      <w:r w:rsidR="00EB34DC" w:rsidRPr="00EB34DC">
        <w:t>Telehealth attendance item descriptors</w:t>
      </w:r>
      <w:bookmarkEnd w:id="166"/>
    </w:p>
    <w:tbl>
      <w:tblPr>
        <w:tblStyle w:val="GridTable4-Accent3"/>
        <w:tblW w:w="0" w:type="auto"/>
        <w:tblLook w:val="04A0" w:firstRow="1" w:lastRow="0" w:firstColumn="1" w:lastColumn="0" w:noHBand="0" w:noVBand="1"/>
        <w:tblDescription w:val="Table 6 is a list of Telehealth attendance item descriptors.  This table has 3 columns. Column 1 is the item level. Column 2 is the duration of the item. Column 3 is the item descriptor. "/>
      </w:tblPr>
      <w:tblGrid>
        <w:gridCol w:w="995"/>
        <w:gridCol w:w="1317"/>
        <w:gridCol w:w="5990"/>
      </w:tblGrid>
      <w:tr w:rsidR="00BF4C3B" w:rsidRPr="00C33C0B" w14:paraId="0BAE2AA4"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4555ABF" w14:textId="77777777" w:rsidR="00BF4C3B" w:rsidRPr="00C33C0B" w:rsidRDefault="00BF4C3B" w:rsidP="000C5F9D">
            <w:pPr>
              <w:pStyle w:val="Tableheading"/>
            </w:pPr>
            <w:r w:rsidRPr="00C33C0B">
              <w:t>Level (</w:t>
            </w:r>
            <w:r>
              <w:t>i</w:t>
            </w:r>
            <w:r w:rsidRPr="00C33C0B">
              <w:t>tem</w:t>
            </w:r>
            <w:r>
              <w:t>)</w:t>
            </w:r>
            <w:r w:rsidRPr="00C33C0B">
              <w:rPr>
                <w:rStyle w:val="FootnoteReference"/>
                <w:bCs/>
              </w:rPr>
              <w:footnoteReference w:id="9"/>
            </w:r>
          </w:p>
        </w:tc>
        <w:tc>
          <w:tcPr>
            <w:tcW w:w="0" w:type="auto"/>
          </w:tcPr>
          <w:p w14:paraId="59871126" w14:textId="77777777" w:rsidR="00BF4C3B" w:rsidRPr="00C33C0B" w:rsidRDefault="00BF4C3B" w:rsidP="000C5F9D">
            <w:pPr>
              <w:pStyle w:val="Tableheading"/>
              <w:cnfStyle w:val="100000000000" w:firstRow="1" w:lastRow="0" w:firstColumn="0" w:lastColumn="0" w:oddVBand="0" w:evenVBand="0" w:oddHBand="0" w:evenHBand="0" w:firstRowFirstColumn="0" w:firstRowLastColumn="0" w:lastRowFirstColumn="0" w:lastRowLastColumn="0"/>
            </w:pPr>
            <w:r w:rsidRPr="00C33C0B">
              <w:t>Duration</w:t>
            </w:r>
          </w:p>
        </w:tc>
        <w:tc>
          <w:tcPr>
            <w:tcW w:w="0" w:type="auto"/>
          </w:tcPr>
          <w:p w14:paraId="0CA75D2C" w14:textId="77777777" w:rsidR="00BF4C3B" w:rsidRPr="00C33C0B" w:rsidRDefault="00BF4C3B" w:rsidP="000C5F9D">
            <w:pPr>
              <w:pStyle w:val="Tableheading"/>
              <w:cnfStyle w:val="100000000000" w:firstRow="1" w:lastRow="0" w:firstColumn="0" w:lastColumn="0" w:oddVBand="0" w:evenVBand="0" w:oddHBand="0" w:evenHBand="0" w:firstRowFirstColumn="0" w:firstRowLastColumn="0" w:lastRowFirstColumn="0" w:lastRowLastColumn="0"/>
            </w:pPr>
            <w:r w:rsidRPr="00C33C0B">
              <w:t>Item descriptor</w:t>
            </w:r>
          </w:p>
        </w:tc>
      </w:tr>
      <w:tr w:rsidR="00BF4C3B" w:rsidRPr="00C33C0B" w14:paraId="47FCDA18" w14:textId="77777777" w:rsidTr="008A5CDC">
        <w:tc>
          <w:tcPr>
            <w:cnfStyle w:val="001000000000" w:firstRow="0" w:lastRow="0" w:firstColumn="1" w:lastColumn="0" w:oddVBand="0" w:evenVBand="0" w:oddHBand="0" w:evenHBand="0" w:firstRowFirstColumn="0" w:firstRowLastColumn="0" w:lastRowFirstColumn="0" w:lastRowLastColumn="0"/>
            <w:tcW w:w="0" w:type="auto"/>
          </w:tcPr>
          <w:p w14:paraId="33A69E42" w14:textId="77777777" w:rsidR="00BF4C3B" w:rsidRPr="00C33C0B" w:rsidRDefault="002E1102" w:rsidP="00BD2E78">
            <w:pPr>
              <w:pStyle w:val="Tabletext"/>
              <w:rPr>
                <w:b/>
                <w:lang w:val="en-GB"/>
              </w:rPr>
            </w:pPr>
            <w:r>
              <w:rPr>
                <w:lang w:val="en-GB"/>
              </w:rPr>
              <w:t>Level B</w:t>
            </w:r>
          </w:p>
          <w:p w14:paraId="460E8DEC" w14:textId="4471EE50" w:rsidR="00BF4C3B" w:rsidRPr="00C33C0B" w:rsidRDefault="00176294" w:rsidP="00BD2E78">
            <w:pPr>
              <w:pStyle w:val="Tabletext"/>
              <w:rPr>
                <w:lang w:val="en-GB"/>
              </w:rPr>
            </w:pPr>
            <w:r>
              <w:rPr>
                <w:lang w:val="en-GB"/>
              </w:rPr>
              <w:t>(TH</w:t>
            </w:r>
            <w:r w:rsidR="002E1102">
              <w:rPr>
                <w:lang w:val="en-GB"/>
              </w:rPr>
              <w:t>B</w:t>
            </w:r>
            <w:r w:rsidR="00BF4C3B" w:rsidRPr="00C33C0B">
              <w:rPr>
                <w:lang w:val="en-GB"/>
              </w:rPr>
              <w:t>)</w:t>
            </w:r>
          </w:p>
        </w:tc>
        <w:tc>
          <w:tcPr>
            <w:tcW w:w="0" w:type="auto"/>
          </w:tcPr>
          <w:p w14:paraId="37678242" w14:textId="77777777" w:rsidR="00BF4C3B" w:rsidRPr="00C33C0B" w:rsidRDefault="002E1102" w:rsidP="00BD2E78">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6-20 minutes</w:t>
            </w:r>
          </w:p>
        </w:tc>
        <w:tc>
          <w:tcPr>
            <w:tcW w:w="0" w:type="auto"/>
          </w:tcPr>
          <w:p w14:paraId="18FCEA8E" w14:textId="65950C87" w:rsidR="00D650AD" w:rsidRDefault="00BF4C3B" w:rsidP="00BD2E78">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Professional attendance of </w:t>
            </w:r>
            <w:r w:rsidR="002E1102">
              <w:rPr>
                <w:lang w:val="en-GB"/>
              </w:rPr>
              <w:t xml:space="preserve">more than 5 </w:t>
            </w:r>
            <w:r w:rsidRPr="00C33C0B">
              <w:rPr>
                <w:lang w:val="en-GB"/>
              </w:rPr>
              <w:t xml:space="preserve">minutes </w:t>
            </w:r>
            <w:r w:rsidR="002E1102">
              <w:rPr>
                <w:lang w:val="en-GB"/>
              </w:rPr>
              <w:t xml:space="preserve">but not more than 20 minutes </w:t>
            </w:r>
            <w:r w:rsidRPr="00C33C0B">
              <w:rPr>
                <w:lang w:val="en-GB"/>
              </w:rPr>
              <w:t xml:space="preserve">by a </w:t>
            </w:r>
            <w:r>
              <w:rPr>
                <w:lang w:val="en-GB"/>
              </w:rPr>
              <w:t>consultant specialist</w:t>
            </w:r>
            <w:r w:rsidRPr="00C33C0B">
              <w:rPr>
                <w:lang w:val="en-GB"/>
              </w:rPr>
              <w:t xml:space="preserve"> in the practice of his or her speciality </w:t>
            </w:r>
            <w:r w:rsidR="000E0DE2">
              <w:rPr>
                <w:lang w:val="en-GB"/>
              </w:rPr>
              <w:t>if:</w:t>
            </w:r>
          </w:p>
          <w:p w14:paraId="39BF157D" w14:textId="4BDE5B92" w:rsidR="00D650AD" w:rsidRPr="00BD2E78" w:rsidRDefault="00376174" w:rsidP="000831A1">
            <w:pPr>
              <w:pStyle w:val="ListParagraph"/>
              <w:numPr>
                <w:ilvl w:val="1"/>
                <w:numId w:val="28"/>
              </w:numPr>
              <w:spacing w:before="20" w:after="20"/>
              <w:ind w:left="36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the attenda</w:t>
            </w:r>
            <w:r w:rsidR="000E0DE2">
              <w:rPr>
                <w:sz w:val="20"/>
                <w:szCs w:val="20"/>
                <w:lang w:val="en-GB"/>
              </w:rPr>
              <w:t>nce is by video conference; and</w:t>
            </w:r>
          </w:p>
          <w:p w14:paraId="72A83652" w14:textId="19DDF584" w:rsidR="00D650AD" w:rsidRPr="00BD2E78" w:rsidRDefault="00376174" w:rsidP="000831A1">
            <w:pPr>
              <w:pStyle w:val="ListParagraph"/>
              <w:numPr>
                <w:ilvl w:val="1"/>
                <w:numId w:val="28"/>
              </w:numPr>
              <w:spacing w:before="20" w:after="20"/>
              <w:ind w:left="36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the patient </w:t>
            </w:r>
            <w:r w:rsidR="000E0DE2">
              <w:rPr>
                <w:sz w:val="20"/>
                <w:szCs w:val="20"/>
                <w:lang w:val="en-GB"/>
              </w:rPr>
              <w:t>is not an admitted patient; and</w:t>
            </w:r>
          </w:p>
          <w:p w14:paraId="3A38E6CB" w14:textId="2A16D84B" w:rsidR="002E1102" w:rsidRPr="00BD2E78" w:rsidRDefault="000E0DE2" w:rsidP="000831A1">
            <w:pPr>
              <w:pStyle w:val="ListParagraph"/>
              <w:numPr>
                <w:ilvl w:val="1"/>
                <w:numId w:val="28"/>
              </w:numPr>
              <w:spacing w:before="20" w:after="20"/>
              <w:ind w:left="360"/>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the patient:</w:t>
            </w:r>
          </w:p>
          <w:p w14:paraId="33FACF17" w14:textId="51C5B488" w:rsidR="002E1102" w:rsidRPr="00BD2E78" w:rsidRDefault="00376174" w:rsidP="000831A1">
            <w:pPr>
              <w:pStyle w:val="ListParagraph"/>
              <w:numPr>
                <w:ilvl w:val="0"/>
                <w:numId w:val="29"/>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is located both: (a) within a telehealth eligible area; and (b) at the time of the attendance--at least 15 km by road from the </w:t>
            </w:r>
            <w:r w:rsidR="00295886" w:rsidRPr="00BD2E78">
              <w:rPr>
                <w:sz w:val="20"/>
                <w:szCs w:val="20"/>
                <w:lang w:val="en-GB"/>
              </w:rPr>
              <w:t xml:space="preserve">consultant </w:t>
            </w:r>
            <w:r w:rsidR="000E0DE2">
              <w:rPr>
                <w:sz w:val="20"/>
                <w:szCs w:val="20"/>
                <w:lang w:val="en-GB"/>
              </w:rPr>
              <w:t>specialist; or</w:t>
            </w:r>
          </w:p>
          <w:p w14:paraId="37E77AED" w14:textId="28A19542" w:rsidR="002E1102" w:rsidRPr="00BD2E78" w:rsidRDefault="00376174" w:rsidP="000831A1">
            <w:pPr>
              <w:pStyle w:val="ListParagraph"/>
              <w:numPr>
                <w:ilvl w:val="0"/>
                <w:numId w:val="29"/>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is a care recipient in</w:t>
            </w:r>
            <w:r w:rsidR="000E0DE2">
              <w:rPr>
                <w:sz w:val="20"/>
                <w:szCs w:val="20"/>
                <w:lang w:val="en-GB"/>
              </w:rPr>
              <w:t xml:space="preserve"> a residential care service; or</w:t>
            </w:r>
          </w:p>
          <w:p w14:paraId="761FC15C" w14:textId="71560220" w:rsidR="00376174" w:rsidRPr="00BD2E78" w:rsidRDefault="00376174" w:rsidP="00BF4C3B">
            <w:pPr>
              <w:pStyle w:val="ListParagraph"/>
              <w:numPr>
                <w:ilvl w:val="0"/>
                <w:numId w:val="29"/>
              </w:numPr>
              <w:spacing w:before="20" w:after="20"/>
              <w:cnfStyle w:val="000000000000" w:firstRow="0" w:lastRow="0" w:firstColumn="0" w:lastColumn="0" w:oddVBand="0" w:evenVBand="0" w:oddHBand="0" w:evenHBand="0" w:firstRowFirstColumn="0" w:firstRowLastColumn="0" w:lastRowFirstColumn="0" w:lastRowLastColumn="0"/>
              <w:rPr>
                <w:b/>
                <w:sz w:val="20"/>
                <w:szCs w:val="20"/>
                <w:lang w:val="en-GB"/>
              </w:rPr>
            </w:pPr>
            <w:r w:rsidRPr="00BD2E78">
              <w:rPr>
                <w:sz w:val="20"/>
                <w:szCs w:val="20"/>
                <w:lang w:val="en-GB"/>
              </w:rPr>
              <w:t xml:space="preserve">is a patient of: (a) an </w:t>
            </w:r>
            <w:r w:rsidR="00490494" w:rsidRPr="00BD2E78">
              <w:rPr>
                <w:sz w:val="20"/>
                <w:szCs w:val="20"/>
                <w:lang w:val="en-GB"/>
              </w:rPr>
              <w:t>A</w:t>
            </w:r>
            <w:r w:rsidRPr="00BD2E78">
              <w:rPr>
                <w:sz w:val="20"/>
                <w:szCs w:val="20"/>
                <w:lang w:val="en-GB"/>
              </w:rPr>
              <w:t xml:space="preserve">boriginal </w:t>
            </w:r>
            <w:r w:rsidR="00490494" w:rsidRPr="00BD2E78">
              <w:rPr>
                <w:sz w:val="20"/>
                <w:szCs w:val="20"/>
                <w:lang w:val="en-GB"/>
              </w:rPr>
              <w:t>M</w:t>
            </w:r>
            <w:r w:rsidRPr="00BD2E78">
              <w:rPr>
                <w:sz w:val="20"/>
                <w:szCs w:val="20"/>
                <w:lang w:val="en-GB"/>
              </w:rPr>
              <w:t xml:space="preserve">edical </w:t>
            </w:r>
            <w:r w:rsidR="00490494" w:rsidRPr="00BD2E78">
              <w:rPr>
                <w:sz w:val="20"/>
                <w:szCs w:val="20"/>
                <w:lang w:val="en-GB"/>
              </w:rPr>
              <w:t>S</w:t>
            </w:r>
            <w:r w:rsidRPr="00BD2E78">
              <w:rPr>
                <w:sz w:val="20"/>
                <w:szCs w:val="20"/>
                <w:lang w:val="en-GB"/>
              </w:rPr>
              <w:t xml:space="preserve">ervice; or (b) an </w:t>
            </w:r>
            <w:r w:rsidR="00490494" w:rsidRPr="00BD2E78">
              <w:rPr>
                <w:sz w:val="20"/>
                <w:szCs w:val="20"/>
                <w:lang w:val="en-GB"/>
              </w:rPr>
              <w:t>A</w:t>
            </w:r>
            <w:r w:rsidRPr="00BD2E78">
              <w:rPr>
                <w:sz w:val="20"/>
                <w:szCs w:val="20"/>
                <w:lang w:val="en-GB"/>
              </w:rPr>
              <w:t xml:space="preserve">boriginal </w:t>
            </w:r>
            <w:r w:rsidR="00490494" w:rsidRPr="00BD2E78">
              <w:rPr>
                <w:sz w:val="20"/>
                <w:szCs w:val="20"/>
                <w:lang w:val="en-GB"/>
              </w:rPr>
              <w:t>C</w:t>
            </w:r>
            <w:r w:rsidRPr="00BD2E78">
              <w:rPr>
                <w:sz w:val="20"/>
                <w:szCs w:val="20"/>
                <w:lang w:val="en-GB"/>
              </w:rPr>
              <w:t xml:space="preserve">ommunity </w:t>
            </w:r>
            <w:r w:rsidR="00490494" w:rsidRPr="00BD2E78">
              <w:rPr>
                <w:sz w:val="20"/>
                <w:szCs w:val="20"/>
                <w:lang w:val="en-GB"/>
              </w:rPr>
              <w:t>C</w:t>
            </w:r>
            <w:r w:rsidRPr="00BD2E78">
              <w:rPr>
                <w:sz w:val="20"/>
                <w:szCs w:val="20"/>
                <w:lang w:val="en-GB"/>
              </w:rPr>
              <w:t xml:space="preserve">ontrolled </w:t>
            </w:r>
            <w:r w:rsidR="00700FA2" w:rsidRPr="00BD2E78">
              <w:rPr>
                <w:sz w:val="20"/>
                <w:szCs w:val="20"/>
                <w:lang w:val="en-GB"/>
              </w:rPr>
              <w:t>H</w:t>
            </w:r>
            <w:r w:rsidRPr="00BD2E78">
              <w:rPr>
                <w:sz w:val="20"/>
                <w:szCs w:val="20"/>
                <w:lang w:val="en-GB"/>
              </w:rPr>
              <w:t xml:space="preserve">ealth </w:t>
            </w:r>
            <w:r w:rsidR="00700FA2" w:rsidRPr="00BD2E78">
              <w:rPr>
                <w:sz w:val="20"/>
                <w:szCs w:val="20"/>
                <w:lang w:val="en-GB"/>
              </w:rPr>
              <w:t>S</w:t>
            </w:r>
            <w:r w:rsidRPr="00BD2E78">
              <w:rPr>
                <w:sz w:val="20"/>
                <w:szCs w:val="20"/>
                <w:lang w:val="en-GB"/>
              </w:rPr>
              <w:t>ervice; for which a direction made under subsection 19(2) of the act applies.</w:t>
            </w:r>
          </w:p>
          <w:p w14:paraId="3B49EC05" w14:textId="77777777" w:rsidR="00BF4C3B" w:rsidRPr="00BD2E78" w:rsidRDefault="00376174" w:rsidP="00BF4C3B">
            <w:p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An attendance </w:t>
            </w:r>
            <w:r w:rsidR="00BF4C3B" w:rsidRPr="00BD2E78">
              <w:rPr>
                <w:sz w:val="20"/>
                <w:szCs w:val="20"/>
                <w:lang w:val="en-GB"/>
              </w:rPr>
              <w:t>including any of the following that are clinically relevant:</w:t>
            </w:r>
          </w:p>
          <w:p w14:paraId="1DF05090" w14:textId="09697521" w:rsidR="00BF4C3B" w:rsidRPr="00BD2E78" w:rsidRDefault="00BF4C3B" w:rsidP="000831A1">
            <w:pPr>
              <w:pStyle w:val="ListParagraph"/>
              <w:numPr>
                <w:ilvl w:val="0"/>
                <w:numId w:val="27"/>
              </w:numPr>
              <w:spacing w:before="20" w:after="20"/>
              <w:ind w:left="36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a </w:t>
            </w:r>
            <w:r w:rsidR="00816AAD" w:rsidRPr="00BD2E78">
              <w:rPr>
                <w:sz w:val="20"/>
                <w:szCs w:val="20"/>
                <w:lang w:val="en-GB"/>
              </w:rPr>
              <w:t>focused</w:t>
            </w:r>
            <w:r w:rsidR="000E0DE2">
              <w:rPr>
                <w:sz w:val="20"/>
                <w:szCs w:val="20"/>
                <w:lang w:val="en-GB"/>
              </w:rPr>
              <w:t xml:space="preserve"> patient history</w:t>
            </w:r>
          </w:p>
          <w:p w14:paraId="274F6880" w14:textId="77777777" w:rsidR="002E1102" w:rsidRPr="00BD2E78" w:rsidRDefault="002E1102" w:rsidP="000831A1">
            <w:pPr>
              <w:pStyle w:val="ListParagraph"/>
              <w:numPr>
                <w:ilvl w:val="0"/>
                <w:numId w:val="27"/>
              </w:numPr>
              <w:spacing w:before="20" w:after="20"/>
              <w:ind w:left="357" w:hanging="357"/>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implementing a management plan</w:t>
            </w:r>
          </w:p>
          <w:p w14:paraId="2C68B537" w14:textId="77777777" w:rsidR="00176294" w:rsidRPr="0010767D" w:rsidRDefault="00BF4C3B" w:rsidP="000831A1">
            <w:pPr>
              <w:pStyle w:val="ListParagraph"/>
              <w:numPr>
                <w:ilvl w:val="0"/>
                <w:numId w:val="27"/>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BD2E78">
              <w:rPr>
                <w:sz w:val="20"/>
                <w:szCs w:val="20"/>
                <w:lang w:val="en-GB"/>
              </w:rPr>
              <w:t>outcomes documented and communicated in writing to the referring practitioner</w:t>
            </w:r>
          </w:p>
        </w:tc>
      </w:tr>
      <w:tr w:rsidR="00C910A8" w:rsidRPr="00C33C0B" w14:paraId="03123581" w14:textId="77777777" w:rsidTr="008A5CDC">
        <w:tc>
          <w:tcPr>
            <w:cnfStyle w:val="001000000000" w:firstRow="0" w:lastRow="0" w:firstColumn="1" w:lastColumn="0" w:oddVBand="0" w:evenVBand="0" w:oddHBand="0" w:evenHBand="0" w:firstRowFirstColumn="0" w:firstRowLastColumn="0" w:lastRowFirstColumn="0" w:lastRowLastColumn="0"/>
            <w:tcW w:w="0" w:type="auto"/>
          </w:tcPr>
          <w:p w14:paraId="4A479FC3" w14:textId="77777777" w:rsidR="0006272C" w:rsidRPr="00C33C0B" w:rsidRDefault="0006272C" w:rsidP="00BD2E78">
            <w:pPr>
              <w:pStyle w:val="Tabletext"/>
              <w:rPr>
                <w:b/>
                <w:lang w:val="en-GB"/>
              </w:rPr>
            </w:pPr>
            <w:r>
              <w:rPr>
                <w:lang w:val="en-GB"/>
              </w:rPr>
              <w:t>Level C</w:t>
            </w:r>
          </w:p>
          <w:p w14:paraId="38C8DBE6" w14:textId="77777777" w:rsidR="00C910A8" w:rsidRPr="0006272C" w:rsidRDefault="0006272C" w:rsidP="00BD2E78">
            <w:pPr>
              <w:pStyle w:val="Tabletext"/>
              <w:rPr>
                <w:lang w:val="en-GB"/>
              </w:rPr>
            </w:pPr>
            <w:r>
              <w:rPr>
                <w:lang w:val="en-GB"/>
              </w:rPr>
              <w:t>(THC</w:t>
            </w:r>
            <w:r w:rsidRPr="00C33C0B">
              <w:rPr>
                <w:lang w:val="en-GB"/>
              </w:rPr>
              <w:t>)</w:t>
            </w:r>
          </w:p>
        </w:tc>
        <w:tc>
          <w:tcPr>
            <w:tcW w:w="0" w:type="auto"/>
          </w:tcPr>
          <w:p w14:paraId="0CA8DB27" w14:textId="77777777" w:rsidR="00C910A8" w:rsidRDefault="0006272C" w:rsidP="00BD2E78">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21-40 minutes</w:t>
            </w:r>
          </w:p>
        </w:tc>
        <w:tc>
          <w:tcPr>
            <w:tcW w:w="0" w:type="auto"/>
          </w:tcPr>
          <w:p w14:paraId="44EC1D6B" w14:textId="17E38206" w:rsidR="0010767D" w:rsidRPr="00BD2E78" w:rsidRDefault="0010767D" w:rsidP="00BD2E78">
            <w:pPr>
              <w:pStyle w:val="Tabletext"/>
              <w:cnfStyle w:val="000000000000" w:firstRow="0" w:lastRow="0" w:firstColumn="0" w:lastColumn="0" w:oddVBand="0" w:evenVBand="0" w:oddHBand="0" w:evenHBand="0" w:firstRowFirstColumn="0" w:firstRowLastColumn="0" w:lastRowFirstColumn="0" w:lastRowLastColumn="0"/>
              <w:rPr>
                <w:szCs w:val="20"/>
                <w:lang w:val="en-GB"/>
              </w:rPr>
            </w:pPr>
            <w:r w:rsidRPr="00BD2E78">
              <w:rPr>
                <w:szCs w:val="20"/>
                <w:lang w:val="en-GB"/>
              </w:rPr>
              <w:t>Professional attendance of more than 20 minutes but not more than 40 minutes by a consultant specialist in the practi</w:t>
            </w:r>
            <w:r w:rsidR="000E0DE2">
              <w:rPr>
                <w:szCs w:val="20"/>
                <w:lang w:val="en-GB"/>
              </w:rPr>
              <w:t>ce of his or her speciality if:</w:t>
            </w:r>
          </w:p>
          <w:p w14:paraId="313158D4" w14:textId="7505D60F" w:rsidR="0010767D" w:rsidRPr="00BD2E78" w:rsidRDefault="0010767D" w:rsidP="006D43A0">
            <w:pPr>
              <w:pStyle w:val="ListParagraph"/>
              <w:numPr>
                <w:ilvl w:val="0"/>
                <w:numId w:val="121"/>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the attenda</w:t>
            </w:r>
            <w:r w:rsidR="000E0DE2">
              <w:rPr>
                <w:sz w:val="20"/>
                <w:szCs w:val="20"/>
                <w:lang w:val="en-GB"/>
              </w:rPr>
              <w:t>nce is by video conference; and</w:t>
            </w:r>
          </w:p>
          <w:p w14:paraId="4D299761" w14:textId="26E668A7" w:rsidR="0010767D" w:rsidRPr="00BD2E78" w:rsidRDefault="0010767D" w:rsidP="006D43A0">
            <w:pPr>
              <w:pStyle w:val="ListParagraph"/>
              <w:numPr>
                <w:ilvl w:val="0"/>
                <w:numId w:val="121"/>
              </w:numPr>
              <w:spacing w:before="20" w:after="20"/>
              <w:ind w:left="36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the patient is not an a</w:t>
            </w:r>
            <w:r w:rsidR="000E0DE2">
              <w:rPr>
                <w:sz w:val="20"/>
                <w:szCs w:val="20"/>
                <w:lang w:val="en-GB"/>
              </w:rPr>
              <w:t>dmitted patient; and</w:t>
            </w:r>
          </w:p>
          <w:p w14:paraId="4FA14053" w14:textId="2E326B95" w:rsidR="0010767D" w:rsidRPr="00BD2E78" w:rsidRDefault="000E0DE2" w:rsidP="006D43A0">
            <w:pPr>
              <w:pStyle w:val="ListParagraph"/>
              <w:numPr>
                <w:ilvl w:val="0"/>
                <w:numId w:val="121"/>
              </w:numPr>
              <w:spacing w:before="20" w:after="20"/>
              <w:ind w:left="360"/>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the patient:</w:t>
            </w:r>
          </w:p>
          <w:p w14:paraId="782D930E" w14:textId="4DD72D1A" w:rsidR="0010767D" w:rsidRPr="00BD2E78" w:rsidRDefault="0010767D" w:rsidP="006D43A0">
            <w:pPr>
              <w:pStyle w:val="ListParagraph"/>
              <w:numPr>
                <w:ilvl w:val="0"/>
                <w:numId w:val="12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is located both: (a) within a telehealth eligible area; and (b) at the time of the attendance--at least 15 km by road from the </w:t>
            </w:r>
            <w:r w:rsidR="00295886" w:rsidRPr="00BD2E78">
              <w:rPr>
                <w:sz w:val="20"/>
                <w:szCs w:val="20"/>
                <w:lang w:val="en-GB"/>
              </w:rPr>
              <w:t xml:space="preserve">consultant </w:t>
            </w:r>
            <w:r w:rsidR="000E0DE2">
              <w:rPr>
                <w:sz w:val="20"/>
                <w:szCs w:val="20"/>
                <w:lang w:val="en-GB"/>
              </w:rPr>
              <w:t>specialist; or</w:t>
            </w:r>
          </w:p>
          <w:p w14:paraId="076F774D" w14:textId="025D94A1" w:rsidR="0010767D" w:rsidRPr="00BD2E78" w:rsidRDefault="0010767D" w:rsidP="006D43A0">
            <w:pPr>
              <w:pStyle w:val="ListParagraph"/>
              <w:numPr>
                <w:ilvl w:val="0"/>
                <w:numId w:val="12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is a care recipient in</w:t>
            </w:r>
            <w:r w:rsidR="000E0DE2">
              <w:rPr>
                <w:sz w:val="20"/>
                <w:szCs w:val="20"/>
                <w:lang w:val="en-GB"/>
              </w:rPr>
              <w:t xml:space="preserve"> a residential care service; or</w:t>
            </w:r>
          </w:p>
          <w:p w14:paraId="764E25F7" w14:textId="3E29D638" w:rsidR="0010767D" w:rsidRPr="00BD2E78" w:rsidRDefault="0010767D" w:rsidP="0010767D">
            <w:pPr>
              <w:pStyle w:val="ListParagraph"/>
              <w:numPr>
                <w:ilvl w:val="0"/>
                <w:numId w:val="12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is a patient of: (a) an aboriginal medical service; or (b) an aboriginal community controlled health service; for which a direction made under subsection 19(2) of the act applies.</w:t>
            </w:r>
          </w:p>
          <w:p w14:paraId="2F135E9B" w14:textId="77777777" w:rsidR="0010767D" w:rsidRPr="00BD2E78" w:rsidRDefault="0010767D" w:rsidP="0010767D">
            <w:p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An attendance including any of the following that are clinically relevant:</w:t>
            </w:r>
          </w:p>
          <w:p w14:paraId="15212D1D" w14:textId="77777777" w:rsidR="0010767D" w:rsidRPr="00BD2E78" w:rsidRDefault="0010767D" w:rsidP="000831A1">
            <w:pPr>
              <w:pStyle w:val="ListParagraph"/>
              <w:numPr>
                <w:ilvl w:val="0"/>
                <w:numId w:val="30"/>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detailed patient history of a major single or multiple minor conditions</w:t>
            </w:r>
          </w:p>
          <w:p w14:paraId="34CC6BFB" w14:textId="77777777" w:rsidR="0010767D" w:rsidRPr="00BD2E78" w:rsidRDefault="0010767D" w:rsidP="000831A1">
            <w:pPr>
              <w:pStyle w:val="ListParagraph"/>
              <w:numPr>
                <w:ilvl w:val="0"/>
                <w:numId w:val="30"/>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single or multiple minor diagnostic problems considered</w:t>
            </w:r>
          </w:p>
          <w:p w14:paraId="215749BD" w14:textId="77777777" w:rsidR="0010767D" w:rsidRPr="00BD2E78" w:rsidRDefault="0010767D" w:rsidP="000831A1">
            <w:pPr>
              <w:pStyle w:val="ListParagraph"/>
              <w:numPr>
                <w:ilvl w:val="0"/>
                <w:numId w:val="30"/>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a non-complex management plan</w:t>
            </w:r>
            <w:r w:rsidR="001969CC" w:rsidRPr="00BD2E78">
              <w:rPr>
                <w:sz w:val="20"/>
                <w:szCs w:val="20"/>
                <w:lang w:val="en-GB"/>
              </w:rPr>
              <w:t xml:space="preserve"> </w:t>
            </w:r>
            <w:r w:rsidRPr="00BD2E78">
              <w:rPr>
                <w:sz w:val="20"/>
                <w:szCs w:val="20"/>
                <w:lang w:val="en-GB"/>
              </w:rPr>
              <w:t>and, if required;</w:t>
            </w:r>
          </w:p>
          <w:p w14:paraId="2CB48B10" w14:textId="77777777" w:rsidR="0010767D" w:rsidRPr="00BD2E78" w:rsidRDefault="0010767D" w:rsidP="000831A1">
            <w:pPr>
              <w:pStyle w:val="ListParagraph"/>
              <w:numPr>
                <w:ilvl w:val="0"/>
                <w:numId w:val="30"/>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discussion of multiple treatment options available, including;</w:t>
            </w:r>
          </w:p>
          <w:p w14:paraId="2547AF85" w14:textId="77777777" w:rsidR="0010767D" w:rsidRPr="00BD2E78" w:rsidRDefault="0010767D" w:rsidP="00F30EE1">
            <w:pPr>
              <w:cnfStyle w:val="000000000000" w:firstRow="0" w:lastRow="0" w:firstColumn="0" w:lastColumn="0" w:oddVBand="0" w:evenVBand="0" w:oddHBand="0" w:evenHBand="0" w:firstRowFirstColumn="0" w:firstRowLastColumn="0" w:lastRowFirstColumn="0" w:lastRowLastColumn="0"/>
              <w:rPr>
                <w:sz w:val="20"/>
                <w:szCs w:val="20"/>
              </w:rPr>
            </w:pPr>
            <w:r w:rsidRPr="00BD2E78">
              <w:rPr>
                <w:sz w:val="20"/>
                <w:szCs w:val="20"/>
              </w:rPr>
              <w:t>i. Discussion of treatment options to assess pros and cons of each option given patient characteristics and medical history</w:t>
            </w:r>
          </w:p>
          <w:p w14:paraId="4A253877" w14:textId="77777777" w:rsidR="0010767D" w:rsidRPr="00BD2E78" w:rsidRDefault="0010767D" w:rsidP="00F30EE1">
            <w:pPr>
              <w:cnfStyle w:val="000000000000" w:firstRow="0" w:lastRow="0" w:firstColumn="0" w:lastColumn="0" w:oddVBand="0" w:evenVBand="0" w:oddHBand="0" w:evenHBand="0" w:firstRowFirstColumn="0" w:firstRowLastColumn="0" w:lastRowFirstColumn="0" w:lastRowLastColumn="0"/>
              <w:rPr>
                <w:sz w:val="20"/>
                <w:szCs w:val="20"/>
              </w:rPr>
            </w:pPr>
            <w:r w:rsidRPr="00BD2E78">
              <w:rPr>
                <w:sz w:val="20"/>
                <w:szCs w:val="20"/>
              </w:rPr>
              <w:t>ii. Consideration and discussion of necessary referrals to other health professionals</w:t>
            </w:r>
          </w:p>
          <w:p w14:paraId="10F3FB16" w14:textId="77777777" w:rsidR="001969CC" w:rsidRPr="00BD2E78" w:rsidRDefault="0010767D" w:rsidP="00F30EE1">
            <w:pPr>
              <w:cnfStyle w:val="000000000000" w:firstRow="0" w:lastRow="0" w:firstColumn="0" w:lastColumn="0" w:oddVBand="0" w:evenVBand="0" w:oddHBand="0" w:evenHBand="0" w:firstRowFirstColumn="0" w:firstRowLastColumn="0" w:lastRowFirstColumn="0" w:lastRowLastColumn="0"/>
              <w:rPr>
                <w:sz w:val="20"/>
                <w:szCs w:val="20"/>
              </w:rPr>
            </w:pPr>
            <w:r w:rsidRPr="00BD2E78">
              <w:rPr>
                <w:sz w:val="20"/>
                <w:szCs w:val="20"/>
              </w:rPr>
              <w:t xml:space="preserve">iii. Written documentation made available for the patient and/or carer that </w:t>
            </w:r>
            <w:r w:rsidR="008C4D6C" w:rsidRPr="00BD2E78">
              <w:rPr>
                <w:sz w:val="20"/>
                <w:szCs w:val="20"/>
              </w:rPr>
              <w:t xml:space="preserve">facilitates informed consent, such as </w:t>
            </w:r>
            <w:r w:rsidRPr="00BD2E78">
              <w:rPr>
                <w:sz w:val="20"/>
                <w:szCs w:val="20"/>
              </w:rPr>
              <w:t>treatment options</w:t>
            </w:r>
            <w:r w:rsidR="008C4D6C" w:rsidRPr="00BD2E78">
              <w:rPr>
                <w:sz w:val="20"/>
                <w:szCs w:val="20"/>
              </w:rPr>
              <w:t>, costs,</w:t>
            </w:r>
            <w:r w:rsidRPr="00BD2E78">
              <w:rPr>
                <w:sz w:val="20"/>
                <w:szCs w:val="20"/>
              </w:rPr>
              <w:t xml:space="preserve"> and information on associated risks and benefits</w:t>
            </w:r>
          </w:p>
          <w:p w14:paraId="7AF423E6" w14:textId="7EF84595" w:rsidR="00C910A8" w:rsidRPr="00BD2E78" w:rsidRDefault="0010767D" w:rsidP="000831A1">
            <w:pPr>
              <w:numPr>
                <w:ilvl w:val="0"/>
                <w:numId w:val="30"/>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outcomes documented and communicated in writin</w:t>
            </w:r>
            <w:r w:rsidR="00BD2E78" w:rsidRPr="00BD2E78">
              <w:rPr>
                <w:sz w:val="20"/>
                <w:szCs w:val="20"/>
                <w:lang w:val="en-GB"/>
              </w:rPr>
              <w:t>g to the referring practitioner</w:t>
            </w:r>
          </w:p>
        </w:tc>
      </w:tr>
      <w:tr w:rsidR="001969CC" w:rsidRPr="00C33C0B" w14:paraId="264712A3" w14:textId="77777777" w:rsidTr="008A5CDC">
        <w:tc>
          <w:tcPr>
            <w:cnfStyle w:val="001000000000" w:firstRow="0" w:lastRow="0" w:firstColumn="1" w:lastColumn="0" w:oddVBand="0" w:evenVBand="0" w:oddHBand="0" w:evenHBand="0" w:firstRowFirstColumn="0" w:firstRowLastColumn="0" w:lastRowFirstColumn="0" w:lastRowLastColumn="0"/>
            <w:tcW w:w="0" w:type="auto"/>
          </w:tcPr>
          <w:p w14:paraId="6C9B4E95" w14:textId="70AA26E2" w:rsidR="001969CC" w:rsidRPr="00C33C0B" w:rsidRDefault="0006272C" w:rsidP="00BD2E78">
            <w:pPr>
              <w:pStyle w:val="Tabletext"/>
              <w:rPr>
                <w:b/>
                <w:lang w:val="en-GB"/>
              </w:rPr>
            </w:pPr>
            <w:r>
              <w:rPr>
                <w:lang w:val="en-GB"/>
              </w:rPr>
              <w:t xml:space="preserve">Level D </w:t>
            </w:r>
            <w:r w:rsidRPr="0006272C">
              <w:rPr>
                <w:lang w:val="en-GB"/>
              </w:rPr>
              <w:t>(TH</w:t>
            </w:r>
            <w:r w:rsidR="00A539CE">
              <w:rPr>
                <w:lang w:val="en-GB"/>
              </w:rPr>
              <w:t>D</w:t>
            </w:r>
            <w:r w:rsidRPr="0006272C">
              <w:rPr>
                <w:lang w:val="en-GB"/>
              </w:rPr>
              <w:t>)</w:t>
            </w:r>
          </w:p>
        </w:tc>
        <w:tc>
          <w:tcPr>
            <w:tcW w:w="0" w:type="auto"/>
          </w:tcPr>
          <w:p w14:paraId="1D22973B" w14:textId="77777777" w:rsidR="001969CC" w:rsidRDefault="0006272C" w:rsidP="00BD2E78">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41-60 minutes</w:t>
            </w:r>
          </w:p>
        </w:tc>
        <w:tc>
          <w:tcPr>
            <w:tcW w:w="0" w:type="auto"/>
          </w:tcPr>
          <w:p w14:paraId="5310689B" w14:textId="12DBD9C4" w:rsidR="001969CC" w:rsidRPr="00BD2E78" w:rsidRDefault="001969CC" w:rsidP="001969CC">
            <w:p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Professional attendance of more than 40 minutes but not more than 60 minutes by a consultant specialist in the practi</w:t>
            </w:r>
            <w:r w:rsidR="000E0DE2">
              <w:rPr>
                <w:sz w:val="20"/>
                <w:szCs w:val="20"/>
                <w:lang w:val="en-GB"/>
              </w:rPr>
              <w:t>ce of his or her speciality if:</w:t>
            </w:r>
          </w:p>
          <w:p w14:paraId="3789E8A9" w14:textId="489D1F79" w:rsidR="001969CC" w:rsidRPr="00BD2E78" w:rsidRDefault="001969CC" w:rsidP="00DF2658">
            <w:pPr>
              <w:pStyle w:val="ListParagraph"/>
              <w:numPr>
                <w:ilvl w:val="1"/>
                <w:numId w:val="28"/>
              </w:numPr>
              <w:spacing w:before="20" w:after="20"/>
              <w:ind w:left="36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the attenda</w:t>
            </w:r>
            <w:r w:rsidR="000E0DE2">
              <w:rPr>
                <w:sz w:val="20"/>
                <w:szCs w:val="20"/>
                <w:lang w:val="en-GB"/>
              </w:rPr>
              <w:t>nce is by video conference; and</w:t>
            </w:r>
          </w:p>
          <w:p w14:paraId="40AF79E1" w14:textId="0E553ACE" w:rsidR="001969CC" w:rsidRPr="00BD2E78" w:rsidRDefault="001969CC" w:rsidP="00DF2658">
            <w:pPr>
              <w:pStyle w:val="ListParagraph"/>
              <w:numPr>
                <w:ilvl w:val="1"/>
                <w:numId w:val="28"/>
              </w:numPr>
              <w:spacing w:before="20" w:after="20"/>
              <w:ind w:left="36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the patient </w:t>
            </w:r>
            <w:r w:rsidR="000E0DE2">
              <w:rPr>
                <w:sz w:val="20"/>
                <w:szCs w:val="20"/>
                <w:lang w:val="en-GB"/>
              </w:rPr>
              <w:t>is not an admitted patient; and</w:t>
            </w:r>
          </w:p>
          <w:p w14:paraId="26E38874" w14:textId="13F02915" w:rsidR="001969CC" w:rsidRPr="00BD2E78" w:rsidRDefault="000E0DE2" w:rsidP="00DF2658">
            <w:pPr>
              <w:pStyle w:val="ListParagraph"/>
              <w:numPr>
                <w:ilvl w:val="1"/>
                <w:numId w:val="28"/>
              </w:numPr>
              <w:spacing w:before="20" w:after="20"/>
              <w:ind w:left="360"/>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the patient:</w:t>
            </w:r>
          </w:p>
          <w:p w14:paraId="01F68A35" w14:textId="34D2665B" w:rsidR="001969CC" w:rsidRPr="00BD2E78" w:rsidRDefault="001969CC" w:rsidP="006D43A0">
            <w:pPr>
              <w:pStyle w:val="ListParagraph"/>
              <w:numPr>
                <w:ilvl w:val="0"/>
                <w:numId w:val="124"/>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is located both: (a) within a telehealth eligible area; and (b) at the time of the attendance--at least 15 km by road from the </w:t>
            </w:r>
            <w:r w:rsidR="00295886" w:rsidRPr="00BD2E78">
              <w:rPr>
                <w:sz w:val="20"/>
                <w:szCs w:val="20"/>
                <w:lang w:val="en-GB"/>
              </w:rPr>
              <w:t xml:space="preserve">consultant </w:t>
            </w:r>
            <w:r w:rsidR="000E0DE2">
              <w:rPr>
                <w:sz w:val="20"/>
                <w:szCs w:val="20"/>
                <w:lang w:val="en-GB"/>
              </w:rPr>
              <w:t>specialist; or</w:t>
            </w:r>
          </w:p>
          <w:p w14:paraId="6A20D257" w14:textId="6D93CC1C" w:rsidR="001969CC" w:rsidRPr="00BD2E78" w:rsidRDefault="001969CC" w:rsidP="006D43A0">
            <w:pPr>
              <w:pStyle w:val="ListParagraph"/>
              <w:numPr>
                <w:ilvl w:val="0"/>
                <w:numId w:val="124"/>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is a care recipient in</w:t>
            </w:r>
            <w:r w:rsidR="000E0DE2">
              <w:rPr>
                <w:sz w:val="20"/>
                <w:szCs w:val="20"/>
                <w:lang w:val="en-GB"/>
              </w:rPr>
              <w:t xml:space="preserve"> a residential care service; or</w:t>
            </w:r>
          </w:p>
          <w:p w14:paraId="0D6FD8C2" w14:textId="7A7812A4" w:rsidR="001969CC" w:rsidRPr="00BD2E78" w:rsidRDefault="001969CC" w:rsidP="001969CC">
            <w:pPr>
              <w:pStyle w:val="ListParagraph"/>
              <w:numPr>
                <w:ilvl w:val="0"/>
                <w:numId w:val="124"/>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is a patient of: (a) an </w:t>
            </w:r>
            <w:r w:rsidR="00A539CE" w:rsidRPr="00BD2E78">
              <w:rPr>
                <w:sz w:val="20"/>
                <w:szCs w:val="20"/>
                <w:lang w:val="en-GB"/>
              </w:rPr>
              <w:t>A</w:t>
            </w:r>
            <w:r w:rsidRPr="00BD2E78">
              <w:rPr>
                <w:sz w:val="20"/>
                <w:szCs w:val="20"/>
                <w:lang w:val="en-GB"/>
              </w:rPr>
              <w:t xml:space="preserve">boriginal </w:t>
            </w:r>
            <w:r w:rsidR="00A539CE" w:rsidRPr="00BD2E78">
              <w:rPr>
                <w:sz w:val="20"/>
                <w:szCs w:val="20"/>
                <w:lang w:val="en-GB"/>
              </w:rPr>
              <w:t>M</w:t>
            </w:r>
            <w:r w:rsidRPr="00BD2E78">
              <w:rPr>
                <w:sz w:val="20"/>
                <w:szCs w:val="20"/>
                <w:lang w:val="en-GB"/>
              </w:rPr>
              <w:t xml:space="preserve">edical </w:t>
            </w:r>
            <w:r w:rsidR="00A539CE" w:rsidRPr="00BD2E78">
              <w:rPr>
                <w:sz w:val="20"/>
                <w:szCs w:val="20"/>
                <w:lang w:val="en-GB"/>
              </w:rPr>
              <w:t>S</w:t>
            </w:r>
            <w:r w:rsidRPr="00BD2E78">
              <w:rPr>
                <w:sz w:val="20"/>
                <w:szCs w:val="20"/>
                <w:lang w:val="en-GB"/>
              </w:rPr>
              <w:t>ervice; or (b) an aboriginal community controlled health service; for which a direction made under subsection 19(2) of the act applies.</w:t>
            </w:r>
          </w:p>
          <w:p w14:paraId="16DB3CFB" w14:textId="77777777" w:rsidR="001969CC" w:rsidRPr="00BD2E78" w:rsidRDefault="001969CC" w:rsidP="001969CC">
            <w:p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An attendance including any of the following that are clinically relevant:</w:t>
            </w:r>
          </w:p>
          <w:p w14:paraId="73BF2CFE" w14:textId="78233318" w:rsidR="001969CC" w:rsidRPr="00BD2E78" w:rsidRDefault="001969CC" w:rsidP="000831A1">
            <w:pPr>
              <w:pStyle w:val="ListParagraph"/>
              <w:numPr>
                <w:ilvl w:val="0"/>
                <w:numId w:val="31"/>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comprehensive patient history of multiple condition</w:t>
            </w:r>
            <w:r w:rsidR="000E0DE2">
              <w:rPr>
                <w:sz w:val="20"/>
                <w:szCs w:val="20"/>
                <w:lang w:val="en-GB"/>
              </w:rPr>
              <w:t>s or a complex single condition</w:t>
            </w:r>
          </w:p>
          <w:p w14:paraId="082DF4E1" w14:textId="77777777" w:rsidR="001969CC" w:rsidRPr="00BD2E78" w:rsidRDefault="001969CC" w:rsidP="000831A1">
            <w:pPr>
              <w:pStyle w:val="ListParagraph"/>
              <w:numPr>
                <w:ilvl w:val="0"/>
                <w:numId w:val="31"/>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multiple diagnostic problems considered</w:t>
            </w:r>
          </w:p>
          <w:p w14:paraId="6617FEBA" w14:textId="77777777" w:rsidR="001969CC" w:rsidRPr="00BD2E78" w:rsidRDefault="001969CC" w:rsidP="000831A1">
            <w:pPr>
              <w:pStyle w:val="ListParagraph"/>
              <w:numPr>
                <w:ilvl w:val="0"/>
                <w:numId w:val="31"/>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a comprehensive management plan</w:t>
            </w:r>
            <w:r w:rsidR="00ED4E4E" w:rsidRPr="00BD2E78">
              <w:rPr>
                <w:sz w:val="20"/>
                <w:szCs w:val="20"/>
                <w:lang w:val="en-GB"/>
              </w:rPr>
              <w:t xml:space="preserve"> </w:t>
            </w:r>
            <w:r w:rsidRPr="00BD2E78">
              <w:rPr>
                <w:sz w:val="20"/>
                <w:szCs w:val="20"/>
                <w:lang w:val="en-GB"/>
              </w:rPr>
              <w:t>and, if required;</w:t>
            </w:r>
          </w:p>
          <w:p w14:paraId="41941F1B" w14:textId="77777777" w:rsidR="001969CC" w:rsidRPr="00BD2E78" w:rsidRDefault="001969CC" w:rsidP="000831A1">
            <w:pPr>
              <w:pStyle w:val="ListParagraph"/>
              <w:numPr>
                <w:ilvl w:val="0"/>
                <w:numId w:val="31"/>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discussion of multiple treatment options available, including;</w:t>
            </w:r>
          </w:p>
          <w:p w14:paraId="6A7A1A1C" w14:textId="77777777" w:rsidR="001969CC" w:rsidRPr="00BD2E78" w:rsidRDefault="001969CC" w:rsidP="00F30EE1">
            <w:pPr>
              <w:cnfStyle w:val="000000000000" w:firstRow="0" w:lastRow="0" w:firstColumn="0" w:lastColumn="0" w:oddVBand="0" w:evenVBand="0" w:oddHBand="0" w:evenHBand="0" w:firstRowFirstColumn="0" w:firstRowLastColumn="0" w:lastRowFirstColumn="0" w:lastRowLastColumn="0"/>
              <w:rPr>
                <w:sz w:val="20"/>
                <w:szCs w:val="20"/>
              </w:rPr>
            </w:pPr>
            <w:r w:rsidRPr="00BD2E78">
              <w:rPr>
                <w:sz w:val="20"/>
                <w:szCs w:val="20"/>
              </w:rPr>
              <w:t>i. Discussion of treatment options to assess pros and cons of each option given patient characteristics and medical history</w:t>
            </w:r>
          </w:p>
          <w:p w14:paraId="69489310" w14:textId="77777777" w:rsidR="001969CC" w:rsidRPr="00BD2E78" w:rsidRDefault="001969CC" w:rsidP="00F30EE1">
            <w:pPr>
              <w:cnfStyle w:val="000000000000" w:firstRow="0" w:lastRow="0" w:firstColumn="0" w:lastColumn="0" w:oddVBand="0" w:evenVBand="0" w:oddHBand="0" w:evenHBand="0" w:firstRowFirstColumn="0" w:firstRowLastColumn="0" w:lastRowFirstColumn="0" w:lastRowLastColumn="0"/>
              <w:rPr>
                <w:sz w:val="20"/>
                <w:szCs w:val="20"/>
              </w:rPr>
            </w:pPr>
            <w:r w:rsidRPr="00BD2E78">
              <w:rPr>
                <w:sz w:val="20"/>
                <w:szCs w:val="20"/>
              </w:rPr>
              <w:t>ii. Consideration and discussion of necessary referrals to other health professionals</w:t>
            </w:r>
          </w:p>
          <w:p w14:paraId="203EC66C" w14:textId="77777777" w:rsidR="00ED4E4E" w:rsidRPr="00BD2E78" w:rsidRDefault="001969CC" w:rsidP="00F30EE1">
            <w:pPr>
              <w:cnfStyle w:val="000000000000" w:firstRow="0" w:lastRow="0" w:firstColumn="0" w:lastColumn="0" w:oddVBand="0" w:evenVBand="0" w:oddHBand="0" w:evenHBand="0" w:firstRowFirstColumn="0" w:firstRowLastColumn="0" w:lastRowFirstColumn="0" w:lastRowLastColumn="0"/>
              <w:rPr>
                <w:sz w:val="20"/>
                <w:szCs w:val="20"/>
              </w:rPr>
            </w:pPr>
            <w:r w:rsidRPr="00BD2E78">
              <w:rPr>
                <w:sz w:val="20"/>
                <w:szCs w:val="20"/>
              </w:rPr>
              <w:t>iii. Written documentation made available for the patient and/or carer that outlines treatment options and information on associated risks and benefits</w:t>
            </w:r>
          </w:p>
          <w:p w14:paraId="234EEF82" w14:textId="47CE7D60" w:rsidR="001969CC" w:rsidRPr="00BD2E78" w:rsidRDefault="00ED4E4E" w:rsidP="00F30EE1">
            <w:pPr>
              <w:cnfStyle w:val="000000000000" w:firstRow="0" w:lastRow="0" w:firstColumn="0" w:lastColumn="0" w:oddVBand="0" w:evenVBand="0" w:oddHBand="0" w:evenHBand="0" w:firstRowFirstColumn="0" w:firstRowLastColumn="0" w:lastRowFirstColumn="0" w:lastRowLastColumn="0"/>
              <w:rPr>
                <w:sz w:val="20"/>
                <w:szCs w:val="20"/>
              </w:rPr>
            </w:pPr>
            <w:r w:rsidRPr="00BD2E78">
              <w:rPr>
                <w:sz w:val="20"/>
                <w:szCs w:val="20"/>
              </w:rPr>
              <w:t>O</w:t>
            </w:r>
            <w:r w:rsidR="001969CC" w:rsidRPr="00BD2E78">
              <w:rPr>
                <w:sz w:val="20"/>
                <w:szCs w:val="20"/>
              </w:rPr>
              <w:t>utcomes documented and communicated in writing</w:t>
            </w:r>
            <w:r w:rsidR="000E0DE2">
              <w:rPr>
                <w:sz w:val="20"/>
                <w:szCs w:val="20"/>
              </w:rPr>
              <w:t xml:space="preserve"> to the referring practitioner</w:t>
            </w:r>
          </w:p>
        </w:tc>
      </w:tr>
      <w:tr w:rsidR="00ED4E4E" w:rsidRPr="00C33C0B" w14:paraId="4704E16F" w14:textId="77777777" w:rsidTr="008A5CDC">
        <w:tc>
          <w:tcPr>
            <w:cnfStyle w:val="001000000000" w:firstRow="0" w:lastRow="0" w:firstColumn="1" w:lastColumn="0" w:oddVBand="0" w:evenVBand="0" w:oddHBand="0" w:evenHBand="0" w:firstRowFirstColumn="0" w:firstRowLastColumn="0" w:lastRowFirstColumn="0" w:lastRowLastColumn="0"/>
            <w:tcW w:w="0" w:type="auto"/>
          </w:tcPr>
          <w:p w14:paraId="0FA2CAD7" w14:textId="77777777" w:rsidR="00ED4E4E" w:rsidRPr="0006272C" w:rsidRDefault="0006272C" w:rsidP="00BD2E78">
            <w:pPr>
              <w:pStyle w:val="Tabletext"/>
              <w:rPr>
                <w:lang w:val="en-GB"/>
              </w:rPr>
            </w:pPr>
            <w:r>
              <w:rPr>
                <w:lang w:val="en-GB"/>
              </w:rPr>
              <w:t>Level E (THE)</w:t>
            </w:r>
          </w:p>
        </w:tc>
        <w:tc>
          <w:tcPr>
            <w:tcW w:w="0" w:type="auto"/>
          </w:tcPr>
          <w:p w14:paraId="734C427D" w14:textId="77777777" w:rsidR="00ED4E4E" w:rsidRDefault="0006272C" w:rsidP="00BD2E78">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More than 60 minutes</w:t>
            </w:r>
          </w:p>
        </w:tc>
        <w:tc>
          <w:tcPr>
            <w:tcW w:w="0" w:type="auto"/>
          </w:tcPr>
          <w:p w14:paraId="4F9FB1F1" w14:textId="064D7EB9" w:rsidR="00ED4E4E" w:rsidRDefault="00ED4E4E" w:rsidP="00BD2E78">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Professional attendance of </w:t>
            </w:r>
            <w:r>
              <w:rPr>
                <w:lang w:val="en-GB"/>
              </w:rPr>
              <w:t xml:space="preserve">more than 60 </w:t>
            </w:r>
            <w:r w:rsidRPr="00C33C0B">
              <w:rPr>
                <w:lang w:val="en-GB"/>
              </w:rPr>
              <w:t xml:space="preserve">minutes by a </w:t>
            </w:r>
            <w:r>
              <w:rPr>
                <w:lang w:val="en-GB"/>
              </w:rPr>
              <w:t>consultant specialist</w:t>
            </w:r>
            <w:r w:rsidRPr="00C33C0B">
              <w:rPr>
                <w:lang w:val="en-GB"/>
              </w:rPr>
              <w:t xml:space="preserve"> in the practice of his or her speciality </w:t>
            </w:r>
            <w:r w:rsidR="000E0DE2">
              <w:rPr>
                <w:lang w:val="en-GB"/>
              </w:rPr>
              <w:t>if:</w:t>
            </w:r>
          </w:p>
          <w:p w14:paraId="3C7A4032" w14:textId="1F9C9AE0" w:rsidR="00ED4E4E" w:rsidRPr="00BD2E78" w:rsidRDefault="00ED4E4E" w:rsidP="006D43A0">
            <w:pPr>
              <w:pStyle w:val="ListParagraph"/>
              <w:numPr>
                <w:ilvl w:val="0"/>
                <w:numId w:val="127"/>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the attendance is </w:t>
            </w:r>
            <w:r w:rsidR="000E0DE2">
              <w:rPr>
                <w:sz w:val="20"/>
                <w:szCs w:val="20"/>
                <w:lang w:val="en-GB"/>
              </w:rPr>
              <w:t>by video conference; and</w:t>
            </w:r>
          </w:p>
          <w:p w14:paraId="38FD893E" w14:textId="70FAD6F3" w:rsidR="00ED4E4E" w:rsidRPr="00BD2E78" w:rsidRDefault="00ED4E4E" w:rsidP="006D43A0">
            <w:pPr>
              <w:pStyle w:val="ListParagraph"/>
              <w:numPr>
                <w:ilvl w:val="0"/>
                <w:numId w:val="127"/>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the patient </w:t>
            </w:r>
            <w:r w:rsidR="000E0DE2">
              <w:rPr>
                <w:sz w:val="20"/>
                <w:szCs w:val="20"/>
                <w:lang w:val="en-GB"/>
              </w:rPr>
              <w:t>is not an admitted patient; and</w:t>
            </w:r>
          </w:p>
          <w:p w14:paraId="7186E982" w14:textId="347D2062" w:rsidR="00ED4E4E" w:rsidRPr="00BD2E78" w:rsidRDefault="000E0DE2" w:rsidP="006D43A0">
            <w:pPr>
              <w:pStyle w:val="ListParagraph"/>
              <w:numPr>
                <w:ilvl w:val="0"/>
                <w:numId w:val="127"/>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the patient:</w:t>
            </w:r>
          </w:p>
          <w:p w14:paraId="5FB92632" w14:textId="723A1283" w:rsidR="00ED4E4E" w:rsidRPr="00BD2E78" w:rsidRDefault="00ED4E4E" w:rsidP="006D43A0">
            <w:pPr>
              <w:pStyle w:val="ListParagraph"/>
              <w:numPr>
                <w:ilvl w:val="0"/>
                <w:numId w:val="125"/>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is located both: (a) within a telehealth eligible area; and (b) at the time of the attendance--at least 15 km by road from </w:t>
            </w:r>
            <w:r w:rsidR="00295886" w:rsidRPr="00BD2E78">
              <w:rPr>
                <w:sz w:val="20"/>
                <w:szCs w:val="20"/>
                <w:lang w:val="en-GB"/>
              </w:rPr>
              <w:t xml:space="preserve">consultant </w:t>
            </w:r>
            <w:r w:rsidR="000E0DE2">
              <w:rPr>
                <w:sz w:val="20"/>
                <w:szCs w:val="20"/>
                <w:lang w:val="en-GB"/>
              </w:rPr>
              <w:t>specialist; or</w:t>
            </w:r>
          </w:p>
          <w:p w14:paraId="5CFB43AC" w14:textId="370BC964" w:rsidR="00ED4E4E" w:rsidRPr="00BD2E78" w:rsidRDefault="00ED4E4E" w:rsidP="006D43A0">
            <w:pPr>
              <w:pStyle w:val="ListParagraph"/>
              <w:numPr>
                <w:ilvl w:val="0"/>
                <w:numId w:val="125"/>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is a care recipient in</w:t>
            </w:r>
            <w:r w:rsidR="000E0DE2">
              <w:rPr>
                <w:sz w:val="20"/>
                <w:szCs w:val="20"/>
                <w:lang w:val="en-GB"/>
              </w:rPr>
              <w:t xml:space="preserve"> a residential care service; or</w:t>
            </w:r>
          </w:p>
          <w:p w14:paraId="36BEED5D" w14:textId="7649FE1D" w:rsidR="00ED4E4E" w:rsidRPr="00BD2E78" w:rsidRDefault="00ED4E4E" w:rsidP="00ED4E4E">
            <w:pPr>
              <w:pStyle w:val="ListParagraph"/>
              <w:numPr>
                <w:ilvl w:val="0"/>
                <w:numId w:val="125"/>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 xml:space="preserve">is a patient of: (a) an </w:t>
            </w:r>
            <w:r w:rsidR="00A539CE" w:rsidRPr="00BD2E78">
              <w:rPr>
                <w:sz w:val="20"/>
                <w:szCs w:val="20"/>
                <w:lang w:val="en-GB"/>
              </w:rPr>
              <w:t>A</w:t>
            </w:r>
            <w:r w:rsidRPr="00BD2E78">
              <w:rPr>
                <w:sz w:val="20"/>
                <w:szCs w:val="20"/>
                <w:lang w:val="en-GB"/>
              </w:rPr>
              <w:t xml:space="preserve">boriginal </w:t>
            </w:r>
            <w:r w:rsidR="00A539CE" w:rsidRPr="00BD2E78">
              <w:rPr>
                <w:sz w:val="20"/>
                <w:szCs w:val="20"/>
                <w:lang w:val="en-GB"/>
              </w:rPr>
              <w:t>M</w:t>
            </w:r>
            <w:r w:rsidRPr="00BD2E78">
              <w:rPr>
                <w:sz w:val="20"/>
                <w:szCs w:val="20"/>
                <w:lang w:val="en-GB"/>
              </w:rPr>
              <w:t xml:space="preserve">edical </w:t>
            </w:r>
            <w:r w:rsidR="00A539CE" w:rsidRPr="00BD2E78">
              <w:rPr>
                <w:sz w:val="20"/>
                <w:szCs w:val="20"/>
                <w:lang w:val="en-GB"/>
              </w:rPr>
              <w:t>S</w:t>
            </w:r>
            <w:r w:rsidRPr="00BD2E78">
              <w:rPr>
                <w:sz w:val="20"/>
                <w:szCs w:val="20"/>
                <w:lang w:val="en-GB"/>
              </w:rPr>
              <w:t>ervice; or (b) an aboriginal community controlled health service; for which a direction made under subsection 19(2) of the act applies.</w:t>
            </w:r>
          </w:p>
          <w:p w14:paraId="55A4D1EA" w14:textId="77777777" w:rsidR="00ED4E4E" w:rsidRPr="00BD2E78" w:rsidRDefault="00ED4E4E" w:rsidP="00ED4E4E">
            <w:p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An attendance including any of the following that are clinically relevant:</w:t>
            </w:r>
          </w:p>
          <w:p w14:paraId="2F15E2A3" w14:textId="5C2B235D" w:rsidR="00ED4E4E" w:rsidRPr="00BD2E78" w:rsidRDefault="00ED4E4E" w:rsidP="000831A1">
            <w:pPr>
              <w:pStyle w:val="ListParagraph"/>
              <w:numPr>
                <w:ilvl w:val="0"/>
                <w:numId w:val="3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extensive history</w:t>
            </w:r>
            <w:r w:rsidR="000E0DE2">
              <w:rPr>
                <w:sz w:val="20"/>
                <w:szCs w:val="20"/>
                <w:lang w:val="en-GB"/>
              </w:rPr>
              <w:t xml:space="preserve"> of multiple complex conditions</w:t>
            </w:r>
          </w:p>
          <w:p w14:paraId="75A45EE1" w14:textId="77777777" w:rsidR="00ED4E4E" w:rsidRPr="00BD2E78" w:rsidRDefault="00ED4E4E" w:rsidP="000831A1">
            <w:pPr>
              <w:pStyle w:val="ListParagraph"/>
              <w:numPr>
                <w:ilvl w:val="0"/>
                <w:numId w:val="3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multiple complex diagnoses considered</w:t>
            </w:r>
          </w:p>
          <w:p w14:paraId="3DD8CB82" w14:textId="77777777" w:rsidR="00ED4E4E" w:rsidRPr="00BD2E78" w:rsidRDefault="00ED4E4E" w:rsidP="000831A1">
            <w:pPr>
              <w:pStyle w:val="ListParagraph"/>
              <w:numPr>
                <w:ilvl w:val="0"/>
                <w:numId w:val="3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a comprehensive management plan and, if required;</w:t>
            </w:r>
          </w:p>
          <w:p w14:paraId="4104181D" w14:textId="77777777" w:rsidR="00ED4E4E" w:rsidRPr="00BD2E78" w:rsidRDefault="00ED4E4E" w:rsidP="000831A1">
            <w:pPr>
              <w:pStyle w:val="ListParagraph"/>
              <w:numPr>
                <w:ilvl w:val="0"/>
                <w:numId w:val="3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BD2E78">
              <w:rPr>
                <w:sz w:val="20"/>
                <w:szCs w:val="20"/>
                <w:lang w:val="en-GB"/>
              </w:rPr>
              <w:t>discussion of multiple treatment options available, including;</w:t>
            </w:r>
          </w:p>
          <w:p w14:paraId="551DDADD" w14:textId="77777777" w:rsidR="00ED4E4E" w:rsidRPr="00BD2E78" w:rsidRDefault="00ED4E4E" w:rsidP="00F30EE1">
            <w:pPr>
              <w:cnfStyle w:val="000000000000" w:firstRow="0" w:lastRow="0" w:firstColumn="0" w:lastColumn="0" w:oddVBand="0" w:evenVBand="0" w:oddHBand="0" w:evenHBand="0" w:firstRowFirstColumn="0" w:firstRowLastColumn="0" w:lastRowFirstColumn="0" w:lastRowLastColumn="0"/>
              <w:rPr>
                <w:sz w:val="20"/>
                <w:szCs w:val="20"/>
              </w:rPr>
            </w:pPr>
            <w:r w:rsidRPr="00BD2E78">
              <w:rPr>
                <w:sz w:val="20"/>
                <w:szCs w:val="20"/>
              </w:rPr>
              <w:t>i. Discussion of treatment options to assess pros and cons of each option given patient characteristics and medical history</w:t>
            </w:r>
          </w:p>
          <w:p w14:paraId="75623150" w14:textId="77777777" w:rsidR="00ED4E4E" w:rsidRPr="00BD2E78" w:rsidRDefault="00ED4E4E" w:rsidP="00F30EE1">
            <w:pPr>
              <w:cnfStyle w:val="000000000000" w:firstRow="0" w:lastRow="0" w:firstColumn="0" w:lastColumn="0" w:oddVBand="0" w:evenVBand="0" w:oddHBand="0" w:evenHBand="0" w:firstRowFirstColumn="0" w:firstRowLastColumn="0" w:lastRowFirstColumn="0" w:lastRowLastColumn="0"/>
              <w:rPr>
                <w:sz w:val="20"/>
                <w:szCs w:val="20"/>
              </w:rPr>
            </w:pPr>
            <w:r w:rsidRPr="00BD2E78">
              <w:rPr>
                <w:sz w:val="20"/>
                <w:szCs w:val="20"/>
              </w:rPr>
              <w:t>ii. Consideration and discussion of necessary referrals to other health professionals</w:t>
            </w:r>
          </w:p>
          <w:p w14:paraId="530AD2E1" w14:textId="77777777" w:rsidR="00ED4E4E" w:rsidRPr="00BD2E78" w:rsidRDefault="00ED4E4E" w:rsidP="00F30EE1">
            <w:pPr>
              <w:cnfStyle w:val="000000000000" w:firstRow="0" w:lastRow="0" w:firstColumn="0" w:lastColumn="0" w:oddVBand="0" w:evenVBand="0" w:oddHBand="0" w:evenHBand="0" w:firstRowFirstColumn="0" w:firstRowLastColumn="0" w:lastRowFirstColumn="0" w:lastRowLastColumn="0"/>
              <w:rPr>
                <w:sz w:val="20"/>
                <w:szCs w:val="20"/>
              </w:rPr>
            </w:pPr>
            <w:r w:rsidRPr="00BD2E78">
              <w:rPr>
                <w:sz w:val="20"/>
                <w:szCs w:val="20"/>
              </w:rPr>
              <w:t>iii. Written documentation made available for the patient and/or carer that outlines treatment options and information on associated risks and benefits</w:t>
            </w:r>
          </w:p>
          <w:p w14:paraId="6148F5A7" w14:textId="7E4269BF" w:rsidR="00ED4E4E" w:rsidRPr="0006272C" w:rsidRDefault="00ED4E4E" w:rsidP="000831A1">
            <w:pPr>
              <w:pStyle w:val="ListParagraph"/>
              <w:numPr>
                <w:ilvl w:val="0"/>
                <w:numId w:val="3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BD2E78">
              <w:rPr>
                <w:sz w:val="20"/>
                <w:szCs w:val="20"/>
                <w:lang w:val="en-GB"/>
              </w:rPr>
              <w:t>Outcomes documented and communicated in writing to the referring practitioner</w:t>
            </w:r>
          </w:p>
        </w:tc>
      </w:tr>
    </w:tbl>
    <w:p w14:paraId="6375AA21" w14:textId="77777777" w:rsidR="00D8608B" w:rsidRPr="008A5CDC" w:rsidRDefault="00D8608B" w:rsidP="008A5CDC">
      <w:pPr>
        <w:rPr>
          <w:rFonts w:eastAsiaTheme="minorHAnsi"/>
        </w:rPr>
      </w:pPr>
      <w:bookmarkStart w:id="167" w:name="_Toc67952232"/>
      <w:bookmarkStart w:id="168" w:name="_Toc521442207"/>
      <w:bookmarkEnd w:id="165"/>
      <w:r>
        <w:br w:type="page"/>
      </w:r>
    </w:p>
    <w:p w14:paraId="63245F61" w14:textId="6A809F8C" w:rsidR="00B05B38" w:rsidRDefault="00540CE4" w:rsidP="00B05B38">
      <w:pPr>
        <w:pStyle w:val="Heading2"/>
      </w:pPr>
      <w:r>
        <w:t xml:space="preserve">Recommendation </w:t>
      </w:r>
      <w:r w:rsidR="00301462">
        <w:t>10</w:t>
      </w:r>
      <w:r w:rsidR="00940D6E">
        <w:t xml:space="preserve"> – Reinvest in telehealth</w:t>
      </w:r>
      <w:bookmarkEnd w:id="167"/>
    </w:p>
    <w:p w14:paraId="75501573" w14:textId="77777777" w:rsidR="00AB1CF1" w:rsidRPr="00BD2E78" w:rsidRDefault="00AB1CF1" w:rsidP="00AB1CF1">
      <w:pPr>
        <w:pStyle w:val="BoxNormal"/>
        <w:rPr>
          <w:b/>
          <w:lang w:val="en-US" w:eastAsia="en-US"/>
        </w:rPr>
      </w:pPr>
      <w:r w:rsidRPr="00BD2E78">
        <w:rPr>
          <w:b/>
          <w:lang w:val="en-US" w:eastAsia="en-US"/>
        </w:rPr>
        <w:t>Taskforce Note</w:t>
      </w:r>
    </w:p>
    <w:p w14:paraId="671E42F5" w14:textId="77777777" w:rsidR="00AB1CF1" w:rsidRDefault="00AB1CF1" w:rsidP="00AB1CF1">
      <w:pPr>
        <w:pStyle w:val="BoxNormal"/>
        <w:rPr>
          <w:lang w:val="en-US" w:eastAsia="en-US"/>
        </w:rPr>
      </w:pPr>
      <w:r w:rsidRPr="00AB1CF1">
        <w:rPr>
          <w:lang w:val="en-US" w:eastAsia="en-US"/>
        </w:rPr>
        <w:t>The Taskforce referred the SCPCCC’s telehealth recommendations to its Telehealth Working Group, which considered the remaining telehealth recommendations from across the MBS Review and developed guiding principles and recommendations to underpin future use and reform of telehealth. These are set out in the Taskforce’s Telehealth Report.</w:t>
      </w:r>
      <w:bookmarkStart w:id="169" w:name="_Hlk529026941"/>
    </w:p>
    <w:p w14:paraId="7C4CE2EF" w14:textId="5AE6E64F" w:rsidR="00540CE4" w:rsidRPr="00AB1CF1" w:rsidRDefault="002E5E59" w:rsidP="00BD2E78">
      <w:pPr>
        <w:rPr>
          <w:lang w:val="en-US" w:eastAsia="en-US"/>
        </w:rPr>
      </w:pPr>
      <w:r>
        <w:t>The Committee recommends</w:t>
      </w:r>
      <w:r w:rsidR="00E3287D">
        <w:t xml:space="preserve"> </w:t>
      </w:r>
      <w:r w:rsidR="00C83FB4">
        <w:t>r</w:t>
      </w:r>
      <w:r w:rsidR="003702F8">
        <w:t>einvest</w:t>
      </w:r>
      <w:r w:rsidR="00C83FB4">
        <w:t>ing</w:t>
      </w:r>
      <w:r w:rsidR="00540CE4" w:rsidRPr="00C33C0B">
        <w:t xml:space="preserve"> </w:t>
      </w:r>
      <w:r w:rsidR="003702F8">
        <w:t xml:space="preserve">all </w:t>
      </w:r>
      <w:r w:rsidR="00540CE4" w:rsidRPr="00C33C0B">
        <w:t xml:space="preserve">savings from </w:t>
      </w:r>
      <w:r w:rsidR="003702F8">
        <w:t xml:space="preserve">removing the telehealth loading </w:t>
      </w:r>
      <w:r w:rsidR="00540CE4">
        <w:t>towards</w:t>
      </w:r>
      <w:r w:rsidR="00540CE4" w:rsidRPr="00C33C0B">
        <w:t xml:space="preserve"> mechanisms </w:t>
      </w:r>
      <w:r w:rsidR="00540CE4">
        <w:t xml:space="preserve">designed </w:t>
      </w:r>
      <w:r w:rsidR="00301462">
        <w:t xml:space="preserve">to </w:t>
      </w:r>
      <w:r w:rsidR="0073798D">
        <w:t>increase uptake of telehealth services in Australia</w:t>
      </w:r>
      <w:r w:rsidR="00301462">
        <w:t>. Both MBS and non</w:t>
      </w:r>
      <w:r w:rsidR="00301462">
        <w:noBreakHyphen/>
        <w:t>MBS mechanisms should be considered, and options could include</w:t>
      </w:r>
      <w:r w:rsidR="0073798D">
        <w:t xml:space="preserve"> the following:</w:t>
      </w:r>
      <w:r w:rsidR="00540CE4" w:rsidRPr="00C33C0B">
        <w:t xml:space="preserve"> </w:t>
      </w:r>
    </w:p>
    <w:p w14:paraId="2CAAE077" w14:textId="77777777" w:rsidR="00540CE4" w:rsidRPr="00C33C0B" w:rsidRDefault="006D683C" w:rsidP="000831A1">
      <w:pPr>
        <w:pStyle w:val="Bullet2"/>
        <w:numPr>
          <w:ilvl w:val="0"/>
          <w:numId w:val="62"/>
        </w:numPr>
      </w:pPr>
      <w:r>
        <w:t>i</w:t>
      </w:r>
      <w:r w:rsidR="00540CE4" w:rsidRPr="00C33C0B">
        <w:t xml:space="preserve">ncrease </w:t>
      </w:r>
      <w:r w:rsidR="004F73FD">
        <w:t>utilisation of</w:t>
      </w:r>
      <w:r w:rsidR="00540CE4" w:rsidRPr="00C33C0B">
        <w:t xml:space="preserve"> telehealth services </w:t>
      </w:r>
      <w:r w:rsidR="00540CE4">
        <w:t>among</w:t>
      </w:r>
      <w:r w:rsidR="00540CE4" w:rsidRPr="00C33C0B">
        <w:t xml:space="preserve"> consumers, </w:t>
      </w:r>
      <w:r w:rsidR="00540CE4">
        <w:t>GPs</w:t>
      </w:r>
      <w:r w:rsidR="00540CE4" w:rsidRPr="00C33C0B">
        <w:t xml:space="preserve"> and PHNs</w:t>
      </w:r>
      <w:r w:rsidR="00540CE4" w:rsidRPr="005021F3">
        <w:t>,</w:t>
      </w:r>
      <w:r w:rsidR="00540CE4" w:rsidRPr="00C33C0B">
        <w:t xml:space="preserve"> by:</w:t>
      </w:r>
    </w:p>
    <w:p w14:paraId="3271EF9A" w14:textId="22A26FC4" w:rsidR="00540CE4" w:rsidRPr="00C33C0B" w:rsidRDefault="006D683C" w:rsidP="000831A1">
      <w:pPr>
        <w:pStyle w:val="BulletStyle3"/>
        <w:numPr>
          <w:ilvl w:val="0"/>
          <w:numId w:val="82"/>
        </w:numPr>
        <w:rPr>
          <w:lang w:val="en-GB"/>
        </w:rPr>
      </w:pPr>
      <w:bookmarkStart w:id="170" w:name="_Hlk523338799"/>
      <w:bookmarkStart w:id="171" w:name="_Hlk523339532"/>
      <w:r>
        <w:rPr>
          <w:lang w:val="en-GB"/>
        </w:rPr>
        <w:t>d</w:t>
      </w:r>
      <w:r w:rsidR="00540CE4" w:rsidRPr="00C33C0B">
        <w:rPr>
          <w:lang w:val="en-GB"/>
        </w:rPr>
        <w:t xml:space="preserve">eveloping and sharing the value proposition of telehealth </w:t>
      </w:r>
      <w:r w:rsidR="00540CE4">
        <w:rPr>
          <w:lang w:val="en-GB"/>
        </w:rPr>
        <w:t>with</w:t>
      </w:r>
      <w:r w:rsidR="00540CE4" w:rsidRPr="00C33C0B">
        <w:rPr>
          <w:lang w:val="en-GB"/>
        </w:rPr>
        <w:t xml:space="preserve"> consumers, including the potential s</w:t>
      </w:r>
      <w:r>
        <w:rPr>
          <w:lang w:val="en-GB"/>
        </w:rPr>
        <w:t>avings in time</w:t>
      </w:r>
      <w:r w:rsidR="00700FA2">
        <w:rPr>
          <w:lang w:val="en-GB"/>
        </w:rPr>
        <w:t>,</w:t>
      </w:r>
      <w:r w:rsidR="005A58D1">
        <w:rPr>
          <w:lang w:val="en-GB"/>
        </w:rPr>
        <w:t xml:space="preserve"> </w:t>
      </w:r>
      <w:r>
        <w:rPr>
          <w:lang w:val="en-GB"/>
        </w:rPr>
        <w:t xml:space="preserve">travel </w:t>
      </w:r>
      <w:r w:rsidR="00700FA2">
        <w:rPr>
          <w:lang w:val="en-GB"/>
        </w:rPr>
        <w:t xml:space="preserve">and other </w:t>
      </w:r>
      <w:r>
        <w:rPr>
          <w:lang w:val="en-GB"/>
        </w:rPr>
        <w:t>costs;</w:t>
      </w:r>
    </w:p>
    <w:p w14:paraId="5801AD87" w14:textId="77777777" w:rsidR="00540CE4" w:rsidRPr="00C33C0B" w:rsidRDefault="006D683C" w:rsidP="000831A1">
      <w:pPr>
        <w:pStyle w:val="BulletStyle3"/>
        <w:numPr>
          <w:ilvl w:val="0"/>
          <w:numId w:val="82"/>
        </w:numPr>
        <w:rPr>
          <w:lang w:val="en-GB"/>
        </w:rPr>
      </w:pPr>
      <w:r>
        <w:rPr>
          <w:lang w:val="en-GB"/>
        </w:rPr>
        <w:t>f</w:t>
      </w:r>
      <w:r w:rsidR="00540CE4" w:rsidRPr="00C33C0B">
        <w:rPr>
          <w:lang w:val="en-GB"/>
        </w:rPr>
        <w:t>unding PHNs and consumer representatives (community champions) to carry out telehealth education and awareness building in targeted communities (</w:t>
      </w:r>
      <w:r w:rsidR="00540CE4">
        <w:rPr>
          <w:lang w:val="en-GB"/>
        </w:rPr>
        <w:t>for example,</w:t>
      </w:r>
      <w:r w:rsidR="00540CE4" w:rsidRPr="00C33C0B">
        <w:rPr>
          <w:lang w:val="en-GB"/>
        </w:rPr>
        <w:t xml:space="preserve"> where </w:t>
      </w:r>
      <w:r>
        <w:rPr>
          <w:lang w:val="en-GB"/>
        </w:rPr>
        <w:t>GPs already provide telehealth);</w:t>
      </w:r>
    </w:p>
    <w:p w14:paraId="536AF1ED" w14:textId="77777777" w:rsidR="00540CE4" w:rsidRPr="00C33C0B" w:rsidRDefault="006D683C" w:rsidP="000831A1">
      <w:pPr>
        <w:pStyle w:val="BulletStyle3"/>
        <w:numPr>
          <w:ilvl w:val="0"/>
          <w:numId w:val="82"/>
        </w:numPr>
        <w:rPr>
          <w:lang w:val="en-GB"/>
        </w:rPr>
      </w:pPr>
      <w:r>
        <w:rPr>
          <w:lang w:val="en-GB"/>
        </w:rPr>
        <w:t>e</w:t>
      </w:r>
      <w:r w:rsidR="00540CE4" w:rsidRPr="00C33C0B">
        <w:rPr>
          <w:lang w:val="en-GB"/>
        </w:rPr>
        <w:t xml:space="preserve">ducating GPs and PHNs to identify and promote telehealth </w:t>
      </w:r>
      <w:r w:rsidR="00700FA2">
        <w:rPr>
          <w:lang w:val="en-GB"/>
        </w:rPr>
        <w:t>with</w:t>
      </w:r>
      <w:r w:rsidR="00A539CE">
        <w:rPr>
          <w:lang w:val="en-GB"/>
        </w:rPr>
        <w:t xml:space="preserve"> </w:t>
      </w:r>
      <w:r w:rsidR="00540CE4" w:rsidRPr="00C33C0B">
        <w:rPr>
          <w:lang w:val="en-GB"/>
        </w:rPr>
        <w:t>patient population groups that would most benefit from telehealth attendances</w:t>
      </w:r>
      <w:r w:rsidR="00540CE4">
        <w:rPr>
          <w:lang w:val="en-GB"/>
        </w:rPr>
        <w:t>—both those</w:t>
      </w:r>
      <w:r w:rsidR="00540CE4" w:rsidRPr="00C33C0B">
        <w:rPr>
          <w:lang w:val="en-GB"/>
        </w:rPr>
        <w:t xml:space="preserve"> </w:t>
      </w:r>
      <w:r w:rsidR="00540CE4">
        <w:rPr>
          <w:lang w:val="en-GB"/>
        </w:rPr>
        <w:t xml:space="preserve">held directly with the </w:t>
      </w:r>
      <w:r w:rsidR="00700FA2">
        <w:rPr>
          <w:lang w:val="en-GB"/>
        </w:rPr>
        <w:t xml:space="preserve">consultant </w:t>
      </w:r>
      <w:r w:rsidR="00540CE4">
        <w:rPr>
          <w:lang w:val="en-GB"/>
        </w:rPr>
        <w:t xml:space="preserve">specialist (for example, follow-up care) and those supported by a health professional (for example, more complex cases or where </w:t>
      </w:r>
      <w:r w:rsidR="00700FA2">
        <w:rPr>
          <w:lang w:val="en-GB"/>
        </w:rPr>
        <w:t xml:space="preserve">further support with </w:t>
      </w:r>
      <w:r w:rsidR="00540CE4">
        <w:rPr>
          <w:lang w:val="en-GB"/>
        </w:rPr>
        <w:t>health literacy</w:t>
      </w:r>
      <w:r w:rsidR="00700FA2">
        <w:rPr>
          <w:lang w:val="en-GB"/>
        </w:rPr>
        <w:t xml:space="preserve"> is needed</w:t>
      </w:r>
      <w:r w:rsidR="00540CE4">
        <w:rPr>
          <w:lang w:val="en-GB"/>
        </w:rPr>
        <w:t>)</w:t>
      </w:r>
      <w:r>
        <w:rPr>
          <w:lang w:val="en-GB"/>
        </w:rPr>
        <w:t>;</w:t>
      </w:r>
    </w:p>
    <w:bookmarkEnd w:id="170"/>
    <w:p w14:paraId="48D001CA" w14:textId="77777777" w:rsidR="00540CE4" w:rsidRPr="00C33C0B" w:rsidRDefault="006D683C" w:rsidP="000831A1">
      <w:pPr>
        <w:pStyle w:val="BulletStyle3"/>
        <w:numPr>
          <w:ilvl w:val="0"/>
          <w:numId w:val="82"/>
        </w:numPr>
        <w:rPr>
          <w:lang w:val="en-GB"/>
        </w:rPr>
      </w:pPr>
      <w:r>
        <w:rPr>
          <w:lang w:val="en-GB"/>
        </w:rPr>
        <w:t>i</w:t>
      </w:r>
      <w:r w:rsidR="00540CE4" w:rsidRPr="00C33C0B">
        <w:rPr>
          <w:lang w:val="en-GB"/>
        </w:rPr>
        <w:t>nvesting in education and training of primary care workers, including telehealth training days and the development of training material (</w:t>
      </w:r>
      <w:r w:rsidR="00540CE4">
        <w:rPr>
          <w:lang w:val="en-GB"/>
        </w:rPr>
        <w:t>for example</w:t>
      </w:r>
      <w:r w:rsidR="00540CE4" w:rsidRPr="00C33C0B">
        <w:rPr>
          <w:lang w:val="en-GB"/>
        </w:rPr>
        <w:t>, online modules)</w:t>
      </w:r>
      <w:r>
        <w:rPr>
          <w:lang w:val="en-GB"/>
        </w:rPr>
        <w:t>;</w:t>
      </w:r>
      <w:r w:rsidR="00C83FB4">
        <w:rPr>
          <w:lang w:val="en-GB"/>
        </w:rPr>
        <w:t xml:space="preserve"> and</w:t>
      </w:r>
    </w:p>
    <w:p w14:paraId="6EE1836A" w14:textId="77777777" w:rsidR="00540CE4" w:rsidRPr="00C33C0B" w:rsidRDefault="006D683C" w:rsidP="000831A1">
      <w:pPr>
        <w:pStyle w:val="BulletStyle3"/>
        <w:numPr>
          <w:ilvl w:val="0"/>
          <w:numId w:val="82"/>
        </w:numPr>
        <w:rPr>
          <w:lang w:val="en-GB"/>
        </w:rPr>
      </w:pPr>
      <w:r>
        <w:rPr>
          <w:lang w:val="en-GB"/>
        </w:rPr>
        <w:t>p</w:t>
      </w:r>
      <w:r w:rsidR="00540CE4" w:rsidRPr="00C33C0B">
        <w:rPr>
          <w:lang w:val="en-GB"/>
        </w:rPr>
        <w:t xml:space="preserve">romoting the use of MBS items </w:t>
      </w:r>
      <w:r w:rsidR="004F73FD">
        <w:rPr>
          <w:lang w:val="en-GB"/>
        </w:rPr>
        <w:t xml:space="preserve">that already exist </w:t>
      </w:r>
      <w:r w:rsidR="00540CE4" w:rsidRPr="00C33C0B">
        <w:rPr>
          <w:lang w:val="en-GB"/>
        </w:rPr>
        <w:t xml:space="preserve">for primary care workers to provide clinical support to patients participating in </w:t>
      </w:r>
      <w:r w:rsidR="004F73FD">
        <w:rPr>
          <w:lang w:val="en-GB"/>
        </w:rPr>
        <w:t xml:space="preserve">consultant </w:t>
      </w:r>
      <w:r w:rsidR="00540CE4" w:rsidRPr="00C33C0B">
        <w:rPr>
          <w:lang w:val="en-GB"/>
        </w:rPr>
        <w:t>specialist telehealth attendances</w:t>
      </w:r>
      <w:r w:rsidR="00C83FB4">
        <w:rPr>
          <w:lang w:val="en-GB"/>
        </w:rPr>
        <w:t xml:space="preserve"> (</w:t>
      </w:r>
      <w:r w:rsidR="00C83FB4">
        <w:t>Category 8 of the MBS, Groups M12, M13, and M14).</w:t>
      </w:r>
    </w:p>
    <w:p w14:paraId="5C7B5BF6" w14:textId="77777777" w:rsidR="00540CE4" w:rsidRPr="00C33C0B" w:rsidRDefault="006D683C" w:rsidP="000831A1">
      <w:pPr>
        <w:pStyle w:val="Bullet2"/>
        <w:numPr>
          <w:ilvl w:val="0"/>
          <w:numId w:val="62"/>
        </w:numPr>
      </w:pPr>
      <w:r>
        <w:t>i</w:t>
      </w:r>
      <w:r w:rsidR="00540CE4" w:rsidRPr="00C33C0B">
        <w:t>ncreas</w:t>
      </w:r>
      <w:r w:rsidR="00C83FB4">
        <w:t>ing</w:t>
      </w:r>
      <w:r w:rsidR="00540CE4" w:rsidRPr="00C33C0B">
        <w:t xml:space="preserve"> </w:t>
      </w:r>
      <w:r w:rsidR="00540CE4">
        <w:t xml:space="preserve">the </w:t>
      </w:r>
      <w:r w:rsidR="00540CE4" w:rsidRPr="00C33C0B">
        <w:t xml:space="preserve">supply of telehealth services offered by </w:t>
      </w:r>
      <w:r w:rsidR="004F73FD">
        <w:t xml:space="preserve">consultant </w:t>
      </w:r>
      <w:r w:rsidR="00540CE4" w:rsidRPr="00C33C0B">
        <w:t>specialists, by:</w:t>
      </w:r>
    </w:p>
    <w:p w14:paraId="0383E049" w14:textId="77777777" w:rsidR="00540CE4" w:rsidRPr="00C33C0B" w:rsidRDefault="006D683C" w:rsidP="000831A1">
      <w:pPr>
        <w:pStyle w:val="BulletStyle3"/>
        <w:numPr>
          <w:ilvl w:val="0"/>
          <w:numId w:val="83"/>
        </w:numPr>
        <w:rPr>
          <w:lang w:val="en-GB"/>
        </w:rPr>
      </w:pPr>
      <w:r>
        <w:rPr>
          <w:lang w:val="en-GB"/>
        </w:rPr>
        <w:t>d</w:t>
      </w:r>
      <w:r w:rsidR="00540CE4" w:rsidRPr="00C33C0B">
        <w:rPr>
          <w:lang w:val="en-GB"/>
        </w:rPr>
        <w:t xml:space="preserve">eveloping the value proposition of telehealth </w:t>
      </w:r>
      <w:r w:rsidR="00540CE4">
        <w:rPr>
          <w:lang w:val="en-GB"/>
        </w:rPr>
        <w:t>for</w:t>
      </w:r>
      <w:r w:rsidR="00540CE4" w:rsidRPr="00C33C0B">
        <w:rPr>
          <w:lang w:val="en-GB"/>
        </w:rPr>
        <w:t xml:space="preserve"> providers and sharing this with provider population groups that are most likely to offer telehealth services</w:t>
      </w:r>
      <w:r>
        <w:rPr>
          <w:lang w:val="en-GB"/>
        </w:rPr>
        <w:t>;</w:t>
      </w:r>
    </w:p>
    <w:p w14:paraId="754003EB" w14:textId="77777777" w:rsidR="00540CE4" w:rsidRPr="00C33C0B" w:rsidRDefault="006D683C" w:rsidP="000831A1">
      <w:pPr>
        <w:pStyle w:val="BulletStyle3"/>
        <w:numPr>
          <w:ilvl w:val="0"/>
          <w:numId w:val="83"/>
        </w:numPr>
        <w:rPr>
          <w:lang w:val="en-GB"/>
        </w:rPr>
      </w:pPr>
      <w:r>
        <w:rPr>
          <w:lang w:val="en-GB"/>
        </w:rPr>
        <w:t>e</w:t>
      </w:r>
      <w:r w:rsidR="00540CE4" w:rsidRPr="00C33C0B">
        <w:rPr>
          <w:lang w:val="en-GB"/>
        </w:rPr>
        <w:t xml:space="preserve">ducating </w:t>
      </w:r>
      <w:r w:rsidR="004F73FD">
        <w:rPr>
          <w:lang w:val="en-GB"/>
        </w:rPr>
        <w:t xml:space="preserve">consultant </w:t>
      </w:r>
      <w:r w:rsidR="00540CE4" w:rsidRPr="00C33C0B">
        <w:rPr>
          <w:lang w:val="en-GB"/>
        </w:rPr>
        <w:t xml:space="preserve">specialists to identify and promote telehealth </w:t>
      </w:r>
      <w:r w:rsidR="00700FA2">
        <w:rPr>
          <w:lang w:val="en-GB"/>
        </w:rPr>
        <w:t>with</w:t>
      </w:r>
      <w:r w:rsidR="00A539CE">
        <w:rPr>
          <w:lang w:val="en-GB"/>
        </w:rPr>
        <w:t xml:space="preserve"> </w:t>
      </w:r>
      <w:r w:rsidR="00540CE4" w:rsidRPr="00C33C0B">
        <w:rPr>
          <w:lang w:val="en-GB"/>
        </w:rPr>
        <w:t>patient population groups that would most benefit from telehealth attendances</w:t>
      </w:r>
      <w:r>
        <w:rPr>
          <w:lang w:val="en-GB"/>
        </w:rPr>
        <w:t>;</w:t>
      </w:r>
    </w:p>
    <w:p w14:paraId="33E33F70" w14:textId="77777777" w:rsidR="00540CE4" w:rsidRPr="00C33C0B" w:rsidRDefault="006D683C" w:rsidP="000831A1">
      <w:pPr>
        <w:pStyle w:val="BulletStyle3"/>
        <w:numPr>
          <w:ilvl w:val="0"/>
          <w:numId w:val="83"/>
        </w:numPr>
        <w:rPr>
          <w:lang w:val="en-GB"/>
        </w:rPr>
      </w:pPr>
      <w:r>
        <w:rPr>
          <w:lang w:val="en-GB"/>
        </w:rPr>
        <w:t>d</w:t>
      </w:r>
      <w:r w:rsidR="00540CE4" w:rsidRPr="00C33C0B">
        <w:rPr>
          <w:lang w:val="en-GB"/>
        </w:rPr>
        <w:t>eveloping materials on how to set up and run telehealth services</w:t>
      </w:r>
      <w:r>
        <w:rPr>
          <w:lang w:val="en-GB"/>
        </w:rPr>
        <w:t>;</w:t>
      </w:r>
    </w:p>
    <w:p w14:paraId="30058946" w14:textId="77777777" w:rsidR="00540CE4" w:rsidRPr="00C33C0B" w:rsidRDefault="006D683C" w:rsidP="000831A1">
      <w:pPr>
        <w:pStyle w:val="BulletStyle3"/>
        <w:numPr>
          <w:ilvl w:val="0"/>
          <w:numId w:val="83"/>
        </w:numPr>
        <w:rPr>
          <w:lang w:val="en-GB"/>
        </w:rPr>
      </w:pPr>
      <w:r>
        <w:rPr>
          <w:lang w:val="en-GB"/>
        </w:rPr>
        <w:t>c</w:t>
      </w:r>
      <w:r w:rsidR="00540CE4" w:rsidRPr="00C33C0B">
        <w:rPr>
          <w:lang w:val="en-GB"/>
        </w:rPr>
        <w:t xml:space="preserve">oordinating with </w:t>
      </w:r>
      <w:bookmarkStart w:id="172" w:name="_Hlk524447313"/>
      <w:r w:rsidR="00540CE4">
        <w:rPr>
          <w:lang w:val="en-GB"/>
        </w:rPr>
        <w:t>C</w:t>
      </w:r>
      <w:r w:rsidR="00540CE4" w:rsidRPr="00C33C0B">
        <w:rPr>
          <w:lang w:val="en-GB"/>
        </w:rPr>
        <w:t>olleges to promote telehealth education and training</w:t>
      </w:r>
      <w:r w:rsidR="00DE22D2">
        <w:rPr>
          <w:lang w:val="en-GB"/>
        </w:rPr>
        <w:t>, including awarding CPD points for telehealth training</w:t>
      </w:r>
      <w:r>
        <w:rPr>
          <w:lang w:val="en-GB"/>
        </w:rPr>
        <w:t>;</w:t>
      </w:r>
    </w:p>
    <w:bookmarkEnd w:id="172"/>
    <w:p w14:paraId="5F70173F" w14:textId="77777777" w:rsidR="00540CE4" w:rsidRPr="00C33C0B" w:rsidRDefault="006D683C" w:rsidP="000831A1">
      <w:pPr>
        <w:pStyle w:val="BulletStyle3"/>
        <w:numPr>
          <w:ilvl w:val="0"/>
          <w:numId w:val="83"/>
        </w:numPr>
        <w:rPr>
          <w:lang w:val="en-GB"/>
        </w:rPr>
      </w:pPr>
      <w:r>
        <w:rPr>
          <w:lang w:val="en-GB"/>
        </w:rPr>
        <w:t>e</w:t>
      </w:r>
      <w:r w:rsidR="00540CE4" w:rsidRPr="00C33C0B">
        <w:rPr>
          <w:lang w:val="en-GB"/>
        </w:rPr>
        <w:t xml:space="preserve">ncouraging </w:t>
      </w:r>
      <w:r w:rsidR="00540CE4">
        <w:rPr>
          <w:lang w:val="en-GB"/>
        </w:rPr>
        <w:t>C</w:t>
      </w:r>
      <w:r w:rsidR="00540CE4" w:rsidRPr="00C33C0B">
        <w:rPr>
          <w:lang w:val="en-GB"/>
        </w:rPr>
        <w:t>olleges to</w:t>
      </w:r>
      <w:r w:rsidR="00540CE4">
        <w:rPr>
          <w:lang w:val="en-GB"/>
        </w:rPr>
        <w:t xml:space="preserve"> educate consultant </w:t>
      </w:r>
      <w:r w:rsidR="00540CE4" w:rsidRPr="00C33C0B">
        <w:rPr>
          <w:lang w:val="en-GB"/>
        </w:rPr>
        <w:t xml:space="preserve">specialists </w:t>
      </w:r>
      <w:r w:rsidR="00540CE4">
        <w:rPr>
          <w:lang w:val="en-GB"/>
        </w:rPr>
        <w:t xml:space="preserve">on the benefits of </w:t>
      </w:r>
      <w:r w:rsidR="00540CE4" w:rsidRPr="00C33C0B">
        <w:rPr>
          <w:lang w:val="en-GB"/>
        </w:rPr>
        <w:t>telehealth</w:t>
      </w:r>
      <w:r w:rsidR="00540CE4">
        <w:rPr>
          <w:lang w:val="en-GB"/>
        </w:rPr>
        <w:t>, how to set it up,</w:t>
      </w:r>
      <w:r w:rsidR="00540CE4" w:rsidRPr="00C33C0B">
        <w:rPr>
          <w:lang w:val="en-GB"/>
        </w:rPr>
        <w:t xml:space="preserve"> </w:t>
      </w:r>
      <w:r w:rsidR="00540CE4">
        <w:rPr>
          <w:lang w:val="en-GB"/>
        </w:rPr>
        <w:t>and when it should be used</w:t>
      </w:r>
      <w:r>
        <w:rPr>
          <w:lang w:val="en-GB"/>
        </w:rPr>
        <w:t>;</w:t>
      </w:r>
      <w:r w:rsidR="00C83FB4">
        <w:rPr>
          <w:lang w:val="en-GB"/>
        </w:rPr>
        <w:t xml:space="preserve"> and</w:t>
      </w:r>
    </w:p>
    <w:bookmarkEnd w:id="171"/>
    <w:p w14:paraId="6A38BD67" w14:textId="77777777" w:rsidR="00540CE4" w:rsidRPr="00540CE4" w:rsidRDefault="006D683C" w:rsidP="000831A1">
      <w:pPr>
        <w:pStyle w:val="BulletStyle3"/>
        <w:numPr>
          <w:ilvl w:val="0"/>
          <w:numId w:val="83"/>
        </w:numPr>
        <w:rPr>
          <w:lang w:val="en-GB"/>
        </w:rPr>
      </w:pPr>
      <w:r>
        <w:rPr>
          <w:lang w:val="en-GB"/>
        </w:rPr>
        <w:t>d</w:t>
      </w:r>
      <w:r w:rsidR="00540CE4" w:rsidRPr="00C33C0B">
        <w:rPr>
          <w:lang w:val="en-GB"/>
        </w:rPr>
        <w:t xml:space="preserve">eveloping guidelines and tools to determine and resolve </w:t>
      </w:r>
      <w:r w:rsidR="00700FA2">
        <w:rPr>
          <w:lang w:val="en-GB"/>
        </w:rPr>
        <w:t xml:space="preserve">any </w:t>
      </w:r>
      <w:r w:rsidR="00540CE4" w:rsidRPr="00C33C0B">
        <w:rPr>
          <w:lang w:val="en-GB"/>
        </w:rPr>
        <w:t>clinical governance issues</w:t>
      </w:r>
      <w:r w:rsidR="00700FA2">
        <w:rPr>
          <w:lang w:val="en-GB"/>
        </w:rPr>
        <w:t xml:space="preserve"> and concerns</w:t>
      </w:r>
      <w:r w:rsidR="00540CE4">
        <w:rPr>
          <w:lang w:val="en-GB"/>
        </w:rPr>
        <w:t>.</w:t>
      </w:r>
    </w:p>
    <w:p w14:paraId="1DC6F961" w14:textId="77777777" w:rsidR="003702F8" w:rsidRPr="00C33C0B" w:rsidRDefault="003702F8" w:rsidP="003C5D5A">
      <w:pPr>
        <w:pStyle w:val="Heading2"/>
      </w:pPr>
      <w:bookmarkStart w:id="173" w:name="_Toc67952233"/>
      <w:bookmarkStart w:id="174" w:name="_Toc521442208"/>
      <w:bookmarkEnd w:id="168"/>
      <w:bookmarkEnd w:id="169"/>
      <w:r w:rsidRPr="00C33C0B">
        <w:t>Rationale</w:t>
      </w:r>
      <w:r>
        <w:t xml:space="preserve"> </w:t>
      </w:r>
      <w:r w:rsidR="00301462">
        <w:t>9</w:t>
      </w:r>
      <w:r w:rsidR="0002517D">
        <w:t xml:space="preserve"> &amp;</w:t>
      </w:r>
      <w:r w:rsidR="00700FA2">
        <w:t xml:space="preserve"> </w:t>
      </w:r>
      <w:r w:rsidR="00301462">
        <w:t>10</w:t>
      </w:r>
      <w:bookmarkEnd w:id="173"/>
    </w:p>
    <w:p w14:paraId="7559B35C" w14:textId="77777777" w:rsidR="003702F8" w:rsidRPr="00F30EE1" w:rsidRDefault="003702F8" w:rsidP="00F30EE1">
      <w:r w:rsidRPr="00F30EE1">
        <w:t xml:space="preserve">This recommendation focuses on </w:t>
      </w:r>
      <w:r w:rsidR="00BB3755" w:rsidRPr="00F30EE1">
        <w:t>removing a</w:t>
      </w:r>
      <w:r w:rsidR="005D5697" w:rsidRPr="00F30EE1">
        <w:t>n</w:t>
      </w:r>
      <w:r w:rsidR="00BB3755" w:rsidRPr="00F30EE1">
        <w:t xml:space="preserve"> MBS</w:t>
      </w:r>
      <w:r w:rsidR="00131546" w:rsidRPr="00F30EE1">
        <w:t xml:space="preserve"> telehealth</w:t>
      </w:r>
      <w:r w:rsidR="00BB3755" w:rsidRPr="00F30EE1">
        <w:t xml:space="preserve"> loading that is no longer effective and reinvesting this </w:t>
      </w:r>
      <w:r w:rsidR="00C83FB4" w:rsidRPr="00F30EE1">
        <w:t xml:space="preserve">saving </w:t>
      </w:r>
      <w:r w:rsidR="00BB3755" w:rsidRPr="00F30EE1">
        <w:t>to increase uptake of</w:t>
      </w:r>
      <w:r w:rsidR="00700FA2" w:rsidRPr="00F30EE1">
        <w:t>, and targeted access to,</w:t>
      </w:r>
      <w:r w:rsidR="00BB3755" w:rsidRPr="00F30EE1">
        <w:t xml:space="preserve"> telehealth services. </w:t>
      </w:r>
      <w:r w:rsidRPr="00F30EE1">
        <w:t>It is based on the following</w:t>
      </w:r>
      <w:r w:rsidR="00700FA2" w:rsidRPr="00F30EE1">
        <w:t xml:space="preserve"> reasons</w:t>
      </w:r>
      <w:r w:rsidR="00CB271F" w:rsidRPr="00F30EE1">
        <w:t>:</w:t>
      </w:r>
    </w:p>
    <w:p w14:paraId="0D42C850" w14:textId="26BF4A34" w:rsidR="003702F8" w:rsidRPr="00607BDA" w:rsidRDefault="003702F8" w:rsidP="00607BDA">
      <w:pPr>
        <w:pStyle w:val="Bullet-green"/>
        <w:rPr>
          <w:lang w:val="en-GB"/>
        </w:rPr>
      </w:pPr>
      <w:r w:rsidRPr="008E4413">
        <w:rPr>
          <w:lang w:val="en-GB"/>
        </w:rPr>
        <w:t>Telehealth is already a cost-effective way of delivering care</w:t>
      </w:r>
      <w:r w:rsidR="008E4413" w:rsidRPr="008E4413">
        <w:rPr>
          <w:lang w:val="en-GB"/>
        </w:rPr>
        <w:t xml:space="preserve">. </w:t>
      </w:r>
      <w:r w:rsidRPr="00607BDA">
        <w:rPr>
          <w:lang w:val="en-GB"/>
        </w:rPr>
        <w:t>A number of systematic reviews have found that telehealth is a cost-effective way of delivering care</w:t>
      </w:r>
      <w:r w:rsidR="00B85D72">
        <w:rPr>
          <w:lang w:val="en-GB"/>
        </w:rPr>
        <w:t>, and follow</w:t>
      </w:r>
      <w:r w:rsidR="00B85D72">
        <w:rPr>
          <w:lang w:val="en-GB"/>
        </w:rPr>
        <w:noBreakHyphen/>
      </w:r>
      <w:r w:rsidRPr="00607BDA">
        <w:rPr>
          <w:lang w:val="en-GB"/>
        </w:rPr>
        <w:t>up via telehealth has been shown to have lower associated costs than in-person clinic assessment</w:t>
      </w:r>
      <w:sdt>
        <w:sdtPr>
          <w:rPr>
            <w:lang w:val="en-GB"/>
          </w:rPr>
          <w:id w:val="-980607585"/>
          <w:citation/>
        </w:sdtPr>
        <w:sdtContent>
          <w:r w:rsidR="00B85D72">
            <w:rPr>
              <w:lang w:val="en-GB"/>
            </w:rPr>
            <w:fldChar w:fldCharType="begin"/>
          </w:r>
          <w:r w:rsidR="00B85D72">
            <w:instrText xml:space="preserve">CITATION Wag14 \l 3081 </w:instrText>
          </w:r>
          <w:r w:rsidR="00B85D72">
            <w:rPr>
              <w:lang w:val="en-GB"/>
            </w:rPr>
            <w:fldChar w:fldCharType="separate"/>
          </w:r>
          <w:r w:rsidR="00B85D72">
            <w:rPr>
              <w:noProof/>
            </w:rPr>
            <w:t xml:space="preserve"> (4)</w:t>
          </w:r>
          <w:r w:rsidR="00B85D72">
            <w:rPr>
              <w:lang w:val="en-GB"/>
            </w:rPr>
            <w:fldChar w:fldCharType="end"/>
          </w:r>
        </w:sdtContent>
      </w:sdt>
      <w:sdt>
        <w:sdtPr>
          <w:rPr>
            <w:lang w:val="en-GB"/>
          </w:rPr>
          <w:id w:val="849450636"/>
          <w:citation/>
        </w:sdtPr>
        <w:sdtContent>
          <w:r w:rsidR="00B85D72">
            <w:rPr>
              <w:lang w:val="en-GB"/>
            </w:rPr>
            <w:fldChar w:fldCharType="begin"/>
          </w:r>
          <w:r w:rsidR="00B85D72">
            <w:instrText xml:space="preserve"> CITATION Tor15 \l 3081 </w:instrText>
          </w:r>
          <w:r w:rsidR="00B85D72">
            <w:rPr>
              <w:lang w:val="en-GB"/>
            </w:rPr>
            <w:fldChar w:fldCharType="separate"/>
          </w:r>
          <w:r w:rsidR="00B85D72">
            <w:rPr>
              <w:noProof/>
            </w:rPr>
            <w:t xml:space="preserve"> (5)</w:t>
          </w:r>
          <w:r w:rsidR="00B85D72">
            <w:rPr>
              <w:lang w:val="en-GB"/>
            </w:rPr>
            <w:fldChar w:fldCharType="end"/>
          </w:r>
        </w:sdtContent>
      </w:sdt>
      <w:r w:rsidRPr="00607BDA">
        <w:rPr>
          <w:lang w:val="en-GB"/>
        </w:rPr>
        <w:t>.</w:t>
      </w:r>
      <w:r w:rsidR="008E4413" w:rsidRPr="008E4413">
        <w:rPr>
          <w:lang w:val="en-GB"/>
        </w:rPr>
        <w:t xml:space="preserve"> </w:t>
      </w:r>
      <w:r w:rsidR="008E4413">
        <w:t xml:space="preserve">A study by </w:t>
      </w:r>
      <w:r w:rsidR="008E4413" w:rsidRPr="00131F19">
        <w:t>Mars</w:t>
      </w:r>
      <w:r w:rsidR="008E4413">
        <w:t>h</w:t>
      </w:r>
      <w:r w:rsidR="008E4413" w:rsidRPr="00131F19">
        <w:t xml:space="preserve"> et al</w:t>
      </w:r>
      <w:sdt>
        <w:sdtPr>
          <w:id w:val="1856372173"/>
          <w:citation/>
        </w:sdtPr>
        <w:sdtContent>
          <w:r w:rsidR="00B85D72">
            <w:fldChar w:fldCharType="begin"/>
          </w:r>
          <w:r w:rsidR="00B85D72">
            <w:instrText xml:space="preserve"> CITATION Mar14 \l 3081 </w:instrText>
          </w:r>
          <w:r w:rsidR="00B85D72">
            <w:fldChar w:fldCharType="separate"/>
          </w:r>
          <w:r w:rsidR="00B85D72">
            <w:rPr>
              <w:noProof/>
            </w:rPr>
            <w:t xml:space="preserve"> (6)</w:t>
          </w:r>
          <w:r w:rsidR="00B85D72">
            <w:fldChar w:fldCharType="end"/>
          </w:r>
        </w:sdtContent>
      </w:sdt>
      <w:r w:rsidR="008E4413">
        <w:t>.</w:t>
      </w:r>
      <w:r w:rsidR="008E4413" w:rsidRPr="00131F19">
        <w:t xml:space="preserve"> </w:t>
      </w:r>
      <w:r w:rsidR="008E4413">
        <w:t>in 2014 showed that patients followed up after hip surgery via telehealth travelled less (28km versus 104km</w:t>
      </w:r>
      <w:r w:rsidR="008E4413" w:rsidRPr="00614D02">
        <w:t>)</w:t>
      </w:r>
      <w:r w:rsidR="008E4413">
        <w:t xml:space="preserve"> and </w:t>
      </w:r>
      <w:r w:rsidR="008E4413" w:rsidRPr="00614D02">
        <w:t>ha</w:t>
      </w:r>
      <w:r w:rsidR="008E4413">
        <w:t>d lower associated costs ($10 versus $21</w:t>
      </w:r>
      <w:r w:rsidR="008E4413" w:rsidRPr="00614D02">
        <w:t>)</w:t>
      </w:r>
      <w:r w:rsidR="008E4413">
        <w:t>,</w:t>
      </w:r>
      <w:r w:rsidR="008E4413" w:rsidRPr="00614D02">
        <w:t xml:space="preserve"> and</w:t>
      </w:r>
      <w:r w:rsidR="008E4413">
        <w:t xml:space="preserve"> that attendances</w:t>
      </w:r>
      <w:r w:rsidR="008E4413" w:rsidRPr="00614D02">
        <w:t xml:space="preserve"> to</w:t>
      </w:r>
      <w:r w:rsidR="008E4413">
        <w:t xml:space="preserve">ok less total time to complete (122 </w:t>
      </w:r>
      <w:r w:rsidR="008E4413" w:rsidRPr="00614D02">
        <w:t>min</w:t>
      </w:r>
      <w:r w:rsidR="008E4413">
        <w:t>utes</w:t>
      </w:r>
      <w:r w:rsidR="008E4413" w:rsidRPr="00614D02">
        <w:t xml:space="preserve"> </w:t>
      </w:r>
      <w:r w:rsidR="008E4413">
        <w:t xml:space="preserve">versus 229 </w:t>
      </w:r>
      <w:r w:rsidR="008E4413" w:rsidRPr="00614D02">
        <w:t>min</w:t>
      </w:r>
      <w:r w:rsidR="000E0DE2">
        <w:t>utes).</w:t>
      </w:r>
    </w:p>
    <w:p w14:paraId="560B4A27" w14:textId="15B4BF84" w:rsidR="003702F8" w:rsidRDefault="003702F8" w:rsidP="00607BDA">
      <w:pPr>
        <w:pStyle w:val="Bullet-green"/>
        <w:rPr>
          <w:lang w:val="en-GB"/>
        </w:rPr>
      </w:pPr>
      <w:r w:rsidRPr="00607BDA">
        <w:rPr>
          <w:lang w:val="en-GB"/>
        </w:rPr>
        <w:t>The Committee also noted that many countries and health services, including Finland</w:t>
      </w:r>
      <w:sdt>
        <w:sdtPr>
          <w:rPr>
            <w:lang w:val="en-GB"/>
          </w:rPr>
          <w:id w:val="-972295547"/>
          <w:citation/>
        </w:sdtPr>
        <w:sdtContent>
          <w:r w:rsidR="00B85D72">
            <w:rPr>
              <w:lang w:val="en-GB"/>
            </w:rPr>
            <w:fldChar w:fldCharType="begin"/>
          </w:r>
          <w:r w:rsidR="00B85D72">
            <w:instrText xml:space="preserve"> CITATION Sai18 \l 3081 </w:instrText>
          </w:r>
          <w:r w:rsidR="00B85D72">
            <w:rPr>
              <w:lang w:val="en-GB"/>
            </w:rPr>
            <w:fldChar w:fldCharType="separate"/>
          </w:r>
          <w:r w:rsidR="00B85D72">
            <w:rPr>
              <w:noProof/>
            </w:rPr>
            <w:t xml:space="preserve"> (7)</w:t>
          </w:r>
          <w:r w:rsidR="00B85D72">
            <w:rPr>
              <w:lang w:val="en-GB"/>
            </w:rPr>
            <w:fldChar w:fldCharType="end"/>
          </w:r>
        </w:sdtContent>
      </w:sdt>
      <w:r w:rsidR="00B85D72">
        <w:rPr>
          <w:lang w:val="en-GB"/>
        </w:rPr>
        <w:t>, British Colombia</w:t>
      </w:r>
      <w:r w:rsidR="00925DBB">
        <w:rPr>
          <w:lang w:val="en-GB"/>
        </w:rPr>
        <w:t xml:space="preserve"> and</w:t>
      </w:r>
      <w:r w:rsidRPr="00607BDA">
        <w:rPr>
          <w:lang w:val="en-GB"/>
        </w:rPr>
        <w:t xml:space="preserve"> the UK</w:t>
      </w:r>
      <w:sdt>
        <w:sdtPr>
          <w:rPr>
            <w:lang w:val="en-GB"/>
          </w:rPr>
          <w:id w:val="-1678342451"/>
          <w:citation/>
        </w:sdtPr>
        <w:sdtContent>
          <w:r w:rsidR="00B85D72">
            <w:rPr>
              <w:lang w:val="en-GB"/>
            </w:rPr>
            <w:fldChar w:fldCharType="begin"/>
          </w:r>
          <w:r w:rsidR="00B85D72">
            <w:instrText xml:space="preserve"> CITATION Dat15 \l 3081 </w:instrText>
          </w:r>
          <w:r w:rsidR="00B85D72">
            <w:rPr>
              <w:lang w:val="en-GB"/>
            </w:rPr>
            <w:fldChar w:fldCharType="separate"/>
          </w:r>
          <w:r w:rsidR="00B85D72">
            <w:rPr>
              <w:noProof/>
            </w:rPr>
            <w:t xml:space="preserve"> (8)</w:t>
          </w:r>
          <w:r w:rsidR="00B85D72">
            <w:rPr>
              <w:lang w:val="en-GB"/>
            </w:rPr>
            <w:fldChar w:fldCharType="end"/>
          </w:r>
        </w:sdtContent>
      </w:sdt>
      <w:r w:rsidRPr="00607BDA">
        <w:rPr>
          <w:lang w:val="en-GB"/>
        </w:rPr>
        <w:t>, have built successful telehealth services without providing any financial incentive to physicians (</w:t>
      </w:r>
      <w:r w:rsidR="000E0DE2">
        <w:rPr>
          <w:lang w:val="en-GB"/>
        </w:rPr>
        <w:fldChar w:fldCharType="begin"/>
      </w:r>
      <w:r w:rsidR="000E0DE2">
        <w:rPr>
          <w:lang w:val="en-GB"/>
        </w:rPr>
        <w:instrText xml:space="preserve"> REF _Ref72315243 \h </w:instrText>
      </w:r>
      <w:r w:rsidR="000E0DE2">
        <w:rPr>
          <w:lang w:val="en-GB"/>
        </w:rPr>
      </w:r>
      <w:r w:rsidR="000E0DE2">
        <w:rPr>
          <w:lang w:val="en-GB"/>
        </w:rPr>
        <w:fldChar w:fldCharType="separate"/>
      </w:r>
      <w:r w:rsidR="00832059">
        <w:t xml:space="preserve">Figure </w:t>
      </w:r>
      <w:r w:rsidR="00832059">
        <w:rPr>
          <w:noProof/>
        </w:rPr>
        <w:t>5</w:t>
      </w:r>
      <w:r w:rsidR="000E0DE2">
        <w:rPr>
          <w:lang w:val="en-GB"/>
        </w:rPr>
        <w:fldChar w:fldCharType="end"/>
      </w:r>
      <w:r w:rsidRPr="00607BDA">
        <w:rPr>
          <w:lang w:val="en-GB"/>
        </w:rPr>
        <w:t>).</w:t>
      </w:r>
    </w:p>
    <w:p w14:paraId="0A2890A4" w14:textId="5E43E095" w:rsidR="003702F8" w:rsidRPr="00F30EE1" w:rsidRDefault="005D53D7" w:rsidP="005D53D7">
      <w:pPr>
        <w:pStyle w:val="Caption"/>
      </w:pPr>
      <w:bookmarkStart w:id="175" w:name="_Ref72315243"/>
      <w:bookmarkStart w:id="176" w:name="_Toc529028439"/>
      <w:r>
        <w:t xml:space="preserve">Figure </w:t>
      </w:r>
      <w:fldSimple w:instr=" SEQ Figure \* ARABIC ">
        <w:r w:rsidR="00832059">
          <w:rPr>
            <w:noProof/>
          </w:rPr>
          <w:t>5</w:t>
        </w:r>
      </w:fldSimple>
      <w:bookmarkEnd w:id="175"/>
      <w:r w:rsidR="003702F8" w:rsidRPr="00F30EE1">
        <w:t>: How are telehealth attendances reimbursed in other geographies?</w:t>
      </w:r>
      <w:bookmarkEnd w:id="176"/>
    </w:p>
    <w:p w14:paraId="6DD3D41F" w14:textId="6712FCE6" w:rsidR="006F4D02" w:rsidRPr="00F30EE1" w:rsidRDefault="006F4D02" w:rsidP="00F30EE1">
      <w:r w:rsidRPr="00F30EE1">
        <w:rPr>
          <w:noProof/>
          <w:lang w:val="en-US" w:eastAsia="en-US"/>
        </w:rPr>
        <w:drawing>
          <wp:inline distT="0" distB="0" distL="0" distR="0" wp14:anchorId="5E7CEF60" wp14:editId="289283DD">
            <wp:extent cx="5117911" cy="3671216"/>
            <wp:effectExtent l="0" t="0" r="6985" b="5715"/>
            <wp:docPr id="1" name="Picture 1" descr="Figure 7 describes what the payment mechanism, tarrif and requirements of other countries' telehealth attendance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2242" cy="3674323"/>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1EFE06F3" w14:textId="456B64FC" w:rsidR="00614620" w:rsidRDefault="003702F8" w:rsidP="00D30AF2">
      <w:pPr>
        <w:pStyle w:val="Bullet-green"/>
        <w:spacing w:before="240"/>
      </w:pPr>
      <w:r w:rsidRPr="00925DBB">
        <w:rPr>
          <w:lang w:val="en-GB"/>
        </w:rPr>
        <w:t>Telehealth loading is not the optimal mechanism to incentivise physician uptake</w:t>
      </w:r>
      <w:r w:rsidR="00925DBB" w:rsidRPr="00925DBB">
        <w:rPr>
          <w:lang w:val="en-GB"/>
        </w:rPr>
        <w:t xml:space="preserve">. </w:t>
      </w:r>
      <w:r w:rsidRPr="00C33C0B">
        <w:t>In Australia, growth in utilisation of telehealth for consultation</w:t>
      </w:r>
      <w:r>
        <w:t>s</w:t>
      </w:r>
      <w:r w:rsidRPr="00C33C0B">
        <w:t xml:space="preserve"> has slowed significantly since the introduction of the loading items in 2011</w:t>
      </w:r>
      <w:r w:rsidR="00925DBB">
        <w:rPr>
          <w:rStyle w:val="FootnoteReference"/>
        </w:rPr>
        <w:footnoteReference w:id="10"/>
      </w:r>
      <w:r>
        <w:t>,</w:t>
      </w:r>
      <w:r w:rsidRPr="00C33C0B">
        <w:t xml:space="preserve"> indicating that </w:t>
      </w:r>
      <w:r>
        <w:t>they are</w:t>
      </w:r>
      <w:r w:rsidRPr="00C33C0B">
        <w:t xml:space="preserve"> </w:t>
      </w:r>
      <w:r w:rsidR="005A58D1">
        <w:t>not</w:t>
      </w:r>
      <w:r w:rsidRPr="00C33C0B">
        <w:t xml:space="preserve"> incentivising </w:t>
      </w:r>
      <w:r w:rsidR="00415B47">
        <w:t xml:space="preserve">appropriate </w:t>
      </w:r>
      <w:r w:rsidRPr="00C33C0B">
        <w:t>provider uptake of telehealth. Physicians cite a lack of acceptance of telehealth as the main barrier to uptake</w:t>
      </w:r>
      <w:r>
        <w:t>.</w:t>
      </w:r>
      <w:r w:rsidRPr="00C33C0B">
        <w:rPr>
          <w:rStyle w:val="FootnoteReference"/>
          <w:lang w:val="en-GB"/>
        </w:rPr>
        <w:footnoteReference w:id="11"/>
      </w:r>
    </w:p>
    <w:p w14:paraId="7300B010" w14:textId="56FEC948" w:rsidR="003702F8" w:rsidRDefault="003702F8" w:rsidP="00D30AF2">
      <w:pPr>
        <w:pStyle w:val="Bullet-green"/>
        <w:spacing w:before="240"/>
      </w:pPr>
      <w:r w:rsidRPr="00CA5B11">
        <w:t>Consumers</w:t>
      </w:r>
      <w:r w:rsidRPr="00607BDA">
        <w:t xml:space="preserve"> lack awareness of telehealth services</w:t>
      </w:r>
      <w:r w:rsidR="00925DBB" w:rsidRPr="00607BDA">
        <w:t>.</w:t>
      </w:r>
      <w:r w:rsidRPr="00607BDA">
        <w:t xml:space="preserve"> </w:t>
      </w:r>
      <w:r w:rsidRPr="00C33C0B">
        <w:t>Bradford et al</w:t>
      </w:r>
      <w:r>
        <w:t>.</w:t>
      </w:r>
      <w:sdt>
        <w:sdtPr>
          <w:id w:val="1069456691"/>
          <w:citation/>
        </w:sdtPr>
        <w:sdtContent>
          <w:r w:rsidR="00B85D72">
            <w:fldChar w:fldCharType="begin"/>
          </w:r>
          <w:r w:rsidR="00B85D72">
            <w:instrText xml:space="preserve"> CITATION Bra15 \l 3081 </w:instrText>
          </w:r>
          <w:r w:rsidR="00B85D72">
            <w:fldChar w:fldCharType="separate"/>
          </w:r>
          <w:r w:rsidR="00B85D72">
            <w:rPr>
              <w:noProof/>
            </w:rPr>
            <w:t xml:space="preserve"> (9)</w:t>
          </w:r>
          <w:r w:rsidR="00B85D72">
            <w:fldChar w:fldCharType="end"/>
          </w:r>
        </w:sdtContent>
      </w:sdt>
      <w:r w:rsidRPr="00C33C0B">
        <w:t xml:space="preserve"> conducted a study in rural Queensland</w:t>
      </w:r>
      <w:r>
        <w:t xml:space="preserve"> in 2015</w:t>
      </w:r>
      <w:r w:rsidRPr="00C33C0B">
        <w:t xml:space="preserve"> which showed that 60</w:t>
      </w:r>
      <w:r>
        <w:t xml:space="preserve"> per cent</w:t>
      </w:r>
      <w:r w:rsidRPr="00C33C0B">
        <w:t xml:space="preserve"> </w:t>
      </w:r>
      <w:r>
        <w:t xml:space="preserve">of </w:t>
      </w:r>
      <w:r w:rsidRPr="00C33C0B">
        <w:t xml:space="preserve">participants were aware of telehealth, </w:t>
      </w:r>
      <w:r>
        <w:t xml:space="preserve">but </w:t>
      </w:r>
      <w:r w:rsidRPr="00C33C0B">
        <w:t>only 13</w:t>
      </w:r>
      <w:r>
        <w:t xml:space="preserve"> per cent</w:t>
      </w:r>
      <w:r w:rsidRPr="00C33C0B">
        <w:t xml:space="preserve"> had used telehealth services. The authors </w:t>
      </w:r>
      <w:r w:rsidR="0048637C">
        <w:t xml:space="preserve">observed that trust is required for telehealth to be an acceptable application for patients, and concluded </w:t>
      </w:r>
      <w:r w:rsidRPr="00C33C0B">
        <w:t>that greater public awareness and understanding of the potential benefits of telehealth was needed.</w:t>
      </w:r>
    </w:p>
    <w:p w14:paraId="7C6F557D" w14:textId="2718757C" w:rsidR="00CC6AEF" w:rsidRPr="00C33C0B" w:rsidRDefault="00CC6AEF" w:rsidP="00C64CF7">
      <w:pPr>
        <w:pStyle w:val="Heading1"/>
      </w:pPr>
      <w:bookmarkStart w:id="177" w:name="_Toc67952234"/>
      <w:r w:rsidRPr="00C33C0B">
        <w:t>Case conferenc</w:t>
      </w:r>
      <w:bookmarkEnd w:id="174"/>
      <w:r w:rsidR="004F4047" w:rsidRPr="00C33C0B">
        <w:t xml:space="preserve">e </w:t>
      </w:r>
      <w:r w:rsidR="00702869">
        <w:t>recommendations</w:t>
      </w:r>
      <w:bookmarkEnd w:id="177"/>
    </w:p>
    <w:p w14:paraId="562F8A07" w14:textId="77777777" w:rsidR="002C2B9B" w:rsidRDefault="002C2B9B" w:rsidP="003C5D5A">
      <w:pPr>
        <w:pStyle w:val="Heading2"/>
        <w:rPr>
          <w:lang w:val="en-GB"/>
        </w:rPr>
      </w:pPr>
      <w:bookmarkStart w:id="178" w:name="_Toc67952235"/>
      <w:r>
        <w:rPr>
          <w:lang w:val="en-GB"/>
        </w:rPr>
        <w:t>Current case conferencing framework</w:t>
      </w:r>
      <w:bookmarkEnd w:id="178"/>
    </w:p>
    <w:p w14:paraId="78CF24DA" w14:textId="77777777" w:rsidR="000E204F" w:rsidRPr="00C33C0B" w:rsidRDefault="004F4047" w:rsidP="004F4047">
      <w:pPr>
        <w:rPr>
          <w:lang w:val="en-GB"/>
        </w:rPr>
      </w:pPr>
      <w:r w:rsidRPr="00C33C0B">
        <w:rPr>
          <w:lang w:val="en-GB"/>
        </w:rPr>
        <w:t xml:space="preserve">The MBS has </w:t>
      </w:r>
      <w:r w:rsidR="007B0852" w:rsidRPr="00C33C0B">
        <w:rPr>
          <w:lang w:val="en-GB"/>
        </w:rPr>
        <w:t>55</w:t>
      </w:r>
      <w:r w:rsidRPr="00C33C0B">
        <w:rPr>
          <w:lang w:val="en-GB"/>
        </w:rPr>
        <w:t xml:space="preserve"> case conference items</w:t>
      </w:r>
      <w:r w:rsidR="001F1D87">
        <w:rPr>
          <w:lang w:val="en-GB"/>
        </w:rPr>
        <w:t>. These items account</w:t>
      </w:r>
      <w:r w:rsidR="00516758">
        <w:rPr>
          <w:lang w:val="en-GB"/>
        </w:rPr>
        <w:t>ed</w:t>
      </w:r>
      <w:r w:rsidR="001F1D87">
        <w:rPr>
          <w:lang w:val="en-GB"/>
        </w:rPr>
        <w:t xml:space="preserve"> for</w:t>
      </w:r>
      <w:r w:rsidR="00BF20F0" w:rsidRPr="00C33C0B">
        <w:rPr>
          <w:lang w:val="en-GB"/>
        </w:rPr>
        <w:t xml:space="preserve"> over 350,000 services and almost $22</w:t>
      </w:r>
      <w:r w:rsidR="00B44441">
        <w:rPr>
          <w:lang w:val="en-GB"/>
        </w:rPr>
        <w:t xml:space="preserve"> million</w:t>
      </w:r>
      <w:r w:rsidR="00BF20F0" w:rsidRPr="00C33C0B">
        <w:rPr>
          <w:lang w:val="en-GB"/>
        </w:rPr>
        <w:t xml:space="preserve"> in benefits in 2016/17</w:t>
      </w:r>
      <w:r w:rsidRPr="00C33C0B">
        <w:rPr>
          <w:lang w:val="en-GB"/>
        </w:rPr>
        <w:t>.</w:t>
      </w:r>
      <w:r w:rsidR="00BF20F0" w:rsidRPr="00C33C0B">
        <w:rPr>
          <w:lang w:val="en-GB"/>
        </w:rPr>
        <w:t xml:space="preserve"> </w:t>
      </w:r>
      <w:r w:rsidR="006F48B9">
        <w:rPr>
          <w:lang w:val="en-GB"/>
        </w:rPr>
        <w:t>The items can be categorised as follows:</w:t>
      </w:r>
    </w:p>
    <w:p w14:paraId="3DC5B821" w14:textId="77777777" w:rsidR="00BF20F0" w:rsidRPr="00F30405" w:rsidRDefault="00BF20F0" w:rsidP="00BF20F0">
      <w:pPr>
        <w:pStyle w:val="Bullet-green"/>
        <w:rPr>
          <w:lang w:val="en-GB"/>
        </w:rPr>
      </w:pPr>
      <w:r w:rsidRPr="007520E9">
        <w:rPr>
          <w:lang w:val="en-GB"/>
        </w:rPr>
        <w:t xml:space="preserve">Six </w:t>
      </w:r>
      <w:r w:rsidR="00822C23" w:rsidRPr="007520E9">
        <w:rPr>
          <w:lang w:val="en-GB"/>
        </w:rPr>
        <w:t>c</w:t>
      </w:r>
      <w:r w:rsidR="00B72324" w:rsidRPr="007520E9">
        <w:rPr>
          <w:lang w:val="en-GB"/>
        </w:rPr>
        <w:t xml:space="preserve">onsultant </w:t>
      </w:r>
      <w:r w:rsidR="00822C23" w:rsidRPr="007520E9">
        <w:rPr>
          <w:lang w:val="en-GB"/>
        </w:rPr>
        <w:t>p</w:t>
      </w:r>
      <w:r w:rsidR="00A608C8" w:rsidRPr="007520E9">
        <w:rPr>
          <w:lang w:val="en-GB"/>
        </w:rPr>
        <w:t xml:space="preserve">hysician </w:t>
      </w:r>
      <w:r w:rsidRPr="007520E9">
        <w:rPr>
          <w:lang w:val="en-GB"/>
        </w:rPr>
        <w:t>community case conference items</w:t>
      </w:r>
      <w:r w:rsidR="001A4923">
        <w:rPr>
          <w:lang w:val="en-GB"/>
        </w:rPr>
        <w:t>,</w:t>
      </w:r>
      <w:r w:rsidR="00384152" w:rsidRPr="007520E9">
        <w:rPr>
          <w:lang w:val="en-GB"/>
        </w:rPr>
        <w:t xml:space="preserve"> with durations of</w:t>
      </w:r>
      <w:r w:rsidRPr="007520E9">
        <w:rPr>
          <w:lang w:val="en-GB"/>
        </w:rPr>
        <w:t xml:space="preserve"> </w:t>
      </w:r>
      <w:r w:rsidR="00C56B54" w:rsidRPr="007520E9">
        <w:rPr>
          <w:lang w:val="en-GB"/>
        </w:rPr>
        <w:t>15</w:t>
      </w:r>
      <w:r w:rsidR="00294A4B" w:rsidRPr="007520E9">
        <w:rPr>
          <w:lang w:val="en-GB"/>
        </w:rPr>
        <w:t xml:space="preserve"> to </w:t>
      </w:r>
      <w:r w:rsidR="00C56B54" w:rsidRPr="007520E9">
        <w:rPr>
          <w:lang w:val="en-GB"/>
        </w:rPr>
        <w:t>30</w:t>
      </w:r>
      <w:r w:rsidR="00753B42">
        <w:rPr>
          <w:lang w:val="en-GB"/>
        </w:rPr>
        <w:t> </w:t>
      </w:r>
      <w:r w:rsidR="00C56B54" w:rsidRPr="007520E9">
        <w:rPr>
          <w:lang w:val="en-GB"/>
        </w:rPr>
        <w:t>minutes, 30</w:t>
      </w:r>
      <w:r w:rsidR="009B5EC2" w:rsidRPr="007520E9">
        <w:rPr>
          <w:lang w:val="en-GB"/>
        </w:rPr>
        <w:t xml:space="preserve"> to </w:t>
      </w:r>
      <w:r w:rsidR="00C56B54" w:rsidRPr="007520E9">
        <w:rPr>
          <w:lang w:val="en-GB"/>
        </w:rPr>
        <w:t xml:space="preserve">45 minutes </w:t>
      </w:r>
      <w:r w:rsidR="00384152" w:rsidRPr="007520E9">
        <w:rPr>
          <w:lang w:val="en-GB"/>
        </w:rPr>
        <w:t>and</w:t>
      </w:r>
      <w:r w:rsidR="00C56B54" w:rsidRPr="007520E9">
        <w:rPr>
          <w:lang w:val="en-GB"/>
        </w:rPr>
        <w:t xml:space="preserve"> at least 45 minutes, </w:t>
      </w:r>
      <w:r w:rsidR="001A4923">
        <w:rPr>
          <w:lang w:val="en-GB"/>
        </w:rPr>
        <w:t>as well as</w:t>
      </w:r>
      <w:r w:rsidR="001A4923" w:rsidRPr="007520E9">
        <w:rPr>
          <w:lang w:val="en-GB"/>
        </w:rPr>
        <w:t xml:space="preserve"> </w:t>
      </w:r>
      <w:r w:rsidR="00C56B54" w:rsidRPr="007520E9">
        <w:rPr>
          <w:lang w:val="en-GB"/>
        </w:rPr>
        <w:t>s</w:t>
      </w:r>
      <w:r w:rsidR="00CB6960" w:rsidRPr="007520E9">
        <w:rPr>
          <w:lang w:val="en-GB"/>
        </w:rPr>
        <w:t>eparate items for organiser</w:t>
      </w:r>
      <w:r w:rsidR="008664B4" w:rsidRPr="007520E9">
        <w:rPr>
          <w:lang w:val="en-GB"/>
        </w:rPr>
        <w:t>s</w:t>
      </w:r>
      <w:r w:rsidR="00C56B54" w:rsidRPr="007520E9">
        <w:rPr>
          <w:lang w:val="en-GB"/>
        </w:rPr>
        <w:t xml:space="preserve"> and participants</w:t>
      </w:r>
      <w:r w:rsidR="008664B4" w:rsidRPr="0067229E">
        <w:rPr>
          <w:lang w:val="en-GB"/>
        </w:rPr>
        <w:t>.</w:t>
      </w:r>
    </w:p>
    <w:p w14:paraId="6535AA6B" w14:textId="77777777" w:rsidR="00384152" w:rsidRPr="007520E9" w:rsidRDefault="00384152" w:rsidP="00384152">
      <w:pPr>
        <w:pStyle w:val="Bullet-green"/>
        <w:rPr>
          <w:lang w:val="en-GB"/>
        </w:rPr>
      </w:pPr>
      <w:r w:rsidRPr="007520E9">
        <w:rPr>
          <w:lang w:val="en-GB"/>
        </w:rPr>
        <w:t>Six</w:t>
      </w:r>
      <w:r w:rsidR="00A608C8" w:rsidRPr="007520E9">
        <w:rPr>
          <w:lang w:val="en-GB"/>
        </w:rPr>
        <w:t xml:space="preserve"> </w:t>
      </w:r>
      <w:r w:rsidR="00E55B11" w:rsidRPr="007520E9">
        <w:rPr>
          <w:lang w:val="en-GB"/>
        </w:rPr>
        <w:t>c</w:t>
      </w:r>
      <w:r w:rsidR="00B72324" w:rsidRPr="007520E9">
        <w:rPr>
          <w:lang w:val="en-GB"/>
        </w:rPr>
        <w:t xml:space="preserve">onsultant </w:t>
      </w:r>
      <w:r w:rsidR="00E55B11" w:rsidRPr="007520E9">
        <w:rPr>
          <w:lang w:val="en-GB"/>
        </w:rPr>
        <w:t>p</w:t>
      </w:r>
      <w:r w:rsidR="00A608C8" w:rsidRPr="007520E9">
        <w:rPr>
          <w:lang w:val="en-GB"/>
        </w:rPr>
        <w:t>hysician</w:t>
      </w:r>
      <w:r w:rsidRPr="007520E9">
        <w:rPr>
          <w:lang w:val="en-GB"/>
        </w:rPr>
        <w:t xml:space="preserve"> discharge case conference items</w:t>
      </w:r>
      <w:r w:rsidR="00C53060">
        <w:rPr>
          <w:lang w:val="en-GB"/>
        </w:rPr>
        <w:t>,</w:t>
      </w:r>
      <w:r w:rsidRPr="007520E9">
        <w:rPr>
          <w:lang w:val="en-GB"/>
        </w:rPr>
        <w:t xml:space="preserve"> with durations of 15</w:t>
      </w:r>
      <w:r w:rsidR="006F0506" w:rsidRPr="007520E9">
        <w:rPr>
          <w:lang w:val="en-GB"/>
        </w:rPr>
        <w:t xml:space="preserve"> to </w:t>
      </w:r>
      <w:r w:rsidRPr="007520E9">
        <w:rPr>
          <w:lang w:val="en-GB"/>
        </w:rPr>
        <w:t>30 minutes, 30</w:t>
      </w:r>
      <w:r w:rsidR="006F0506" w:rsidRPr="007520E9">
        <w:rPr>
          <w:lang w:val="en-GB"/>
        </w:rPr>
        <w:t xml:space="preserve"> to </w:t>
      </w:r>
      <w:r w:rsidRPr="007520E9">
        <w:rPr>
          <w:lang w:val="en-GB"/>
        </w:rPr>
        <w:t xml:space="preserve">45 minutes and at least 45 minutes, </w:t>
      </w:r>
      <w:r w:rsidR="00C53060">
        <w:rPr>
          <w:lang w:val="en-GB"/>
        </w:rPr>
        <w:t>as well as</w:t>
      </w:r>
      <w:r w:rsidR="00C53060" w:rsidRPr="007520E9">
        <w:rPr>
          <w:lang w:val="en-GB"/>
        </w:rPr>
        <w:t xml:space="preserve"> </w:t>
      </w:r>
      <w:r w:rsidRPr="007520E9">
        <w:rPr>
          <w:lang w:val="en-GB"/>
        </w:rPr>
        <w:t>s</w:t>
      </w:r>
      <w:r w:rsidR="00CB6960" w:rsidRPr="007520E9">
        <w:rPr>
          <w:lang w:val="en-GB"/>
        </w:rPr>
        <w:t>eparate items for organiser</w:t>
      </w:r>
      <w:r w:rsidR="00906411" w:rsidRPr="007520E9">
        <w:rPr>
          <w:lang w:val="en-GB"/>
        </w:rPr>
        <w:t>s</w:t>
      </w:r>
      <w:r w:rsidRPr="007520E9">
        <w:rPr>
          <w:lang w:val="en-GB"/>
        </w:rPr>
        <w:t xml:space="preserve"> </w:t>
      </w:r>
      <w:r w:rsidRPr="0067229E">
        <w:rPr>
          <w:lang w:val="en-GB"/>
        </w:rPr>
        <w:t>and participant</w:t>
      </w:r>
      <w:r w:rsidR="00FC15D9">
        <w:rPr>
          <w:lang w:val="en-GB"/>
        </w:rPr>
        <w:t>s</w:t>
      </w:r>
      <w:r w:rsidR="00906411" w:rsidRPr="00F30405">
        <w:rPr>
          <w:lang w:val="en-GB"/>
        </w:rPr>
        <w:t>.</w:t>
      </w:r>
    </w:p>
    <w:p w14:paraId="56D7C24E" w14:textId="29762F2D" w:rsidR="00B92CA3" w:rsidRPr="007520E9" w:rsidRDefault="00B92CA3" w:rsidP="00B92CA3">
      <w:pPr>
        <w:pStyle w:val="Bullet-green"/>
        <w:rPr>
          <w:lang w:val="en-GB"/>
        </w:rPr>
      </w:pPr>
      <w:r w:rsidRPr="007520E9">
        <w:rPr>
          <w:lang w:val="en-GB"/>
        </w:rPr>
        <w:t xml:space="preserve">Two </w:t>
      </w:r>
      <w:r w:rsidR="00906411" w:rsidRPr="007520E9">
        <w:rPr>
          <w:lang w:val="en-GB"/>
        </w:rPr>
        <w:t>s</w:t>
      </w:r>
      <w:r w:rsidR="00B72324" w:rsidRPr="007520E9">
        <w:rPr>
          <w:lang w:val="en-GB"/>
        </w:rPr>
        <w:t>pecialist</w:t>
      </w:r>
      <w:r w:rsidR="00F058B7" w:rsidRPr="007520E9">
        <w:rPr>
          <w:lang w:val="en-GB"/>
        </w:rPr>
        <w:t>/</w:t>
      </w:r>
      <w:r w:rsidR="00906411" w:rsidRPr="007520E9">
        <w:rPr>
          <w:lang w:val="en-GB"/>
        </w:rPr>
        <w:t>c</w:t>
      </w:r>
      <w:r w:rsidR="00B72324" w:rsidRPr="007520E9">
        <w:rPr>
          <w:lang w:val="en-GB"/>
        </w:rPr>
        <w:t xml:space="preserve">onsultant </w:t>
      </w:r>
      <w:r w:rsidR="00906411" w:rsidRPr="007520E9">
        <w:rPr>
          <w:lang w:val="en-GB"/>
        </w:rPr>
        <w:t>p</w:t>
      </w:r>
      <w:r w:rsidRPr="007520E9">
        <w:rPr>
          <w:lang w:val="en-GB"/>
        </w:rPr>
        <w:t>hysician case conference items for patients with cancer, with separate items for organiser</w:t>
      </w:r>
      <w:r w:rsidR="00562DD9" w:rsidRPr="007520E9">
        <w:rPr>
          <w:lang w:val="en-GB"/>
        </w:rPr>
        <w:t>s</w:t>
      </w:r>
      <w:r w:rsidRPr="007520E9">
        <w:rPr>
          <w:lang w:val="en-GB"/>
        </w:rPr>
        <w:t xml:space="preserve"> and participants</w:t>
      </w:r>
      <w:r w:rsidR="00562DD9" w:rsidRPr="007520E9">
        <w:rPr>
          <w:lang w:val="en-GB"/>
        </w:rPr>
        <w:t>.</w:t>
      </w:r>
    </w:p>
    <w:p w14:paraId="2E4618B5" w14:textId="77777777" w:rsidR="00CB6960" w:rsidRPr="007520E9" w:rsidRDefault="00CB6960" w:rsidP="00A50B6D">
      <w:pPr>
        <w:pStyle w:val="Bullet-green"/>
        <w:rPr>
          <w:lang w:val="en-GB"/>
        </w:rPr>
      </w:pPr>
      <w:r w:rsidRPr="007520E9">
        <w:rPr>
          <w:lang w:val="en-GB"/>
        </w:rPr>
        <w:t>Twelve pain medicine case conference items</w:t>
      </w:r>
      <w:r w:rsidR="00434114">
        <w:rPr>
          <w:lang w:val="en-GB"/>
        </w:rPr>
        <w:t>,</w:t>
      </w:r>
      <w:r w:rsidR="00A50B6D" w:rsidRPr="007520E9">
        <w:rPr>
          <w:lang w:val="en-GB"/>
        </w:rPr>
        <w:t xml:space="preserve"> with durations of 15</w:t>
      </w:r>
      <w:r w:rsidR="0008494C" w:rsidRPr="007520E9">
        <w:rPr>
          <w:lang w:val="en-GB"/>
        </w:rPr>
        <w:t xml:space="preserve"> to </w:t>
      </w:r>
      <w:r w:rsidR="00A50B6D" w:rsidRPr="007520E9">
        <w:rPr>
          <w:lang w:val="en-GB"/>
        </w:rPr>
        <w:t>30 minutes, 30</w:t>
      </w:r>
      <w:r w:rsidR="0008494C" w:rsidRPr="007520E9">
        <w:rPr>
          <w:lang w:val="en-GB"/>
        </w:rPr>
        <w:t xml:space="preserve"> to </w:t>
      </w:r>
      <w:r w:rsidR="00A50B6D" w:rsidRPr="007520E9">
        <w:rPr>
          <w:lang w:val="en-GB"/>
        </w:rPr>
        <w:t xml:space="preserve">45 minutes and at least 45 minutes, </w:t>
      </w:r>
      <w:r w:rsidR="00434114">
        <w:rPr>
          <w:lang w:val="en-GB"/>
        </w:rPr>
        <w:t>as well as</w:t>
      </w:r>
      <w:r w:rsidR="00434114" w:rsidRPr="007520E9">
        <w:rPr>
          <w:lang w:val="en-GB"/>
        </w:rPr>
        <w:t xml:space="preserve"> </w:t>
      </w:r>
      <w:r w:rsidR="00A50B6D" w:rsidRPr="007520E9">
        <w:rPr>
          <w:lang w:val="en-GB"/>
        </w:rPr>
        <w:t>separate items for discharge and community conferences, and for organiser</w:t>
      </w:r>
      <w:r w:rsidR="00FC016D" w:rsidRPr="007520E9">
        <w:rPr>
          <w:lang w:val="en-GB"/>
        </w:rPr>
        <w:t>s</w:t>
      </w:r>
      <w:r w:rsidR="00A50B6D" w:rsidRPr="007520E9">
        <w:rPr>
          <w:lang w:val="en-GB"/>
        </w:rPr>
        <w:t xml:space="preserve"> and participants</w:t>
      </w:r>
      <w:r w:rsidR="00FC016D" w:rsidRPr="007520E9">
        <w:rPr>
          <w:lang w:val="en-GB"/>
        </w:rPr>
        <w:t>.</w:t>
      </w:r>
    </w:p>
    <w:p w14:paraId="522EA095" w14:textId="77777777" w:rsidR="00A50B6D" w:rsidRPr="007520E9" w:rsidRDefault="00A50B6D" w:rsidP="00A50B6D">
      <w:pPr>
        <w:pStyle w:val="Bullet-green"/>
        <w:rPr>
          <w:lang w:val="en-GB"/>
        </w:rPr>
      </w:pPr>
      <w:r w:rsidRPr="007520E9">
        <w:rPr>
          <w:lang w:val="en-GB"/>
        </w:rPr>
        <w:t>Twelve palliative medicine case conference items</w:t>
      </w:r>
      <w:r w:rsidR="00C85C62">
        <w:rPr>
          <w:lang w:val="en-GB"/>
        </w:rPr>
        <w:t>,</w:t>
      </w:r>
      <w:r w:rsidRPr="007520E9">
        <w:rPr>
          <w:lang w:val="en-GB"/>
        </w:rPr>
        <w:t xml:space="preserve"> with durations of 15</w:t>
      </w:r>
      <w:r w:rsidR="00777733" w:rsidRPr="007520E9">
        <w:rPr>
          <w:lang w:val="en-GB"/>
        </w:rPr>
        <w:t xml:space="preserve"> to </w:t>
      </w:r>
      <w:r w:rsidRPr="007520E9">
        <w:rPr>
          <w:lang w:val="en-GB"/>
        </w:rPr>
        <w:t>30 minutes, 30</w:t>
      </w:r>
      <w:r w:rsidR="00777733" w:rsidRPr="007520E9">
        <w:rPr>
          <w:lang w:val="en-GB"/>
        </w:rPr>
        <w:t xml:space="preserve"> to </w:t>
      </w:r>
      <w:r w:rsidRPr="007520E9">
        <w:rPr>
          <w:lang w:val="en-GB"/>
        </w:rPr>
        <w:t xml:space="preserve">45 minutes and at least 45 minutes, </w:t>
      </w:r>
      <w:r w:rsidR="00F83322">
        <w:rPr>
          <w:lang w:val="en-GB"/>
        </w:rPr>
        <w:t>as well as</w:t>
      </w:r>
      <w:r w:rsidR="00F83322" w:rsidRPr="007520E9">
        <w:rPr>
          <w:lang w:val="en-GB"/>
        </w:rPr>
        <w:t xml:space="preserve"> </w:t>
      </w:r>
      <w:r w:rsidRPr="007520E9">
        <w:rPr>
          <w:lang w:val="en-GB"/>
        </w:rPr>
        <w:t>separate items for discharge and community conferences, and for organiser</w:t>
      </w:r>
      <w:r w:rsidR="00D467C6" w:rsidRPr="007520E9">
        <w:rPr>
          <w:lang w:val="en-GB"/>
        </w:rPr>
        <w:t>s</w:t>
      </w:r>
      <w:r w:rsidRPr="007520E9">
        <w:rPr>
          <w:lang w:val="en-GB"/>
        </w:rPr>
        <w:t xml:space="preserve"> and participants</w:t>
      </w:r>
      <w:r w:rsidR="00D467C6" w:rsidRPr="007520E9">
        <w:rPr>
          <w:lang w:val="en-GB"/>
        </w:rPr>
        <w:t>.</w:t>
      </w:r>
    </w:p>
    <w:p w14:paraId="61D3633F" w14:textId="77777777" w:rsidR="006910E4" w:rsidRPr="007520E9" w:rsidRDefault="006910E4" w:rsidP="006910E4">
      <w:pPr>
        <w:pStyle w:val="Bullet-green"/>
        <w:rPr>
          <w:lang w:val="en-GB"/>
        </w:rPr>
      </w:pPr>
      <w:r w:rsidRPr="007520E9">
        <w:rPr>
          <w:lang w:val="en-GB"/>
        </w:rPr>
        <w:t>One geriatric and rehabilitation medicine case conference item to coordinate a case conference of at least 10 minutes but less than 30 minutes</w:t>
      </w:r>
      <w:r w:rsidR="00C84CB4" w:rsidRPr="007520E9">
        <w:rPr>
          <w:lang w:val="en-GB"/>
        </w:rPr>
        <w:t>.</w:t>
      </w:r>
    </w:p>
    <w:p w14:paraId="0593500A" w14:textId="77777777" w:rsidR="007740BF" w:rsidRPr="007520E9" w:rsidRDefault="007740BF" w:rsidP="007740BF">
      <w:pPr>
        <w:pStyle w:val="Bullet-green"/>
        <w:rPr>
          <w:lang w:val="en-GB"/>
        </w:rPr>
      </w:pPr>
      <w:r w:rsidRPr="007520E9">
        <w:rPr>
          <w:lang w:val="en-GB"/>
        </w:rPr>
        <w:t>Eight addiction medicine community case conference items, with durations of less than 15 minutes, 15</w:t>
      </w:r>
      <w:r w:rsidR="007F3B9D" w:rsidRPr="007520E9">
        <w:rPr>
          <w:lang w:val="en-GB"/>
        </w:rPr>
        <w:t xml:space="preserve"> to </w:t>
      </w:r>
      <w:r w:rsidRPr="007520E9">
        <w:rPr>
          <w:lang w:val="en-GB"/>
        </w:rPr>
        <w:t>30 minutes, 30</w:t>
      </w:r>
      <w:r w:rsidR="00BB3AE7" w:rsidRPr="007520E9">
        <w:rPr>
          <w:lang w:val="en-GB"/>
        </w:rPr>
        <w:t xml:space="preserve"> to </w:t>
      </w:r>
      <w:r w:rsidRPr="007520E9">
        <w:rPr>
          <w:lang w:val="en-GB"/>
        </w:rPr>
        <w:t xml:space="preserve">45 minutes and at least 45 minutes, </w:t>
      </w:r>
      <w:r w:rsidR="009E049F">
        <w:rPr>
          <w:lang w:val="en-GB"/>
        </w:rPr>
        <w:t>as well as</w:t>
      </w:r>
      <w:r w:rsidR="009E049F" w:rsidRPr="007520E9">
        <w:rPr>
          <w:lang w:val="en-GB"/>
        </w:rPr>
        <w:t xml:space="preserve"> </w:t>
      </w:r>
      <w:r w:rsidRPr="007520E9">
        <w:rPr>
          <w:lang w:val="en-GB"/>
        </w:rPr>
        <w:t>separate items for organiser</w:t>
      </w:r>
      <w:r w:rsidR="006D4822" w:rsidRPr="0067229E">
        <w:rPr>
          <w:lang w:val="en-GB"/>
        </w:rPr>
        <w:t>s</w:t>
      </w:r>
      <w:r w:rsidRPr="00F30405">
        <w:rPr>
          <w:lang w:val="en-GB"/>
        </w:rPr>
        <w:t xml:space="preserve"> and participants</w:t>
      </w:r>
      <w:r w:rsidR="006D4822" w:rsidRPr="007520E9">
        <w:rPr>
          <w:lang w:val="en-GB"/>
        </w:rPr>
        <w:t>.</w:t>
      </w:r>
    </w:p>
    <w:p w14:paraId="7F72558A" w14:textId="77777777" w:rsidR="007740BF" w:rsidRDefault="007740BF" w:rsidP="007740BF">
      <w:pPr>
        <w:pStyle w:val="Bullet-green"/>
        <w:rPr>
          <w:lang w:val="en-GB"/>
        </w:rPr>
      </w:pPr>
      <w:r w:rsidRPr="007520E9">
        <w:rPr>
          <w:lang w:val="en-GB"/>
        </w:rPr>
        <w:t>Eight sexual health medicine community case conference items</w:t>
      </w:r>
      <w:r w:rsidR="0061198D">
        <w:rPr>
          <w:lang w:val="en-GB"/>
        </w:rPr>
        <w:t>,</w:t>
      </w:r>
      <w:r w:rsidRPr="007520E9">
        <w:rPr>
          <w:lang w:val="en-GB"/>
        </w:rPr>
        <w:t xml:space="preserve"> with durations of less than 15 minutes, 15</w:t>
      </w:r>
      <w:r w:rsidR="00FE42F9" w:rsidRPr="007520E9">
        <w:rPr>
          <w:lang w:val="en-GB"/>
        </w:rPr>
        <w:t xml:space="preserve"> to </w:t>
      </w:r>
      <w:r w:rsidRPr="007520E9">
        <w:rPr>
          <w:lang w:val="en-GB"/>
        </w:rPr>
        <w:t>30 minutes, 30</w:t>
      </w:r>
      <w:r w:rsidR="009B5490" w:rsidRPr="007520E9">
        <w:rPr>
          <w:lang w:val="en-GB"/>
        </w:rPr>
        <w:t xml:space="preserve"> to </w:t>
      </w:r>
      <w:r w:rsidRPr="007520E9">
        <w:rPr>
          <w:lang w:val="en-GB"/>
        </w:rPr>
        <w:t xml:space="preserve">45 minutes and at least 45 minutes, </w:t>
      </w:r>
      <w:r w:rsidR="00836928">
        <w:rPr>
          <w:lang w:val="en-GB"/>
        </w:rPr>
        <w:t>as well as</w:t>
      </w:r>
      <w:r w:rsidR="00836928" w:rsidRPr="007520E9">
        <w:rPr>
          <w:lang w:val="en-GB"/>
        </w:rPr>
        <w:t xml:space="preserve"> </w:t>
      </w:r>
      <w:r w:rsidRPr="007520E9">
        <w:rPr>
          <w:lang w:val="en-GB"/>
        </w:rPr>
        <w:t>separate items for organiser</w:t>
      </w:r>
      <w:r w:rsidR="008E2E94" w:rsidRPr="007520E9">
        <w:rPr>
          <w:lang w:val="en-GB"/>
        </w:rPr>
        <w:t>s</w:t>
      </w:r>
      <w:r w:rsidRPr="007520E9">
        <w:rPr>
          <w:lang w:val="en-GB"/>
        </w:rPr>
        <w:t xml:space="preserve"> and participants</w:t>
      </w:r>
      <w:r w:rsidR="008E2E94" w:rsidRPr="007520E9">
        <w:rPr>
          <w:lang w:val="en-GB"/>
        </w:rPr>
        <w:t>.</w:t>
      </w:r>
    </w:p>
    <w:p w14:paraId="60487B07" w14:textId="77777777" w:rsidR="007E6567" w:rsidRDefault="007E6567" w:rsidP="00607BDA">
      <w:pPr>
        <w:pStyle w:val="Bullet-green"/>
        <w:numPr>
          <w:ilvl w:val="0"/>
          <w:numId w:val="0"/>
        </w:numPr>
      </w:pPr>
      <w:r>
        <w:t>Specific case conference items exist for pain medicine, palliative medicine, addiction medicine and sexual health medicine.</w:t>
      </w:r>
    </w:p>
    <w:p w14:paraId="57A4AAF6" w14:textId="77777777" w:rsidR="00D770BE" w:rsidRPr="007520E9" w:rsidRDefault="00D770BE" w:rsidP="00607BDA">
      <w:pPr>
        <w:pStyle w:val="Bullet-green"/>
        <w:numPr>
          <w:ilvl w:val="0"/>
          <w:numId w:val="0"/>
        </w:numPr>
        <w:rPr>
          <w:lang w:val="en-GB"/>
        </w:rPr>
      </w:pPr>
      <w:r>
        <w:t>The current system is highly complex and can be difficult to navigate for providers and patients.</w:t>
      </w:r>
    </w:p>
    <w:p w14:paraId="633F7D07" w14:textId="77777777" w:rsidR="00362B5F" w:rsidRPr="00C33C0B" w:rsidRDefault="00362B5F" w:rsidP="003C5D5A">
      <w:pPr>
        <w:pStyle w:val="Heading2"/>
      </w:pPr>
      <w:bookmarkStart w:id="179" w:name="_Toc67952236"/>
      <w:bookmarkStart w:id="180" w:name="_Hlk529008868"/>
      <w:r w:rsidRPr="00C33C0B">
        <w:t xml:space="preserve">Recommendation </w:t>
      </w:r>
      <w:r w:rsidR="00301462">
        <w:t>11</w:t>
      </w:r>
      <w:r w:rsidR="004907CE">
        <w:t xml:space="preserve"> - </w:t>
      </w:r>
      <w:r w:rsidR="004907CE">
        <w:rPr>
          <w:lang w:val="en-GB"/>
        </w:rPr>
        <w:t>Introduce</w:t>
      </w:r>
      <w:r w:rsidR="004907CE" w:rsidRPr="00C33C0B">
        <w:rPr>
          <w:lang w:val="en-GB"/>
        </w:rPr>
        <w:t xml:space="preserve"> a new framework of case conference items</w:t>
      </w:r>
      <w:r w:rsidR="004907CE">
        <w:rPr>
          <w:lang w:val="en-GB"/>
        </w:rPr>
        <w:t xml:space="preserve"> and allow access to all consultant specialists</w:t>
      </w:r>
      <w:bookmarkEnd w:id="179"/>
    </w:p>
    <w:p w14:paraId="15AC5155" w14:textId="77777777" w:rsidR="000A7018" w:rsidRDefault="000A7018" w:rsidP="00607BDA">
      <w:pPr>
        <w:pStyle w:val="Bullet-green"/>
        <w:numPr>
          <w:ilvl w:val="0"/>
          <w:numId w:val="0"/>
        </w:numPr>
        <w:rPr>
          <w:lang w:val="en-GB"/>
        </w:rPr>
      </w:pPr>
      <w:bookmarkStart w:id="181" w:name="_Hlk529027022"/>
      <w:r>
        <w:rPr>
          <w:lang w:val="en-GB"/>
        </w:rPr>
        <w:t>The Committee recommends:</w:t>
      </w:r>
    </w:p>
    <w:p w14:paraId="0EB8F0EA" w14:textId="77777777" w:rsidR="00E824BF" w:rsidRPr="00C33C0B" w:rsidRDefault="000A7018" w:rsidP="000831A1">
      <w:pPr>
        <w:pStyle w:val="Bullet-green"/>
        <w:numPr>
          <w:ilvl w:val="0"/>
          <w:numId w:val="55"/>
        </w:numPr>
        <w:rPr>
          <w:lang w:val="en-GB"/>
        </w:rPr>
      </w:pPr>
      <w:r>
        <w:rPr>
          <w:lang w:val="en-GB"/>
        </w:rPr>
        <w:t xml:space="preserve">introducing a new </w:t>
      </w:r>
      <w:r w:rsidR="006D2D3D">
        <w:rPr>
          <w:lang w:val="en-GB"/>
        </w:rPr>
        <w:t xml:space="preserve">simplified </w:t>
      </w:r>
      <w:r>
        <w:rPr>
          <w:lang w:val="en-GB"/>
        </w:rPr>
        <w:t>f</w:t>
      </w:r>
      <w:r w:rsidRPr="00C33C0B">
        <w:rPr>
          <w:lang w:val="en-GB"/>
        </w:rPr>
        <w:t>ramework of case conference items</w:t>
      </w:r>
      <w:r>
        <w:rPr>
          <w:lang w:val="en-GB"/>
        </w:rPr>
        <w:t>, featuring three types:</w:t>
      </w:r>
    </w:p>
    <w:p w14:paraId="67FEFBF9" w14:textId="77777777" w:rsidR="00E824BF" w:rsidRPr="00C33C0B" w:rsidRDefault="006D683C" w:rsidP="000831A1">
      <w:pPr>
        <w:pStyle w:val="Bullet2"/>
        <w:numPr>
          <w:ilvl w:val="0"/>
          <w:numId w:val="56"/>
        </w:numPr>
      </w:pPr>
      <w:r>
        <w:t>d</w:t>
      </w:r>
      <w:r w:rsidR="00E824BF" w:rsidRPr="00C33C0B">
        <w:t>ischarge planning case conferences</w:t>
      </w:r>
      <w:r w:rsidR="002F383E">
        <w:t xml:space="preserve"> </w:t>
      </w:r>
      <w:r w:rsidR="004F66EA">
        <w:rPr>
          <w:lang w:val="en-GB"/>
        </w:rPr>
        <w:t>- a case conference to facilitate better post-discharge care and communication</w:t>
      </w:r>
      <w:r>
        <w:rPr>
          <w:lang w:val="en-GB"/>
        </w:rPr>
        <w:t>;</w:t>
      </w:r>
    </w:p>
    <w:p w14:paraId="3C157DC9" w14:textId="77777777" w:rsidR="00E824BF" w:rsidRPr="00C33C0B" w:rsidRDefault="006D683C" w:rsidP="000831A1">
      <w:pPr>
        <w:pStyle w:val="Bullet2"/>
        <w:numPr>
          <w:ilvl w:val="0"/>
          <w:numId w:val="56"/>
        </w:numPr>
      </w:pPr>
      <w:r>
        <w:t>c</w:t>
      </w:r>
      <w:r w:rsidR="00E824BF" w:rsidRPr="00C33C0B">
        <w:t>ommunity case conferences</w:t>
      </w:r>
      <w:r w:rsidR="002F383E">
        <w:t xml:space="preserve"> </w:t>
      </w:r>
      <w:r w:rsidR="004F66EA">
        <w:rPr>
          <w:lang w:val="en-GB"/>
        </w:rPr>
        <w:t>- a case conference to facilitate the provision of better multidisciplinary care</w:t>
      </w:r>
      <w:r>
        <w:t xml:space="preserve">; </w:t>
      </w:r>
      <w:r w:rsidR="000A7018">
        <w:t>and</w:t>
      </w:r>
    </w:p>
    <w:p w14:paraId="1F876B4D" w14:textId="77777777" w:rsidR="00E824BF" w:rsidRPr="00C33C0B" w:rsidRDefault="006D683C" w:rsidP="000831A1">
      <w:pPr>
        <w:pStyle w:val="Bullet2"/>
        <w:numPr>
          <w:ilvl w:val="0"/>
          <w:numId w:val="56"/>
        </w:numPr>
      </w:pPr>
      <w:r>
        <w:t>t</w:t>
      </w:r>
      <w:r w:rsidR="00E824BF" w:rsidRPr="00C33C0B">
        <w:t>reatment planning case conferences</w:t>
      </w:r>
      <w:r w:rsidR="001D722B" w:rsidRPr="00C33C0B">
        <w:t xml:space="preserve"> (new)</w:t>
      </w:r>
      <w:r w:rsidR="000A7018">
        <w:t xml:space="preserve"> </w:t>
      </w:r>
      <w:r w:rsidR="004F66EA">
        <w:rPr>
          <w:lang w:val="en-GB"/>
        </w:rPr>
        <w:t>- a case conference that explores and analyses potential treatment options and their respective benefits</w:t>
      </w:r>
      <w:r w:rsidR="004601A9">
        <w:t>.</w:t>
      </w:r>
    </w:p>
    <w:p w14:paraId="292C364D" w14:textId="77777777" w:rsidR="00C14AE6" w:rsidRPr="00607BDA" w:rsidRDefault="000A7018" w:rsidP="000831A1">
      <w:pPr>
        <w:pStyle w:val="Bullet-green"/>
        <w:numPr>
          <w:ilvl w:val="0"/>
          <w:numId w:val="55"/>
        </w:numPr>
        <w:rPr>
          <w:lang w:val="en-GB"/>
        </w:rPr>
      </w:pPr>
      <w:r>
        <w:rPr>
          <w:lang w:val="en-GB"/>
        </w:rPr>
        <w:t>r</w:t>
      </w:r>
      <w:r w:rsidR="00C14AE6" w:rsidRPr="00607BDA">
        <w:rPr>
          <w:lang w:val="en-GB"/>
        </w:rPr>
        <w:t>estructur</w:t>
      </w:r>
      <w:r>
        <w:rPr>
          <w:lang w:val="en-GB"/>
        </w:rPr>
        <w:t>ing</w:t>
      </w:r>
      <w:r w:rsidR="00C14AE6" w:rsidRPr="00607BDA">
        <w:rPr>
          <w:lang w:val="en-GB"/>
        </w:rPr>
        <w:t xml:space="preserve"> </w:t>
      </w:r>
      <w:r w:rsidR="000D7D7F" w:rsidRPr="00607BDA">
        <w:rPr>
          <w:lang w:val="en-GB"/>
        </w:rPr>
        <w:t xml:space="preserve">current </w:t>
      </w:r>
      <w:r w:rsidR="00DA6A8D" w:rsidRPr="00607BDA">
        <w:rPr>
          <w:lang w:val="en-GB"/>
        </w:rPr>
        <w:t xml:space="preserve">case conference </w:t>
      </w:r>
      <w:r w:rsidR="000A1728" w:rsidRPr="00607BDA">
        <w:rPr>
          <w:lang w:val="en-GB"/>
        </w:rPr>
        <w:t>items</w:t>
      </w:r>
      <w:r>
        <w:rPr>
          <w:lang w:val="en-GB"/>
        </w:rPr>
        <w:t>, by:</w:t>
      </w:r>
    </w:p>
    <w:p w14:paraId="202BECD6" w14:textId="77777777" w:rsidR="009E749B" w:rsidRPr="00C33C0B" w:rsidRDefault="000A7018" w:rsidP="000831A1">
      <w:pPr>
        <w:pStyle w:val="BulletStyle3"/>
        <w:numPr>
          <w:ilvl w:val="0"/>
          <w:numId w:val="57"/>
        </w:numPr>
        <w:rPr>
          <w:lang w:val="en-GB"/>
        </w:rPr>
      </w:pPr>
      <w:r>
        <w:rPr>
          <w:lang w:val="en-GB"/>
        </w:rPr>
        <w:t xml:space="preserve">Replacing </w:t>
      </w:r>
      <w:r w:rsidR="00C14AE6" w:rsidRPr="00C33C0B">
        <w:rPr>
          <w:lang w:val="en-GB"/>
        </w:rPr>
        <w:t>“</w:t>
      </w:r>
      <w:r w:rsidR="00407143">
        <w:rPr>
          <w:lang w:val="en-GB"/>
        </w:rPr>
        <w:t>C</w:t>
      </w:r>
      <w:r w:rsidR="000A1728" w:rsidRPr="00C33C0B">
        <w:rPr>
          <w:lang w:val="en-GB"/>
        </w:rPr>
        <w:t xml:space="preserve">ancer </w:t>
      </w:r>
      <w:r w:rsidR="0052439D" w:rsidRPr="00C33C0B">
        <w:rPr>
          <w:lang w:val="en-GB"/>
        </w:rPr>
        <w:t>planning</w:t>
      </w:r>
      <w:r w:rsidR="00C14AE6" w:rsidRPr="00C33C0B">
        <w:rPr>
          <w:lang w:val="en-GB"/>
        </w:rPr>
        <w:t xml:space="preserve">” conferences </w:t>
      </w:r>
      <w:r>
        <w:rPr>
          <w:lang w:val="en-GB"/>
        </w:rPr>
        <w:t>with</w:t>
      </w:r>
      <w:r w:rsidR="004F66EA" w:rsidRPr="00C33C0B">
        <w:rPr>
          <w:lang w:val="en-GB"/>
        </w:rPr>
        <w:t xml:space="preserve"> </w:t>
      </w:r>
      <w:r w:rsidR="00C14AE6" w:rsidRPr="00C33C0B">
        <w:rPr>
          <w:lang w:val="en-GB"/>
        </w:rPr>
        <w:t>“</w:t>
      </w:r>
      <w:r w:rsidR="000A1728" w:rsidRPr="00C33C0B">
        <w:rPr>
          <w:lang w:val="en-GB"/>
        </w:rPr>
        <w:t>treat</w:t>
      </w:r>
      <w:r w:rsidR="000D7D7F" w:rsidRPr="00C33C0B">
        <w:rPr>
          <w:lang w:val="en-GB"/>
        </w:rPr>
        <w:t>ment planning</w:t>
      </w:r>
      <w:r w:rsidR="00C14AE6" w:rsidRPr="00C33C0B">
        <w:rPr>
          <w:lang w:val="en-GB"/>
        </w:rPr>
        <w:t xml:space="preserve">” </w:t>
      </w:r>
      <w:r w:rsidR="000D7D7F" w:rsidRPr="00C33C0B">
        <w:rPr>
          <w:lang w:val="en-GB"/>
        </w:rPr>
        <w:t>conferences</w:t>
      </w:r>
      <w:r w:rsidR="006D683C">
        <w:rPr>
          <w:lang w:val="en-GB"/>
        </w:rPr>
        <w:t xml:space="preserve">; </w:t>
      </w:r>
      <w:r w:rsidR="00C14AE6" w:rsidRPr="00C33C0B">
        <w:rPr>
          <w:lang w:val="en-GB"/>
        </w:rPr>
        <w:t xml:space="preserve">broadening </w:t>
      </w:r>
      <w:r w:rsidR="009E749B" w:rsidRPr="00C33C0B">
        <w:rPr>
          <w:lang w:val="en-GB"/>
        </w:rPr>
        <w:t xml:space="preserve">use of these items to other conditions that require treatment planning with </w:t>
      </w:r>
      <w:r w:rsidR="00FC15D9">
        <w:rPr>
          <w:lang w:val="en-GB"/>
        </w:rPr>
        <w:t>other members of the treatment team</w:t>
      </w:r>
      <w:r w:rsidR="009E749B" w:rsidRPr="00C33C0B">
        <w:rPr>
          <w:lang w:val="en-GB"/>
        </w:rPr>
        <w:t xml:space="preserve"> but are not cancer diagnoses</w:t>
      </w:r>
      <w:r w:rsidR="0017395F">
        <w:rPr>
          <w:lang w:val="en-GB"/>
        </w:rPr>
        <w:t>.</w:t>
      </w:r>
    </w:p>
    <w:p w14:paraId="50297E72" w14:textId="77777777" w:rsidR="00DA6A8D" w:rsidRPr="00C33C0B" w:rsidRDefault="000A7018" w:rsidP="000831A1">
      <w:pPr>
        <w:pStyle w:val="BulletStyle3"/>
        <w:numPr>
          <w:ilvl w:val="0"/>
          <w:numId w:val="57"/>
        </w:numPr>
        <w:rPr>
          <w:lang w:val="en-GB"/>
        </w:rPr>
      </w:pPr>
      <w:r>
        <w:rPr>
          <w:lang w:val="en-GB"/>
        </w:rPr>
        <w:t>Removing s</w:t>
      </w:r>
      <w:r w:rsidR="009E749B" w:rsidRPr="00C33C0B">
        <w:rPr>
          <w:lang w:val="en-GB"/>
        </w:rPr>
        <w:t>pecialty-specific ca</w:t>
      </w:r>
      <w:r w:rsidR="00E800F9" w:rsidRPr="00C33C0B">
        <w:rPr>
          <w:lang w:val="en-GB"/>
        </w:rPr>
        <w:t>se conference items</w:t>
      </w:r>
      <w:r w:rsidR="0091588A">
        <w:rPr>
          <w:lang w:val="en-GB"/>
        </w:rPr>
        <w:t xml:space="preserve"> - with the exception of item 880 for ger</w:t>
      </w:r>
      <w:r w:rsidR="008D7F80">
        <w:rPr>
          <w:lang w:val="en-GB"/>
        </w:rPr>
        <w:t>iatrics and rehabilitation medicine –</w:t>
      </w:r>
      <w:r w:rsidR="006D683C">
        <w:rPr>
          <w:lang w:val="en-GB"/>
        </w:rPr>
        <w:t xml:space="preserve"> </w:t>
      </w:r>
      <w:r w:rsidR="004F66EA">
        <w:rPr>
          <w:lang w:val="en-GB"/>
        </w:rPr>
        <w:t xml:space="preserve">with </w:t>
      </w:r>
      <w:r w:rsidR="00AA329D">
        <w:rPr>
          <w:lang w:val="en-GB"/>
        </w:rPr>
        <w:t>consultant specialist</w:t>
      </w:r>
      <w:r w:rsidR="00E800F9" w:rsidRPr="00C33C0B">
        <w:rPr>
          <w:lang w:val="en-GB"/>
        </w:rPr>
        <w:t xml:space="preserve">s </w:t>
      </w:r>
      <w:r w:rsidR="006C6555">
        <w:rPr>
          <w:lang w:val="en-GB"/>
        </w:rPr>
        <w:t>instead access</w:t>
      </w:r>
      <w:r w:rsidR="004F66EA">
        <w:rPr>
          <w:lang w:val="en-GB"/>
        </w:rPr>
        <w:t>ing</w:t>
      </w:r>
      <w:r w:rsidR="006C6555">
        <w:rPr>
          <w:lang w:val="en-GB"/>
        </w:rPr>
        <w:t xml:space="preserve"> the </w:t>
      </w:r>
      <w:r w:rsidR="00E800F9" w:rsidRPr="00C33C0B">
        <w:rPr>
          <w:lang w:val="en-GB"/>
        </w:rPr>
        <w:t xml:space="preserve">three </w:t>
      </w:r>
      <w:r w:rsidR="006C6555">
        <w:rPr>
          <w:lang w:val="en-GB"/>
        </w:rPr>
        <w:t xml:space="preserve">case conference </w:t>
      </w:r>
      <w:r w:rsidR="00E800F9" w:rsidRPr="00C33C0B">
        <w:rPr>
          <w:lang w:val="en-GB"/>
        </w:rPr>
        <w:t>categories</w:t>
      </w:r>
      <w:r w:rsidR="006C6555">
        <w:rPr>
          <w:lang w:val="en-GB"/>
        </w:rPr>
        <w:t xml:space="preserve"> listed</w:t>
      </w:r>
      <w:r w:rsidR="00E800F9" w:rsidRPr="00C33C0B">
        <w:rPr>
          <w:lang w:val="en-GB"/>
        </w:rPr>
        <w:t xml:space="preserve"> above</w:t>
      </w:r>
      <w:r w:rsidR="00F62AB8">
        <w:rPr>
          <w:lang w:val="en-GB"/>
        </w:rPr>
        <w:t>.</w:t>
      </w:r>
    </w:p>
    <w:p w14:paraId="62E4B7CD" w14:textId="77777777" w:rsidR="000A7018" w:rsidRPr="00607BDA" w:rsidRDefault="007E6567" w:rsidP="000831A1">
      <w:pPr>
        <w:pStyle w:val="Bullet-green"/>
        <w:numPr>
          <w:ilvl w:val="0"/>
          <w:numId w:val="55"/>
        </w:numPr>
        <w:rPr>
          <w:lang w:val="en-GB"/>
        </w:rPr>
      </w:pPr>
      <w:r>
        <w:rPr>
          <w:lang w:val="en-GB"/>
        </w:rPr>
        <w:t>u</w:t>
      </w:r>
      <w:r w:rsidR="009E682B" w:rsidRPr="00607BDA">
        <w:rPr>
          <w:lang w:val="en-GB"/>
        </w:rPr>
        <w:t>pdat</w:t>
      </w:r>
      <w:r>
        <w:rPr>
          <w:lang w:val="en-GB"/>
        </w:rPr>
        <w:t>ing</w:t>
      </w:r>
      <w:r w:rsidR="009E682B" w:rsidRPr="00607BDA">
        <w:rPr>
          <w:lang w:val="en-GB"/>
        </w:rPr>
        <w:t xml:space="preserve"> existing discharge and community case conference item</w:t>
      </w:r>
      <w:r>
        <w:rPr>
          <w:lang w:val="en-GB"/>
        </w:rPr>
        <w:t>s</w:t>
      </w:r>
      <w:r w:rsidR="000A7018">
        <w:rPr>
          <w:lang w:val="en-GB"/>
        </w:rPr>
        <w:t xml:space="preserve"> (</w:t>
      </w:r>
      <w:r>
        <w:t>i</w:t>
      </w:r>
      <w:r w:rsidR="000A7018" w:rsidRPr="009834BE">
        <w:t>tems 820, 822, 823, 825, 826</w:t>
      </w:r>
      <w:r w:rsidR="000A7018">
        <w:t xml:space="preserve"> and</w:t>
      </w:r>
      <w:r w:rsidR="000A7018" w:rsidRPr="009834BE">
        <w:t xml:space="preserve"> 828</w:t>
      </w:r>
      <w:r w:rsidR="000A7018">
        <w:t>,</w:t>
      </w:r>
      <w:r w:rsidR="000A7018" w:rsidRPr="009834BE">
        <w:t xml:space="preserve"> and items</w:t>
      </w:r>
      <w:r w:rsidR="000A7018">
        <w:t xml:space="preserve"> 830, 832, 834, 835, 837 and 838) </w:t>
      </w:r>
      <w:r>
        <w:t>descriptors to</w:t>
      </w:r>
      <w:r w:rsidR="000A7018">
        <w:t>:</w:t>
      </w:r>
    </w:p>
    <w:p w14:paraId="7B6C0BE2" w14:textId="77777777" w:rsidR="000A7018" w:rsidRDefault="007F6438" w:rsidP="000831A1">
      <w:pPr>
        <w:pStyle w:val="Bullet-green"/>
        <w:numPr>
          <w:ilvl w:val="0"/>
          <w:numId w:val="58"/>
        </w:numPr>
        <w:rPr>
          <w:lang w:val="en-GB"/>
        </w:rPr>
      </w:pPr>
      <w:r>
        <w:rPr>
          <w:lang w:val="en-GB"/>
        </w:rPr>
        <w:t>A</w:t>
      </w:r>
      <w:r w:rsidR="000A7018">
        <w:rPr>
          <w:lang w:val="en-GB"/>
        </w:rPr>
        <w:t xml:space="preserve">llow </w:t>
      </w:r>
      <w:r w:rsidR="006B4BA8" w:rsidRPr="00607BDA">
        <w:rPr>
          <w:lang w:val="en-GB"/>
        </w:rPr>
        <w:t xml:space="preserve">all </w:t>
      </w:r>
      <w:r w:rsidR="005A77BC" w:rsidRPr="00607BDA">
        <w:rPr>
          <w:lang w:val="en-GB"/>
        </w:rPr>
        <w:t xml:space="preserve">consultant </w:t>
      </w:r>
      <w:r w:rsidR="008C78CE" w:rsidRPr="00607BDA">
        <w:rPr>
          <w:lang w:val="en-GB"/>
        </w:rPr>
        <w:t>specialists</w:t>
      </w:r>
      <w:r w:rsidR="005A77BC" w:rsidRPr="00607BDA">
        <w:rPr>
          <w:lang w:val="en-GB"/>
        </w:rPr>
        <w:t xml:space="preserve"> </w:t>
      </w:r>
      <w:r w:rsidR="006B4BA8" w:rsidRPr="00607BDA">
        <w:rPr>
          <w:lang w:val="en-GB"/>
        </w:rPr>
        <w:t>to claim these items</w:t>
      </w:r>
      <w:r w:rsidR="006D683C">
        <w:rPr>
          <w:lang w:val="en-GB"/>
        </w:rPr>
        <w:t>.</w:t>
      </w:r>
    </w:p>
    <w:p w14:paraId="7B10EA30" w14:textId="77777777" w:rsidR="007E6567" w:rsidRDefault="007F6438" w:rsidP="000831A1">
      <w:pPr>
        <w:pStyle w:val="Bullet-green"/>
        <w:numPr>
          <w:ilvl w:val="0"/>
          <w:numId w:val="58"/>
        </w:numPr>
        <w:rPr>
          <w:lang w:val="en-GB"/>
        </w:rPr>
      </w:pPr>
      <w:r>
        <w:rPr>
          <w:lang w:val="en-GB"/>
        </w:rPr>
        <w:t>R</w:t>
      </w:r>
      <w:r w:rsidR="00F034F3" w:rsidRPr="000A7018">
        <w:rPr>
          <w:lang w:val="en-GB"/>
        </w:rPr>
        <w:t>equire</w:t>
      </w:r>
      <w:r w:rsidR="007E6567">
        <w:rPr>
          <w:lang w:val="en-GB"/>
        </w:rPr>
        <w:t>:</w:t>
      </w:r>
    </w:p>
    <w:p w14:paraId="52F534D6" w14:textId="21687CAA" w:rsidR="000A7018" w:rsidRDefault="00F034F3" w:rsidP="000831A1">
      <w:pPr>
        <w:pStyle w:val="Bullet-green"/>
        <w:numPr>
          <w:ilvl w:val="1"/>
          <w:numId w:val="58"/>
        </w:numPr>
        <w:rPr>
          <w:lang w:val="en-GB"/>
        </w:rPr>
      </w:pPr>
      <w:r w:rsidRPr="000A7018">
        <w:rPr>
          <w:lang w:val="en-GB"/>
        </w:rPr>
        <w:t>m</w:t>
      </w:r>
      <w:r w:rsidR="009B5F6D" w:rsidRPr="000A7018">
        <w:rPr>
          <w:lang w:val="en-GB"/>
        </w:rPr>
        <w:t>andatory GP (or delegate) participation</w:t>
      </w:r>
      <w:r w:rsidR="006D683C">
        <w:rPr>
          <w:lang w:val="en-GB"/>
        </w:rPr>
        <w:t>;</w:t>
      </w:r>
    </w:p>
    <w:p w14:paraId="23F8EA42" w14:textId="77777777" w:rsidR="000A7018" w:rsidRPr="00607BDA" w:rsidRDefault="009B5F6D" w:rsidP="00607BDA">
      <w:pPr>
        <w:pStyle w:val="Bullet-green"/>
        <w:numPr>
          <w:ilvl w:val="0"/>
          <w:numId w:val="0"/>
        </w:numPr>
        <w:ind w:left="1437"/>
        <w:rPr>
          <w:i/>
          <w:lang w:val="en-GB"/>
        </w:rPr>
      </w:pPr>
      <w:r w:rsidRPr="00607BDA">
        <w:rPr>
          <w:i/>
          <w:lang w:val="en-GB"/>
        </w:rPr>
        <w:t xml:space="preserve">OR </w:t>
      </w:r>
    </w:p>
    <w:p w14:paraId="1F3FAAC3" w14:textId="77777777" w:rsidR="007E6567" w:rsidRDefault="007E6567" w:rsidP="000831A1">
      <w:pPr>
        <w:pStyle w:val="Bullet-green"/>
        <w:numPr>
          <w:ilvl w:val="1"/>
          <w:numId w:val="58"/>
        </w:numPr>
        <w:rPr>
          <w:lang w:val="en-GB"/>
        </w:rPr>
      </w:pPr>
      <w:r>
        <w:rPr>
          <w:lang w:val="en-GB"/>
        </w:rPr>
        <w:t xml:space="preserve">mandatory </w:t>
      </w:r>
      <w:r w:rsidR="00407314" w:rsidRPr="000A7018">
        <w:rPr>
          <w:lang w:val="en-GB"/>
        </w:rPr>
        <w:t xml:space="preserve">review of outcomes and </w:t>
      </w:r>
      <w:r w:rsidR="009B5F6D" w:rsidRPr="000A7018">
        <w:rPr>
          <w:lang w:val="en-GB"/>
        </w:rPr>
        <w:t>communication of any proposed changes to the patient and to the case conference organiser</w:t>
      </w:r>
      <w:r w:rsidR="006D683C">
        <w:rPr>
          <w:lang w:val="en-GB"/>
        </w:rPr>
        <w:t>.</w:t>
      </w:r>
    </w:p>
    <w:p w14:paraId="6886CAF0" w14:textId="77777777" w:rsidR="00B806E3" w:rsidRPr="00C33C0B" w:rsidRDefault="007F6438" w:rsidP="000831A1">
      <w:pPr>
        <w:pStyle w:val="Bullet-green"/>
        <w:numPr>
          <w:ilvl w:val="0"/>
          <w:numId w:val="58"/>
        </w:numPr>
        <w:rPr>
          <w:lang w:val="en-GB"/>
        </w:rPr>
      </w:pPr>
      <w:r>
        <w:rPr>
          <w:lang w:val="en-GB"/>
        </w:rPr>
        <w:t>R</w:t>
      </w:r>
      <w:r w:rsidR="00B806E3">
        <w:rPr>
          <w:lang w:val="en-GB"/>
        </w:rPr>
        <w:t>equire m</w:t>
      </w:r>
      <w:r w:rsidR="00B806E3" w:rsidRPr="00C33C0B">
        <w:rPr>
          <w:lang w:val="en-GB"/>
        </w:rPr>
        <w:t xml:space="preserve">andatory </w:t>
      </w:r>
      <w:r w:rsidR="00301462">
        <w:rPr>
          <w:lang w:val="en-GB"/>
        </w:rPr>
        <w:t xml:space="preserve">invitation of the </w:t>
      </w:r>
      <w:r w:rsidR="00B806E3" w:rsidRPr="00C33C0B">
        <w:rPr>
          <w:lang w:val="en-GB"/>
        </w:rPr>
        <w:t>patient (or delegate)</w:t>
      </w:r>
      <w:r w:rsidR="00B806E3">
        <w:rPr>
          <w:lang w:val="en-GB"/>
        </w:rPr>
        <w:t xml:space="preserve"> to participate.</w:t>
      </w:r>
      <w:r w:rsidR="00B806E3" w:rsidRPr="00C33C0B">
        <w:rPr>
          <w:lang w:val="en-GB"/>
        </w:rPr>
        <w:t xml:space="preserve"> </w:t>
      </w:r>
      <w:r w:rsidR="00B806E3">
        <w:rPr>
          <w:lang w:val="en-GB"/>
        </w:rPr>
        <w:t>Their attendance should be made</w:t>
      </w:r>
      <w:r w:rsidR="00B806E3" w:rsidRPr="00C33C0B">
        <w:rPr>
          <w:lang w:val="en-GB"/>
        </w:rPr>
        <w:t xml:space="preserve"> possible </w:t>
      </w:r>
      <w:r w:rsidR="00B806E3">
        <w:rPr>
          <w:lang w:val="en-GB"/>
        </w:rPr>
        <w:t>if</w:t>
      </w:r>
      <w:r w:rsidR="00B806E3" w:rsidRPr="00C33C0B">
        <w:rPr>
          <w:lang w:val="en-GB"/>
        </w:rPr>
        <w:t xml:space="preserve"> </w:t>
      </w:r>
      <w:r w:rsidR="00B806E3">
        <w:rPr>
          <w:lang w:val="en-GB"/>
        </w:rPr>
        <w:t xml:space="preserve">the </w:t>
      </w:r>
      <w:r w:rsidR="00B806E3" w:rsidRPr="00C33C0B">
        <w:rPr>
          <w:lang w:val="en-GB"/>
        </w:rPr>
        <w:t xml:space="preserve">patient </w:t>
      </w:r>
      <w:r w:rsidR="00B806E3">
        <w:rPr>
          <w:lang w:val="en-GB"/>
        </w:rPr>
        <w:t>chooses to do so.</w:t>
      </w:r>
    </w:p>
    <w:p w14:paraId="162439B3" w14:textId="13888083" w:rsidR="00B806E3" w:rsidRDefault="007F6438" w:rsidP="000831A1">
      <w:pPr>
        <w:pStyle w:val="Bullet-green"/>
        <w:numPr>
          <w:ilvl w:val="0"/>
          <w:numId w:val="58"/>
        </w:numPr>
        <w:rPr>
          <w:lang w:val="en-GB"/>
        </w:rPr>
      </w:pPr>
      <w:r>
        <w:rPr>
          <w:lang w:val="en-GB"/>
        </w:rPr>
        <w:t>R</w:t>
      </w:r>
      <w:r w:rsidR="00B806E3">
        <w:rPr>
          <w:lang w:val="en-GB"/>
        </w:rPr>
        <w:t>equire o</w:t>
      </w:r>
      <w:r w:rsidR="00B806E3" w:rsidRPr="00C33C0B">
        <w:rPr>
          <w:lang w:val="en-GB"/>
        </w:rPr>
        <w:t xml:space="preserve">utcomes </w:t>
      </w:r>
      <w:r w:rsidR="00B806E3">
        <w:rPr>
          <w:lang w:val="en-GB"/>
        </w:rPr>
        <w:t xml:space="preserve">to </w:t>
      </w:r>
      <w:r w:rsidR="00B806E3" w:rsidRPr="00C33C0B">
        <w:rPr>
          <w:lang w:val="en-GB"/>
        </w:rPr>
        <w:t>be documented in writing, including agreed, shared decisions and informed consent</w:t>
      </w:r>
      <w:r w:rsidR="00B806E3">
        <w:rPr>
          <w:lang w:val="en-GB"/>
        </w:rPr>
        <w:t>.</w:t>
      </w:r>
    </w:p>
    <w:p w14:paraId="06C639B5" w14:textId="113F8963" w:rsidR="00B806E3" w:rsidRPr="00C33C0B" w:rsidRDefault="007F6438" w:rsidP="000831A1">
      <w:pPr>
        <w:pStyle w:val="Bullet-green"/>
        <w:numPr>
          <w:ilvl w:val="0"/>
          <w:numId w:val="58"/>
        </w:numPr>
        <w:rPr>
          <w:lang w:val="en-GB"/>
        </w:rPr>
      </w:pPr>
      <w:r>
        <w:rPr>
          <w:lang w:val="en-GB"/>
        </w:rPr>
        <w:t>S</w:t>
      </w:r>
      <w:r w:rsidR="00B806E3">
        <w:rPr>
          <w:lang w:val="en-GB"/>
        </w:rPr>
        <w:t>tipulate that participants have the option</w:t>
      </w:r>
      <w:r w:rsidR="00B806E3" w:rsidRPr="00C33C0B">
        <w:rPr>
          <w:lang w:val="en-GB"/>
        </w:rPr>
        <w:t xml:space="preserve"> to attend face</w:t>
      </w:r>
      <w:r w:rsidR="00B806E3">
        <w:rPr>
          <w:lang w:val="en-GB"/>
        </w:rPr>
        <w:t xml:space="preserve"> </w:t>
      </w:r>
      <w:r w:rsidR="00B806E3" w:rsidRPr="00C33C0B">
        <w:rPr>
          <w:lang w:val="en-GB"/>
        </w:rPr>
        <w:t>to face, by videoconference</w:t>
      </w:r>
      <w:r w:rsidR="00B806E3">
        <w:rPr>
          <w:lang w:val="en-GB"/>
        </w:rPr>
        <w:t>,</w:t>
      </w:r>
      <w:r w:rsidR="00B806E3" w:rsidRPr="00C33C0B">
        <w:rPr>
          <w:lang w:val="en-GB"/>
        </w:rPr>
        <w:t xml:space="preserve"> or over the telephone</w:t>
      </w:r>
      <w:r w:rsidR="00B806E3">
        <w:rPr>
          <w:lang w:val="en-GB"/>
        </w:rPr>
        <w:t>.</w:t>
      </w:r>
    </w:p>
    <w:p w14:paraId="7DA098A3" w14:textId="77777777" w:rsidR="00B806E3" w:rsidRPr="00C33C0B" w:rsidRDefault="007F6438" w:rsidP="000831A1">
      <w:pPr>
        <w:pStyle w:val="Bullet-green"/>
        <w:numPr>
          <w:ilvl w:val="0"/>
          <w:numId w:val="58"/>
        </w:numPr>
        <w:rPr>
          <w:lang w:val="en-GB"/>
        </w:rPr>
      </w:pPr>
      <w:r>
        <w:rPr>
          <w:lang w:val="en-GB"/>
        </w:rPr>
        <w:t>R</w:t>
      </w:r>
      <w:r w:rsidR="00B806E3">
        <w:rPr>
          <w:lang w:val="en-GB"/>
        </w:rPr>
        <w:t>ecommend that outcomes be uploaded to My Health Record by the GP (or delegate)</w:t>
      </w:r>
      <w:r w:rsidR="006D683C">
        <w:rPr>
          <w:lang w:val="en-GB"/>
        </w:rPr>
        <w:t>.</w:t>
      </w:r>
    </w:p>
    <w:p w14:paraId="150C94C9" w14:textId="77777777" w:rsidR="007E6567" w:rsidRDefault="005F2150" w:rsidP="000831A1">
      <w:pPr>
        <w:pStyle w:val="Bullet-green"/>
        <w:numPr>
          <w:ilvl w:val="0"/>
          <w:numId w:val="55"/>
        </w:numPr>
        <w:rPr>
          <w:lang w:val="en-GB"/>
        </w:rPr>
      </w:pPr>
      <w:r>
        <w:rPr>
          <w:lang w:val="en-GB"/>
        </w:rPr>
        <w:t>update</w:t>
      </w:r>
      <w:r w:rsidR="007E6567" w:rsidRPr="003C4FE3">
        <w:rPr>
          <w:lang w:val="en-GB"/>
        </w:rPr>
        <w:t xml:space="preserve"> explanatory notes</w:t>
      </w:r>
      <w:r w:rsidR="00780BD4">
        <w:rPr>
          <w:lang w:val="en-GB"/>
        </w:rPr>
        <w:t xml:space="preserve"> to</w:t>
      </w:r>
      <w:r w:rsidR="007E6567">
        <w:rPr>
          <w:lang w:val="en-GB"/>
        </w:rPr>
        <w:t>:</w:t>
      </w:r>
    </w:p>
    <w:p w14:paraId="1EB4A855" w14:textId="77777777" w:rsidR="007E6567" w:rsidRPr="00607BDA" w:rsidRDefault="00780BD4" w:rsidP="000831A1">
      <w:pPr>
        <w:pStyle w:val="Bullet-green"/>
        <w:numPr>
          <w:ilvl w:val="0"/>
          <w:numId w:val="59"/>
        </w:numPr>
        <w:rPr>
          <w:lang w:val="en-GB"/>
        </w:rPr>
      </w:pPr>
      <w:r>
        <w:rPr>
          <w:lang w:val="en-GB"/>
        </w:rPr>
        <w:t xml:space="preserve">include </w:t>
      </w:r>
      <w:r w:rsidR="007E6567" w:rsidRPr="003C4FE3">
        <w:rPr>
          <w:lang w:val="en-GB"/>
        </w:rPr>
        <w:t>that the GP may not always be the clinician who is the primary care provider for the patient</w:t>
      </w:r>
      <w:r w:rsidR="007E6567">
        <w:rPr>
          <w:lang w:val="en-GB"/>
        </w:rPr>
        <w:t xml:space="preserve"> (e.g.</w:t>
      </w:r>
      <w:r w:rsidR="007E6567" w:rsidRPr="003C4FE3">
        <w:rPr>
          <w:lang w:val="en-GB"/>
        </w:rPr>
        <w:t xml:space="preserve"> complex paediatric patients are sometimes managed by a general or community</w:t>
      </w:r>
      <w:r w:rsidR="007E6567" w:rsidRPr="00607BDA">
        <w:rPr>
          <w:lang w:val="en-GB"/>
        </w:rPr>
        <w:t xml:space="preserve"> </w:t>
      </w:r>
      <w:r w:rsidR="007E6567" w:rsidRPr="007E6567">
        <w:rPr>
          <w:lang w:val="en-GB"/>
        </w:rPr>
        <w:t>paediatrician</w:t>
      </w:r>
      <w:r w:rsidR="007E6567">
        <w:rPr>
          <w:lang w:val="en-GB"/>
        </w:rPr>
        <w:t>) and that in</w:t>
      </w:r>
      <w:r w:rsidR="007E6567" w:rsidRPr="007E6567">
        <w:rPr>
          <w:lang w:val="en-GB"/>
        </w:rPr>
        <w:t xml:space="preserve"> such cases,</w:t>
      </w:r>
      <w:r w:rsidR="007E6567">
        <w:rPr>
          <w:lang w:val="en-GB"/>
        </w:rPr>
        <w:t xml:space="preserve"> </w:t>
      </w:r>
      <w:r w:rsidR="007E6567" w:rsidRPr="00607BDA">
        <w:rPr>
          <w:lang w:val="en-GB"/>
        </w:rPr>
        <w:t xml:space="preserve">there should be mandatory participation of the patient’s </w:t>
      </w:r>
      <w:r w:rsidR="007E6567" w:rsidRPr="007E6567">
        <w:rPr>
          <w:lang w:val="en-GB"/>
        </w:rPr>
        <w:t>primary care provider</w:t>
      </w:r>
      <w:r w:rsidR="006D683C">
        <w:rPr>
          <w:lang w:val="en-GB"/>
        </w:rPr>
        <w:t xml:space="preserve">; </w:t>
      </w:r>
      <w:r w:rsidR="007E6567">
        <w:rPr>
          <w:lang w:val="en-GB"/>
        </w:rPr>
        <w:t>and</w:t>
      </w:r>
    </w:p>
    <w:p w14:paraId="13AA7908" w14:textId="77777777" w:rsidR="002E515D" w:rsidRPr="007E6567" w:rsidRDefault="007E6567" w:rsidP="000831A1">
      <w:pPr>
        <w:pStyle w:val="Bullet-green"/>
        <w:numPr>
          <w:ilvl w:val="0"/>
          <w:numId w:val="59"/>
        </w:numPr>
        <w:rPr>
          <w:lang w:val="en-GB"/>
        </w:rPr>
      </w:pPr>
      <w:r>
        <w:rPr>
          <w:lang w:val="en-GB"/>
        </w:rPr>
        <w:t xml:space="preserve">clarify that </w:t>
      </w:r>
      <w:r w:rsidR="001B5C81" w:rsidRPr="007E6567">
        <w:rPr>
          <w:lang w:val="en-GB"/>
        </w:rPr>
        <w:t xml:space="preserve">GP </w:t>
      </w:r>
      <w:r w:rsidR="008400B5" w:rsidRPr="007E6567">
        <w:rPr>
          <w:lang w:val="en-GB"/>
        </w:rPr>
        <w:t>participation or review of outcomes</w:t>
      </w:r>
      <w:r w:rsidR="001B5C81" w:rsidRPr="007E6567">
        <w:rPr>
          <w:lang w:val="en-GB"/>
        </w:rPr>
        <w:t xml:space="preserve"> should not be a pre-requisite for the item being claimed by other participants</w:t>
      </w:r>
    </w:p>
    <w:p w14:paraId="0DF1EB92" w14:textId="77777777" w:rsidR="0009172D" w:rsidRPr="00607BDA" w:rsidRDefault="00B806E3" w:rsidP="000831A1">
      <w:pPr>
        <w:pStyle w:val="Bullet-green"/>
        <w:numPr>
          <w:ilvl w:val="0"/>
          <w:numId w:val="55"/>
        </w:numPr>
        <w:rPr>
          <w:lang w:val="en-GB"/>
        </w:rPr>
      </w:pPr>
      <w:r>
        <w:rPr>
          <w:lang w:val="en-GB"/>
        </w:rPr>
        <w:t>i</w:t>
      </w:r>
      <w:r w:rsidR="0052439D" w:rsidRPr="00607BDA">
        <w:rPr>
          <w:lang w:val="en-GB"/>
        </w:rPr>
        <w:t xml:space="preserve">ntroduce six new </w:t>
      </w:r>
      <w:r w:rsidR="00A65041" w:rsidRPr="00607BDA">
        <w:rPr>
          <w:lang w:val="en-GB"/>
        </w:rPr>
        <w:t xml:space="preserve">treatment planning </w:t>
      </w:r>
      <w:r w:rsidR="0052439D" w:rsidRPr="00607BDA">
        <w:rPr>
          <w:lang w:val="en-GB"/>
        </w:rPr>
        <w:t>case conference items</w:t>
      </w:r>
      <w:r w:rsidR="00287FC7" w:rsidRPr="00607BDA">
        <w:rPr>
          <w:lang w:val="en-GB"/>
        </w:rPr>
        <w:t xml:space="preserve"> to discuss available treatment options with </w:t>
      </w:r>
      <w:r w:rsidR="00FC15D9">
        <w:rPr>
          <w:lang w:val="en-GB"/>
        </w:rPr>
        <w:t>other members of the treatment team</w:t>
      </w:r>
      <w:r w:rsidR="0048637C">
        <w:rPr>
          <w:lang w:val="en-GB"/>
        </w:rPr>
        <w:t xml:space="preserve"> </w:t>
      </w:r>
      <w:r>
        <w:rPr>
          <w:lang w:val="en-GB"/>
        </w:rPr>
        <w:t>to</w:t>
      </w:r>
      <w:r w:rsidR="00287FC7" w:rsidRPr="00607BDA">
        <w:rPr>
          <w:lang w:val="en-GB"/>
        </w:rPr>
        <w:t>:</w:t>
      </w:r>
    </w:p>
    <w:p w14:paraId="14E6F458" w14:textId="77777777" w:rsidR="002101C0" w:rsidRPr="00C33C0B" w:rsidRDefault="00DA7380" w:rsidP="000831A1">
      <w:pPr>
        <w:pStyle w:val="BulletStyle3"/>
        <w:numPr>
          <w:ilvl w:val="0"/>
          <w:numId w:val="60"/>
        </w:numPr>
        <w:rPr>
          <w:lang w:val="en-GB"/>
        </w:rPr>
      </w:pPr>
      <w:r>
        <w:rPr>
          <w:lang w:val="en-GB"/>
        </w:rPr>
        <w:t>Require</w:t>
      </w:r>
      <w:r w:rsidR="00BB3F3F" w:rsidRPr="00C33C0B">
        <w:rPr>
          <w:lang w:val="en-GB"/>
        </w:rPr>
        <w:t xml:space="preserve"> </w:t>
      </w:r>
      <w:r w:rsidR="00D90794" w:rsidRPr="00C33C0B">
        <w:rPr>
          <w:lang w:val="en-GB"/>
        </w:rPr>
        <w:t xml:space="preserve">the </w:t>
      </w:r>
      <w:r w:rsidR="00307ECB">
        <w:rPr>
          <w:lang w:val="en-GB"/>
        </w:rPr>
        <w:t>organiser</w:t>
      </w:r>
      <w:r w:rsidR="00307ECB" w:rsidRPr="00C33C0B">
        <w:rPr>
          <w:lang w:val="en-GB"/>
        </w:rPr>
        <w:t xml:space="preserve"> </w:t>
      </w:r>
      <w:r w:rsidR="00D90794" w:rsidRPr="00C33C0B">
        <w:rPr>
          <w:lang w:val="en-GB"/>
        </w:rPr>
        <w:t xml:space="preserve">to send </w:t>
      </w:r>
      <w:r w:rsidR="00BB3F3F" w:rsidRPr="00C33C0B">
        <w:rPr>
          <w:lang w:val="en-GB"/>
        </w:rPr>
        <w:t>p</w:t>
      </w:r>
      <w:r w:rsidR="0051463D" w:rsidRPr="00C33C0B">
        <w:rPr>
          <w:lang w:val="en-GB"/>
        </w:rPr>
        <w:t xml:space="preserve">re-briefing material to </w:t>
      </w:r>
      <w:r w:rsidR="00D90794" w:rsidRPr="00C33C0B">
        <w:rPr>
          <w:lang w:val="en-GB"/>
        </w:rPr>
        <w:t xml:space="preserve">participants </w:t>
      </w:r>
      <w:r w:rsidR="000F1863" w:rsidRPr="00C33C0B">
        <w:rPr>
          <w:lang w:val="en-GB"/>
        </w:rPr>
        <w:t xml:space="preserve">prior to the conference, and </w:t>
      </w:r>
      <w:r w:rsidR="0075781D">
        <w:rPr>
          <w:lang w:val="en-GB"/>
        </w:rPr>
        <w:t>to prepare</w:t>
      </w:r>
      <w:r w:rsidR="002D3553" w:rsidRPr="00C33C0B">
        <w:rPr>
          <w:lang w:val="en-GB"/>
        </w:rPr>
        <w:t xml:space="preserve"> </w:t>
      </w:r>
      <w:r w:rsidR="000F1863" w:rsidRPr="00C33C0B">
        <w:rPr>
          <w:lang w:val="en-GB"/>
        </w:rPr>
        <w:t xml:space="preserve">a </w:t>
      </w:r>
      <w:r w:rsidR="002101C0" w:rsidRPr="00C33C0B">
        <w:rPr>
          <w:lang w:val="en-GB"/>
        </w:rPr>
        <w:t xml:space="preserve">written document </w:t>
      </w:r>
      <w:r w:rsidR="000F1863" w:rsidRPr="00C33C0B">
        <w:rPr>
          <w:lang w:val="en-GB"/>
        </w:rPr>
        <w:t xml:space="preserve">for the conference </w:t>
      </w:r>
      <w:r w:rsidR="009B05C9" w:rsidRPr="00C33C0B">
        <w:rPr>
          <w:lang w:val="en-GB"/>
        </w:rPr>
        <w:t xml:space="preserve">that </w:t>
      </w:r>
      <w:r w:rsidR="002101C0" w:rsidRPr="00C33C0B">
        <w:rPr>
          <w:lang w:val="en-GB"/>
        </w:rPr>
        <w:t>outlines treatment options</w:t>
      </w:r>
      <w:r w:rsidR="001E0F00">
        <w:rPr>
          <w:lang w:val="en-GB"/>
        </w:rPr>
        <w:t>.</w:t>
      </w:r>
    </w:p>
    <w:p w14:paraId="7B387F33" w14:textId="77777777" w:rsidR="009B05C9" w:rsidRPr="00C33C0B" w:rsidRDefault="000F1863" w:rsidP="000831A1">
      <w:pPr>
        <w:pStyle w:val="BulletStyle3"/>
        <w:numPr>
          <w:ilvl w:val="0"/>
          <w:numId w:val="60"/>
        </w:numPr>
        <w:rPr>
          <w:lang w:val="en-GB"/>
        </w:rPr>
      </w:pPr>
      <w:r w:rsidRPr="00C33C0B">
        <w:rPr>
          <w:lang w:val="en-GB"/>
        </w:rPr>
        <w:t xml:space="preserve">Encourage </w:t>
      </w:r>
      <w:r w:rsidR="009B05C9" w:rsidRPr="00C33C0B">
        <w:rPr>
          <w:lang w:val="en-GB"/>
        </w:rPr>
        <w:t xml:space="preserve">GP participation </w:t>
      </w:r>
      <w:r w:rsidRPr="00C33C0B">
        <w:rPr>
          <w:lang w:val="en-GB"/>
        </w:rPr>
        <w:t>(</w:t>
      </w:r>
      <w:r w:rsidR="0051463D" w:rsidRPr="00C33C0B">
        <w:rPr>
          <w:lang w:val="en-GB"/>
        </w:rPr>
        <w:t>either face</w:t>
      </w:r>
      <w:r w:rsidR="00106BB1">
        <w:rPr>
          <w:lang w:val="en-GB"/>
        </w:rPr>
        <w:t xml:space="preserve"> </w:t>
      </w:r>
      <w:r w:rsidR="0051463D" w:rsidRPr="00C33C0B">
        <w:rPr>
          <w:lang w:val="en-GB"/>
        </w:rPr>
        <w:t>to</w:t>
      </w:r>
      <w:r w:rsidR="00106BB1">
        <w:rPr>
          <w:lang w:val="en-GB"/>
        </w:rPr>
        <w:t xml:space="preserve"> </w:t>
      </w:r>
      <w:r w:rsidR="0051463D" w:rsidRPr="00C33C0B">
        <w:rPr>
          <w:lang w:val="en-GB"/>
        </w:rPr>
        <w:t>face, over the phone or by videoconference)</w:t>
      </w:r>
      <w:r w:rsidR="00375B2C">
        <w:rPr>
          <w:lang w:val="en-GB"/>
        </w:rPr>
        <w:t>.</w:t>
      </w:r>
    </w:p>
    <w:p w14:paraId="4174C050" w14:textId="77777777" w:rsidR="00A93435" w:rsidRPr="00A93435" w:rsidRDefault="000F1863" w:rsidP="000831A1">
      <w:pPr>
        <w:pStyle w:val="BulletStyle3"/>
        <w:numPr>
          <w:ilvl w:val="0"/>
          <w:numId w:val="60"/>
        </w:numPr>
        <w:rPr>
          <w:lang w:val="en-GB"/>
        </w:rPr>
      </w:pPr>
      <w:bookmarkStart w:id="182" w:name="_Toc520369784"/>
      <w:bookmarkStart w:id="183" w:name="_Toc521947644"/>
      <w:r w:rsidRPr="00C33C0B">
        <w:rPr>
          <w:lang w:val="en-GB"/>
        </w:rPr>
        <w:t>Stipulate that</w:t>
      </w:r>
      <w:r w:rsidR="005D5A68">
        <w:rPr>
          <w:lang w:val="en-GB"/>
        </w:rPr>
        <w:t xml:space="preserve"> while</w:t>
      </w:r>
      <w:r w:rsidRPr="00C33C0B">
        <w:rPr>
          <w:lang w:val="en-GB"/>
        </w:rPr>
        <w:t xml:space="preserve"> final treatment decisions </w:t>
      </w:r>
      <w:r w:rsidR="005D5A68">
        <w:rPr>
          <w:lang w:val="en-GB"/>
        </w:rPr>
        <w:t xml:space="preserve">must be </w:t>
      </w:r>
      <w:r w:rsidR="00D16C6B" w:rsidRPr="00C33C0B">
        <w:rPr>
          <w:lang w:val="en-GB"/>
        </w:rPr>
        <w:t xml:space="preserve">made </w:t>
      </w:r>
      <w:r w:rsidR="005A58D1">
        <w:rPr>
          <w:lang w:val="en-GB"/>
        </w:rPr>
        <w:t>by/</w:t>
      </w:r>
      <w:r w:rsidR="00D16C6B" w:rsidRPr="00C33C0B">
        <w:rPr>
          <w:lang w:val="en-GB"/>
        </w:rPr>
        <w:t xml:space="preserve">with the patient </w:t>
      </w:r>
      <w:r w:rsidR="00723915" w:rsidRPr="00C33C0B">
        <w:rPr>
          <w:lang w:val="en-GB"/>
        </w:rPr>
        <w:t>(</w:t>
      </w:r>
      <w:r w:rsidR="00D16C6B" w:rsidRPr="00C33C0B">
        <w:rPr>
          <w:lang w:val="en-GB"/>
        </w:rPr>
        <w:t>unless there are exceptional circumstances</w:t>
      </w:r>
      <w:r w:rsidR="00723915" w:rsidRPr="00C33C0B">
        <w:rPr>
          <w:lang w:val="en-GB"/>
        </w:rPr>
        <w:t>)</w:t>
      </w:r>
      <w:r w:rsidR="00440330">
        <w:rPr>
          <w:lang w:val="en-GB"/>
        </w:rPr>
        <w:t>,</w:t>
      </w:r>
      <w:r w:rsidR="00D16C6B" w:rsidRPr="00C33C0B">
        <w:rPr>
          <w:lang w:val="en-GB"/>
        </w:rPr>
        <w:t xml:space="preserve"> patient participation</w:t>
      </w:r>
      <w:r w:rsidR="00A809E5">
        <w:rPr>
          <w:lang w:val="en-GB"/>
        </w:rPr>
        <w:t xml:space="preserve"> in initial treatment option discussion</w:t>
      </w:r>
      <w:r w:rsidR="00D16C6B" w:rsidRPr="00C33C0B">
        <w:rPr>
          <w:lang w:val="en-GB"/>
        </w:rPr>
        <w:t xml:space="preserve"> </w:t>
      </w:r>
      <w:r w:rsidR="005D5A68">
        <w:rPr>
          <w:lang w:val="en-GB"/>
        </w:rPr>
        <w:t xml:space="preserve">is not </w:t>
      </w:r>
      <w:r w:rsidR="00D16C6B" w:rsidRPr="00C33C0B">
        <w:rPr>
          <w:lang w:val="en-GB"/>
        </w:rPr>
        <w:t>mandatory</w:t>
      </w:r>
      <w:r w:rsidR="00440330">
        <w:rPr>
          <w:lang w:val="en-GB"/>
        </w:rPr>
        <w:t>.</w:t>
      </w:r>
      <w:bookmarkEnd w:id="182"/>
      <w:bookmarkEnd w:id="183"/>
    </w:p>
    <w:p w14:paraId="37028F69" w14:textId="795D6E26" w:rsidR="00B806E3" w:rsidRPr="00B806E3" w:rsidRDefault="00B25708" w:rsidP="000831A1">
      <w:pPr>
        <w:pStyle w:val="BulletStyle3"/>
        <w:numPr>
          <w:ilvl w:val="0"/>
          <w:numId w:val="60"/>
        </w:numPr>
        <w:rPr>
          <w:lang w:val="en-GB"/>
        </w:rPr>
      </w:pPr>
      <w:r>
        <w:t>Recommend that outcomes be uploaded to My Health Record</w:t>
      </w:r>
      <w:r w:rsidR="00A809E5">
        <w:t>, with the responsibility for uploading resting with</w:t>
      </w:r>
      <w:r>
        <w:t xml:space="preserve"> the case conference organiser</w:t>
      </w:r>
      <w:r w:rsidR="007F6438">
        <w:t xml:space="preserve"> (</w:t>
      </w:r>
      <w:r w:rsidR="007F6438" w:rsidRPr="00607BDA">
        <w:rPr>
          <w:i/>
        </w:rPr>
        <w:t xml:space="preserve">refer to Recommendation </w:t>
      </w:r>
      <w:r w:rsidR="007A1A52">
        <w:rPr>
          <w:i/>
        </w:rPr>
        <w:t>18</w:t>
      </w:r>
      <w:r w:rsidR="007F6438">
        <w:t>)</w:t>
      </w:r>
      <w:r>
        <w:t>.</w:t>
      </w:r>
    </w:p>
    <w:p w14:paraId="78447A85" w14:textId="77777777" w:rsidR="00047796" w:rsidRPr="00607BDA" w:rsidRDefault="00B806E3" w:rsidP="000831A1">
      <w:pPr>
        <w:pStyle w:val="Bullet-green"/>
        <w:numPr>
          <w:ilvl w:val="0"/>
          <w:numId w:val="55"/>
        </w:numPr>
        <w:rPr>
          <w:lang w:val="en-GB"/>
        </w:rPr>
      </w:pPr>
      <w:r>
        <w:rPr>
          <w:lang w:val="en-GB"/>
        </w:rPr>
        <w:t>m</w:t>
      </w:r>
      <w:r w:rsidR="00047796" w:rsidRPr="00607BDA">
        <w:rPr>
          <w:lang w:val="en-GB"/>
        </w:rPr>
        <w:t xml:space="preserve">aintain </w:t>
      </w:r>
      <w:r w:rsidR="00A93435" w:rsidRPr="00607BDA">
        <w:rPr>
          <w:lang w:val="en-GB"/>
        </w:rPr>
        <w:t xml:space="preserve">the current distinction between organiser/coordinator and </w:t>
      </w:r>
      <w:r w:rsidR="00C27E6B">
        <w:rPr>
          <w:lang w:val="en-GB"/>
        </w:rPr>
        <w:t xml:space="preserve">provider </w:t>
      </w:r>
      <w:r w:rsidR="00A93435" w:rsidRPr="00607BDA">
        <w:rPr>
          <w:lang w:val="en-GB"/>
        </w:rPr>
        <w:t>participant roles</w:t>
      </w:r>
      <w:r w:rsidR="006D683C">
        <w:rPr>
          <w:lang w:val="en-GB"/>
        </w:rPr>
        <w:t>;</w:t>
      </w:r>
    </w:p>
    <w:p w14:paraId="761D362D" w14:textId="77777777" w:rsidR="00A93435" w:rsidRPr="00607BDA" w:rsidRDefault="00B806E3" w:rsidP="000831A1">
      <w:pPr>
        <w:pStyle w:val="Bullet-green"/>
        <w:numPr>
          <w:ilvl w:val="0"/>
          <w:numId w:val="55"/>
        </w:numPr>
        <w:rPr>
          <w:lang w:val="en-GB"/>
        </w:rPr>
      </w:pPr>
      <w:r>
        <w:rPr>
          <w:lang w:val="en-GB"/>
        </w:rPr>
        <w:t>i</w:t>
      </w:r>
      <w:r w:rsidR="00A93435" w:rsidRPr="00047796">
        <w:rPr>
          <w:lang w:val="en-GB"/>
        </w:rPr>
        <w:t>ntroduce a new time tier for less than 15 minutes for each of the three categories</w:t>
      </w:r>
      <w:r w:rsidR="006D683C">
        <w:rPr>
          <w:lang w:val="en-GB"/>
        </w:rPr>
        <w:t>;</w:t>
      </w:r>
      <w:r>
        <w:rPr>
          <w:lang w:val="en-GB"/>
        </w:rPr>
        <w:t xml:space="preserve"> and</w:t>
      </w:r>
    </w:p>
    <w:p w14:paraId="59B451E9" w14:textId="10579008" w:rsidR="00B806E3" w:rsidRPr="00607BDA" w:rsidRDefault="00B806E3" w:rsidP="000831A1">
      <w:pPr>
        <w:pStyle w:val="Bullet-green"/>
        <w:numPr>
          <w:ilvl w:val="0"/>
          <w:numId w:val="55"/>
        </w:numPr>
        <w:rPr>
          <w:lang w:val="en-GB"/>
        </w:rPr>
      </w:pPr>
      <w:r>
        <w:rPr>
          <w:lang w:val="en-GB"/>
        </w:rPr>
        <w:t xml:space="preserve">stipulate </w:t>
      </w:r>
      <w:r w:rsidR="00047796">
        <w:rPr>
          <w:lang w:val="en-GB"/>
        </w:rPr>
        <w:t xml:space="preserve">a minimum of 3 attendees </w:t>
      </w:r>
      <w:r w:rsidR="00FE1840">
        <w:rPr>
          <w:lang w:val="en-GB"/>
        </w:rPr>
        <w:t xml:space="preserve">of different disciplines </w:t>
      </w:r>
      <w:r w:rsidR="00047796">
        <w:rPr>
          <w:lang w:val="en-GB"/>
        </w:rPr>
        <w:t>at each case conference</w:t>
      </w:r>
      <w:r>
        <w:rPr>
          <w:lang w:val="en-GB"/>
        </w:rPr>
        <w:t>, which c</w:t>
      </w:r>
      <w:r>
        <w:rPr>
          <w:lang w:val="en-US"/>
        </w:rPr>
        <w:t>an include consultant specialists, GPs, AHPs, and nurse practitioners (</w:t>
      </w:r>
      <w:r w:rsidRPr="00607BDA">
        <w:rPr>
          <w:i/>
          <w:lang w:val="en-US"/>
        </w:rPr>
        <w:t xml:space="preserve">refer to Recommendation </w:t>
      </w:r>
      <w:r w:rsidR="00B95BB0">
        <w:rPr>
          <w:i/>
          <w:lang w:val="en-US"/>
        </w:rPr>
        <w:t>12</w:t>
      </w:r>
      <w:r>
        <w:rPr>
          <w:lang w:val="en-US"/>
        </w:rPr>
        <w:t>) but should not include patients or carers.</w:t>
      </w:r>
    </w:p>
    <w:bookmarkEnd w:id="180"/>
    <w:p w14:paraId="75B73155" w14:textId="359DDAD0" w:rsidR="001908F4" w:rsidRDefault="00B806E3" w:rsidP="00607BDA">
      <w:pPr>
        <w:pStyle w:val="Bullet-green"/>
        <w:numPr>
          <w:ilvl w:val="0"/>
          <w:numId w:val="0"/>
        </w:numPr>
        <w:rPr>
          <w:rFonts w:eastAsiaTheme="minorHAnsi" w:cs="Arial"/>
          <w:b/>
          <w:color w:val="000000" w:themeColor="text1"/>
          <w:sz w:val="20"/>
          <w:szCs w:val="22"/>
          <w:lang w:eastAsia="en-US"/>
        </w:rPr>
      </w:pPr>
      <w:r>
        <w:rPr>
          <w:lang w:val="en-US"/>
        </w:rPr>
        <w:t xml:space="preserve">To assist in interpreting this recommendation </w:t>
      </w:r>
      <w:r w:rsidR="00E54281">
        <w:rPr>
          <w:lang w:val="en-US"/>
        </w:rPr>
        <w:t>the Committee has provided</w:t>
      </w:r>
      <w:r w:rsidR="002355E9">
        <w:rPr>
          <w:lang w:val="en-US"/>
        </w:rPr>
        <w:t xml:space="preserve"> new item descriptors in Table 7</w:t>
      </w:r>
      <w:r w:rsidR="00E54281">
        <w:rPr>
          <w:lang w:val="en-US"/>
        </w:rPr>
        <w:t>.</w:t>
      </w:r>
      <w:bookmarkEnd w:id="181"/>
    </w:p>
    <w:p w14:paraId="0FEC73FB" w14:textId="1FEB4ACC" w:rsidR="00EB34DC" w:rsidRDefault="000E0DE2" w:rsidP="000E0DE2">
      <w:pPr>
        <w:pStyle w:val="Caption"/>
      </w:pPr>
      <w:bookmarkStart w:id="184" w:name="_Toc529028299"/>
      <w:r>
        <w:t xml:space="preserve">Table </w:t>
      </w:r>
      <w:fldSimple w:instr=" SEQ Table \* ARABIC ">
        <w:r w:rsidR="00832059">
          <w:rPr>
            <w:noProof/>
          </w:rPr>
          <w:t>7</w:t>
        </w:r>
      </w:fldSimple>
      <w:r w:rsidR="00EB34DC">
        <w:t xml:space="preserve">: </w:t>
      </w:r>
      <w:r w:rsidR="00EB34DC" w:rsidRPr="00C33C0B">
        <w:rPr>
          <w:lang w:val="en-GB"/>
        </w:rPr>
        <w:t>Case conference item descriptors</w:t>
      </w:r>
      <w:bookmarkEnd w:id="184"/>
    </w:p>
    <w:tbl>
      <w:tblPr>
        <w:tblStyle w:val="GridTable4-Accent3"/>
        <w:tblW w:w="5034" w:type="pct"/>
        <w:tblLook w:val="04A0" w:firstRow="1" w:lastRow="0" w:firstColumn="1" w:lastColumn="0" w:noHBand="0" w:noVBand="1"/>
        <w:tblDescription w:val="Table 7 is a list of Case conference item descriptors.  This table has 4 columns. Column 1 is the item. Column 2 is the duration of the item. Column 3 is the role of the item. Column 4 is the proposed new item descriptor. "/>
      </w:tblPr>
      <w:tblGrid>
        <w:gridCol w:w="685"/>
        <w:gridCol w:w="1774"/>
        <w:gridCol w:w="1100"/>
        <w:gridCol w:w="4799"/>
      </w:tblGrid>
      <w:tr w:rsidR="000F6B85" w:rsidRPr="00C33C0B" w14:paraId="6EBAF0FA" w14:textId="77777777" w:rsidTr="005F56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0" w:type="dxa"/>
          </w:tcPr>
          <w:p w14:paraId="7D2A1F73" w14:textId="77777777" w:rsidR="000F6B85" w:rsidRPr="00C33C0B" w:rsidRDefault="000F6B85" w:rsidP="000C5F9D">
            <w:pPr>
              <w:pStyle w:val="Tableheading"/>
              <w:rPr>
                <w:bCs/>
              </w:rPr>
            </w:pPr>
            <w:r w:rsidRPr="00C33C0B">
              <w:rPr>
                <w:bCs/>
              </w:rPr>
              <w:t>Item</w:t>
            </w:r>
          </w:p>
        </w:tc>
        <w:tc>
          <w:tcPr>
            <w:tcW w:w="1825" w:type="dxa"/>
          </w:tcPr>
          <w:p w14:paraId="5405729E" w14:textId="77777777" w:rsidR="000F6B85" w:rsidRPr="00C33C0B" w:rsidRDefault="000F6B85" w:rsidP="000C5F9D">
            <w:pPr>
              <w:pStyle w:val="Tableheading"/>
              <w:cnfStyle w:val="100000000000" w:firstRow="1" w:lastRow="0" w:firstColumn="0" w:lastColumn="0" w:oddVBand="0" w:evenVBand="0" w:oddHBand="0" w:evenHBand="0" w:firstRowFirstColumn="0" w:firstRowLastColumn="0" w:lastRowFirstColumn="0" w:lastRowLastColumn="0"/>
              <w:rPr>
                <w:bCs/>
              </w:rPr>
            </w:pPr>
            <w:r w:rsidRPr="00C33C0B">
              <w:rPr>
                <w:bCs/>
              </w:rPr>
              <w:t>Duration</w:t>
            </w:r>
          </w:p>
        </w:tc>
        <w:tc>
          <w:tcPr>
            <w:tcW w:w="1036" w:type="dxa"/>
          </w:tcPr>
          <w:p w14:paraId="700AEA57" w14:textId="77777777" w:rsidR="000F6B85" w:rsidRPr="00C33C0B" w:rsidRDefault="000F6B85" w:rsidP="000C5F9D">
            <w:pPr>
              <w:pStyle w:val="Tableheading"/>
              <w:cnfStyle w:val="100000000000" w:firstRow="1" w:lastRow="0" w:firstColumn="0" w:lastColumn="0" w:oddVBand="0" w:evenVBand="0" w:oddHBand="0" w:evenHBand="0" w:firstRowFirstColumn="0" w:firstRowLastColumn="0" w:lastRowFirstColumn="0" w:lastRowLastColumn="0"/>
              <w:rPr>
                <w:bCs/>
              </w:rPr>
            </w:pPr>
            <w:r w:rsidRPr="00C33C0B">
              <w:rPr>
                <w:bCs/>
              </w:rPr>
              <w:t>Role</w:t>
            </w:r>
          </w:p>
        </w:tc>
        <w:tc>
          <w:tcPr>
            <w:tcW w:w="4974" w:type="dxa"/>
          </w:tcPr>
          <w:p w14:paraId="6DCD0EBA" w14:textId="77777777" w:rsidR="000F6B85" w:rsidRPr="00C33C0B" w:rsidRDefault="000F6B85" w:rsidP="000C5F9D">
            <w:pPr>
              <w:pStyle w:val="Tableheading"/>
              <w:cnfStyle w:val="100000000000" w:firstRow="1" w:lastRow="0" w:firstColumn="0" w:lastColumn="0" w:oddVBand="0" w:evenVBand="0" w:oddHBand="0" w:evenHBand="0" w:firstRowFirstColumn="0" w:firstRowLastColumn="0" w:lastRowFirstColumn="0" w:lastRowLastColumn="0"/>
              <w:rPr>
                <w:bCs/>
              </w:rPr>
            </w:pPr>
            <w:r w:rsidRPr="00C33C0B">
              <w:rPr>
                <w:bCs/>
              </w:rPr>
              <w:t>New item descriptor</w:t>
            </w:r>
          </w:p>
        </w:tc>
      </w:tr>
      <w:tr w:rsidR="000F6B85" w:rsidRPr="00C33C0B" w14:paraId="7AE224DC"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14BB86F5" w14:textId="77777777" w:rsidR="000F6B85" w:rsidRPr="000F6B85" w:rsidRDefault="003A6BD8" w:rsidP="005F56B0">
            <w:pPr>
              <w:pStyle w:val="Tabletext"/>
              <w:rPr>
                <w:b/>
                <w:lang w:val="en-GB"/>
              </w:rPr>
            </w:pPr>
            <w:r>
              <w:rPr>
                <w:lang w:val="en-GB"/>
              </w:rPr>
              <w:t>82X</w:t>
            </w:r>
            <w:r w:rsidR="000F6B85">
              <w:rPr>
                <w:lang w:val="en-GB"/>
              </w:rPr>
              <w:t xml:space="preserve"> (new)</w:t>
            </w:r>
          </w:p>
        </w:tc>
        <w:tc>
          <w:tcPr>
            <w:tcW w:w="1825" w:type="dxa"/>
          </w:tcPr>
          <w:p w14:paraId="79351A46" w14:textId="77777777"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&lt;15 minutes</w:t>
            </w:r>
          </w:p>
        </w:tc>
        <w:tc>
          <w:tcPr>
            <w:tcW w:w="1036" w:type="dxa"/>
            <w:vMerge w:val="restart"/>
          </w:tcPr>
          <w:p w14:paraId="34F681FA" w14:textId="692D5D5E"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Organise and coordinate</w:t>
            </w:r>
          </w:p>
        </w:tc>
        <w:tc>
          <w:tcPr>
            <w:tcW w:w="4974" w:type="dxa"/>
            <w:vMerge w:val="restart"/>
          </w:tcPr>
          <w:p w14:paraId="6FE5129C" w14:textId="77777777"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Attendance by a </w:t>
            </w:r>
            <w:r>
              <w:rPr>
                <w:lang w:val="en-GB"/>
              </w:rPr>
              <w:t>consultant specialist</w:t>
            </w:r>
            <w:r w:rsidRPr="00C33C0B">
              <w:rPr>
                <w:lang w:val="en-GB"/>
              </w:rPr>
              <w:t xml:space="preserve"> in the practice of his or her specialty to </w:t>
            </w:r>
            <w:r>
              <w:rPr>
                <w:lang w:val="en-GB"/>
              </w:rPr>
              <w:t>[insert role]</w:t>
            </w:r>
            <w:r w:rsidRPr="00C33C0B">
              <w:rPr>
                <w:lang w:val="en-GB"/>
              </w:rPr>
              <w:t xml:space="preserve"> a community case conference of at least [X] minutes but less than [X] minutes, requiring:</w:t>
            </w:r>
          </w:p>
          <w:p w14:paraId="4207CCC1" w14:textId="77777777" w:rsidR="00B25708" w:rsidRPr="005F56B0" w:rsidRDefault="000F6B85" w:rsidP="000831A1">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Specialist input to the management of a complex patient in the community; and</w:t>
            </w:r>
          </w:p>
          <w:p w14:paraId="4046D91C" w14:textId="77777777" w:rsidR="003645FB" w:rsidRPr="005F56B0" w:rsidRDefault="008400B5" w:rsidP="000831A1">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 xml:space="preserve">Mandatory GP (or delegate) </w:t>
            </w:r>
            <w:r w:rsidR="003645FB" w:rsidRPr="005F56B0">
              <w:rPr>
                <w:sz w:val="20"/>
                <w:szCs w:val="20"/>
                <w:lang w:val="en-GB"/>
              </w:rPr>
              <w:t>invitation</w:t>
            </w:r>
            <w:r w:rsidR="005D7386" w:rsidRPr="005F56B0">
              <w:rPr>
                <w:sz w:val="20"/>
                <w:szCs w:val="20"/>
                <w:lang w:val="en-GB"/>
              </w:rPr>
              <w:t xml:space="preserve"> and</w:t>
            </w:r>
          </w:p>
          <w:p w14:paraId="7903EE92" w14:textId="77777777" w:rsidR="000F6B85" w:rsidRPr="005F56B0" w:rsidRDefault="003645FB" w:rsidP="003645FB">
            <w:pPr>
              <w:pStyle w:val="ListParagraph"/>
              <w:spacing w:before="20" w:after="20"/>
              <w:ind w:left="773"/>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 xml:space="preserve">i) </w:t>
            </w:r>
            <w:r w:rsidR="005D7386" w:rsidRPr="005F56B0">
              <w:rPr>
                <w:sz w:val="20"/>
                <w:szCs w:val="20"/>
                <w:lang w:val="en-GB"/>
              </w:rPr>
              <w:t>participation, or</w:t>
            </w:r>
            <w:r w:rsidRPr="005F56B0">
              <w:rPr>
                <w:sz w:val="20"/>
                <w:szCs w:val="20"/>
                <w:lang w:val="en-GB"/>
              </w:rPr>
              <w:t xml:space="preserve"> ii)</w:t>
            </w:r>
            <w:r w:rsidR="008400B5" w:rsidRPr="005F56B0">
              <w:rPr>
                <w:sz w:val="20"/>
                <w:szCs w:val="20"/>
                <w:lang w:val="en-GB"/>
              </w:rPr>
              <w:t xml:space="preserve"> review of outcomes and</w:t>
            </w:r>
            <w:r w:rsidR="005D5A68" w:rsidRPr="005F56B0">
              <w:rPr>
                <w:sz w:val="20"/>
                <w:szCs w:val="20"/>
                <w:lang w:val="en-GB"/>
              </w:rPr>
              <w:t xml:space="preserve"> </w:t>
            </w:r>
            <w:r w:rsidR="008400B5" w:rsidRPr="005F56B0">
              <w:rPr>
                <w:sz w:val="20"/>
                <w:szCs w:val="20"/>
                <w:lang w:val="en-GB"/>
              </w:rPr>
              <w:t>communication of any proposed changes to the patient and to the case conference organiser</w:t>
            </w:r>
            <w:r w:rsidR="000F6B85" w:rsidRPr="005F56B0">
              <w:rPr>
                <w:sz w:val="20"/>
                <w:szCs w:val="20"/>
                <w:lang w:val="en-GB"/>
              </w:rPr>
              <w:t>; and</w:t>
            </w:r>
          </w:p>
          <w:p w14:paraId="26E44A5B" w14:textId="77777777" w:rsidR="000F6B85" w:rsidRPr="005F56B0" w:rsidRDefault="000F6B85" w:rsidP="000831A1">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 xml:space="preserve">Mandatory patient (or delegate) </w:t>
            </w:r>
            <w:r w:rsidR="008400B5" w:rsidRPr="005F56B0">
              <w:rPr>
                <w:sz w:val="20"/>
                <w:szCs w:val="20"/>
                <w:lang w:val="en-GB"/>
              </w:rPr>
              <w:t xml:space="preserve">invitation </w:t>
            </w:r>
            <w:r w:rsidRPr="005F56B0">
              <w:rPr>
                <w:sz w:val="20"/>
                <w:szCs w:val="20"/>
                <w:lang w:val="en-GB"/>
              </w:rPr>
              <w:t>and to make it possible for them to attend; and</w:t>
            </w:r>
          </w:p>
          <w:p w14:paraId="1F054D84" w14:textId="77777777" w:rsidR="000F6B85" w:rsidRPr="005F56B0" w:rsidRDefault="000F6B85" w:rsidP="000831A1">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 xml:space="preserve">At least </w:t>
            </w:r>
            <w:r w:rsidR="0048637C" w:rsidRPr="005F56B0">
              <w:rPr>
                <w:sz w:val="20"/>
                <w:szCs w:val="20"/>
                <w:lang w:val="en-GB"/>
              </w:rPr>
              <w:t xml:space="preserve">two </w:t>
            </w:r>
            <w:r w:rsidRPr="005F56B0">
              <w:rPr>
                <w:sz w:val="20"/>
                <w:szCs w:val="20"/>
                <w:lang w:val="en-GB"/>
              </w:rPr>
              <w:t>other formal care providers of different disciplines to be present; and</w:t>
            </w:r>
          </w:p>
          <w:p w14:paraId="297B8D3B" w14:textId="77777777" w:rsidR="000F6B85" w:rsidRPr="005F56B0" w:rsidRDefault="000F6B85" w:rsidP="000831A1">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Outcomes to be documented in writing, including shared decisions made and informed consent sought</w:t>
            </w:r>
            <w:r w:rsidR="00794929" w:rsidRPr="005F56B0">
              <w:rPr>
                <w:sz w:val="20"/>
                <w:szCs w:val="20"/>
                <w:lang w:val="en-GB"/>
              </w:rPr>
              <w:t>; and</w:t>
            </w:r>
          </w:p>
          <w:p w14:paraId="03E5E6D4" w14:textId="77777777" w:rsidR="00C474A8" w:rsidRPr="005F56B0" w:rsidRDefault="00C474A8" w:rsidP="000831A1">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A copy of the case conference outcomes to be uploaded to My Health Record, unless patient consent is withdrawn, a</w:t>
            </w:r>
            <w:r w:rsidR="00794929" w:rsidRPr="005F56B0">
              <w:rPr>
                <w:sz w:val="20"/>
                <w:szCs w:val="20"/>
                <w:lang w:val="en-GB"/>
              </w:rPr>
              <w:t>nd where reasonably achievable.</w:t>
            </w:r>
          </w:p>
          <w:p w14:paraId="25D5170D" w14:textId="77777777"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All participants must be in communication with each other throughout the conference, either face-to-face, by telephone or by videoconference, or a combination of these</w:t>
            </w:r>
          </w:p>
        </w:tc>
      </w:tr>
      <w:tr w:rsidR="000F6B85" w:rsidRPr="00C33C0B" w14:paraId="78348E7C"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50AD15A4" w14:textId="77777777" w:rsidR="000F6B85" w:rsidRPr="00C33C0B" w:rsidRDefault="000F6B85" w:rsidP="005F56B0">
            <w:pPr>
              <w:pStyle w:val="Tabletext"/>
              <w:rPr>
                <w:lang w:val="en-GB"/>
              </w:rPr>
            </w:pPr>
            <w:r w:rsidRPr="00C33C0B">
              <w:rPr>
                <w:lang w:val="en-GB"/>
              </w:rPr>
              <w:t>820</w:t>
            </w:r>
          </w:p>
        </w:tc>
        <w:tc>
          <w:tcPr>
            <w:tcW w:w="1825" w:type="dxa"/>
          </w:tcPr>
          <w:p w14:paraId="507AF9DB" w14:textId="3C6C20E8"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15</w:t>
            </w:r>
            <w:r>
              <w:rPr>
                <w:lang w:val="en-GB"/>
              </w:rPr>
              <w:t>–</w:t>
            </w:r>
            <w:r w:rsidRPr="00C33C0B">
              <w:rPr>
                <w:lang w:val="en-GB"/>
              </w:rPr>
              <w:t>30</w:t>
            </w:r>
            <w:r>
              <w:rPr>
                <w:lang w:val="en-GB"/>
              </w:rPr>
              <w:t xml:space="preserve"> </w:t>
            </w:r>
            <w:r w:rsidRPr="00C33C0B">
              <w:rPr>
                <w:lang w:val="en-GB"/>
              </w:rPr>
              <w:t>min</w:t>
            </w:r>
            <w:r>
              <w:rPr>
                <w:lang w:val="en-GB"/>
              </w:rPr>
              <w:t>ute</w:t>
            </w:r>
            <w:r w:rsidRPr="00C33C0B">
              <w:rPr>
                <w:lang w:val="en-GB"/>
              </w:rPr>
              <w:t>s</w:t>
            </w:r>
          </w:p>
        </w:tc>
        <w:tc>
          <w:tcPr>
            <w:tcW w:w="1036" w:type="dxa"/>
            <w:vMerge/>
          </w:tcPr>
          <w:p w14:paraId="18D015C3" w14:textId="77777777"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4974" w:type="dxa"/>
            <w:vMerge/>
          </w:tcPr>
          <w:p w14:paraId="01DF8D18" w14:textId="77777777" w:rsidR="000F6B85" w:rsidRPr="00C33C0B" w:rsidRDefault="000F6B85" w:rsidP="001E1F14">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0F6B85" w:rsidRPr="00C33C0B" w14:paraId="37B9BACE"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134B10CE" w14:textId="77777777" w:rsidR="000F6B85" w:rsidRPr="00C33C0B" w:rsidRDefault="000F6B85" w:rsidP="005F56B0">
            <w:pPr>
              <w:pStyle w:val="Tabletext"/>
              <w:rPr>
                <w:lang w:val="en-GB"/>
              </w:rPr>
            </w:pPr>
            <w:r w:rsidRPr="00C33C0B">
              <w:rPr>
                <w:lang w:val="en-GB"/>
              </w:rPr>
              <w:t>822</w:t>
            </w:r>
          </w:p>
        </w:tc>
        <w:tc>
          <w:tcPr>
            <w:tcW w:w="1825" w:type="dxa"/>
          </w:tcPr>
          <w:p w14:paraId="73E516E2" w14:textId="507C51E9"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30</w:t>
            </w:r>
            <w:r>
              <w:rPr>
                <w:lang w:val="en-GB"/>
              </w:rPr>
              <w:t>–</w:t>
            </w:r>
            <w:r w:rsidRPr="00C33C0B">
              <w:rPr>
                <w:lang w:val="en-GB"/>
              </w:rPr>
              <w:t>45</w:t>
            </w:r>
            <w:r>
              <w:rPr>
                <w:lang w:val="en-GB"/>
              </w:rPr>
              <w:t xml:space="preserve"> </w:t>
            </w:r>
            <w:r w:rsidRPr="00C33C0B">
              <w:rPr>
                <w:lang w:val="en-GB"/>
              </w:rPr>
              <w:t>min</w:t>
            </w:r>
            <w:r>
              <w:rPr>
                <w:lang w:val="en-GB"/>
              </w:rPr>
              <w:t>ute</w:t>
            </w:r>
            <w:r w:rsidRPr="00C33C0B">
              <w:rPr>
                <w:lang w:val="en-GB"/>
              </w:rPr>
              <w:t>s</w:t>
            </w:r>
          </w:p>
        </w:tc>
        <w:tc>
          <w:tcPr>
            <w:tcW w:w="1036" w:type="dxa"/>
            <w:vMerge/>
          </w:tcPr>
          <w:p w14:paraId="36ABE299" w14:textId="77777777"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4974" w:type="dxa"/>
            <w:vMerge/>
          </w:tcPr>
          <w:p w14:paraId="7B20E337" w14:textId="77777777" w:rsidR="000F6B85" w:rsidRPr="00C33C0B" w:rsidRDefault="000F6B85" w:rsidP="002518A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0F6B85" w:rsidRPr="00C33C0B" w14:paraId="3C105BB7"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6B403432" w14:textId="77777777" w:rsidR="000F6B85" w:rsidRPr="00C33C0B" w:rsidRDefault="000F6B85" w:rsidP="005F56B0">
            <w:pPr>
              <w:pStyle w:val="Tabletext"/>
              <w:rPr>
                <w:lang w:val="en-GB"/>
              </w:rPr>
            </w:pPr>
            <w:r w:rsidRPr="00C33C0B">
              <w:rPr>
                <w:lang w:val="en-GB"/>
              </w:rPr>
              <w:t>823</w:t>
            </w:r>
          </w:p>
        </w:tc>
        <w:tc>
          <w:tcPr>
            <w:tcW w:w="1825" w:type="dxa"/>
          </w:tcPr>
          <w:p w14:paraId="5FFFD0A8" w14:textId="22B7089E" w:rsidR="000F6B85"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&gt;</w:t>
            </w:r>
            <w:r w:rsidR="000F6B85">
              <w:rPr>
                <w:lang w:val="en-GB"/>
              </w:rPr>
              <w:t xml:space="preserve"> </w:t>
            </w:r>
            <w:r w:rsidR="000F6B85" w:rsidRPr="00C33C0B">
              <w:rPr>
                <w:lang w:val="en-GB"/>
              </w:rPr>
              <w:t>45</w:t>
            </w:r>
            <w:r w:rsidR="000F6B85">
              <w:rPr>
                <w:lang w:val="en-GB"/>
              </w:rPr>
              <w:t xml:space="preserve"> </w:t>
            </w:r>
            <w:r w:rsidR="000F6B85" w:rsidRPr="00C33C0B">
              <w:rPr>
                <w:lang w:val="en-GB"/>
              </w:rPr>
              <w:t>min</w:t>
            </w:r>
            <w:r w:rsidR="000F6B85">
              <w:rPr>
                <w:lang w:val="en-GB"/>
              </w:rPr>
              <w:t>ute</w:t>
            </w:r>
            <w:r w:rsidR="000F6B85" w:rsidRPr="00C33C0B">
              <w:rPr>
                <w:lang w:val="en-GB"/>
              </w:rPr>
              <w:t>s</w:t>
            </w:r>
          </w:p>
        </w:tc>
        <w:tc>
          <w:tcPr>
            <w:tcW w:w="1036" w:type="dxa"/>
            <w:vMerge/>
          </w:tcPr>
          <w:p w14:paraId="73F49BE3" w14:textId="77777777"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4974" w:type="dxa"/>
            <w:vMerge/>
          </w:tcPr>
          <w:p w14:paraId="0A0D5206" w14:textId="77777777" w:rsidR="000F6B85" w:rsidRPr="00C33C0B" w:rsidRDefault="000F6B85" w:rsidP="002518A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0F6B85" w:rsidRPr="00C33C0B" w14:paraId="6B8FE387"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5A9B4369" w14:textId="77777777" w:rsidR="000F6B85" w:rsidRPr="000F6B85" w:rsidRDefault="003A6BD8" w:rsidP="005F56B0">
            <w:pPr>
              <w:pStyle w:val="Tabletext"/>
              <w:rPr>
                <w:b/>
                <w:lang w:val="en-GB"/>
              </w:rPr>
            </w:pPr>
            <w:r>
              <w:rPr>
                <w:lang w:val="en-GB"/>
              </w:rPr>
              <w:t>82Y</w:t>
            </w:r>
            <w:r w:rsidR="000F6B85">
              <w:rPr>
                <w:lang w:val="en-GB"/>
              </w:rPr>
              <w:t xml:space="preserve"> (new)</w:t>
            </w:r>
          </w:p>
        </w:tc>
        <w:tc>
          <w:tcPr>
            <w:tcW w:w="1825" w:type="dxa"/>
          </w:tcPr>
          <w:p w14:paraId="1175FB5F" w14:textId="77777777"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&lt;15 minutes</w:t>
            </w:r>
          </w:p>
        </w:tc>
        <w:tc>
          <w:tcPr>
            <w:tcW w:w="1036" w:type="dxa"/>
            <w:vMerge w:val="restart"/>
          </w:tcPr>
          <w:p w14:paraId="76393863" w14:textId="77777777"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Participate</w:t>
            </w:r>
          </w:p>
        </w:tc>
        <w:tc>
          <w:tcPr>
            <w:tcW w:w="4974" w:type="dxa"/>
            <w:vMerge/>
          </w:tcPr>
          <w:p w14:paraId="0C3515BE" w14:textId="77777777" w:rsidR="000F6B85" w:rsidRPr="00C33C0B" w:rsidRDefault="000F6B85"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0F6B85" w:rsidRPr="00C33C0B" w14:paraId="7DBA7ACE"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0A189327" w14:textId="77777777" w:rsidR="000F6B85" w:rsidRPr="00C33C0B" w:rsidRDefault="000F6B85" w:rsidP="005F56B0">
            <w:pPr>
              <w:pStyle w:val="Tabletext"/>
              <w:rPr>
                <w:lang w:val="en-GB"/>
              </w:rPr>
            </w:pPr>
            <w:r w:rsidRPr="00C33C0B">
              <w:rPr>
                <w:lang w:val="en-GB"/>
              </w:rPr>
              <w:t>825</w:t>
            </w:r>
          </w:p>
        </w:tc>
        <w:tc>
          <w:tcPr>
            <w:tcW w:w="1825" w:type="dxa"/>
          </w:tcPr>
          <w:p w14:paraId="72AC5AB6" w14:textId="17AC2ECA"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15</w:t>
            </w:r>
            <w:r>
              <w:rPr>
                <w:lang w:val="en-GB"/>
              </w:rPr>
              <w:t>–</w:t>
            </w:r>
            <w:r w:rsidRPr="00C33C0B">
              <w:rPr>
                <w:lang w:val="en-GB"/>
              </w:rPr>
              <w:t>30</w:t>
            </w:r>
            <w:r>
              <w:rPr>
                <w:lang w:val="en-GB"/>
              </w:rPr>
              <w:t xml:space="preserve"> </w:t>
            </w:r>
            <w:r w:rsidRPr="00C33C0B">
              <w:rPr>
                <w:lang w:val="en-GB"/>
              </w:rPr>
              <w:t>min</w:t>
            </w:r>
            <w:r>
              <w:rPr>
                <w:lang w:val="en-GB"/>
              </w:rPr>
              <w:t>ute</w:t>
            </w:r>
            <w:r w:rsidRPr="00C33C0B">
              <w:rPr>
                <w:lang w:val="en-GB"/>
              </w:rPr>
              <w:t>s</w:t>
            </w:r>
          </w:p>
        </w:tc>
        <w:tc>
          <w:tcPr>
            <w:tcW w:w="1036" w:type="dxa"/>
            <w:vMerge/>
          </w:tcPr>
          <w:p w14:paraId="5920EAD5" w14:textId="77777777" w:rsidR="000F6B85" w:rsidRPr="00C33C0B" w:rsidRDefault="000F6B85" w:rsidP="00A7236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5EDDCAD0" w14:textId="77777777" w:rsidR="000F6B85" w:rsidRPr="00C33C0B" w:rsidRDefault="000F6B85"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0F6B85" w:rsidRPr="00C33C0B" w14:paraId="437960E1"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76062A97" w14:textId="77777777" w:rsidR="000F6B85" w:rsidRPr="00C33C0B" w:rsidRDefault="000F6B85" w:rsidP="005F56B0">
            <w:pPr>
              <w:pStyle w:val="Tabletext"/>
              <w:rPr>
                <w:lang w:val="en-GB"/>
              </w:rPr>
            </w:pPr>
            <w:r w:rsidRPr="00C33C0B">
              <w:rPr>
                <w:lang w:val="en-GB"/>
              </w:rPr>
              <w:t>826</w:t>
            </w:r>
          </w:p>
        </w:tc>
        <w:tc>
          <w:tcPr>
            <w:tcW w:w="1825" w:type="dxa"/>
          </w:tcPr>
          <w:p w14:paraId="4FB6BD13" w14:textId="1A5ECFD5" w:rsidR="000F6B85" w:rsidRPr="00C33C0B" w:rsidRDefault="000F6B85"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30</w:t>
            </w:r>
            <w:r>
              <w:rPr>
                <w:lang w:val="en-GB"/>
              </w:rPr>
              <w:t>–</w:t>
            </w:r>
            <w:r w:rsidRPr="00C33C0B">
              <w:rPr>
                <w:lang w:val="en-GB"/>
              </w:rPr>
              <w:t>45</w:t>
            </w:r>
            <w:r>
              <w:rPr>
                <w:lang w:val="en-GB"/>
              </w:rPr>
              <w:t xml:space="preserve"> </w:t>
            </w:r>
            <w:r w:rsidRPr="00C33C0B">
              <w:rPr>
                <w:lang w:val="en-GB"/>
              </w:rPr>
              <w:t>min</w:t>
            </w:r>
            <w:r>
              <w:rPr>
                <w:lang w:val="en-GB"/>
              </w:rPr>
              <w:t>ute</w:t>
            </w:r>
            <w:r w:rsidRPr="00C33C0B">
              <w:rPr>
                <w:lang w:val="en-GB"/>
              </w:rPr>
              <w:t>s</w:t>
            </w:r>
          </w:p>
        </w:tc>
        <w:tc>
          <w:tcPr>
            <w:tcW w:w="1036" w:type="dxa"/>
            <w:vMerge/>
          </w:tcPr>
          <w:p w14:paraId="3080591F" w14:textId="77777777" w:rsidR="000F6B85" w:rsidRPr="00C33C0B" w:rsidRDefault="000F6B85" w:rsidP="00A7236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46E7BE39" w14:textId="77777777" w:rsidR="000F6B85" w:rsidRPr="00C33C0B" w:rsidRDefault="000F6B85" w:rsidP="00A7236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0F6B85" w:rsidRPr="00C33C0B" w14:paraId="4E875C11"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22867F37" w14:textId="77777777" w:rsidR="000F6B85" w:rsidRPr="00C33C0B" w:rsidRDefault="000F6B85" w:rsidP="005F56B0">
            <w:pPr>
              <w:pStyle w:val="Tabletext"/>
              <w:rPr>
                <w:lang w:val="en-GB"/>
              </w:rPr>
            </w:pPr>
            <w:r w:rsidRPr="00C33C0B">
              <w:rPr>
                <w:lang w:val="en-GB"/>
              </w:rPr>
              <w:t>828</w:t>
            </w:r>
          </w:p>
        </w:tc>
        <w:tc>
          <w:tcPr>
            <w:tcW w:w="1825" w:type="dxa"/>
          </w:tcPr>
          <w:p w14:paraId="3AB9462E" w14:textId="2F073CD6" w:rsidR="000F6B85"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&gt;</w:t>
            </w:r>
            <w:r w:rsidR="000F6B85" w:rsidRPr="00C33C0B">
              <w:rPr>
                <w:lang w:val="en-GB"/>
              </w:rPr>
              <w:t>45</w:t>
            </w:r>
            <w:r w:rsidR="000F6B85">
              <w:rPr>
                <w:lang w:val="en-GB"/>
              </w:rPr>
              <w:t xml:space="preserve"> </w:t>
            </w:r>
            <w:r w:rsidR="000F6B85" w:rsidRPr="00C33C0B">
              <w:rPr>
                <w:lang w:val="en-GB"/>
              </w:rPr>
              <w:t>min</w:t>
            </w:r>
            <w:r w:rsidR="000F6B85">
              <w:rPr>
                <w:lang w:val="en-GB"/>
              </w:rPr>
              <w:t>ute</w:t>
            </w:r>
            <w:r w:rsidR="000F6B85" w:rsidRPr="00C33C0B">
              <w:rPr>
                <w:lang w:val="en-GB"/>
              </w:rPr>
              <w:t>s</w:t>
            </w:r>
          </w:p>
        </w:tc>
        <w:tc>
          <w:tcPr>
            <w:tcW w:w="1036" w:type="dxa"/>
            <w:vMerge/>
          </w:tcPr>
          <w:p w14:paraId="70C61864" w14:textId="77777777" w:rsidR="000F6B85" w:rsidRPr="00C33C0B" w:rsidRDefault="000F6B85" w:rsidP="00A7236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7AA2B1AE" w14:textId="77777777" w:rsidR="000F6B85" w:rsidRPr="00C33C0B" w:rsidRDefault="000F6B85" w:rsidP="00A7236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154B2C" w:rsidRPr="00C33C0B" w14:paraId="2F90E48D"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39E3DBC2" w14:textId="77777777" w:rsidR="00154B2C" w:rsidRPr="00154B2C" w:rsidRDefault="003A6BD8" w:rsidP="005F56B0">
            <w:pPr>
              <w:pStyle w:val="Tabletext"/>
              <w:rPr>
                <w:b/>
                <w:lang w:val="en-GB"/>
              </w:rPr>
            </w:pPr>
            <w:r>
              <w:rPr>
                <w:lang w:val="en-GB"/>
              </w:rPr>
              <w:t>83X</w:t>
            </w:r>
            <w:r w:rsidR="00154B2C">
              <w:rPr>
                <w:lang w:val="en-GB"/>
              </w:rPr>
              <w:t xml:space="preserve"> (new)</w:t>
            </w:r>
          </w:p>
        </w:tc>
        <w:tc>
          <w:tcPr>
            <w:tcW w:w="1825" w:type="dxa"/>
          </w:tcPr>
          <w:p w14:paraId="7572644F" w14:textId="77777777"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&lt;15 minutes</w:t>
            </w:r>
          </w:p>
        </w:tc>
        <w:tc>
          <w:tcPr>
            <w:tcW w:w="1036" w:type="dxa"/>
            <w:vMerge w:val="restart"/>
          </w:tcPr>
          <w:p w14:paraId="69C0301C" w14:textId="150F081F"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Organise and coordinate</w:t>
            </w:r>
          </w:p>
        </w:tc>
        <w:tc>
          <w:tcPr>
            <w:tcW w:w="4974" w:type="dxa"/>
            <w:vMerge w:val="restart"/>
          </w:tcPr>
          <w:p w14:paraId="0D029DCF" w14:textId="77777777"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Attendance by a </w:t>
            </w:r>
            <w:r>
              <w:rPr>
                <w:lang w:val="en-GB"/>
              </w:rPr>
              <w:t>consultant specialist</w:t>
            </w:r>
            <w:r w:rsidRPr="00C33C0B">
              <w:rPr>
                <w:lang w:val="en-GB"/>
              </w:rPr>
              <w:t xml:space="preserve"> in the practice of his or her specialty to </w:t>
            </w:r>
            <w:r>
              <w:rPr>
                <w:lang w:val="en-GB"/>
              </w:rPr>
              <w:t>[insert role]</w:t>
            </w:r>
            <w:r w:rsidRPr="00C33C0B">
              <w:rPr>
                <w:lang w:val="en-GB"/>
              </w:rPr>
              <w:t xml:space="preserve"> a discharge case conference of at least [X] minutes but less than [X] minutes, requiring:</w:t>
            </w:r>
          </w:p>
          <w:p w14:paraId="386CB670" w14:textId="77777777" w:rsidR="00154B2C" w:rsidRPr="005F56B0" w:rsidRDefault="00154B2C" w:rsidP="000831A1">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The development and approval of a discharge management plan for transfer of care to the community setting and self-management; and</w:t>
            </w:r>
          </w:p>
          <w:p w14:paraId="3D9FAEEB" w14:textId="77777777" w:rsidR="005D7386" w:rsidRPr="005F56B0" w:rsidRDefault="005D7386" w:rsidP="000831A1">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Mandatory GP (or delegate) invitation and</w:t>
            </w:r>
          </w:p>
          <w:p w14:paraId="32064B1C" w14:textId="77777777" w:rsidR="005D7386" w:rsidRPr="005F56B0" w:rsidRDefault="005D7386" w:rsidP="005D7386">
            <w:pPr>
              <w:pStyle w:val="ListParagraph"/>
              <w:spacing w:before="20" w:after="20"/>
              <w:ind w:left="773"/>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i) participation, or ii) review of outcomes and</w:t>
            </w:r>
            <w:r w:rsidR="005D5A68" w:rsidRPr="005F56B0">
              <w:rPr>
                <w:sz w:val="20"/>
                <w:szCs w:val="20"/>
                <w:lang w:val="en-GB"/>
              </w:rPr>
              <w:t xml:space="preserve"> </w:t>
            </w:r>
            <w:r w:rsidRPr="005F56B0">
              <w:rPr>
                <w:sz w:val="20"/>
                <w:szCs w:val="20"/>
                <w:lang w:val="en-GB"/>
              </w:rPr>
              <w:t>communication of any proposed changes to the patient and to the case conference organiser; and</w:t>
            </w:r>
          </w:p>
          <w:p w14:paraId="367C2D91" w14:textId="77777777" w:rsidR="00B25708" w:rsidRPr="005F56B0" w:rsidRDefault="00B25708" w:rsidP="000831A1">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Mandatory patient (or delegate) invitation and to make it possible for them to attend; and</w:t>
            </w:r>
          </w:p>
          <w:p w14:paraId="54ECD696" w14:textId="77777777" w:rsidR="00154B2C" w:rsidRPr="005F56B0" w:rsidRDefault="00154B2C" w:rsidP="000831A1">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 xml:space="preserve">At least </w:t>
            </w:r>
            <w:r w:rsidR="0048637C" w:rsidRPr="005F56B0">
              <w:rPr>
                <w:sz w:val="20"/>
                <w:szCs w:val="20"/>
                <w:lang w:val="en-GB"/>
              </w:rPr>
              <w:t xml:space="preserve">two </w:t>
            </w:r>
            <w:r w:rsidRPr="005F56B0">
              <w:rPr>
                <w:sz w:val="20"/>
                <w:szCs w:val="20"/>
                <w:lang w:val="en-GB"/>
              </w:rPr>
              <w:t>other formal care providers of different disciplines; and</w:t>
            </w:r>
          </w:p>
          <w:p w14:paraId="1CF11A33" w14:textId="77777777" w:rsidR="00154B2C" w:rsidRPr="005F56B0" w:rsidRDefault="00154B2C" w:rsidP="000831A1">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Outcomes to be documented in writing, including shared decisions made and informed consent sought</w:t>
            </w:r>
            <w:r w:rsidR="00794929" w:rsidRPr="005F56B0">
              <w:rPr>
                <w:sz w:val="20"/>
                <w:szCs w:val="20"/>
                <w:lang w:val="en-GB"/>
              </w:rPr>
              <w:t>; and</w:t>
            </w:r>
          </w:p>
          <w:p w14:paraId="6886EAF8" w14:textId="77777777" w:rsidR="00794929" w:rsidRPr="005F56B0" w:rsidRDefault="00794929" w:rsidP="000831A1">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A copy of the case conference outcomes to be uploaded to My Health Record, unless patient consent is withdrawn, and where reasonably achievable.</w:t>
            </w:r>
          </w:p>
          <w:p w14:paraId="1AF12122" w14:textId="77777777"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All participants must be in communication with each other throughout the conference, either face-to-face, by telephone or by videoconference, or a combination of these</w:t>
            </w:r>
          </w:p>
        </w:tc>
      </w:tr>
      <w:tr w:rsidR="00154B2C" w:rsidRPr="00C33C0B" w14:paraId="7AD171E0"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649CCED6" w14:textId="77777777" w:rsidR="00154B2C" w:rsidRPr="00C33C0B" w:rsidRDefault="00154B2C" w:rsidP="005F56B0">
            <w:pPr>
              <w:pStyle w:val="Tabletext"/>
              <w:rPr>
                <w:lang w:val="en-GB"/>
              </w:rPr>
            </w:pPr>
            <w:r w:rsidRPr="00C33C0B">
              <w:rPr>
                <w:lang w:val="en-GB"/>
              </w:rPr>
              <w:t>830</w:t>
            </w:r>
          </w:p>
        </w:tc>
        <w:tc>
          <w:tcPr>
            <w:tcW w:w="1825" w:type="dxa"/>
          </w:tcPr>
          <w:p w14:paraId="1BEEB2C4" w14:textId="611228AE"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15</w:t>
            </w:r>
            <w:r>
              <w:rPr>
                <w:lang w:val="en-GB"/>
              </w:rPr>
              <w:t>–</w:t>
            </w:r>
            <w:r w:rsidRPr="00C33C0B">
              <w:rPr>
                <w:lang w:val="en-GB"/>
              </w:rPr>
              <w:t>30</w:t>
            </w:r>
            <w:r>
              <w:rPr>
                <w:lang w:val="en-GB"/>
              </w:rPr>
              <w:t xml:space="preserve"> </w:t>
            </w:r>
            <w:r w:rsidRPr="00C33C0B">
              <w:rPr>
                <w:lang w:val="en-GB"/>
              </w:rPr>
              <w:t>min</w:t>
            </w:r>
            <w:r>
              <w:rPr>
                <w:lang w:val="en-GB"/>
              </w:rPr>
              <w:t>ute</w:t>
            </w:r>
            <w:r w:rsidRPr="00C33C0B">
              <w:rPr>
                <w:lang w:val="en-GB"/>
              </w:rPr>
              <w:t>s</w:t>
            </w:r>
          </w:p>
        </w:tc>
        <w:tc>
          <w:tcPr>
            <w:tcW w:w="1036" w:type="dxa"/>
            <w:vMerge/>
          </w:tcPr>
          <w:p w14:paraId="2F4CD675" w14:textId="77777777"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4974" w:type="dxa"/>
            <w:vMerge/>
          </w:tcPr>
          <w:p w14:paraId="31CC0465" w14:textId="77777777" w:rsidR="00154B2C" w:rsidRPr="00C33C0B" w:rsidRDefault="00154B2C"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154B2C" w:rsidRPr="00C33C0B" w14:paraId="53D3084E"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500AA0C0" w14:textId="77777777" w:rsidR="00154B2C" w:rsidRPr="00C33C0B" w:rsidRDefault="00154B2C" w:rsidP="005F56B0">
            <w:pPr>
              <w:pStyle w:val="Tabletext"/>
              <w:rPr>
                <w:lang w:val="en-GB"/>
              </w:rPr>
            </w:pPr>
            <w:r w:rsidRPr="00C33C0B">
              <w:rPr>
                <w:lang w:val="en-GB"/>
              </w:rPr>
              <w:t>832</w:t>
            </w:r>
          </w:p>
        </w:tc>
        <w:tc>
          <w:tcPr>
            <w:tcW w:w="1825" w:type="dxa"/>
          </w:tcPr>
          <w:p w14:paraId="37A451E8" w14:textId="41901A62"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30</w:t>
            </w:r>
            <w:r>
              <w:rPr>
                <w:lang w:val="en-GB"/>
              </w:rPr>
              <w:t>–</w:t>
            </w:r>
            <w:r w:rsidRPr="00C33C0B">
              <w:rPr>
                <w:lang w:val="en-GB"/>
              </w:rPr>
              <w:t>45</w:t>
            </w:r>
            <w:r>
              <w:rPr>
                <w:lang w:val="en-GB"/>
              </w:rPr>
              <w:t xml:space="preserve"> </w:t>
            </w:r>
            <w:r w:rsidRPr="00C33C0B">
              <w:rPr>
                <w:lang w:val="en-GB"/>
              </w:rPr>
              <w:t>min</w:t>
            </w:r>
            <w:r>
              <w:rPr>
                <w:lang w:val="en-GB"/>
              </w:rPr>
              <w:t>ute</w:t>
            </w:r>
            <w:r w:rsidRPr="00C33C0B">
              <w:rPr>
                <w:lang w:val="en-GB"/>
              </w:rPr>
              <w:t>s</w:t>
            </w:r>
          </w:p>
        </w:tc>
        <w:tc>
          <w:tcPr>
            <w:tcW w:w="1036" w:type="dxa"/>
            <w:vMerge/>
          </w:tcPr>
          <w:p w14:paraId="35E70A5F" w14:textId="77777777"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7B85B739" w14:textId="77777777" w:rsidR="00154B2C" w:rsidRPr="00C33C0B" w:rsidRDefault="00154B2C"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154B2C" w:rsidRPr="00C33C0B" w14:paraId="394733D9"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61F28940" w14:textId="77777777" w:rsidR="00154B2C" w:rsidRPr="00C33C0B" w:rsidRDefault="00154B2C" w:rsidP="005F56B0">
            <w:pPr>
              <w:pStyle w:val="Tabletext"/>
              <w:rPr>
                <w:lang w:val="en-GB"/>
              </w:rPr>
            </w:pPr>
            <w:r w:rsidRPr="00C33C0B">
              <w:rPr>
                <w:lang w:val="en-GB"/>
              </w:rPr>
              <w:t>834</w:t>
            </w:r>
          </w:p>
        </w:tc>
        <w:tc>
          <w:tcPr>
            <w:tcW w:w="1825" w:type="dxa"/>
          </w:tcPr>
          <w:p w14:paraId="78C5D187" w14:textId="233AC39A"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&gt; </w:t>
            </w:r>
            <w:r w:rsidRPr="00C33C0B">
              <w:rPr>
                <w:lang w:val="en-GB"/>
              </w:rPr>
              <w:t>45</w:t>
            </w:r>
            <w:r>
              <w:rPr>
                <w:lang w:val="en-GB"/>
              </w:rPr>
              <w:t xml:space="preserve"> </w:t>
            </w:r>
            <w:r w:rsidRPr="00C33C0B">
              <w:rPr>
                <w:lang w:val="en-GB"/>
              </w:rPr>
              <w:t>min</w:t>
            </w:r>
            <w:r>
              <w:rPr>
                <w:lang w:val="en-GB"/>
              </w:rPr>
              <w:t>ute</w:t>
            </w:r>
            <w:r w:rsidRPr="00C33C0B">
              <w:rPr>
                <w:lang w:val="en-GB"/>
              </w:rPr>
              <w:t>s</w:t>
            </w:r>
          </w:p>
        </w:tc>
        <w:tc>
          <w:tcPr>
            <w:tcW w:w="1036" w:type="dxa"/>
            <w:vMerge/>
          </w:tcPr>
          <w:p w14:paraId="58041CEE" w14:textId="77777777"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30D6BE17" w14:textId="77777777" w:rsidR="00154B2C" w:rsidRPr="00C33C0B" w:rsidRDefault="00154B2C"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154B2C" w:rsidRPr="00C33C0B" w14:paraId="4AF3EC2F"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7B9CEE36" w14:textId="77777777" w:rsidR="00154B2C" w:rsidRPr="00154B2C" w:rsidRDefault="003A6BD8" w:rsidP="005F56B0">
            <w:pPr>
              <w:pStyle w:val="Tabletext"/>
              <w:rPr>
                <w:b/>
                <w:lang w:val="en-GB"/>
              </w:rPr>
            </w:pPr>
            <w:r>
              <w:rPr>
                <w:lang w:val="en-GB"/>
              </w:rPr>
              <w:t>83Y</w:t>
            </w:r>
            <w:r w:rsidR="00154B2C" w:rsidRPr="00154B2C">
              <w:rPr>
                <w:lang w:val="en-GB"/>
              </w:rPr>
              <w:t xml:space="preserve"> (new)</w:t>
            </w:r>
          </w:p>
        </w:tc>
        <w:tc>
          <w:tcPr>
            <w:tcW w:w="1825" w:type="dxa"/>
          </w:tcPr>
          <w:p w14:paraId="4E6B7A6A" w14:textId="77777777"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&lt;15 minutes</w:t>
            </w:r>
          </w:p>
        </w:tc>
        <w:tc>
          <w:tcPr>
            <w:tcW w:w="1036" w:type="dxa"/>
            <w:vMerge w:val="restart"/>
          </w:tcPr>
          <w:p w14:paraId="0C440476" w14:textId="77777777"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Participate</w:t>
            </w:r>
          </w:p>
        </w:tc>
        <w:tc>
          <w:tcPr>
            <w:tcW w:w="4974" w:type="dxa"/>
            <w:vMerge/>
          </w:tcPr>
          <w:p w14:paraId="286BCF14" w14:textId="77777777" w:rsidR="00154B2C" w:rsidRPr="00C33C0B" w:rsidRDefault="00154B2C"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154B2C" w:rsidRPr="00C33C0B" w14:paraId="44FD6515"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0AB8B094" w14:textId="77777777" w:rsidR="00154B2C" w:rsidRPr="00C33C0B" w:rsidRDefault="00154B2C" w:rsidP="005F56B0">
            <w:pPr>
              <w:pStyle w:val="Tabletext"/>
              <w:rPr>
                <w:lang w:val="en-GB"/>
              </w:rPr>
            </w:pPr>
            <w:r w:rsidRPr="00C33C0B">
              <w:rPr>
                <w:lang w:val="en-GB"/>
              </w:rPr>
              <w:t>835</w:t>
            </w:r>
          </w:p>
        </w:tc>
        <w:tc>
          <w:tcPr>
            <w:tcW w:w="1825" w:type="dxa"/>
          </w:tcPr>
          <w:p w14:paraId="37AA19C0" w14:textId="0590A9FB"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15</w:t>
            </w:r>
            <w:r>
              <w:rPr>
                <w:lang w:val="en-GB"/>
              </w:rPr>
              <w:t>–</w:t>
            </w:r>
            <w:r w:rsidRPr="00C33C0B">
              <w:rPr>
                <w:lang w:val="en-GB"/>
              </w:rPr>
              <w:t>30</w:t>
            </w:r>
            <w:r>
              <w:rPr>
                <w:lang w:val="en-GB"/>
              </w:rPr>
              <w:t xml:space="preserve"> </w:t>
            </w:r>
            <w:r w:rsidRPr="00C33C0B">
              <w:rPr>
                <w:lang w:val="en-GB"/>
              </w:rPr>
              <w:t>min</w:t>
            </w:r>
            <w:r>
              <w:rPr>
                <w:lang w:val="en-GB"/>
              </w:rPr>
              <w:t>ute</w:t>
            </w:r>
            <w:r w:rsidRPr="00C33C0B">
              <w:rPr>
                <w:lang w:val="en-GB"/>
              </w:rPr>
              <w:t>s</w:t>
            </w:r>
          </w:p>
        </w:tc>
        <w:tc>
          <w:tcPr>
            <w:tcW w:w="1036" w:type="dxa"/>
            <w:vMerge/>
          </w:tcPr>
          <w:p w14:paraId="13AAAA8D" w14:textId="77777777" w:rsidR="00154B2C" w:rsidRPr="00C33C0B" w:rsidRDefault="00154B2C"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155DA7DC" w14:textId="77777777" w:rsidR="00154B2C" w:rsidRPr="00C33C0B" w:rsidRDefault="00154B2C"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154B2C" w:rsidRPr="00C33C0B" w14:paraId="25A4767B"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481BBF61" w14:textId="77777777" w:rsidR="00154B2C" w:rsidRPr="00C33C0B" w:rsidRDefault="00154B2C" w:rsidP="005F56B0">
            <w:pPr>
              <w:pStyle w:val="Tabletext"/>
              <w:rPr>
                <w:lang w:val="en-GB"/>
              </w:rPr>
            </w:pPr>
            <w:r w:rsidRPr="00C33C0B">
              <w:rPr>
                <w:lang w:val="en-GB"/>
              </w:rPr>
              <w:t>837</w:t>
            </w:r>
          </w:p>
        </w:tc>
        <w:tc>
          <w:tcPr>
            <w:tcW w:w="1825" w:type="dxa"/>
          </w:tcPr>
          <w:p w14:paraId="1F1F0356" w14:textId="68B9ED1B"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30</w:t>
            </w:r>
            <w:r>
              <w:rPr>
                <w:lang w:val="en-GB"/>
              </w:rPr>
              <w:t>–</w:t>
            </w:r>
            <w:r w:rsidRPr="00C33C0B">
              <w:rPr>
                <w:lang w:val="en-GB"/>
              </w:rPr>
              <w:t>45</w:t>
            </w:r>
            <w:r>
              <w:rPr>
                <w:lang w:val="en-GB"/>
              </w:rPr>
              <w:t xml:space="preserve"> </w:t>
            </w:r>
            <w:r w:rsidRPr="00C33C0B">
              <w:rPr>
                <w:lang w:val="en-GB"/>
              </w:rPr>
              <w:t>min</w:t>
            </w:r>
            <w:r>
              <w:rPr>
                <w:lang w:val="en-GB"/>
              </w:rPr>
              <w:t>ute</w:t>
            </w:r>
            <w:r w:rsidRPr="00C33C0B">
              <w:rPr>
                <w:lang w:val="en-GB"/>
              </w:rPr>
              <w:t>s</w:t>
            </w:r>
          </w:p>
        </w:tc>
        <w:tc>
          <w:tcPr>
            <w:tcW w:w="1036" w:type="dxa"/>
            <w:vMerge/>
          </w:tcPr>
          <w:p w14:paraId="03CFC64C" w14:textId="77777777" w:rsidR="00154B2C" w:rsidRPr="00C33C0B" w:rsidRDefault="00154B2C"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54F71319" w14:textId="77777777" w:rsidR="00154B2C" w:rsidRPr="00C33C0B" w:rsidRDefault="00154B2C"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154B2C" w:rsidRPr="00C33C0B" w14:paraId="723B92B3"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316222B4" w14:textId="77777777" w:rsidR="00154B2C" w:rsidRPr="00C33C0B" w:rsidRDefault="00154B2C" w:rsidP="005F56B0">
            <w:pPr>
              <w:pStyle w:val="Tabletext"/>
              <w:rPr>
                <w:lang w:val="en-GB"/>
              </w:rPr>
            </w:pPr>
            <w:r w:rsidRPr="00C33C0B">
              <w:rPr>
                <w:lang w:val="en-GB"/>
              </w:rPr>
              <w:t>838</w:t>
            </w:r>
          </w:p>
        </w:tc>
        <w:tc>
          <w:tcPr>
            <w:tcW w:w="1825" w:type="dxa"/>
          </w:tcPr>
          <w:p w14:paraId="7648A1A8" w14:textId="340F1172" w:rsidR="00154B2C" w:rsidRPr="00C33C0B" w:rsidRDefault="00154B2C"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More than </w:t>
            </w:r>
            <w:r w:rsidRPr="00C33C0B">
              <w:rPr>
                <w:lang w:val="en-GB"/>
              </w:rPr>
              <w:t>45</w:t>
            </w:r>
            <w:r>
              <w:rPr>
                <w:lang w:val="en-GB"/>
              </w:rPr>
              <w:t xml:space="preserve"> </w:t>
            </w:r>
            <w:r w:rsidRPr="00C33C0B">
              <w:rPr>
                <w:lang w:val="en-GB"/>
              </w:rPr>
              <w:t>min</w:t>
            </w:r>
            <w:r>
              <w:rPr>
                <w:lang w:val="en-GB"/>
              </w:rPr>
              <w:t>ute</w:t>
            </w:r>
            <w:r w:rsidRPr="00C33C0B">
              <w:rPr>
                <w:lang w:val="en-GB"/>
              </w:rPr>
              <w:t>s</w:t>
            </w:r>
          </w:p>
        </w:tc>
        <w:tc>
          <w:tcPr>
            <w:tcW w:w="1036" w:type="dxa"/>
            <w:vMerge/>
          </w:tcPr>
          <w:p w14:paraId="5B6EB1E0" w14:textId="77777777" w:rsidR="00154B2C" w:rsidRPr="00C33C0B" w:rsidRDefault="00154B2C"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40AAC45A" w14:textId="77777777" w:rsidR="00154B2C" w:rsidRPr="00C33C0B" w:rsidRDefault="00154B2C" w:rsidP="000E4CBE">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F5ABE" w:rsidRPr="00C33C0B" w14:paraId="1FEAE5A0"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7277CD58" w14:textId="77777777" w:rsidR="008F5ABE" w:rsidRPr="00EC2D91" w:rsidRDefault="008F5ABE" w:rsidP="005F56B0">
            <w:pPr>
              <w:pStyle w:val="Tabletext"/>
              <w:rPr>
                <w:b/>
                <w:lang w:val="en-GB"/>
              </w:rPr>
            </w:pPr>
            <w:r w:rsidRPr="008F5ABE">
              <w:rPr>
                <w:lang w:val="en-GB"/>
              </w:rPr>
              <w:t>8TA</w:t>
            </w:r>
            <w:r w:rsidRPr="00EC2D91">
              <w:rPr>
                <w:lang w:val="en-GB"/>
              </w:rPr>
              <w:t xml:space="preserve"> (new)</w:t>
            </w:r>
          </w:p>
        </w:tc>
        <w:tc>
          <w:tcPr>
            <w:tcW w:w="1825" w:type="dxa"/>
          </w:tcPr>
          <w:p w14:paraId="790D8D98" w14:textId="77777777"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&lt;15 minutes</w:t>
            </w:r>
          </w:p>
        </w:tc>
        <w:tc>
          <w:tcPr>
            <w:tcW w:w="1036" w:type="dxa"/>
            <w:vMerge w:val="restart"/>
          </w:tcPr>
          <w:p w14:paraId="17FDFE53" w14:textId="77777777"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Organise and coordinate</w:t>
            </w:r>
          </w:p>
        </w:tc>
        <w:tc>
          <w:tcPr>
            <w:tcW w:w="4974" w:type="dxa"/>
            <w:vMerge w:val="restart"/>
          </w:tcPr>
          <w:p w14:paraId="0612849B" w14:textId="77777777"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Attendance by a </w:t>
            </w:r>
            <w:r>
              <w:rPr>
                <w:lang w:val="en-GB"/>
              </w:rPr>
              <w:t>consultant specialist</w:t>
            </w:r>
            <w:r w:rsidRPr="00C33C0B">
              <w:rPr>
                <w:lang w:val="en-GB"/>
              </w:rPr>
              <w:t xml:space="preserve"> in the practice of his or her specialty to </w:t>
            </w:r>
            <w:r>
              <w:rPr>
                <w:lang w:val="en-GB"/>
              </w:rPr>
              <w:t>[insert role]</w:t>
            </w:r>
            <w:r w:rsidRPr="00C33C0B">
              <w:rPr>
                <w:lang w:val="en-GB"/>
              </w:rPr>
              <w:t xml:space="preserve"> a treatment planning case conference of at least [X] minutes but less than [X] minutes, requiring:</w:t>
            </w:r>
          </w:p>
          <w:p w14:paraId="0F75E89B" w14:textId="77777777" w:rsidR="008F5ABE" w:rsidRPr="005F56B0" w:rsidRDefault="008F5ABE" w:rsidP="000831A1">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Discussion of treatment options, including risks and benefits, for patients who have been diagnosed but not yet received treatment, or where a significant change in ongoing treatment requires MDT input; and</w:t>
            </w:r>
          </w:p>
          <w:p w14:paraId="396941EC" w14:textId="77777777" w:rsidR="008F5ABE" w:rsidRPr="005F56B0" w:rsidRDefault="008F5ABE" w:rsidP="000831A1">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Written pre-brief materials to be sent prior to the conference that outlines available treatment options; and</w:t>
            </w:r>
          </w:p>
          <w:p w14:paraId="1612DCBE" w14:textId="77777777" w:rsidR="008F5ABE" w:rsidRPr="005F56B0" w:rsidRDefault="008F5ABE" w:rsidP="000831A1">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Final treatment decisions to be made together with the patient (unless there are exceptional circumstances); and</w:t>
            </w:r>
          </w:p>
          <w:p w14:paraId="6CAB2EFA" w14:textId="77777777" w:rsidR="008F5ABE" w:rsidRPr="005F56B0" w:rsidRDefault="008F5ABE" w:rsidP="000831A1">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At least 2 other formal care providers of different disciplines to be present; and</w:t>
            </w:r>
          </w:p>
          <w:p w14:paraId="7E36115F" w14:textId="77777777" w:rsidR="008F5ABE" w:rsidRPr="005F56B0" w:rsidRDefault="008F5ABE" w:rsidP="000831A1">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Outcomes to be documented in writing, including shared decisions made and informed consent sought</w:t>
            </w:r>
            <w:r w:rsidR="00794929" w:rsidRPr="005F56B0">
              <w:rPr>
                <w:sz w:val="20"/>
                <w:szCs w:val="20"/>
                <w:lang w:val="en-GB"/>
              </w:rPr>
              <w:t>; and</w:t>
            </w:r>
          </w:p>
          <w:p w14:paraId="7B4560B8" w14:textId="77777777" w:rsidR="00794929" w:rsidRPr="005F56B0" w:rsidRDefault="00794929" w:rsidP="000831A1">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 w:val="20"/>
                <w:szCs w:val="20"/>
                <w:lang w:val="en-GB"/>
              </w:rPr>
            </w:pPr>
            <w:r w:rsidRPr="005F56B0">
              <w:rPr>
                <w:sz w:val="20"/>
                <w:szCs w:val="20"/>
                <w:lang w:val="en-GB"/>
              </w:rPr>
              <w:t>A copy of the case conference outcomes to be uploaded to My Health Record, unless patient consent is withdrawn, and where reasonably achievable.</w:t>
            </w:r>
          </w:p>
          <w:p w14:paraId="2F9C72BF" w14:textId="77777777"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All participants must be in communication with each other throughout the conference, either face-to-face, by telephone or by videoconference, or a combination of these</w:t>
            </w:r>
          </w:p>
        </w:tc>
      </w:tr>
      <w:tr w:rsidR="008F5ABE" w:rsidRPr="00C33C0B" w14:paraId="4A1C5E00"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1177F59B" w14:textId="77777777" w:rsidR="008F5ABE" w:rsidRPr="00EC2D91" w:rsidRDefault="008F5ABE" w:rsidP="005F56B0">
            <w:pPr>
              <w:pStyle w:val="Tabletext"/>
              <w:rPr>
                <w:b/>
                <w:lang w:val="en-GB"/>
              </w:rPr>
            </w:pPr>
            <w:r w:rsidRPr="008F5ABE">
              <w:rPr>
                <w:lang w:val="en-GB"/>
              </w:rPr>
              <w:t>8TB</w:t>
            </w:r>
            <w:r w:rsidRPr="00EC2D91">
              <w:rPr>
                <w:lang w:val="en-GB"/>
              </w:rPr>
              <w:t xml:space="preserve"> (new)</w:t>
            </w:r>
          </w:p>
        </w:tc>
        <w:tc>
          <w:tcPr>
            <w:tcW w:w="1825" w:type="dxa"/>
          </w:tcPr>
          <w:p w14:paraId="61A10238" w14:textId="529F8720"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15</w:t>
            </w:r>
            <w:r>
              <w:rPr>
                <w:lang w:val="en-GB"/>
              </w:rPr>
              <w:t>–</w:t>
            </w:r>
            <w:r w:rsidRPr="00C33C0B">
              <w:rPr>
                <w:lang w:val="en-GB"/>
              </w:rPr>
              <w:t>30</w:t>
            </w:r>
            <w:r>
              <w:rPr>
                <w:lang w:val="en-GB"/>
              </w:rPr>
              <w:t xml:space="preserve"> </w:t>
            </w:r>
            <w:r w:rsidRPr="00C33C0B">
              <w:rPr>
                <w:lang w:val="en-GB"/>
              </w:rPr>
              <w:t>min</w:t>
            </w:r>
            <w:r>
              <w:rPr>
                <w:lang w:val="en-GB"/>
              </w:rPr>
              <w:t>ute</w:t>
            </w:r>
            <w:r w:rsidRPr="00C33C0B">
              <w:rPr>
                <w:lang w:val="en-GB"/>
              </w:rPr>
              <w:t>s</w:t>
            </w:r>
          </w:p>
        </w:tc>
        <w:tc>
          <w:tcPr>
            <w:tcW w:w="1036" w:type="dxa"/>
            <w:vMerge/>
          </w:tcPr>
          <w:p w14:paraId="78DF12DB" w14:textId="77777777"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4974" w:type="dxa"/>
            <w:vMerge/>
          </w:tcPr>
          <w:p w14:paraId="20E346B5" w14:textId="77777777" w:rsidR="008F5ABE" w:rsidRPr="00C33C0B" w:rsidRDefault="008F5ABE" w:rsidP="00284391">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F5ABE" w:rsidRPr="00C33C0B" w14:paraId="645C9251"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3D4F1472" w14:textId="77777777" w:rsidR="008F5ABE" w:rsidRPr="00EC2D91" w:rsidRDefault="008F5ABE" w:rsidP="005F56B0">
            <w:pPr>
              <w:pStyle w:val="Tabletext"/>
              <w:rPr>
                <w:b/>
                <w:lang w:val="en-GB"/>
              </w:rPr>
            </w:pPr>
            <w:r w:rsidRPr="008F5ABE">
              <w:rPr>
                <w:lang w:val="en-GB"/>
              </w:rPr>
              <w:t>8TC</w:t>
            </w:r>
            <w:r w:rsidRPr="00EC2D91">
              <w:rPr>
                <w:lang w:val="en-GB"/>
              </w:rPr>
              <w:t xml:space="preserve"> (new)</w:t>
            </w:r>
          </w:p>
        </w:tc>
        <w:tc>
          <w:tcPr>
            <w:tcW w:w="1825" w:type="dxa"/>
          </w:tcPr>
          <w:p w14:paraId="55C9E79D" w14:textId="1A15828A"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30</w:t>
            </w:r>
            <w:r>
              <w:rPr>
                <w:lang w:val="en-GB"/>
              </w:rPr>
              <w:t>–</w:t>
            </w:r>
            <w:r w:rsidRPr="00C33C0B">
              <w:rPr>
                <w:lang w:val="en-GB"/>
              </w:rPr>
              <w:t>45</w:t>
            </w:r>
            <w:r>
              <w:rPr>
                <w:lang w:val="en-GB"/>
              </w:rPr>
              <w:t xml:space="preserve"> </w:t>
            </w:r>
            <w:r w:rsidRPr="00C33C0B">
              <w:rPr>
                <w:lang w:val="en-GB"/>
              </w:rPr>
              <w:t>min</w:t>
            </w:r>
            <w:r>
              <w:rPr>
                <w:lang w:val="en-GB"/>
              </w:rPr>
              <w:t>ute</w:t>
            </w:r>
            <w:r w:rsidRPr="00C33C0B">
              <w:rPr>
                <w:lang w:val="en-GB"/>
              </w:rPr>
              <w:t>s</w:t>
            </w:r>
          </w:p>
        </w:tc>
        <w:tc>
          <w:tcPr>
            <w:tcW w:w="1036" w:type="dxa"/>
            <w:vMerge/>
          </w:tcPr>
          <w:p w14:paraId="3DC75A90" w14:textId="77777777"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4974" w:type="dxa"/>
            <w:vMerge/>
          </w:tcPr>
          <w:p w14:paraId="23EA08B3" w14:textId="77777777" w:rsidR="008F5ABE" w:rsidRPr="00C33C0B" w:rsidRDefault="008F5ABE" w:rsidP="003A3AC6">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F5ABE" w:rsidRPr="00C33C0B" w14:paraId="18666CAD"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4E661EB8" w14:textId="77777777" w:rsidR="008F5ABE" w:rsidRPr="00EC2D91" w:rsidRDefault="008F5ABE" w:rsidP="005F56B0">
            <w:pPr>
              <w:pStyle w:val="Tabletext"/>
              <w:rPr>
                <w:b/>
                <w:lang w:val="en-GB"/>
              </w:rPr>
            </w:pPr>
            <w:r w:rsidRPr="008F5ABE">
              <w:rPr>
                <w:lang w:val="en-GB"/>
              </w:rPr>
              <w:t>8TD</w:t>
            </w:r>
            <w:r w:rsidRPr="00EC2D91">
              <w:rPr>
                <w:lang w:val="en-GB"/>
              </w:rPr>
              <w:t xml:space="preserve"> (new)</w:t>
            </w:r>
          </w:p>
        </w:tc>
        <w:tc>
          <w:tcPr>
            <w:tcW w:w="1825" w:type="dxa"/>
          </w:tcPr>
          <w:p w14:paraId="4B20ED0B" w14:textId="7E57245A"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More than </w:t>
            </w:r>
            <w:r w:rsidRPr="00C33C0B">
              <w:rPr>
                <w:lang w:val="en-GB"/>
              </w:rPr>
              <w:t>45</w:t>
            </w:r>
            <w:r>
              <w:rPr>
                <w:lang w:val="en-GB"/>
              </w:rPr>
              <w:t xml:space="preserve"> </w:t>
            </w:r>
            <w:r w:rsidRPr="00C33C0B">
              <w:rPr>
                <w:lang w:val="en-GB"/>
              </w:rPr>
              <w:t>min</w:t>
            </w:r>
            <w:r>
              <w:rPr>
                <w:lang w:val="en-GB"/>
              </w:rPr>
              <w:t>ute</w:t>
            </w:r>
            <w:r w:rsidRPr="00C33C0B">
              <w:rPr>
                <w:lang w:val="en-GB"/>
              </w:rPr>
              <w:t>s</w:t>
            </w:r>
          </w:p>
        </w:tc>
        <w:tc>
          <w:tcPr>
            <w:tcW w:w="1036" w:type="dxa"/>
            <w:vMerge/>
          </w:tcPr>
          <w:p w14:paraId="49328F65" w14:textId="77777777" w:rsidR="008F5ABE" w:rsidRPr="00C33C0B" w:rsidRDefault="008F5ABE" w:rsidP="003A3AC6">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33B3EBB6" w14:textId="77777777" w:rsidR="008F5ABE" w:rsidRPr="00C33C0B" w:rsidRDefault="008F5ABE" w:rsidP="003A3AC6">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F5ABE" w:rsidRPr="00C33C0B" w14:paraId="3789A4A6"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2C63EE3C" w14:textId="77777777" w:rsidR="008F5ABE" w:rsidRPr="00EC2D91" w:rsidRDefault="008F5ABE" w:rsidP="005F56B0">
            <w:pPr>
              <w:pStyle w:val="Tabletext"/>
              <w:rPr>
                <w:b/>
                <w:lang w:val="en-GB"/>
              </w:rPr>
            </w:pPr>
            <w:r w:rsidRPr="008F5ABE">
              <w:rPr>
                <w:lang w:val="en-GB"/>
              </w:rPr>
              <w:t>8TE</w:t>
            </w:r>
            <w:r w:rsidRPr="00EC2D91">
              <w:rPr>
                <w:lang w:val="en-GB"/>
              </w:rPr>
              <w:t xml:space="preserve"> (new)</w:t>
            </w:r>
          </w:p>
        </w:tc>
        <w:tc>
          <w:tcPr>
            <w:tcW w:w="1825" w:type="dxa"/>
          </w:tcPr>
          <w:p w14:paraId="10B72EEB" w14:textId="77777777"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&lt;15 minutes</w:t>
            </w:r>
          </w:p>
        </w:tc>
        <w:tc>
          <w:tcPr>
            <w:tcW w:w="1036" w:type="dxa"/>
            <w:vMerge w:val="restart"/>
          </w:tcPr>
          <w:p w14:paraId="5E8FACE9" w14:textId="77777777"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Participate</w:t>
            </w:r>
          </w:p>
        </w:tc>
        <w:tc>
          <w:tcPr>
            <w:tcW w:w="4974" w:type="dxa"/>
            <w:vMerge/>
          </w:tcPr>
          <w:p w14:paraId="48E941AF" w14:textId="77777777" w:rsidR="008F5ABE" w:rsidRPr="00C33C0B" w:rsidRDefault="008F5ABE" w:rsidP="00284391">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F5ABE" w:rsidRPr="00C33C0B" w14:paraId="1AF38A6D"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367E587C" w14:textId="77777777" w:rsidR="008F5ABE" w:rsidRPr="00EC2D91" w:rsidRDefault="008F5ABE" w:rsidP="005F56B0">
            <w:pPr>
              <w:pStyle w:val="Tabletext"/>
              <w:rPr>
                <w:b/>
                <w:lang w:val="en-GB"/>
              </w:rPr>
            </w:pPr>
            <w:r w:rsidRPr="008F5ABE">
              <w:rPr>
                <w:lang w:val="en-GB"/>
              </w:rPr>
              <w:t>8TF</w:t>
            </w:r>
            <w:r w:rsidRPr="00EC2D91">
              <w:rPr>
                <w:lang w:val="en-GB"/>
              </w:rPr>
              <w:t xml:space="preserve"> (new)</w:t>
            </w:r>
          </w:p>
        </w:tc>
        <w:tc>
          <w:tcPr>
            <w:tcW w:w="1825" w:type="dxa"/>
          </w:tcPr>
          <w:p w14:paraId="57414DD6" w14:textId="60569DAB"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15</w:t>
            </w:r>
            <w:r>
              <w:rPr>
                <w:lang w:val="en-GB"/>
              </w:rPr>
              <w:t>–</w:t>
            </w:r>
            <w:r w:rsidRPr="00C33C0B">
              <w:rPr>
                <w:lang w:val="en-GB"/>
              </w:rPr>
              <w:t>30</w:t>
            </w:r>
            <w:r>
              <w:rPr>
                <w:lang w:val="en-GB"/>
              </w:rPr>
              <w:t xml:space="preserve"> </w:t>
            </w:r>
            <w:r w:rsidRPr="00C33C0B">
              <w:rPr>
                <w:lang w:val="en-GB"/>
              </w:rPr>
              <w:t>min</w:t>
            </w:r>
            <w:r>
              <w:rPr>
                <w:lang w:val="en-GB"/>
              </w:rPr>
              <w:t>ute</w:t>
            </w:r>
            <w:r w:rsidRPr="00C33C0B">
              <w:rPr>
                <w:lang w:val="en-GB"/>
              </w:rPr>
              <w:t>s</w:t>
            </w:r>
          </w:p>
        </w:tc>
        <w:tc>
          <w:tcPr>
            <w:tcW w:w="1036" w:type="dxa"/>
            <w:vMerge/>
          </w:tcPr>
          <w:p w14:paraId="7F53E64D" w14:textId="77777777" w:rsidR="008F5ABE" w:rsidRPr="00C33C0B" w:rsidRDefault="008F5ABE" w:rsidP="003A3AC6">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50B716D3" w14:textId="77777777" w:rsidR="008F5ABE" w:rsidRPr="00C33C0B" w:rsidRDefault="008F5ABE" w:rsidP="00284391">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F5ABE" w:rsidRPr="00C33C0B" w14:paraId="78E5A3A2"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0C122F0C" w14:textId="77777777" w:rsidR="008F5ABE" w:rsidRPr="00EC2D91" w:rsidRDefault="008F5ABE" w:rsidP="005F56B0">
            <w:pPr>
              <w:pStyle w:val="Tabletext"/>
              <w:rPr>
                <w:b/>
                <w:lang w:val="en-GB"/>
              </w:rPr>
            </w:pPr>
            <w:r w:rsidRPr="008F5ABE">
              <w:rPr>
                <w:lang w:val="en-GB"/>
              </w:rPr>
              <w:t>8TG</w:t>
            </w:r>
            <w:r w:rsidRPr="00EC2D91">
              <w:rPr>
                <w:lang w:val="en-GB"/>
              </w:rPr>
              <w:t xml:space="preserve"> (new)</w:t>
            </w:r>
          </w:p>
        </w:tc>
        <w:tc>
          <w:tcPr>
            <w:tcW w:w="1825" w:type="dxa"/>
          </w:tcPr>
          <w:p w14:paraId="10A65200" w14:textId="351501BE"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30</w:t>
            </w:r>
            <w:r>
              <w:rPr>
                <w:lang w:val="en-GB"/>
              </w:rPr>
              <w:t>–</w:t>
            </w:r>
            <w:r w:rsidRPr="00C33C0B">
              <w:rPr>
                <w:lang w:val="en-GB"/>
              </w:rPr>
              <w:t>45</w:t>
            </w:r>
            <w:r>
              <w:rPr>
                <w:lang w:val="en-GB"/>
              </w:rPr>
              <w:t xml:space="preserve"> </w:t>
            </w:r>
            <w:r w:rsidRPr="00C33C0B">
              <w:rPr>
                <w:lang w:val="en-GB"/>
              </w:rPr>
              <w:t>min</w:t>
            </w:r>
            <w:r>
              <w:rPr>
                <w:lang w:val="en-GB"/>
              </w:rPr>
              <w:t>ute</w:t>
            </w:r>
            <w:r w:rsidRPr="00C33C0B">
              <w:rPr>
                <w:lang w:val="en-GB"/>
              </w:rPr>
              <w:t>s</w:t>
            </w:r>
          </w:p>
        </w:tc>
        <w:tc>
          <w:tcPr>
            <w:tcW w:w="1036" w:type="dxa"/>
            <w:vMerge/>
          </w:tcPr>
          <w:p w14:paraId="57A485B7" w14:textId="77777777" w:rsidR="008F5ABE" w:rsidRPr="00C33C0B" w:rsidRDefault="008F5ABE" w:rsidP="003A3AC6">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5DAAB4C4" w14:textId="77777777" w:rsidR="008F5ABE" w:rsidRPr="00C33C0B" w:rsidRDefault="008F5ABE" w:rsidP="003A3AC6">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F5ABE" w:rsidRPr="00C33C0B" w14:paraId="40F30AA6" w14:textId="77777777" w:rsidTr="005F56B0">
        <w:tc>
          <w:tcPr>
            <w:cnfStyle w:val="001000000000" w:firstRow="0" w:lastRow="0" w:firstColumn="1" w:lastColumn="0" w:oddVBand="0" w:evenVBand="0" w:oddHBand="0" w:evenHBand="0" w:firstRowFirstColumn="0" w:firstRowLastColumn="0" w:lastRowFirstColumn="0" w:lastRowLastColumn="0"/>
            <w:tcW w:w="590" w:type="dxa"/>
          </w:tcPr>
          <w:p w14:paraId="1CC3754A" w14:textId="77777777" w:rsidR="008F5ABE" w:rsidRPr="00EC2D91" w:rsidRDefault="008F5ABE" w:rsidP="005F56B0">
            <w:pPr>
              <w:pStyle w:val="Tabletext"/>
              <w:rPr>
                <w:b/>
                <w:lang w:val="en-GB"/>
              </w:rPr>
            </w:pPr>
            <w:r w:rsidRPr="008F5ABE">
              <w:rPr>
                <w:lang w:val="en-GB"/>
              </w:rPr>
              <w:t>8TH</w:t>
            </w:r>
            <w:r w:rsidRPr="00EC2D91">
              <w:rPr>
                <w:lang w:val="en-GB"/>
              </w:rPr>
              <w:t xml:space="preserve"> (new)</w:t>
            </w:r>
          </w:p>
        </w:tc>
        <w:tc>
          <w:tcPr>
            <w:tcW w:w="1825" w:type="dxa"/>
          </w:tcPr>
          <w:p w14:paraId="2BAC3667" w14:textId="2307AAF0" w:rsidR="008F5ABE" w:rsidRPr="00C33C0B" w:rsidRDefault="008F5ABE" w:rsidP="005F56B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More than </w:t>
            </w:r>
            <w:r w:rsidRPr="00C33C0B">
              <w:rPr>
                <w:lang w:val="en-GB"/>
              </w:rPr>
              <w:t>45</w:t>
            </w:r>
            <w:r>
              <w:rPr>
                <w:lang w:val="en-GB"/>
              </w:rPr>
              <w:t xml:space="preserve"> </w:t>
            </w:r>
            <w:r w:rsidRPr="00C33C0B">
              <w:rPr>
                <w:lang w:val="en-GB"/>
              </w:rPr>
              <w:t>min</w:t>
            </w:r>
            <w:r>
              <w:rPr>
                <w:lang w:val="en-GB"/>
              </w:rPr>
              <w:t>ute</w:t>
            </w:r>
            <w:r w:rsidRPr="00C33C0B">
              <w:rPr>
                <w:lang w:val="en-GB"/>
              </w:rPr>
              <w:t>s</w:t>
            </w:r>
          </w:p>
        </w:tc>
        <w:tc>
          <w:tcPr>
            <w:tcW w:w="1036" w:type="dxa"/>
            <w:vMerge/>
          </w:tcPr>
          <w:p w14:paraId="08AFCDEF" w14:textId="77777777" w:rsidR="008F5ABE" w:rsidRPr="00C33C0B" w:rsidRDefault="008F5ABE" w:rsidP="003A3AC6">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74" w:type="dxa"/>
            <w:vMerge/>
          </w:tcPr>
          <w:p w14:paraId="5B7C0C5C" w14:textId="77777777" w:rsidR="008F5ABE" w:rsidRPr="00C33C0B" w:rsidRDefault="008F5ABE" w:rsidP="003A3AC6">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bl>
    <w:p w14:paraId="46EC6B5B" w14:textId="3836FF71" w:rsidR="0051463D" w:rsidRPr="00C33C0B" w:rsidRDefault="0051463D" w:rsidP="003C5D5A">
      <w:pPr>
        <w:pStyle w:val="Heading2"/>
      </w:pPr>
      <w:bookmarkStart w:id="185" w:name="_Toc67952237"/>
      <w:r w:rsidRPr="00C33C0B">
        <w:t>Rationale</w:t>
      </w:r>
      <w:r w:rsidR="00BF3FEC">
        <w:t xml:space="preserve"> </w:t>
      </w:r>
      <w:r w:rsidR="00246852">
        <w:t>11</w:t>
      </w:r>
      <w:bookmarkEnd w:id="185"/>
    </w:p>
    <w:p w14:paraId="76DF4EDB" w14:textId="77777777" w:rsidR="00747E8F" w:rsidRDefault="00747E8F" w:rsidP="00723915">
      <w:pPr>
        <w:rPr>
          <w:lang w:val="en-GB"/>
        </w:rPr>
      </w:pPr>
      <w:r>
        <w:rPr>
          <w:lang w:val="en-GB"/>
        </w:rPr>
        <w:t xml:space="preserve">This recommendation focuses on </w:t>
      </w:r>
      <w:r w:rsidR="00B754BB">
        <w:rPr>
          <w:lang w:val="en-GB"/>
        </w:rPr>
        <w:t xml:space="preserve">better enabling </w:t>
      </w:r>
      <w:r w:rsidR="00131546">
        <w:rPr>
          <w:lang w:val="en-GB"/>
        </w:rPr>
        <w:t xml:space="preserve">use of multidisciplinary case conferences, </w:t>
      </w:r>
      <w:r w:rsidR="005A58D1">
        <w:rPr>
          <w:lang w:val="en-GB"/>
        </w:rPr>
        <w:t xml:space="preserve">encompassing </w:t>
      </w:r>
      <w:r w:rsidR="00131546">
        <w:rPr>
          <w:lang w:val="en-GB"/>
        </w:rPr>
        <w:t xml:space="preserve">GP participation, and shared decision-making with patients. </w:t>
      </w:r>
      <w:r>
        <w:rPr>
          <w:lang w:val="en-GB"/>
        </w:rPr>
        <w:t>It is based on the following</w:t>
      </w:r>
      <w:r w:rsidR="00CB271F">
        <w:rPr>
          <w:lang w:val="en-GB"/>
        </w:rPr>
        <w:t>:</w:t>
      </w:r>
    </w:p>
    <w:p w14:paraId="6FE12EBA" w14:textId="2E91D9F7" w:rsidR="00EF0274" w:rsidRPr="00C33C0B" w:rsidRDefault="00F57E9E" w:rsidP="006241D5">
      <w:pPr>
        <w:pStyle w:val="Bullet-green"/>
        <w:rPr>
          <w:lang w:val="en-GB"/>
        </w:rPr>
      </w:pPr>
      <w:r w:rsidRPr="00C33C0B">
        <w:rPr>
          <w:lang w:val="en-GB"/>
        </w:rPr>
        <w:t>The Committee believes that case conference items should reflect the full breadth of clinical needs for multidisciplinary care. The item descriptors should clearly specify</w:t>
      </w:r>
      <w:r w:rsidR="005D4E3F">
        <w:rPr>
          <w:lang w:val="en-GB"/>
        </w:rPr>
        <w:t xml:space="preserve"> the</w:t>
      </w:r>
      <w:r w:rsidRPr="00C33C0B">
        <w:rPr>
          <w:lang w:val="en-GB"/>
        </w:rPr>
        <w:t xml:space="preserve"> requirements for participant</w:t>
      </w:r>
      <w:r w:rsidR="00723915" w:rsidRPr="00C33C0B">
        <w:rPr>
          <w:lang w:val="en-GB"/>
        </w:rPr>
        <w:t xml:space="preserve">s and </w:t>
      </w:r>
      <w:r w:rsidR="00621170">
        <w:rPr>
          <w:lang w:val="en-GB"/>
        </w:rPr>
        <w:t xml:space="preserve">the </w:t>
      </w:r>
      <w:r w:rsidR="005F56B0">
        <w:rPr>
          <w:lang w:val="en-GB"/>
        </w:rPr>
        <w:t>outputs of a case conference.</w:t>
      </w:r>
    </w:p>
    <w:p w14:paraId="2CCA897C" w14:textId="77777777" w:rsidR="00723915" w:rsidRPr="006241D5" w:rsidRDefault="00B14D9D" w:rsidP="00723915">
      <w:pPr>
        <w:pStyle w:val="Bullet-green"/>
        <w:rPr>
          <w:lang w:val="en-GB"/>
        </w:rPr>
      </w:pPr>
      <w:r>
        <w:rPr>
          <w:lang w:val="en-GB"/>
        </w:rPr>
        <w:t>The Committee</w:t>
      </w:r>
      <w:r w:rsidR="006322C6">
        <w:rPr>
          <w:lang w:val="en-GB"/>
        </w:rPr>
        <w:t xml:space="preserve"> re</w:t>
      </w:r>
      <w:r w:rsidR="00453887">
        <w:rPr>
          <w:lang w:val="en-GB"/>
        </w:rPr>
        <w:t xml:space="preserve">commends </w:t>
      </w:r>
      <w:r w:rsidR="006322C6">
        <w:rPr>
          <w:lang w:val="en-GB"/>
        </w:rPr>
        <w:t>m</w:t>
      </w:r>
      <w:r w:rsidR="008045F3" w:rsidRPr="006241D5">
        <w:rPr>
          <w:lang w:val="en-GB"/>
        </w:rPr>
        <w:t xml:space="preserve">andatory GP </w:t>
      </w:r>
      <w:r w:rsidR="005D7386">
        <w:rPr>
          <w:lang w:val="en-GB"/>
        </w:rPr>
        <w:t xml:space="preserve">(or delegate) invitation </w:t>
      </w:r>
      <w:r w:rsidR="005D7386" w:rsidRPr="005051F0">
        <w:rPr>
          <w:b/>
          <w:lang w:val="en-GB"/>
        </w:rPr>
        <w:t>and</w:t>
      </w:r>
      <w:r w:rsidR="005D7386">
        <w:rPr>
          <w:lang w:val="en-GB"/>
        </w:rPr>
        <w:t xml:space="preserve"> either participation or review of outcomes </w:t>
      </w:r>
      <w:r w:rsidR="000F6D2F" w:rsidRPr="006241D5">
        <w:rPr>
          <w:lang w:val="en-GB"/>
        </w:rPr>
        <w:t xml:space="preserve">for </w:t>
      </w:r>
      <w:r w:rsidR="008045F3" w:rsidRPr="006241D5">
        <w:rPr>
          <w:lang w:val="en-GB"/>
        </w:rPr>
        <w:t xml:space="preserve">discharge and community </w:t>
      </w:r>
      <w:r w:rsidR="00723915" w:rsidRPr="006241D5">
        <w:rPr>
          <w:lang w:val="en-GB"/>
        </w:rPr>
        <w:t>case conferences</w:t>
      </w:r>
      <w:r w:rsidR="006322C6">
        <w:rPr>
          <w:lang w:val="en-GB"/>
        </w:rPr>
        <w:t>.</w:t>
      </w:r>
    </w:p>
    <w:p w14:paraId="710933E2" w14:textId="16739DEE" w:rsidR="0028758E" w:rsidRPr="005051F0" w:rsidRDefault="00723915" w:rsidP="0028758E">
      <w:pPr>
        <w:pStyle w:val="Bullet2"/>
        <w:rPr>
          <w:lang w:val="en-GB"/>
        </w:rPr>
      </w:pPr>
      <w:r w:rsidRPr="00C33C0B">
        <w:rPr>
          <w:lang w:val="en-GB"/>
        </w:rPr>
        <w:t>GP</w:t>
      </w:r>
      <w:r w:rsidR="008045F3" w:rsidRPr="00C33C0B">
        <w:rPr>
          <w:lang w:val="en-GB"/>
        </w:rPr>
        <w:t>s</w:t>
      </w:r>
      <w:r w:rsidRPr="00C33C0B">
        <w:rPr>
          <w:lang w:val="en-GB"/>
        </w:rPr>
        <w:t xml:space="preserve"> </w:t>
      </w:r>
      <w:r w:rsidR="008045F3" w:rsidRPr="00C33C0B">
        <w:rPr>
          <w:lang w:val="en-GB"/>
        </w:rPr>
        <w:t xml:space="preserve">are </w:t>
      </w:r>
      <w:r w:rsidRPr="00C33C0B">
        <w:rPr>
          <w:lang w:val="en-GB"/>
        </w:rPr>
        <w:t>critical participant</w:t>
      </w:r>
      <w:r w:rsidR="00641092">
        <w:rPr>
          <w:lang w:val="en-GB"/>
        </w:rPr>
        <w:t>s</w:t>
      </w:r>
      <w:r w:rsidRPr="00C33C0B">
        <w:rPr>
          <w:lang w:val="en-GB"/>
        </w:rPr>
        <w:t xml:space="preserve"> in </w:t>
      </w:r>
      <w:r w:rsidR="008045F3" w:rsidRPr="00C33C0B">
        <w:rPr>
          <w:lang w:val="en-GB"/>
        </w:rPr>
        <w:t>case conference</w:t>
      </w:r>
      <w:r w:rsidR="00641092">
        <w:rPr>
          <w:lang w:val="en-GB"/>
        </w:rPr>
        <w:t>s</w:t>
      </w:r>
      <w:r w:rsidR="00FF679D">
        <w:rPr>
          <w:lang w:val="en-GB"/>
        </w:rPr>
        <w:t xml:space="preserve">, </w:t>
      </w:r>
      <w:r w:rsidRPr="00C33C0B">
        <w:rPr>
          <w:lang w:val="en-GB"/>
        </w:rPr>
        <w:t>provid</w:t>
      </w:r>
      <w:r w:rsidR="00FF679D">
        <w:rPr>
          <w:lang w:val="en-GB"/>
        </w:rPr>
        <w:t>ing</w:t>
      </w:r>
      <w:r w:rsidRPr="00C33C0B">
        <w:rPr>
          <w:lang w:val="en-GB"/>
        </w:rPr>
        <w:t xml:space="preserve"> contextual knowledge of the patient</w:t>
      </w:r>
      <w:r w:rsidR="00B754BB">
        <w:rPr>
          <w:lang w:val="en-GB"/>
        </w:rPr>
        <w:t xml:space="preserve">’s overall health care </w:t>
      </w:r>
      <w:r w:rsidRPr="00C33C0B">
        <w:rPr>
          <w:lang w:val="en-GB"/>
        </w:rPr>
        <w:t>and improv</w:t>
      </w:r>
      <w:r w:rsidR="00FF679D">
        <w:rPr>
          <w:lang w:val="en-GB"/>
        </w:rPr>
        <w:t>ing</w:t>
      </w:r>
      <w:r w:rsidRPr="00C33C0B">
        <w:rPr>
          <w:lang w:val="en-GB"/>
        </w:rPr>
        <w:t xml:space="preserve"> post</w:t>
      </w:r>
      <w:r w:rsidR="00641092">
        <w:rPr>
          <w:lang w:val="en-GB"/>
        </w:rPr>
        <w:t>-</w:t>
      </w:r>
      <w:r w:rsidR="00B754BB">
        <w:rPr>
          <w:lang w:val="en-GB"/>
        </w:rPr>
        <w:t>multidisciplinary t</w:t>
      </w:r>
      <w:r w:rsidR="009C2A4A">
        <w:rPr>
          <w:lang w:val="en-GB"/>
        </w:rPr>
        <w:t>eam</w:t>
      </w:r>
      <w:r w:rsidR="00B754BB">
        <w:rPr>
          <w:lang w:val="en-GB"/>
        </w:rPr>
        <w:t xml:space="preserve"> (</w:t>
      </w:r>
      <w:r w:rsidRPr="00C33C0B">
        <w:rPr>
          <w:lang w:val="en-GB"/>
        </w:rPr>
        <w:t>MDT</w:t>
      </w:r>
      <w:r w:rsidR="00B754BB">
        <w:rPr>
          <w:lang w:val="en-GB"/>
        </w:rPr>
        <w:t>)</w:t>
      </w:r>
      <w:r w:rsidRPr="00C33C0B">
        <w:rPr>
          <w:lang w:val="en-GB"/>
        </w:rPr>
        <w:t xml:space="preserve"> outcomes</w:t>
      </w:r>
      <w:r w:rsidR="00FF679D">
        <w:rPr>
          <w:lang w:val="en-GB"/>
        </w:rPr>
        <w:t>.</w:t>
      </w:r>
      <w:r w:rsidRPr="00C33C0B">
        <w:rPr>
          <w:lang w:val="en-GB"/>
        </w:rPr>
        <w:t xml:space="preserve"> </w:t>
      </w:r>
      <w:r w:rsidR="00B754BB">
        <w:rPr>
          <w:lang w:val="en-GB"/>
        </w:rPr>
        <w:t>C</w:t>
      </w:r>
      <w:r w:rsidR="009163DB" w:rsidRPr="005051F0">
        <w:rPr>
          <w:lang w:val="en-GB"/>
        </w:rPr>
        <w:t xml:space="preserve">urrently </w:t>
      </w:r>
      <w:r w:rsidRPr="005051F0">
        <w:rPr>
          <w:lang w:val="en-GB"/>
        </w:rPr>
        <w:t>only 0.7</w:t>
      </w:r>
      <w:r w:rsidR="00495F02" w:rsidRPr="005051F0">
        <w:rPr>
          <w:lang w:val="en-GB"/>
        </w:rPr>
        <w:t xml:space="preserve"> per cent</w:t>
      </w:r>
      <w:r w:rsidRPr="005051F0">
        <w:rPr>
          <w:lang w:val="en-GB"/>
        </w:rPr>
        <w:t xml:space="preserve"> of community case conferences include a GP</w:t>
      </w:r>
      <w:r w:rsidR="009771CE">
        <w:rPr>
          <w:rStyle w:val="FootnoteReference"/>
          <w:lang w:val="en-GB"/>
        </w:rPr>
        <w:footnoteReference w:id="12"/>
      </w:r>
      <w:r w:rsidR="00424FED" w:rsidRPr="005051F0">
        <w:rPr>
          <w:lang w:val="en-GB"/>
        </w:rPr>
        <w:t>.</w:t>
      </w:r>
    </w:p>
    <w:p w14:paraId="09185D24" w14:textId="77777777" w:rsidR="006A39E5" w:rsidRPr="00C33C0B" w:rsidRDefault="00723915" w:rsidP="00061104">
      <w:pPr>
        <w:pStyle w:val="Bullet2"/>
      </w:pPr>
      <w:r w:rsidRPr="00C33C0B">
        <w:t xml:space="preserve">The Committee acknowledges the logistical </w:t>
      </w:r>
      <w:r w:rsidR="004D6A64" w:rsidRPr="00C33C0B">
        <w:t>challenges</w:t>
      </w:r>
      <w:r w:rsidRPr="00C33C0B">
        <w:t xml:space="preserve"> </w:t>
      </w:r>
      <w:r w:rsidR="001B5C81" w:rsidRPr="00C33C0B">
        <w:t>of</w:t>
      </w:r>
      <w:r w:rsidR="004D6A64" w:rsidRPr="00C33C0B">
        <w:t xml:space="preserve"> GPs </w:t>
      </w:r>
      <w:r w:rsidRPr="00C33C0B">
        <w:t xml:space="preserve">attending all </w:t>
      </w:r>
      <w:r w:rsidR="00061104">
        <w:t xml:space="preserve">community and </w:t>
      </w:r>
      <w:r w:rsidRPr="00C33C0B">
        <w:t>discharge case conferences</w:t>
      </w:r>
      <w:r w:rsidR="00061104">
        <w:t>. I</w:t>
      </w:r>
      <w:r w:rsidRPr="00C33C0B">
        <w:t>f a GP</w:t>
      </w:r>
      <w:r w:rsidR="008045F3" w:rsidRPr="00C33C0B">
        <w:t xml:space="preserve"> (or delegate)</w:t>
      </w:r>
      <w:r w:rsidRPr="00C33C0B">
        <w:t xml:space="preserve"> cannot attend, </w:t>
      </w:r>
      <w:r w:rsidR="00061104">
        <w:t xml:space="preserve">the Committee recommends mandatory review of the case conference </w:t>
      </w:r>
      <w:r w:rsidR="009163DB">
        <w:t xml:space="preserve">outcomes by the GP </w:t>
      </w:r>
      <w:r w:rsidR="00061104">
        <w:t>and</w:t>
      </w:r>
      <w:r w:rsidR="008B761F">
        <w:t xml:space="preserve"> </w:t>
      </w:r>
      <w:r w:rsidR="00061104" w:rsidRPr="00061104">
        <w:rPr>
          <w:lang w:val="en-GB"/>
        </w:rPr>
        <w:t xml:space="preserve">communication </w:t>
      </w:r>
      <w:r w:rsidR="006D5FFA">
        <w:rPr>
          <w:lang w:val="en-GB"/>
        </w:rPr>
        <w:t xml:space="preserve">to the GP </w:t>
      </w:r>
      <w:r w:rsidR="00061104" w:rsidRPr="00061104">
        <w:rPr>
          <w:lang w:val="en-GB"/>
        </w:rPr>
        <w:t>of any proposed changes to the patient and to the case conference organiser</w:t>
      </w:r>
      <w:r w:rsidR="006A39E5" w:rsidRPr="00C33C0B">
        <w:t xml:space="preserve">. The Committee notes that GP </w:t>
      </w:r>
      <w:r w:rsidR="00061104">
        <w:t xml:space="preserve">participation or review of outcomes </w:t>
      </w:r>
      <w:r w:rsidR="006A39E5" w:rsidRPr="00C33C0B">
        <w:t>should not be a pre-requisite for the item being claimed</w:t>
      </w:r>
      <w:r w:rsidR="00061104">
        <w:t xml:space="preserve"> by the consultant specialist</w:t>
      </w:r>
      <w:r w:rsidR="00F94AE2">
        <w:t>.</w:t>
      </w:r>
    </w:p>
    <w:p w14:paraId="06B9E142" w14:textId="77777777" w:rsidR="0028758E" w:rsidRPr="00C33C0B" w:rsidRDefault="0024317B" w:rsidP="0028758E">
      <w:pPr>
        <w:pStyle w:val="Bullet2"/>
        <w:rPr>
          <w:lang w:val="en-GB"/>
        </w:rPr>
      </w:pPr>
      <w:r>
        <w:rPr>
          <w:lang w:val="en-GB"/>
        </w:rPr>
        <w:t>Noting</w:t>
      </w:r>
      <w:r w:rsidR="0028758E" w:rsidRPr="00C33C0B">
        <w:rPr>
          <w:lang w:val="en-GB"/>
        </w:rPr>
        <w:t xml:space="preserve"> a current </w:t>
      </w:r>
      <w:r w:rsidR="009163DB">
        <w:rPr>
          <w:lang w:val="en-GB"/>
        </w:rPr>
        <w:t>mistaken perception</w:t>
      </w:r>
      <w:r w:rsidR="009163DB" w:rsidRPr="00C33C0B">
        <w:rPr>
          <w:lang w:val="en-GB"/>
        </w:rPr>
        <w:t xml:space="preserve"> </w:t>
      </w:r>
      <w:r w:rsidR="0028758E" w:rsidRPr="00C33C0B">
        <w:rPr>
          <w:lang w:val="en-GB"/>
        </w:rPr>
        <w:t xml:space="preserve">that case conferences must be attended </w:t>
      </w:r>
      <w:r w:rsidR="00EF0274" w:rsidRPr="00C33C0B">
        <w:rPr>
          <w:lang w:val="en-GB"/>
        </w:rPr>
        <w:t>in person</w:t>
      </w:r>
      <w:r>
        <w:rPr>
          <w:lang w:val="en-GB"/>
        </w:rPr>
        <w:t>,</w:t>
      </w:r>
      <w:r w:rsidR="00C85332">
        <w:rPr>
          <w:lang w:val="en-GB"/>
        </w:rPr>
        <w:t xml:space="preserve"> the Committee also</w:t>
      </w:r>
      <w:r w:rsidR="00EF0274" w:rsidRPr="00C33C0B">
        <w:rPr>
          <w:lang w:val="en-GB"/>
        </w:rPr>
        <w:t xml:space="preserve"> recommends including </w:t>
      </w:r>
      <w:r w:rsidR="009163DB">
        <w:rPr>
          <w:lang w:val="en-GB"/>
        </w:rPr>
        <w:t xml:space="preserve">reference to </w:t>
      </w:r>
      <w:r w:rsidR="00EF0274" w:rsidRPr="00C33C0B">
        <w:rPr>
          <w:lang w:val="en-GB"/>
        </w:rPr>
        <w:t>attendance over the phone and via videoconferencing in the item descriptor</w:t>
      </w:r>
      <w:r w:rsidR="008420AC">
        <w:rPr>
          <w:lang w:val="en-GB"/>
        </w:rPr>
        <w:t>.</w:t>
      </w:r>
    </w:p>
    <w:p w14:paraId="240356C7" w14:textId="77777777" w:rsidR="000F6D2F" w:rsidRPr="006241D5" w:rsidRDefault="00A45CDA" w:rsidP="00723915">
      <w:pPr>
        <w:pStyle w:val="Bullet-green"/>
        <w:rPr>
          <w:lang w:val="en-GB"/>
        </w:rPr>
      </w:pPr>
      <w:r>
        <w:rPr>
          <w:lang w:val="en-GB"/>
        </w:rPr>
        <w:t xml:space="preserve">The Committee </w:t>
      </w:r>
      <w:r w:rsidR="00453887">
        <w:rPr>
          <w:lang w:val="en-GB"/>
        </w:rPr>
        <w:t xml:space="preserve">recommends </w:t>
      </w:r>
      <w:r>
        <w:rPr>
          <w:lang w:val="en-GB"/>
        </w:rPr>
        <w:t>m</w:t>
      </w:r>
      <w:r w:rsidR="000F6D2F" w:rsidRPr="006241D5">
        <w:rPr>
          <w:lang w:val="en-GB"/>
        </w:rPr>
        <w:t xml:space="preserve">andatory </w:t>
      </w:r>
      <w:r w:rsidR="00246852">
        <w:rPr>
          <w:lang w:val="en-GB"/>
        </w:rPr>
        <w:t xml:space="preserve">invitation of the </w:t>
      </w:r>
      <w:r w:rsidR="000F6D2F" w:rsidRPr="006241D5">
        <w:rPr>
          <w:lang w:val="en-GB"/>
        </w:rPr>
        <w:t xml:space="preserve">patient </w:t>
      </w:r>
      <w:r w:rsidR="004B0D27">
        <w:rPr>
          <w:lang w:val="en-GB"/>
        </w:rPr>
        <w:t xml:space="preserve">(or delegate) </w:t>
      </w:r>
      <w:r w:rsidR="000F6D2F" w:rsidRPr="006241D5">
        <w:rPr>
          <w:lang w:val="en-GB"/>
        </w:rPr>
        <w:t xml:space="preserve">to </w:t>
      </w:r>
      <w:r w:rsidR="00246852">
        <w:rPr>
          <w:lang w:val="en-GB"/>
        </w:rPr>
        <w:t xml:space="preserve">attend </w:t>
      </w:r>
      <w:r w:rsidR="000F6D2F" w:rsidRPr="006241D5">
        <w:rPr>
          <w:lang w:val="en-GB"/>
        </w:rPr>
        <w:t xml:space="preserve">discharge and community </w:t>
      </w:r>
      <w:r w:rsidR="00723915" w:rsidRPr="006241D5">
        <w:rPr>
          <w:lang w:val="en-GB"/>
        </w:rPr>
        <w:t>case conferences</w:t>
      </w:r>
      <w:r w:rsidR="004B0D27">
        <w:rPr>
          <w:lang w:val="en-GB"/>
        </w:rPr>
        <w:t xml:space="preserve"> and to make it possible for them to attend if they so choose</w:t>
      </w:r>
      <w:r w:rsidR="00DA5F4D">
        <w:rPr>
          <w:lang w:val="en-GB"/>
        </w:rPr>
        <w:t>.</w:t>
      </w:r>
    </w:p>
    <w:p w14:paraId="2F24D3CE" w14:textId="77777777" w:rsidR="00C81B99" w:rsidRPr="00C33C0B" w:rsidRDefault="00C81B99" w:rsidP="00C81B99">
      <w:pPr>
        <w:pStyle w:val="Bullet2"/>
        <w:rPr>
          <w:lang w:val="en-GB"/>
        </w:rPr>
      </w:pPr>
      <w:r w:rsidRPr="00C33C0B">
        <w:rPr>
          <w:lang w:val="en-GB"/>
        </w:rPr>
        <w:t xml:space="preserve">Patients </w:t>
      </w:r>
      <w:r w:rsidRPr="00946E7F">
        <w:rPr>
          <w:lang w:val="en-GB"/>
        </w:rPr>
        <w:t xml:space="preserve">should be </w:t>
      </w:r>
      <w:r w:rsidR="00B86394">
        <w:rPr>
          <w:lang w:val="en-GB"/>
        </w:rPr>
        <w:t>provided with information on</w:t>
      </w:r>
      <w:r w:rsidRPr="00946E7F">
        <w:rPr>
          <w:lang w:val="en-GB"/>
        </w:rPr>
        <w:t xml:space="preserve"> treatment options</w:t>
      </w:r>
      <w:r w:rsidR="00946E7F">
        <w:rPr>
          <w:lang w:val="en-GB"/>
        </w:rPr>
        <w:t xml:space="preserve">, </w:t>
      </w:r>
      <w:r w:rsidR="00946E7F" w:rsidRPr="00946E7F">
        <w:rPr>
          <w:lang w:val="en-GB"/>
        </w:rPr>
        <w:t xml:space="preserve">costs and the associated risk and benefits. </w:t>
      </w:r>
      <w:r w:rsidRPr="00946E7F">
        <w:rPr>
          <w:lang w:val="en-GB"/>
        </w:rPr>
        <w:t>An effective</w:t>
      </w:r>
      <w:r w:rsidRPr="00C33C0B">
        <w:rPr>
          <w:lang w:val="en-GB"/>
        </w:rPr>
        <w:t xml:space="preserve"> plan starts with the consumer’s goals and priorities</w:t>
      </w:r>
      <w:r w:rsidR="00F5580F">
        <w:rPr>
          <w:lang w:val="en-GB"/>
        </w:rPr>
        <w:t>.</w:t>
      </w:r>
    </w:p>
    <w:p w14:paraId="32DE5290" w14:textId="77777777" w:rsidR="00723915" w:rsidRPr="00C33C0B" w:rsidRDefault="000F6D2F" w:rsidP="000F6D2F">
      <w:pPr>
        <w:pStyle w:val="Bullet2"/>
        <w:rPr>
          <w:lang w:val="en-GB"/>
        </w:rPr>
      </w:pPr>
      <w:r w:rsidRPr="00C33C0B">
        <w:rPr>
          <w:lang w:val="en-GB"/>
        </w:rPr>
        <w:t>C</w:t>
      </w:r>
      <w:r w:rsidR="00723915" w:rsidRPr="00C33C0B">
        <w:rPr>
          <w:lang w:val="en-GB"/>
        </w:rPr>
        <w:t>linicians</w:t>
      </w:r>
      <w:r w:rsidR="001C38FE">
        <w:rPr>
          <w:lang w:val="en-GB"/>
        </w:rPr>
        <w:t xml:space="preserve"> </w:t>
      </w:r>
      <w:r w:rsidR="006D5FFA">
        <w:rPr>
          <w:lang w:val="en-GB"/>
        </w:rPr>
        <w:t>(either the GP or consultant specialist)</w:t>
      </w:r>
      <w:r w:rsidR="006D5FFA" w:rsidRPr="00C33C0B">
        <w:rPr>
          <w:lang w:val="en-GB"/>
        </w:rPr>
        <w:t xml:space="preserve"> </w:t>
      </w:r>
      <w:r w:rsidR="00723915" w:rsidRPr="00C33C0B">
        <w:rPr>
          <w:lang w:val="en-GB"/>
        </w:rPr>
        <w:t xml:space="preserve">should discuss and provide patients with written information </w:t>
      </w:r>
      <w:r w:rsidR="00950E6D" w:rsidRPr="00C33C0B">
        <w:rPr>
          <w:lang w:val="en-GB"/>
        </w:rPr>
        <w:t>on</w:t>
      </w:r>
      <w:r w:rsidR="00723915" w:rsidRPr="00C33C0B">
        <w:rPr>
          <w:lang w:val="en-GB"/>
        </w:rPr>
        <w:t xml:space="preserve"> guideline-endorsed treatment options for their condition</w:t>
      </w:r>
      <w:r w:rsidR="00B44FFB">
        <w:rPr>
          <w:lang w:val="en-GB"/>
        </w:rPr>
        <w:t>,</w:t>
      </w:r>
      <w:r w:rsidR="00723915" w:rsidRPr="00C33C0B">
        <w:rPr>
          <w:lang w:val="en-GB"/>
        </w:rPr>
        <w:t xml:space="preserve"> </w:t>
      </w:r>
      <w:r w:rsidR="00FC0268">
        <w:rPr>
          <w:lang w:val="en-GB"/>
        </w:rPr>
        <w:t xml:space="preserve">along </w:t>
      </w:r>
      <w:r w:rsidR="00723915" w:rsidRPr="00C33C0B">
        <w:rPr>
          <w:lang w:val="en-GB"/>
        </w:rPr>
        <w:t>with the clinician’s view of what is appropriate in the patient’s context. This is critical to ensuring informed consent as patients make critical decision</w:t>
      </w:r>
      <w:r w:rsidRPr="00C33C0B">
        <w:rPr>
          <w:lang w:val="en-GB"/>
        </w:rPr>
        <w:t>s about their treatment options</w:t>
      </w:r>
      <w:r w:rsidR="00C97230">
        <w:rPr>
          <w:lang w:val="en-GB"/>
        </w:rPr>
        <w:t>.</w:t>
      </w:r>
    </w:p>
    <w:p w14:paraId="16123828" w14:textId="77777777" w:rsidR="00F57E9E" w:rsidRPr="0052060D" w:rsidRDefault="00034764" w:rsidP="00EF0274">
      <w:pPr>
        <w:pStyle w:val="Bullet-green"/>
        <w:rPr>
          <w:lang w:val="en-GB"/>
        </w:rPr>
      </w:pPr>
      <w:r>
        <w:rPr>
          <w:lang w:val="en-GB"/>
        </w:rPr>
        <w:t xml:space="preserve">The Committee </w:t>
      </w:r>
      <w:r w:rsidR="00453887">
        <w:rPr>
          <w:lang w:val="en-GB"/>
        </w:rPr>
        <w:t xml:space="preserve">recommends </w:t>
      </w:r>
      <w:r w:rsidR="000E0FE7" w:rsidRPr="0052060D">
        <w:rPr>
          <w:lang w:val="en-GB"/>
        </w:rPr>
        <w:t>new treatment planning case conference items</w:t>
      </w:r>
      <w:r w:rsidR="00CD27DB">
        <w:rPr>
          <w:lang w:val="en-GB"/>
        </w:rPr>
        <w:t>.</w:t>
      </w:r>
    </w:p>
    <w:p w14:paraId="540101D7" w14:textId="77777777" w:rsidR="00AF5054" w:rsidRPr="00C33C0B" w:rsidRDefault="005862F9" w:rsidP="005862F9">
      <w:pPr>
        <w:pStyle w:val="Bullet2"/>
        <w:rPr>
          <w:lang w:val="en-GB"/>
        </w:rPr>
      </w:pPr>
      <w:r w:rsidRPr="00C33C0B">
        <w:rPr>
          <w:lang w:val="en-GB"/>
        </w:rPr>
        <w:t>Multidisciplinary care is a critical component of integrated care</w:t>
      </w:r>
      <w:r w:rsidR="00241C48">
        <w:rPr>
          <w:lang w:val="en-GB"/>
        </w:rPr>
        <w:t>.</w:t>
      </w:r>
      <w:r w:rsidRPr="00C33C0B">
        <w:rPr>
          <w:lang w:val="en-GB"/>
        </w:rPr>
        <w:t xml:space="preserve"> </w:t>
      </w:r>
      <w:r w:rsidR="00241C48">
        <w:rPr>
          <w:lang w:val="en-GB"/>
        </w:rPr>
        <w:t>D</w:t>
      </w:r>
      <w:r w:rsidRPr="00C33C0B">
        <w:rPr>
          <w:lang w:val="en-GB"/>
        </w:rPr>
        <w:t>eveloping the right treatment plan</w:t>
      </w:r>
      <w:r w:rsidR="00B754BB">
        <w:rPr>
          <w:lang w:val="en-GB"/>
        </w:rPr>
        <w:t xml:space="preserve"> with</w:t>
      </w:r>
      <w:r w:rsidRPr="00C33C0B">
        <w:rPr>
          <w:lang w:val="en-GB"/>
        </w:rPr>
        <w:t xml:space="preserve"> patients </w:t>
      </w:r>
      <w:r w:rsidR="00B754BB">
        <w:rPr>
          <w:lang w:val="en-GB"/>
        </w:rPr>
        <w:t xml:space="preserve">who have complex care needs related to </w:t>
      </w:r>
      <w:r w:rsidRPr="00C33C0B">
        <w:rPr>
          <w:lang w:val="en-GB"/>
        </w:rPr>
        <w:t xml:space="preserve">chronic illnesses </w:t>
      </w:r>
      <w:r w:rsidR="00B754BB">
        <w:rPr>
          <w:lang w:val="en-GB"/>
        </w:rPr>
        <w:t xml:space="preserve">and </w:t>
      </w:r>
      <w:r w:rsidRPr="00C33C0B">
        <w:rPr>
          <w:lang w:val="en-GB"/>
        </w:rPr>
        <w:t>acute care planning</w:t>
      </w:r>
      <w:r w:rsidR="00877160">
        <w:rPr>
          <w:lang w:val="en-GB"/>
        </w:rPr>
        <w:t xml:space="preserve"> </w:t>
      </w:r>
      <w:r w:rsidR="00B754BB">
        <w:rPr>
          <w:lang w:val="en-GB"/>
        </w:rPr>
        <w:t xml:space="preserve">has been demonstrated to improve outcomes for patients </w:t>
      </w:r>
      <w:sdt>
        <w:sdtPr>
          <w:rPr>
            <w:lang w:val="en-GB"/>
          </w:rPr>
          <w:id w:val="-1354963566"/>
          <w:citation/>
        </w:sdtPr>
        <w:sdtContent>
          <w:r w:rsidR="00B85D72">
            <w:rPr>
              <w:lang w:val="en-GB"/>
            </w:rPr>
            <w:fldChar w:fldCharType="begin"/>
          </w:r>
          <w:r w:rsidR="00B85D72">
            <w:rPr>
              <w:lang w:val="en-AU"/>
            </w:rPr>
            <w:instrText xml:space="preserve"> CITATION McD06 \l 3081 </w:instrText>
          </w:r>
          <w:r w:rsidR="00B85D72">
            <w:rPr>
              <w:lang w:val="en-GB"/>
            </w:rPr>
            <w:fldChar w:fldCharType="separate"/>
          </w:r>
          <w:r w:rsidR="00B85D72" w:rsidRPr="00B85D72">
            <w:rPr>
              <w:noProof/>
              <w:lang w:val="en-AU"/>
            </w:rPr>
            <w:t>(10)</w:t>
          </w:r>
          <w:r w:rsidR="00B85D72">
            <w:rPr>
              <w:lang w:val="en-GB"/>
            </w:rPr>
            <w:fldChar w:fldCharType="end"/>
          </w:r>
        </w:sdtContent>
      </w:sdt>
      <w:sdt>
        <w:sdtPr>
          <w:rPr>
            <w:lang w:val="en-GB"/>
          </w:rPr>
          <w:id w:val="-2082441218"/>
          <w:citation/>
        </w:sdtPr>
        <w:sdtContent>
          <w:r w:rsidR="00B85D72">
            <w:rPr>
              <w:lang w:val="en-GB"/>
            </w:rPr>
            <w:fldChar w:fldCharType="begin"/>
          </w:r>
          <w:r w:rsidR="00B85D72">
            <w:rPr>
              <w:lang w:val="en-AU"/>
            </w:rPr>
            <w:instrText xml:space="preserve"> CITATION Wag00 \l 3081 </w:instrText>
          </w:r>
          <w:r w:rsidR="00B85D72">
            <w:rPr>
              <w:lang w:val="en-GB"/>
            </w:rPr>
            <w:fldChar w:fldCharType="separate"/>
          </w:r>
          <w:r w:rsidR="00B85D72">
            <w:rPr>
              <w:noProof/>
              <w:lang w:val="en-AU"/>
            </w:rPr>
            <w:t xml:space="preserve"> </w:t>
          </w:r>
          <w:r w:rsidR="00B85D72" w:rsidRPr="00B85D72">
            <w:rPr>
              <w:noProof/>
              <w:lang w:val="en-AU"/>
            </w:rPr>
            <w:t>(11)</w:t>
          </w:r>
          <w:r w:rsidR="00B85D72">
            <w:rPr>
              <w:lang w:val="en-GB"/>
            </w:rPr>
            <w:fldChar w:fldCharType="end"/>
          </w:r>
        </w:sdtContent>
      </w:sdt>
      <w:r w:rsidR="00B85D72">
        <w:rPr>
          <w:lang w:val="en-GB"/>
        </w:rPr>
        <w:t>.</w:t>
      </w:r>
    </w:p>
    <w:p w14:paraId="45B06E7F" w14:textId="77777777" w:rsidR="000E0FE7" w:rsidRPr="00C33C0B" w:rsidRDefault="005862F9" w:rsidP="005862F9">
      <w:pPr>
        <w:pStyle w:val="Bullet2"/>
        <w:rPr>
          <w:lang w:val="en-GB"/>
        </w:rPr>
      </w:pPr>
      <w:r w:rsidRPr="00C33C0B">
        <w:rPr>
          <w:lang w:val="en-GB"/>
        </w:rPr>
        <w:t>T</w:t>
      </w:r>
      <w:r w:rsidR="000E0FE7" w:rsidRPr="00C33C0B">
        <w:rPr>
          <w:lang w:val="en-GB"/>
        </w:rPr>
        <w:t>he Committee recognises that there are many conditions that require a case conference for treatment planning</w:t>
      </w:r>
      <w:r w:rsidR="006D2449">
        <w:rPr>
          <w:lang w:val="en-GB"/>
        </w:rPr>
        <w:t xml:space="preserve"> (for example, inflammatory bowel disease)</w:t>
      </w:r>
      <w:r w:rsidR="000E0FE7" w:rsidRPr="00C33C0B">
        <w:rPr>
          <w:lang w:val="en-GB"/>
        </w:rPr>
        <w:t xml:space="preserve"> and that </w:t>
      </w:r>
      <w:r w:rsidR="001C6F68">
        <w:rPr>
          <w:lang w:val="en-GB"/>
        </w:rPr>
        <w:t>access to the benefits of treatment planning case conferences</w:t>
      </w:r>
      <w:r w:rsidR="001C6F68" w:rsidRPr="00C33C0B">
        <w:rPr>
          <w:lang w:val="en-GB"/>
        </w:rPr>
        <w:t xml:space="preserve"> </w:t>
      </w:r>
      <w:r w:rsidR="000E0FE7" w:rsidRPr="00C33C0B">
        <w:rPr>
          <w:lang w:val="en-GB"/>
        </w:rPr>
        <w:t>should not be limited to patients with cancer</w:t>
      </w:r>
      <w:r w:rsidR="00C203A8">
        <w:rPr>
          <w:lang w:val="en-GB"/>
        </w:rPr>
        <w:t>.</w:t>
      </w:r>
      <w:r w:rsidR="000F1A82" w:rsidRPr="00C33C0B">
        <w:rPr>
          <w:lang w:val="en-GB"/>
        </w:rPr>
        <w:t xml:space="preserve"> </w:t>
      </w:r>
    </w:p>
    <w:p w14:paraId="1C8BCC5D" w14:textId="77777777" w:rsidR="00B55212" w:rsidRDefault="0051463D" w:rsidP="006D6FE4">
      <w:pPr>
        <w:pStyle w:val="Bullet2"/>
        <w:rPr>
          <w:lang w:val="en-GB"/>
        </w:rPr>
      </w:pPr>
      <w:r w:rsidRPr="00C33C0B">
        <w:rPr>
          <w:lang w:val="en-GB"/>
        </w:rPr>
        <w:t>The Committee note</w:t>
      </w:r>
      <w:r w:rsidR="00585031">
        <w:rPr>
          <w:lang w:val="en-GB"/>
        </w:rPr>
        <w:t>s</w:t>
      </w:r>
      <w:r w:rsidRPr="00C33C0B">
        <w:rPr>
          <w:lang w:val="en-GB"/>
        </w:rPr>
        <w:t xml:space="preserve"> that treatment planning may be more efficient </w:t>
      </w:r>
      <w:r w:rsidR="003213C2">
        <w:rPr>
          <w:lang w:val="en-GB"/>
        </w:rPr>
        <w:t>if</w:t>
      </w:r>
      <w:r w:rsidR="003213C2" w:rsidRPr="00C33C0B">
        <w:rPr>
          <w:lang w:val="en-GB"/>
        </w:rPr>
        <w:t xml:space="preserve"> </w:t>
      </w:r>
      <w:r w:rsidRPr="00C33C0B">
        <w:rPr>
          <w:lang w:val="en-GB"/>
        </w:rPr>
        <w:t xml:space="preserve">clinicians initially explore treatment options as a clinical team, </w:t>
      </w:r>
      <w:r w:rsidR="004E53EC" w:rsidRPr="00C33C0B">
        <w:rPr>
          <w:lang w:val="en-GB"/>
        </w:rPr>
        <w:t xml:space="preserve">recognising </w:t>
      </w:r>
      <w:r w:rsidRPr="00C33C0B">
        <w:rPr>
          <w:lang w:val="en-GB"/>
        </w:rPr>
        <w:t xml:space="preserve">that final treatment decisions </w:t>
      </w:r>
      <w:r w:rsidR="004E53EC" w:rsidRPr="00C33C0B">
        <w:rPr>
          <w:lang w:val="en-GB"/>
        </w:rPr>
        <w:t xml:space="preserve">should </w:t>
      </w:r>
      <w:r w:rsidRPr="00C33C0B">
        <w:rPr>
          <w:lang w:val="en-GB"/>
        </w:rPr>
        <w:t xml:space="preserve">always </w:t>
      </w:r>
      <w:r w:rsidR="004E53EC" w:rsidRPr="00C33C0B">
        <w:rPr>
          <w:lang w:val="en-GB"/>
        </w:rPr>
        <w:t xml:space="preserve">be </w:t>
      </w:r>
      <w:r w:rsidRPr="00C33C0B">
        <w:rPr>
          <w:lang w:val="en-GB"/>
        </w:rPr>
        <w:t xml:space="preserve">made together with the patient/delegate. </w:t>
      </w:r>
      <w:r w:rsidR="001B3A43">
        <w:rPr>
          <w:lang w:val="en-GB"/>
        </w:rPr>
        <w:t>For this reason,</w:t>
      </w:r>
      <w:r w:rsidRPr="00C33C0B">
        <w:rPr>
          <w:lang w:val="en-GB"/>
        </w:rPr>
        <w:t xml:space="preserve"> the Committee did not recommend mandatory </w:t>
      </w:r>
      <w:r w:rsidR="000D512F" w:rsidRPr="00C33C0B">
        <w:rPr>
          <w:lang w:val="en-GB"/>
        </w:rPr>
        <w:t xml:space="preserve">invitation of </w:t>
      </w:r>
      <w:r w:rsidRPr="00C33C0B">
        <w:rPr>
          <w:lang w:val="en-GB"/>
        </w:rPr>
        <w:t xml:space="preserve">patients </w:t>
      </w:r>
      <w:r w:rsidR="000D512F" w:rsidRPr="00C33C0B">
        <w:rPr>
          <w:lang w:val="en-GB"/>
        </w:rPr>
        <w:t>to</w:t>
      </w:r>
      <w:r w:rsidR="004E53EC" w:rsidRPr="00C33C0B">
        <w:rPr>
          <w:lang w:val="en-GB"/>
        </w:rPr>
        <w:t xml:space="preserve"> treatment planning case conferences</w:t>
      </w:r>
      <w:r w:rsidR="00086E0B">
        <w:rPr>
          <w:lang w:val="en-GB"/>
        </w:rPr>
        <w:t>.</w:t>
      </w:r>
      <w:r w:rsidR="004E53EC" w:rsidRPr="00C33C0B">
        <w:rPr>
          <w:lang w:val="en-GB"/>
        </w:rPr>
        <w:t xml:space="preserve"> </w:t>
      </w:r>
    </w:p>
    <w:p w14:paraId="3A2BD78A" w14:textId="67B818BB" w:rsidR="00EA48D5" w:rsidRDefault="00EA48D5" w:rsidP="00EA48D5">
      <w:pPr>
        <w:pStyle w:val="Bullet-green"/>
        <w:rPr>
          <w:lang w:val="en-GB"/>
        </w:rPr>
      </w:pPr>
      <w:r>
        <w:rPr>
          <w:lang w:val="en-GB"/>
        </w:rPr>
        <w:t xml:space="preserve">The Committee recommends keeping item 880 for geriatrics and rehabilitation medicine in the MBS with no change, as this item </w:t>
      </w:r>
      <w:r w:rsidR="003B4EED">
        <w:rPr>
          <w:lang w:val="en-GB"/>
        </w:rPr>
        <w:t xml:space="preserve">is used for ongoing subacute care of inpatients and would not fit neatly into the three categories of case conferences (i.e., community, discharge, and treatment planning). This item also has a much lower schedule fee compared to other case conference items and </w:t>
      </w:r>
      <w:r w:rsidR="00C426B1">
        <w:rPr>
          <w:lang w:val="en-GB"/>
        </w:rPr>
        <w:t>accounted</w:t>
      </w:r>
      <w:r w:rsidR="003B4EED">
        <w:rPr>
          <w:lang w:val="en-GB"/>
        </w:rPr>
        <w:t xml:space="preserve"> for </w:t>
      </w:r>
      <w:r w:rsidR="00A45E0F">
        <w:rPr>
          <w:lang w:val="en-GB"/>
        </w:rPr>
        <w:t>33 percent</w:t>
      </w:r>
      <w:r w:rsidR="00C426B1">
        <w:rPr>
          <w:lang w:val="en-GB"/>
        </w:rPr>
        <w:t xml:space="preserve"> of all case conferences in 2016/17.</w:t>
      </w:r>
    </w:p>
    <w:p w14:paraId="3EF8951C" w14:textId="77777777" w:rsidR="008D7F80" w:rsidRDefault="008D7F80" w:rsidP="008D7F80">
      <w:pPr>
        <w:pStyle w:val="Bullet-green"/>
        <w:rPr>
          <w:lang w:val="en-GB"/>
        </w:rPr>
      </w:pPr>
      <w:r>
        <w:rPr>
          <w:lang w:val="en-GB"/>
        </w:rPr>
        <w:t xml:space="preserve">The Committee </w:t>
      </w:r>
      <w:r w:rsidR="00453887">
        <w:rPr>
          <w:lang w:val="en-GB"/>
        </w:rPr>
        <w:t xml:space="preserve">recommends </w:t>
      </w:r>
      <w:r>
        <w:rPr>
          <w:lang w:val="en-GB"/>
        </w:rPr>
        <w:t>introducing a new time tier for case conferences of less than 15 minutes duration</w:t>
      </w:r>
      <w:r w:rsidR="00794929">
        <w:rPr>
          <w:lang w:val="en-GB"/>
        </w:rPr>
        <w:t>.</w:t>
      </w:r>
      <w:r>
        <w:rPr>
          <w:lang w:val="en-GB"/>
        </w:rPr>
        <w:t xml:space="preserve"> </w:t>
      </w:r>
      <w:r w:rsidR="00794929">
        <w:rPr>
          <w:lang w:val="en-GB"/>
        </w:rPr>
        <w:t>M</w:t>
      </w:r>
      <w:r w:rsidR="00453887">
        <w:rPr>
          <w:lang w:val="en-GB"/>
        </w:rPr>
        <w:t>any Committee members noted that case conferences where the treatment plan was straightforward often last just 5-10 minutes. This time tier also already exists for addiction medicine</w:t>
      </w:r>
      <w:r w:rsidR="001C6F68">
        <w:rPr>
          <w:lang w:val="en-GB"/>
        </w:rPr>
        <w:t xml:space="preserve"> practitioners</w:t>
      </w:r>
      <w:r w:rsidR="00453887">
        <w:rPr>
          <w:lang w:val="en-GB"/>
        </w:rPr>
        <w:t xml:space="preserve">, who use it much more often than </w:t>
      </w:r>
      <w:r w:rsidR="00B754BB">
        <w:rPr>
          <w:lang w:val="en-GB"/>
        </w:rPr>
        <w:t xml:space="preserve">they use </w:t>
      </w:r>
      <w:r w:rsidR="00453887">
        <w:rPr>
          <w:lang w:val="en-GB"/>
        </w:rPr>
        <w:t xml:space="preserve">any of the longer time tiers. </w:t>
      </w:r>
    </w:p>
    <w:p w14:paraId="617D340D" w14:textId="1D1AAD62" w:rsidR="00453887" w:rsidRDefault="00453887" w:rsidP="008D7F80">
      <w:pPr>
        <w:pStyle w:val="Bullet-green"/>
        <w:rPr>
          <w:lang w:val="en-GB"/>
        </w:rPr>
      </w:pPr>
      <w:r>
        <w:rPr>
          <w:lang w:val="en-GB"/>
        </w:rPr>
        <w:t xml:space="preserve">The Committee has recommended a minimum number of </w:t>
      </w:r>
      <w:r w:rsidR="00877160">
        <w:rPr>
          <w:lang w:val="en-GB"/>
        </w:rPr>
        <w:t xml:space="preserve">three </w:t>
      </w:r>
      <w:r>
        <w:rPr>
          <w:lang w:val="en-GB"/>
        </w:rPr>
        <w:t xml:space="preserve">attendees of different disciplines </w:t>
      </w:r>
      <w:r w:rsidR="00340324">
        <w:rPr>
          <w:lang w:val="en-GB"/>
        </w:rPr>
        <w:t xml:space="preserve">for each case conference. The MBS currently states that there must be a minimum of </w:t>
      </w:r>
      <w:r w:rsidR="00877160">
        <w:rPr>
          <w:lang w:val="en-GB"/>
        </w:rPr>
        <w:t xml:space="preserve">three </w:t>
      </w:r>
      <w:r w:rsidR="00340324">
        <w:rPr>
          <w:lang w:val="en-GB"/>
        </w:rPr>
        <w:t xml:space="preserve">attendees to claim a participant item and </w:t>
      </w:r>
      <w:r w:rsidR="00877160">
        <w:rPr>
          <w:lang w:val="en-GB"/>
        </w:rPr>
        <w:t>four</w:t>
      </w:r>
      <w:r w:rsidR="00CE45C2">
        <w:rPr>
          <w:lang w:val="en-GB"/>
        </w:rPr>
        <w:t xml:space="preserve"> </w:t>
      </w:r>
      <w:r w:rsidR="00340324">
        <w:rPr>
          <w:lang w:val="en-GB"/>
        </w:rPr>
        <w:t>attendees to claim a</w:t>
      </w:r>
      <w:r w:rsidR="00C90552">
        <w:rPr>
          <w:lang w:val="en-GB"/>
        </w:rPr>
        <w:t>n</w:t>
      </w:r>
      <w:r w:rsidR="00340324">
        <w:rPr>
          <w:lang w:val="en-GB"/>
        </w:rPr>
        <w:t xml:space="preserve"> organiser/coordinator item. The Committee was of the opinion that changing this to a minimum of </w:t>
      </w:r>
      <w:r w:rsidR="00877160">
        <w:rPr>
          <w:lang w:val="en-GB"/>
        </w:rPr>
        <w:t xml:space="preserve">three </w:t>
      </w:r>
      <w:r w:rsidR="00340324">
        <w:rPr>
          <w:lang w:val="en-GB"/>
        </w:rPr>
        <w:t xml:space="preserve">attendees </w:t>
      </w:r>
      <w:r w:rsidR="00EA48D5">
        <w:rPr>
          <w:lang w:val="en-GB"/>
        </w:rPr>
        <w:t xml:space="preserve">for all items was a </w:t>
      </w:r>
      <w:r w:rsidR="00C90552">
        <w:rPr>
          <w:lang w:val="en-GB"/>
        </w:rPr>
        <w:t xml:space="preserve">simpler </w:t>
      </w:r>
      <w:r w:rsidR="00EA48D5">
        <w:rPr>
          <w:lang w:val="en-GB"/>
        </w:rPr>
        <w:t xml:space="preserve">approach. </w:t>
      </w:r>
    </w:p>
    <w:p w14:paraId="1B42D19C" w14:textId="77777777" w:rsidR="006D6FE4" w:rsidRPr="00C33C0B" w:rsidRDefault="00B55212" w:rsidP="003C5D5A">
      <w:pPr>
        <w:pStyle w:val="Heading2"/>
      </w:pPr>
      <w:bookmarkStart w:id="186" w:name="_Toc67952238"/>
      <w:bookmarkStart w:id="187" w:name="_Hlk524440592"/>
      <w:bookmarkStart w:id="188" w:name="_Hlk529008823"/>
      <w:r w:rsidRPr="00C33C0B">
        <w:t xml:space="preserve">Recommendation </w:t>
      </w:r>
      <w:bookmarkStart w:id="189" w:name="_Toc521442209"/>
      <w:r w:rsidR="00E26569">
        <w:t>1</w:t>
      </w:r>
      <w:r w:rsidR="00246852">
        <w:t>2</w:t>
      </w:r>
      <w:r w:rsidR="006022F5">
        <w:t xml:space="preserve"> - </w:t>
      </w:r>
      <w:r w:rsidR="006022F5">
        <w:rPr>
          <w:lang w:val="en-GB"/>
        </w:rPr>
        <w:t>Introduce case conference items for allied health professionals (AHPs) and nurse practitioners</w:t>
      </w:r>
      <w:bookmarkEnd w:id="186"/>
    </w:p>
    <w:p w14:paraId="6D6FFCF3" w14:textId="77777777" w:rsidR="005355FD" w:rsidRPr="00806CC6" w:rsidRDefault="00412F32" w:rsidP="00607BDA">
      <w:pPr>
        <w:rPr>
          <w:lang w:val="en-GB"/>
        </w:rPr>
      </w:pPr>
      <w:bookmarkStart w:id="190" w:name="_Hlk524440538"/>
      <w:bookmarkEnd w:id="187"/>
      <w:r w:rsidRPr="00607BDA">
        <w:rPr>
          <w:lang w:val="en-GB" w:eastAsia="en-US"/>
        </w:rPr>
        <w:t xml:space="preserve">The Committee </w:t>
      </w:r>
      <w:r w:rsidR="005355FD" w:rsidRPr="00607BDA">
        <w:rPr>
          <w:lang w:val="en-GB" w:eastAsia="en-US"/>
        </w:rPr>
        <w:t>recommends that AHPs who access these items should be limited to those who are eligible to access AHP items under Group M3</w:t>
      </w:r>
      <w:r w:rsidR="00806CC6" w:rsidRPr="00607BDA">
        <w:rPr>
          <w:lang w:val="en-GB" w:eastAsia="en-US"/>
        </w:rPr>
        <w:t xml:space="preserve"> of the MBS</w:t>
      </w:r>
      <w:r w:rsidR="003E5720">
        <w:rPr>
          <w:lang w:val="en-GB" w:eastAsia="en-US"/>
        </w:rPr>
        <w:t>.</w:t>
      </w:r>
      <w:r w:rsidR="00246852">
        <w:rPr>
          <w:rStyle w:val="FootnoteReference"/>
          <w:lang w:val="en-GB" w:eastAsia="en-US"/>
        </w:rPr>
        <w:footnoteReference w:id="13"/>
      </w:r>
    </w:p>
    <w:p w14:paraId="7C47E7B7" w14:textId="77777777" w:rsidR="007C2075" w:rsidRPr="00C33C0B" w:rsidRDefault="007C2075" w:rsidP="003C5D5A">
      <w:pPr>
        <w:pStyle w:val="Heading2"/>
      </w:pPr>
      <w:bookmarkStart w:id="191" w:name="_Toc67952239"/>
      <w:bookmarkEnd w:id="188"/>
      <w:bookmarkEnd w:id="190"/>
      <w:r w:rsidRPr="00C33C0B">
        <w:t>Rationale</w:t>
      </w:r>
      <w:r w:rsidR="0057608E">
        <w:t xml:space="preserve"> </w:t>
      </w:r>
      <w:r w:rsidR="00ED04AD">
        <w:t>1</w:t>
      </w:r>
      <w:r w:rsidR="003E5720">
        <w:t>2</w:t>
      </w:r>
      <w:bookmarkEnd w:id="191"/>
    </w:p>
    <w:p w14:paraId="6D9157FB" w14:textId="77777777" w:rsidR="00833306" w:rsidRDefault="00833306" w:rsidP="00FB362B">
      <w:pPr>
        <w:rPr>
          <w:lang w:val="en-GB" w:eastAsia="en-US"/>
        </w:rPr>
      </w:pPr>
      <w:r>
        <w:rPr>
          <w:lang w:val="en-GB" w:eastAsia="en-US"/>
        </w:rPr>
        <w:t xml:space="preserve">This recommendation focuses on </w:t>
      </w:r>
      <w:r w:rsidR="006B2C13">
        <w:rPr>
          <w:lang w:val="en-GB" w:eastAsia="en-US"/>
        </w:rPr>
        <w:t xml:space="preserve">recognising the role of </w:t>
      </w:r>
      <w:r w:rsidR="00566F49">
        <w:rPr>
          <w:lang w:val="en-GB" w:eastAsia="en-US"/>
        </w:rPr>
        <w:t xml:space="preserve">AHPs and </w:t>
      </w:r>
      <w:r w:rsidR="00806CC6">
        <w:rPr>
          <w:lang w:val="en-GB" w:eastAsia="en-US"/>
        </w:rPr>
        <w:t xml:space="preserve">nurse practitioners </w:t>
      </w:r>
      <w:r w:rsidR="006B2C13">
        <w:rPr>
          <w:lang w:val="en-GB" w:eastAsia="en-US"/>
        </w:rPr>
        <w:t xml:space="preserve">in multidisciplinary patient care. </w:t>
      </w:r>
      <w:r>
        <w:rPr>
          <w:lang w:val="en-GB" w:eastAsia="en-US"/>
        </w:rPr>
        <w:t>It is based on the following</w:t>
      </w:r>
      <w:r w:rsidR="00CB271F">
        <w:rPr>
          <w:lang w:val="en-GB" w:eastAsia="en-US"/>
        </w:rPr>
        <w:t>:</w:t>
      </w:r>
    </w:p>
    <w:p w14:paraId="7BE925CD" w14:textId="77777777" w:rsidR="006022F5" w:rsidRPr="003C4FE3" w:rsidRDefault="006022F5" w:rsidP="006022F5">
      <w:pPr>
        <w:pStyle w:val="Bullet-green"/>
        <w:rPr>
          <w:lang w:val="en-GB" w:eastAsia="en-US"/>
        </w:rPr>
      </w:pPr>
      <w:r w:rsidRPr="003C4FE3">
        <w:rPr>
          <w:lang w:val="en-GB" w:eastAsia="en-US"/>
        </w:rPr>
        <w:t>The Committee supports the recommendation put forward by the GPPCCC to create new items for attendance at community and discharge case conferences for both AHPs and nurse practitioners.</w:t>
      </w:r>
    </w:p>
    <w:p w14:paraId="3A5C1FC9" w14:textId="77777777" w:rsidR="007E2E14" w:rsidRPr="006022F5" w:rsidRDefault="008636B7" w:rsidP="006022F5">
      <w:pPr>
        <w:pStyle w:val="Bullet-green"/>
        <w:rPr>
          <w:lang w:val="en-GB" w:eastAsia="en-US"/>
        </w:rPr>
      </w:pPr>
      <w:r w:rsidRPr="00C33C0B">
        <w:rPr>
          <w:lang w:val="en-GB" w:eastAsia="en-US"/>
        </w:rPr>
        <w:t>T</w:t>
      </w:r>
      <w:r w:rsidRPr="006022F5">
        <w:rPr>
          <w:lang w:val="en-GB" w:eastAsia="en-US"/>
        </w:rPr>
        <w:t xml:space="preserve">he Committee </w:t>
      </w:r>
      <w:r w:rsidR="007E2E14" w:rsidRPr="006022F5">
        <w:rPr>
          <w:lang w:val="en-GB" w:eastAsia="en-US"/>
        </w:rPr>
        <w:t xml:space="preserve">recognises that </w:t>
      </w:r>
      <w:r w:rsidR="00566F49" w:rsidRPr="006022F5">
        <w:rPr>
          <w:lang w:val="en-GB" w:eastAsia="en-US"/>
        </w:rPr>
        <w:t xml:space="preserve">AHPs and </w:t>
      </w:r>
      <w:r w:rsidR="007E2E14" w:rsidRPr="006022F5">
        <w:rPr>
          <w:lang w:val="en-GB" w:eastAsia="en-US"/>
        </w:rPr>
        <w:t>nurse practitioners often have a central role to play in patient care, particularly in a community setting.</w:t>
      </w:r>
    </w:p>
    <w:p w14:paraId="7B3C34AA" w14:textId="77777777" w:rsidR="00B23A93" w:rsidRPr="00C33C0B" w:rsidRDefault="003B2193" w:rsidP="00246FD6">
      <w:pPr>
        <w:pStyle w:val="Heading2"/>
        <w:pageBreakBefore/>
        <w:ind w:left="578" w:hanging="578"/>
      </w:pPr>
      <w:bookmarkStart w:id="192" w:name="_Toc67952240"/>
      <w:bookmarkStart w:id="193" w:name="_Hlk529008794"/>
      <w:r>
        <w:t xml:space="preserve">Recommendation </w:t>
      </w:r>
      <w:r w:rsidR="00ED04AD">
        <w:t>1</w:t>
      </w:r>
      <w:r w:rsidR="003E5720">
        <w:t>3</w:t>
      </w:r>
      <w:r w:rsidR="00ED04AD">
        <w:t xml:space="preserve"> </w:t>
      </w:r>
      <w:r w:rsidR="006022F5">
        <w:t>– Referral for examination of informed financial consent</w:t>
      </w:r>
      <w:bookmarkEnd w:id="192"/>
    </w:p>
    <w:p w14:paraId="4FBD4502" w14:textId="77777777" w:rsidR="003B2193" w:rsidRDefault="003B2193" w:rsidP="00607BDA">
      <w:pPr>
        <w:pStyle w:val="Bullet-green"/>
        <w:numPr>
          <w:ilvl w:val="0"/>
          <w:numId w:val="0"/>
        </w:numPr>
        <w:rPr>
          <w:lang w:val="en-GB"/>
        </w:rPr>
      </w:pPr>
      <w:r>
        <w:rPr>
          <w:lang w:val="en-GB"/>
        </w:rPr>
        <w:t xml:space="preserve">The Committee recommends that the Principles and Rules Committee </w:t>
      </w:r>
      <w:r w:rsidR="00E47C64">
        <w:rPr>
          <w:lang w:val="en-GB"/>
        </w:rPr>
        <w:t>examine the issue of informed financial consent for out-of-pocket fees charged with case conference items.</w:t>
      </w:r>
    </w:p>
    <w:p w14:paraId="2B0D4342" w14:textId="77777777" w:rsidR="003B2193" w:rsidRPr="003B2193" w:rsidRDefault="008F28D4" w:rsidP="003C5D5A">
      <w:pPr>
        <w:pStyle w:val="Heading2"/>
      </w:pPr>
      <w:bookmarkStart w:id="194" w:name="_Toc67952241"/>
      <w:bookmarkEnd w:id="193"/>
      <w:r>
        <w:t xml:space="preserve">Rationale </w:t>
      </w:r>
      <w:r w:rsidR="00ED04AD">
        <w:t>1</w:t>
      </w:r>
      <w:r w:rsidR="003E5720">
        <w:t>3</w:t>
      </w:r>
      <w:bookmarkEnd w:id="194"/>
    </w:p>
    <w:p w14:paraId="36D9F32C" w14:textId="77777777" w:rsidR="006B2C13" w:rsidRDefault="00A423C8" w:rsidP="00614620">
      <w:pPr>
        <w:pStyle w:val="Bullet-green"/>
        <w:numPr>
          <w:ilvl w:val="0"/>
          <w:numId w:val="0"/>
        </w:numPr>
      </w:pPr>
      <w:r>
        <w:t xml:space="preserve">This recommendation focuses on </w:t>
      </w:r>
      <w:r w:rsidR="006B2C13">
        <w:t>enabling patients to give informed financial consent for case conference items. It is based on the following</w:t>
      </w:r>
      <w:r w:rsidR="00CB271F">
        <w:t>:</w:t>
      </w:r>
    </w:p>
    <w:p w14:paraId="1C122C09" w14:textId="6F88EF02" w:rsidR="00642A3C" w:rsidRPr="00614620" w:rsidRDefault="001D71A1" w:rsidP="00614620">
      <w:pPr>
        <w:pStyle w:val="Bullet-green"/>
        <w:rPr>
          <w:lang w:val="en-GB"/>
        </w:rPr>
      </w:pPr>
      <w:r w:rsidRPr="00026679">
        <w:rPr>
          <w:lang w:val="en-GB" w:eastAsia="en-US"/>
        </w:rPr>
        <w:t xml:space="preserve">Allowing all </w:t>
      </w:r>
      <w:r w:rsidR="005C4E6E" w:rsidRPr="00026679">
        <w:rPr>
          <w:lang w:val="en-GB" w:eastAsia="en-US"/>
        </w:rPr>
        <w:t xml:space="preserve">consultant specialists </w:t>
      </w:r>
      <w:r w:rsidRPr="00A4712E">
        <w:rPr>
          <w:lang w:val="en-GB" w:eastAsia="en-US"/>
        </w:rPr>
        <w:t xml:space="preserve">to access case conference items </w:t>
      </w:r>
      <w:r w:rsidR="005C4E6E" w:rsidRPr="00AC073E">
        <w:rPr>
          <w:lang w:val="en-GB" w:eastAsia="en-US"/>
        </w:rPr>
        <w:t xml:space="preserve">and introducing new items for </w:t>
      </w:r>
      <w:r w:rsidR="00566F49" w:rsidRPr="00AC073E">
        <w:rPr>
          <w:lang w:val="en-GB" w:eastAsia="en-US"/>
        </w:rPr>
        <w:t>AHPs and nurse practitioners</w:t>
      </w:r>
      <w:r w:rsidR="005C4E6E" w:rsidRPr="00AC073E">
        <w:rPr>
          <w:lang w:val="en-GB" w:eastAsia="en-US"/>
        </w:rPr>
        <w:t xml:space="preserve"> </w:t>
      </w:r>
      <w:r w:rsidR="00566F49" w:rsidRPr="00A30F0F">
        <w:rPr>
          <w:lang w:val="en-GB" w:eastAsia="en-US"/>
        </w:rPr>
        <w:t xml:space="preserve">will </w:t>
      </w:r>
      <w:r w:rsidRPr="00A30F0F">
        <w:rPr>
          <w:lang w:val="en-GB" w:eastAsia="en-US"/>
        </w:rPr>
        <w:t xml:space="preserve">increase </w:t>
      </w:r>
      <w:r w:rsidR="005C4E6E" w:rsidRPr="00A30F0F">
        <w:rPr>
          <w:lang w:val="en-GB" w:eastAsia="en-US"/>
        </w:rPr>
        <w:t xml:space="preserve">usage of </w:t>
      </w:r>
      <w:r w:rsidR="00566F49" w:rsidRPr="00A30F0F">
        <w:rPr>
          <w:lang w:val="en-GB" w:eastAsia="en-US"/>
        </w:rPr>
        <w:t xml:space="preserve">case conference </w:t>
      </w:r>
      <w:r w:rsidR="005C4E6E" w:rsidRPr="00BA6769">
        <w:rPr>
          <w:lang w:val="en-GB" w:eastAsia="en-US"/>
        </w:rPr>
        <w:t>items</w:t>
      </w:r>
      <w:r w:rsidR="001C6F68" w:rsidRPr="00BA6769">
        <w:rPr>
          <w:lang w:val="en-GB" w:eastAsia="en-US"/>
        </w:rPr>
        <w:t>, and may impact on out-of-pocket costs for patients.</w:t>
      </w:r>
    </w:p>
    <w:p w14:paraId="38508339" w14:textId="77777777" w:rsidR="00614620" w:rsidRDefault="004A6F15" w:rsidP="00614620">
      <w:pPr>
        <w:pStyle w:val="Bullet-green"/>
        <w:rPr>
          <w:lang w:val="en-GB"/>
        </w:rPr>
      </w:pPr>
      <w:r w:rsidRPr="00026679">
        <w:rPr>
          <w:lang w:val="en-GB" w:eastAsia="en-US"/>
        </w:rPr>
        <w:t>However, t</w:t>
      </w:r>
      <w:r w:rsidR="001662A2" w:rsidRPr="00026679">
        <w:rPr>
          <w:lang w:val="en-GB" w:eastAsia="en-US"/>
        </w:rPr>
        <w:t xml:space="preserve">he Committee </w:t>
      </w:r>
      <w:r w:rsidRPr="00A4712E">
        <w:rPr>
          <w:lang w:val="en-GB" w:eastAsia="en-US"/>
        </w:rPr>
        <w:t xml:space="preserve">recognises </w:t>
      </w:r>
      <w:r w:rsidR="001662A2" w:rsidRPr="00AC073E">
        <w:rPr>
          <w:lang w:val="en-GB" w:eastAsia="en-US"/>
        </w:rPr>
        <w:t xml:space="preserve">that patients </w:t>
      </w:r>
      <w:r w:rsidRPr="00AC073E">
        <w:rPr>
          <w:lang w:val="en-GB" w:eastAsia="en-US"/>
        </w:rPr>
        <w:t xml:space="preserve">often </w:t>
      </w:r>
      <w:r w:rsidR="001662A2" w:rsidRPr="00AC073E">
        <w:rPr>
          <w:lang w:val="en-GB" w:eastAsia="en-US"/>
        </w:rPr>
        <w:t xml:space="preserve">have </w:t>
      </w:r>
      <w:r w:rsidRPr="00A30F0F">
        <w:rPr>
          <w:lang w:val="en-GB" w:eastAsia="en-US"/>
        </w:rPr>
        <w:t xml:space="preserve">no </w:t>
      </w:r>
      <w:r w:rsidR="001662A2" w:rsidRPr="00A30F0F">
        <w:rPr>
          <w:lang w:val="en-GB" w:eastAsia="en-US"/>
        </w:rPr>
        <w:t xml:space="preserve">control over </w:t>
      </w:r>
      <w:r w:rsidR="00894CB3" w:rsidRPr="00A30F0F">
        <w:rPr>
          <w:lang w:val="en-GB" w:eastAsia="en-US"/>
        </w:rPr>
        <w:t xml:space="preserve">(and may not be aware of) </w:t>
      </w:r>
      <w:r w:rsidR="001662A2" w:rsidRPr="00A30F0F">
        <w:rPr>
          <w:lang w:val="en-GB" w:eastAsia="en-US"/>
        </w:rPr>
        <w:t xml:space="preserve">who attends their case conference, and </w:t>
      </w:r>
      <w:r w:rsidR="00B754BB" w:rsidRPr="00BA6769">
        <w:rPr>
          <w:lang w:val="en-GB" w:eastAsia="en-US"/>
        </w:rPr>
        <w:t xml:space="preserve">therefore </w:t>
      </w:r>
      <w:r w:rsidR="00085979" w:rsidRPr="00BA6769">
        <w:rPr>
          <w:lang w:val="en-GB" w:eastAsia="en-US"/>
        </w:rPr>
        <w:t xml:space="preserve">do not in practice </w:t>
      </w:r>
      <w:r w:rsidR="001662A2" w:rsidRPr="00BB03F6">
        <w:rPr>
          <w:lang w:val="en-GB" w:eastAsia="en-US"/>
        </w:rPr>
        <w:t>provide informed fi</w:t>
      </w:r>
      <w:r w:rsidR="003B2193" w:rsidRPr="00BB03F6">
        <w:rPr>
          <w:lang w:val="en-GB" w:eastAsia="en-US"/>
        </w:rPr>
        <w:t xml:space="preserve">nancial consent </w:t>
      </w:r>
      <w:r w:rsidRPr="00642A3C">
        <w:rPr>
          <w:lang w:val="en-GB" w:eastAsia="en-US"/>
        </w:rPr>
        <w:t xml:space="preserve">for any </w:t>
      </w:r>
      <w:r w:rsidR="005C4E6E" w:rsidRPr="00642A3C">
        <w:rPr>
          <w:lang w:val="en-GB" w:eastAsia="en-US"/>
        </w:rPr>
        <w:t>associated</w:t>
      </w:r>
      <w:r w:rsidR="003B2193" w:rsidRPr="00642A3C">
        <w:rPr>
          <w:lang w:val="en-GB" w:eastAsia="en-US"/>
        </w:rPr>
        <w:t xml:space="preserve"> </w:t>
      </w:r>
      <w:r w:rsidR="005C4E6E" w:rsidRPr="00642A3C">
        <w:rPr>
          <w:lang w:val="en-GB" w:eastAsia="en-US"/>
        </w:rPr>
        <w:t>out-of-pocket costs</w:t>
      </w:r>
      <w:r w:rsidR="003B2193" w:rsidRPr="00642A3C">
        <w:rPr>
          <w:lang w:val="en-GB" w:eastAsia="en-US"/>
        </w:rPr>
        <w:t>.</w:t>
      </w:r>
    </w:p>
    <w:p w14:paraId="2145A7A6" w14:textId="0C638741" w:rsidR="007C2075" w:rsidRPr="001535F1" w:rsidRDefault="001662A2" w:rsidP="001535F1">
      <w:pPr>
        <w:pStyle w:val="Bullet-green"/>
        <w:rPr>
          <w:lang w:val="en-GB"/>
        </w:rPr>
      </w:pPr>
      <w:r w:rsidRPr="001535F1">
        <w:rPr>
          <w:lang w:val="en-GB" w:eastAsia="en-US"/>
        </w:rPr>
        <w:t xml:space="preserve">The Committee also notes that it is not possible to prohibit clinicians from charging out-of-pocket </w:t>
      </w:r>
      <w:r w:rsidR="001535F1">
        <w:rPr>
          <w:lang w:val="en-GB" w:eastAsia="en-US"/>
        </w:rPr>
        <w:t>fees for case conferences.</w:t>
      </w:r>
    </w:p>
    <w:p w14:paraId="083D5DA8" w14:textId="46968A4A" w:rsidR="00993C3A" w:rsidRPr="00993C3A" w:rsidRDefault="00993C3A" w:rsidP="00993C3A">
      <w:pPr>
        <w:pStyle w:val="Heading1"/>
      </w:pPr>
      <w:bookmarkStart w:id="195" w:name="_Toc67952242"/>
      <w:bookmarkEnd w:id="189"/>
      <w:r w:rsidRPr="00993C3A">
        <w:t>Use of data to inform quality care and patient</w:t>
      </w:r>
      <w:r w:rsidR="00E55F15">
        <w:t xml:space="preserve"> </w:t>
      </w:r>
      <w:r w:rsidRPr="00993C3A">
        <w:t>informed choice and consent recommendations</w:t>
      </w:r>
      <w:bookmarkEnd w:id="195"/>
    </w:p>
    <w:p w14:paraId="353E9B0C" w14:textId="77777777" w:rsidR="008B43C9" w:rsidRDefault="00C0022A" w:rsidP="003C5D5A">
      <w:pPr>
        <w:pStyle w:val="Heading2"/>
        <w:rPr>
          <w:lang w:val="en-GB"/>
        </w:rPr>
      </w:pPr>
      <w:bookmarkStart w:id="196" w:name="_Toc67952243"/>
      <w:r>
        <w:rPr>
          <w:lang w:val="en-GB"/>
        </w:rPr>
        <w:t>The role of data in patient care</w:t>
      </w:r>
      <w:bookmarkEnd w:id="196"/>
    </w:p>
    <w:p w14:paraId="3DCEEADC" w14:textId="77777777" w:rsidR="00FB4475" w:rsidRPr="00C33C0B" w:rsidRDefault="00FB4475" w:rsidP="00FB4475">
      <w:pPr>
        <w:rPr>
          <w:lang w:val="en-GB"/>
        </w:rPr>
      </w:pPr>
      <w:r w:rsidRPr="00C33C0B">
        <w:rPr>
          <w:lang w:val="en-GB"/>
        </w:rPr>
        <w:t xml:space="preserve">The Committee </w:t>
      </w:r>
      <w:r w:rsidR="00994DCB" w:rsidRPr="00C33C0B">
        <w:rPr>
          <w:lang w:val="en-GB"/>
        </w:rPr>
        <w:t>recognises</w:t>
      </w:r>
      <w:r w:rsidRPr="00C33C0B">
        <w:rPr>
          <w:lang w:val="en-GB"/>
        </w:rPr>
        <w:t xml:space="preserve"> that using data to </w:t>
      </w:r>
      <w:r w:rsidR="00A76E6A" w:rsidRPr="00C33C0B">
        <w:rPr>
          <w:lang w:val="en-GB"/>
        </w:rPr>
        <w:t>inform</w:t>
      </w:r>
      <w:r w:rsidRPr="00C33C0B">
        <w:rPr>
          <w:lang w:val="en-GB"/>
        </w:rPr>
        <w:t xml:space="preserve"> quality </w:t>
      </w:r>
      <w:r w:rsidR="00A76E6A" w:rsidRPr="00C33C0B">
        <w:rPr>
          <w:lang w:val="en-GB"/>
        </w:rPr>
        <w:t xml:space="preserve">care </w:t>
      </w:r>
      <w:r w:rsidRPr="00C33C0B">
        <w:rPr>
          <w:lang w:val="en-GB"/>
        </w:rPr>
        <w:t xml:space="preserve">and </w:t>
      </w:r>
      <w:r w:rsidR="00E357A5" w:rsidRPr="00C33C0B">
        <w:rPr>
          <w:lang w:val="en-GB"/>
        </w:rPr>
        <w:t>improv</w:t>
      </w:r>
      <w:r w:rsidR="003F7B43">
        <w:rPr>
          <w:lang w:val="en-GB"/>
        </w:rPr>
        <w:t>ing</w:t>
      </w:r>
      <w:r w:rsidR="00E357A5" w:rsidRPr="00C33C0B">
        <w:rPr>
          <w:lang w:val="en-GB"/>
        </w:rPr>
        <w:t xml:space="preserve"> the </w:t>
      </w:r>
      <w:r w:rsidRPr="00C33C0B">
        <w:rPr>
          <w:lang w:val="en-GB"/>
        </w:rPr>
        <w:t xml:space="preserve">patient consent process are mechanisms to </w:t>
      </w:r>
      <w:r w:rsidR="00F60812">
        <w:rPr>
          <w:lang w:val="en-GB"/>
        </w:rPr>
        <w:t>support</w:t>
      </w:r>
      <w:r w:rsidRPr="00C33C0B">
        <w:rPr>
          <w:lang w:val="en-GB"/>
        </w:rPr>
        <w:t xml:space="preserve"> quality consultative care. The Committee does not consider </w:t>
      </w:r>
      <w:r w:rsidR="00165514">
        <w:rPr>
          <w:lang w:val="en-GB"/>
        </w:rPr>
        <w:t xml:space="preserve">the </w:t>
      </w:r>
      <w:r w:rsidRPr="00C33C0B">
        <w:rPr>
          <w:lang w:val="en-GB"/>
        </w:rPr>
        <w:t xml:space="preserve">MBS the </w:t>
      </w:r>
      <w:r w:rsidR="00A76E6A" w:rsidRPr="00C33C0B">
        <w:rPr>
          <w:lang w:val="en-GB"/>
        </w:rPr>
        <w:t xml:space="preserve">primary </w:t>
      </w:r>
      <w:r w:rsidRPr="00C33C0B">
        <w:rPr>
          <w:lang w:val="en-GB"/>
        </w:rPr>
        <w:t>vehicle for addressing this issue</w:t>
      </w:r>
      <w:r w:rsidR="00850EC4">
        <w:rPr>
          <w:lang w:val="en-GB"/>
        </w:rPr>
        <w:t xml:space="preserve"> </w:t>
      </w:r>
      <w:r w:rsidR="004564DA" w:rsidRPr="00C33C0B">
        <w:rPr>
          <w:lang w:val="en-GB"/>
        </w:rPr>
        <w:t xml:space="preserve">and </w:t>
      </w:r>
      <w:r w:rsidR="00227F0B">
        <w:rPr>
          <w:lang w:val="en-GB"/>
        </w:rPr>
        <w:t xml:space="preserve">has </w:t>
      </w:r>
      <w:r w:rsidR="00AA533E">
        <w:rPr>
          <w:lang w:val="en-GB"/>
        </w:rPr>
        <w:t xml:space="preserve">therefore </w:t>
      </w:r>
      <w:r w:rsidRPr="00C33C0B">
        <w:rPr>
          <w:lang w:val="en-GB"/>
        </w:rPr>
        <w:t xml:space="preserve">made </w:t>
      </w:r>
      <w:r w:rsidR="00E357A5" w:rsidRPr="00C33C0B">
        <w:rPr>
          <w:lang w:val="en-GB"/>
        </w:rPr>
        <w:t xml:space="preserve">both MBS and non-MBS </w:t>
      </w:r>
      <w:r w:rsidRPr="00C33C0B">
        <w:rPr>
          <w:lang w:val="en-GB"/>
        </w:rPr>
        <w:t xml:space="preserve">recommendations. </w:t>
      </w:r>
    </w:p>
    <w:p w14:paraId="4614C90C" w14:textId="77777777" w:rsidR="00FB4475" w:rsidRPr="00C33C0B" w:rsidRDefault="00FB4475" w:rsidP="00FB4475">
      <w:pPr>
        <w:rPr>
          <w:lang w:val="en-GB"/>
        </w:rPr>
      </w:pPr>
      <w:r w:rsidRPr="00C33C0B">
        <w:rPr>
          <w:lang w:val="en-GB"/>
        </w:rPr>
        <w:t>Clinicians and consumers are partners in health care</w:t>
      </w:r>
      <w:r w:rsidR="00894CB3">
        <w:rPr>
          <w:lang w:val="en-GB"/>
        </w:rPr>
        <w:t xml:space="preserve">, </w:t>
      </w:r>
      <w:r w:rsidRPr="00C33C0B">
        <w:rPr>
          <w:lang w:val="en-GB"/>
        </w:rPr>
        <w:t>at the level</w:t>
      </w:r>
      <w:r w:rsidR="00894CB3">
        <w:rPr>
          <w:lang w:val="en-GB"/>
        </w:rPr>
        <w:t>s</w:t>
      </w:r>
      <w:r w:rsidRPr="00C33C0B">
        <w:rPr>
          <w:lang w:val="en-GB"/>
        </w:rPr>
        <w:t xml:space="preserve"> of individual care, service provision and health system governance. At the level of individual care, decisions must be informed by the clinician’s expert health knowledge and judgement and </w:t>
      </w:r>
      <w:r w:rsidR="00894CB3">
        <w:rPr>
          <w:lang w:val="en-GB"/>
        </w:rPr>
        <w:t xml:space="preserve">the </w:t>
      </w:r>
      <w:r w:rsidR="006D7557">
        <w:rPr>
          <w:lang w:val="en-GB"/>
        </w:rPr>
        <w:t>patient’s</w:t>
      </w:r>
      <w:r w:rsidR="00B401EA" w:rsidRPr="00C33C0B">
        <w:rPr>
          <w:lang w:val="en-GB"/>
        </w:rPr>
        <w:t xml:space="preserve"> </w:t>
      </w:r>
      <w:r w:rsidRPr="00C33C0B">
        <w:rPr>
          <w:lang w:val="en-GB"/>
        </w:rPr>
        <w:t>unique knowledge, experience, needs, preferences and priori</w:t>
      </w:r>
      <w:r w:rsidR="001F3A83" w:rsidRPr="00C33C0B">
        <w:rPr>
          <w:lang w:val="en-GB"/>
        </w:rPr>
        <w:t>ties. Shared decision-making by clinicians</w:t>
      </w:r>
      <w:r w:rsidRPr="00C33C0B">
        <w:rPr>
          <w:lang w:val="en-GB"/>
        </w:rPr>
        <w:t xml:space="preserve"> </w:t>
      </w:r>
      <w:r w:rsidR="00A73794">
        <w:rPr>
          <w:lang w:val="en-GB"/>
        </w:rPr>
        <w:t>and</w:t>
      </w:r>
      <w:r w:rsidR="00A73794" w:rsidRPr="00C33C0B">
        <w:rPr>
          <w:lang w:val="en-GB"/>
        </w:rPr>
        <w:t xml:space="preserve"> </w:t>
      </w:r>
      <w:r w:rsidR="001F3A83" w:rsidRPr="00C33C0B">
        <w:rPr>
          <w:lang w:val="en-GB"/>
        </w:rPr>
        <w:t>patients (and carers/</w:t>
      </w:r>
      <w:r w:rsidRPr="00C33C0B">
        <w:rPr>
          <w:lang w:val="en-GB"/>
        </w:rPr>
        <w:t>legal guardians/substitute decision-makers</w:t>
      </w:r>
      <w:r w:rsidR="001F3A83" w:rsidRPr="00C33C0B">
        <w:rPr>
          <w:lang w:val="en-GB"/>
        </w:rPr>
        <w:t>)</w:t>
      </w:r>
      <w:r w:rsidRPr="00C33C0B">
        <w:rPr>
          <w:lang w:val="en-GB"/>
        </w:rPr>
        <w:t xml:space="preserve"> is fundamental to informed </w:t>
      </w:r>
      <w:r w:rsidR="00894CB3" w:rsidRPr="00C33C0B">
        <w:rPr>
          <w:lang w:val="en-GB"/>
        </w:rPr>
        <w:t>consent</w:t>
      </w:r>
      <w:sdt>
        <w:sdtPr>
          <w:rPr>
            <w:lang w:val="en-GB"/>
          </w:rPr>
          <w:id w:val="-499736388"/>
          <w:citation/>
        </w:sdtPr>
        <w:sdtContent>
          <w:r w:rsidR="009C7990">
            <w:rPr>
              <w:lang w:val="en-GB"/>
            </w:rPr>
            <w:fldChar w:fldCharType="begin"/>
          </w:r>
          <w:r w:rsidR="009C7990">
            <w:instrText xml:space="preserve"> CITATION Goo14 \l 3081 </w:instrText>
          </w:r>
          <w:r w:rsidR="009C7990">
            <w:rPr>
              <w:lang w:val="en-GB"/>
            </w:rPr>
            <w:fldChar w:fldCharType="separate"/>
          </w:r>
          <w:r w:rsidR="009C7990">
            <w:rPr>
              <w:noProof/>
            </w:rPr>
            <w:t xml:space="preserve"> (12)</w:t>
          </w:r>
          <w:r w:rsidR="009C7990">
            <w:rPr>
              <w:lang w:val="en-GB"/>
            </w:rPr>
            <w:fldChar w:fldCharType="end"/>
          </w:r>
        </w:sdtContent>
      </w:sdt>
      <w:r w:rsidR="00894CB3">
        <w:rPr>
          <w:lang w:val="en-GB"/>
        </w:rPr>
        <w:t>.</w:t>
      </w:r>
      <w:r w:rsidRPr="00C33C0B">
        <w:rPr>
          <w:lang w:val="en-GB"/>
        </w:rPr>
        <w:t xml:space="preserve"> </w:t>
      </w:r>
      <w:r w:rsidR="00894CB3">
        <w:rPr>
          <w:lang w:val="en-GB"/>
        </w:rPr>
        <w:t>The Committee</w:t>
      </w:r>
      <w:r w:rsidR="00894CB3" w:rsidRPr="00C33C0B">
        <w:rPr>
          <w:lang w:val="en-GB"/>
        </w:rPr>
        <w:t xml:space="preserve"> </w:t>
      </w:r>
      <w:r w:rsidRPr="00C33C0B">
        <w:rPr>
          <w:lang w:val="en-GB"/>
        </w:rPr>
        <w:t>also acknowledges that</w:t>
      </w:r>
      <w:r w:rsidR="006D5A1D">
        <w:rPr>
          <w:lang w:val="en-GB"/>
        </w:rPr>
        <w:t xml:space="preserve"> it is</w:t>
      </w:r>
      <w:r w:rsidRPr="00C33C0B">
        <w:rPr>
          <w:lang w:val="en-GB"/>
        </w:rPr>
        <w:t xml:space="preserve"> ultimately </w:t>
      </w:r>
      <w:r w:rsidR="00DA517E">
        <w:rPr>
          <w:lang w:val="en-GB"/>
        </w:rPr>
        <w:t>the patient</w:t>
      </w:r>
      <w:r w:rsidRPr="00C33C0B">
        <w:rPr>
          <w:lang w:val="en-GB"/>
        </w:rPr>
        <w:t xml:space="preserve"> who manages their overall health and wellbeing and the consequences of </w:t>
      </w:r>
      <w:r w:rsidR="006B5271">
        <w:rPr>
          <w:lang w:val="en-GB"/>
        </w:rPr>
        <w:t xml:space="preserve">any </w:t>
      </w:r>
      <w:r w:rsidRPr="00C33C0B">
        <w:rPr>
          <w:lang w:val="en-GB"/>
        </w:rPr>
        <w:t>dec</w:t>
      </w:r>
      <w:r w:rsidR="008C1B45">
        <w:rPr>
          <w:lang w:val="en-GB"/>
        </w:rPr>
        <w:t xml:space="preserve">isions made about their care, and so it logically follows that </w:t>
      </w:r>
      <w:r w:rsidR="007B41AC">
        <w:rPr>
          <w:lang w:val="en-GB"/>
        </w:rPr>
        <w:t>patient</w:t>
      </w:r>
      <w:r w:rsidR="008C1B45">
        <w:rPr>
          <w:lang w:val="en-GB"/>
        </w:rPr>
        <w:t xml:space="preserve">s should participate </w:t>
      </w:r>
      <w:r w:rsidRPr="00C33C0B">
        <w:rPr>
          <w:lang w:val="en-GB"/>
        </w:rPr>
        <w:t xml:space="preserve">in decision-making to the degree they are willing and able. It is incumbent on clinicians to support health literacy and engagement by creating care environments where </w:t>
      </w:r>
      <w:r w:rsidR="002B2596">
        <w:rPr>
          <w:lang w:val="en-GB"/>
        </w:rPr>
        <w:t>people</w:t>
      </w:r>
      <w:r w:rsidRPr="00C33C0B">
        <w:rPr>
          <w:lang w:val="en-GB"/>
        </w:rPr>
        <w:t xml:space="preserve"> </w:t>
      </w:r>
      <w:r w:rsidR="007156CF" w:rsidRPr="00C33C0B">
        <w:rPr>
          <w:lang w:val="en-GB"/>
        </w:rPr>
        <w:t>can</w:t>
      </w:r>
      <w:r w:rsidRPr="00C33C0B">
        <w:rPr>
          <w:lang w:val="en-GB"/>
        </w:rPr>
        <w:t xml:space="preserve"> actively participa</w:t>
      </w:r>
      <w:r w:rsidR="007156CF" w:rsidRPr="00C33C0B">
        <w:rPr>
          <w:lang w:val="en-GB"/>
        </w:rPr>
        <w:t xml:space="preserve">te in and agree </w:t>
      </w:r>
      <w:r w:rsidR="00640F5D">
        <w:rPr>
          <w:lang w:val="en-GB"/>
        </w:rPr>
        <w:t xml:space="preserve">on </w:t>
      </w:r>
      <w:r w:rsidR="007156CF" w:rsidRPr="00C33C0B">
        <w:rPr>
          <w:lang w:val="en-GB"/>
        </w:rPr>
        <w:t>health</w:t>
      </w:r>
      <w:r w:rsidR="001D6B44">
        <w:rPr>
          <w:lang w:val="en-GB"/>
        </w:rPr>
        <w:t xml:space="preserve"> </w:t>
      </w:r>
      <w:r w:rsidRPr="00C33C0B">
        <w:rPr>
          <w:lang w:val="en-GB"/>
        </w:rPr>
        <w:t xml:space="preserve">care decisions that affect them. </w:t>
      </w:r>
    </w:p>
    <w:p w14:paraId="70ADA19D" w14:textId="647F7E87" w:rsidR="00FC2F6F" w:rsidRPr="00C33C0B" w:rsidRDefault="00643FD7" w:rsidP="00FB4475">
      <w:pPr>
        <w:rPr>
          <w:lang w:val="en-GB"/>
        </w:rPr>
      </w:pPr>
      <w:r>
        <w:rPr>
          <w:lang w:val="en-GB"/>
        </w:rPr>
        <w:t>Evaluating and improving</w:t>
      </w:r>
      <w:r w:rsidR="00FB4475" w:rsidRPr="00C33C0B">
        <w:rPr>
          <w:lang w:val="en-GB"/>
        </w:rPr>
        <w:t xml:space="preserve"> </w:t>
      </w:r>
      <w:r w:rsidR="001B64DC">
        <w:rPr>
          <w:lang w:val="en-GB"/>
        </w:rPr>
        <w:t xml:space="preserve">the </w:t>
      </w:r>
      <w:r w:rsidR="00FB4475" w:rsidRPr="00C33C0B">
        <w:rPr>
          <w:lang w:val="en-GB"/>
        </w:rPr>
        <w:t xml:space="preserve">quality of care provided to patients </w:t>
      </w:r>
      <w:r w:rsidR="006913C1">
        <w:rPr>
          <w:lang w:val="en-GB"/>
        </w:rPr>
        <w:t>is</w:t>
      </w:r>
      <w:r w:rsidR="00FB4475" w:rsidRPr="00C33C0B">
        <w:rPr>
          <w:lang w:val="en-GB"/>
        </w:rPr>
        <w:t xml:space="preserve"> crucial in clinical practice. Alongside the requirements for improvement in outcomes and patient experience, there has also been considerable emphasis on informing patient choice and increasing patient involv</w:t>
      </w:r>
      <w:r w:rsidR="009B2481" w:rsidRPr="00C33C0B">
        <w:rPr>
          <w:lang w:val="en-GB"/>
        </w:rPr>
        <w:t xml:space="preserve">ement in all aspects of care. An important </w:t>
      </w:r>
      <w:r w:rsidR="00FB4475" w:rsidRPr="00C33C0B">
        <w:rPr>
          <w:lang w:val="en-GB"/>
        </w:rPr>
        <w:t>enabler of this is increasing the availability and transparency of data</w:t>
      </w:r>
      <w:r w:rsidR="00894CB3">
        <w:rPr>
          <w:lang w:val="en-GB"/>
        </w:rPr>
        <w:t>.</w:t>
      </w:r>
      <w:r w:rsidR="009B2481" w:rsidRPr="00C33C0B">
        <w:rPr>
          <w:lang w:val="en-GB"/>
        </w:rPr>
        <w:t xml:space="preserve"> The</w:t>
      </w:r>
      <w:r w:rsidR="00FB4475" w:rsidRPr="00C33C0B">
        <w:rPr>
          <w:lang w:val="en-GB"/>
        </w:rPr>
        <w:t xml:space="preserve"> Committee </w:t>
      </w:r>
      <w:r w:rsidR="00F95672">
        <w:rPr>
          <w:lang w:val="en-GB"/>
        </w:rPr>
        <w:t>has therefore provided</w:t>
      </w:r>
      <w:r w:rsidR="00FB4475" w:rsidRPr="00C33C0B">
        <w:rPr>
          <w:lang w:val="en-GB"/>
        </w:rPr>
        <w:t xml:space="preserve"> recommendations on how data can be used to monitor and improve quality of care</w:t>
      </w:r>
      <w:r w:rsidR="00F533F0">
        <w:rPr>
          <w:lang w:val="en-GB"/>
        </w:rPr>
        <w:t>,</w:t>
      </w:r>
      <w:r w:rsidR="00FB4475" w:rsidRPr="00C33C0B">
        <w:rPr>
          <w:lang w:val="en-GB"/>
        </w:rPr>
        <w:t xml:space="preserve"> and enable informed consumer choice. The Committee also outlines the principles of informed patient consent</w:t>
      </w:r>
      <w:r w:rsidR="00BB10A8" w:rsidRPr="00C33C0B">
        <w:rPr>
          <w:lang w:val="en-GB"/>
        </w:rPr>
        <w:t>.</w:t>
      </w:r>
    </w:p>
    <w:p w14:paraId="501DE96A" w14:textId="77777777" w:rsidR="00FB4475" w:rsidRPr="00C33C0B" w:rsidRDefault="00684874" w:rsidP="003C5D5A">
      <w:pPr>
        <w:pStyle w:val="Heading2"/>
      </w:pPr>
      <w:bookmarkStart w:id="197" w:name="_Toc67952244"/>
      <w:bookmarkStart w:id="198" w:name="_Hlk529008753"/>
      <w:r w:rsidRPr="006E00E1">
        <w:t>Recommendation</w:t>
      </w:r>
      <w:r w:rsidRPr="00C33C0B">
        <w:t xml:space="preserve"> </w:t>
      </w:r>
      <w:r w:rsidR="00DA1590">
        <w:t>1</w:t>
      </w:r>
      <w:r w:rsidR="003E5720">
        <w:t>4</w:t>
      </w:r>
      <w:r w:rsidR="0081794A">
        <w:t xml:space="preserve"> - </w:t>
      </w:r>
      <w:r w:rsidR="0081794A">
        <w:rPr>
          <w:lang w:val="en-GB"/>
        </w:rPr>
        <w:t xml:space="preserve">Establish a </w:t>
      </w:r>
      <w:r w:rsidR="00FC2F6F">
        <w:rPr>
          <w:lang w:val="en-GB"/>
        </w:rPr>
        <w:t xml:space="preserve">national </w:t>
      </w:r>
      <w:r w:rsidR="0081794A">
        <w:rPr>
          <w:lang w:val="en-GB"/>
        </w:rPr>
        <w:t>minimum data set to inform evidence-based clinical practice and inform patient choice</w:t>
      </w:r>
      <w:bookmarkEnd w:id="197"/>
    </w:p>
    <w:p w14:paraId="26905835" w14:textId="77777777" w:rsidR="00FB4475" w:rsidRPr="0081794A" w:rsidRDefault="0081794A" w:rsidP="00607BDA">
      <w:pPr>
        <w:pStyle w:val="Bullet-green"/>
        <w:numPr>
          <w:ilvl w:val="0"/>
          <w:numId w:val="0"/>
        </w:numPr>
        <w:rPr>
          <w:lang w:val="en-GB"/>
        </w:rPr>
      </w:pPr>
      <w:r>
        <w:rPr>
          <w:lang w:val="en-GB"/>
        </w:rPr>
        <w:t>T</w:t>
      </w:r>
      <w:r w:rsidR="00FB4475" w:rsidRPr="0081794A">
        <w:rPr>
          <w:lang w:val="en-GB"/>
        </w:rPr>
        <w:t>he Committee recommends a step-wise approach</w:t>
      </w:r>
      <w:r w:rsidR="00AB5C0B" w:rsidRPr="0081794A">
        <w:rPr>
          <w:lang w:val="en-GB"/>
        </w:rPr>
        <w:t xml:space="preserve"> to </w:t>
      </w:r>
      <w:r w:rsidR="006764C4" w:rsidRPr="0081794A">
        <w:rPr>
          <w:lang w:val="en-GB"/>
        </w:rPr>
        <w:t xml:space="preserve">establishing </w:t>
      </w:r>
      <w:r w:rsidR="00CD63AF" w:rsidRPr="0081794A">
        <w:rPr>
          <w:lang w:val="en-GB"/>
        </w:rPr>
        <w:t xml:space="preserve">a </w:t>
      </w:r>
      <w:r w:rsidR="00FC2F6F">
        <w:rPr>
          <w:lang w:val="en-GB"/>
        </w:rPr>
        <w:t xml:space="preserve">national </w:t>
      </w:r>
      <w:r w:rsidR="00CD63AF" w:rsidRPr="0081794A">
        <w:rPr>
          <w:lang w:val="en-GB"/>
        </w:rPr>
        <w:t>minimum data set</w:t>
      </w:r>
      <w:r>
        <w:rPr>
          <w:lang w:val="en-GB"/>
        </w:rPr>
        <w:t>, through</w:t>
      </w:r>
      <w:r w:rsidR="00FC2F6F">
        <w:rPr>
          <w:lang w:val="en-GB"/>
        </w:rPr>
        <w:t>:</w:t>
      </w:r>
    </w:p>
    <w:p w14:paraId="0A94B4C9" w14:textId="77777777" w:rsidR="00231AB8" w:rsidRPr="00607BDA" w:rsidRDefault="00FC2F6F" w:rsidP="000831A1">
      <w:pPr>
        <w:pStyle w:val="Bullet2"/>
        <w:numPr>
          <w:ilvl w:val="0"/>
          <w:numId w:val="46"/>
        </w:numPr>
        <w:rPr>
          <w:lang w:val="en-GB"/>
        </w:rPr>
      </w:pPr>
      <w:bookmarkStart w:id="199" w:name="_Hlk524447058"/>
      <w:r>
        <w:rPr>
          <w:lang w:val="en-GB"/>
        </w:rPr>
        <w:t>C</w:t>
      </w:r>
      <w:r w:rsidR="009B2481" w:rsidRPr="00607BDA">
        <w:rPr>
          <w:lang w:val="en-GB"/>
        </w:rPr>
        <w:t>reat</w:t>
      </w:r>
      <w:r w:rsidR="0081794A">
        <w:rPr>
          <w:lang w:val="en-GB"/>
        </w:rPr>
        <w:t>ing</w:t>
      </w:r>
      <w:r w:rsidR="009B2481" w:rsidRPr="00607BDA">
        <w:rPr>
          <w:lang w:val="en-GB"/>
        </w:rPr>
        <w:t xml:space="preserve"> l</w:t>
      </w:r>
      <w:r w:rsidR="00231AB8" w:rsidRPr="00607BDA">
        <w:rPr>
          <w:lang w:val="en-GB"/>
        </w:rPr>
        <w:t xml:space="preserve">inkages with the Australian Commission on Safety and Quality </w:t>
      </w:r>
      <w:r w:rsidR="009A75C9" w:rsidRPr="00607BDA">
        <w:rPr>
          <w:lang w:val="en-GB"/>
        </w:rPr>
        <w:t xml:space="preserve">in </w:t>
      </w:r>
      <w:r w:rsidR="00640F5D" w:rsidRPr="00607BDA">
        <w:rPr>
          <w:lang w:val="en-GB"/>
        </w:rPr>
        <w:t>Health C</w:t>
      </w:r>
      <w:r w:rsidR="00231AB8" w:rsidRPr="00607BDA">
        <w:rPr>
          <w:lang w:val="en-GB"/>
        </w:rPr>
        <w:t xml:space="preserve">are </w:t>
      </w:r>
      <w:r w:rsidR="009B2481" w:rsidRPr="00607BDA">
        <w:rPr>
          <w:lang w:val="en-GB"/>
        </w:rPr>
        <w:t xml:space="preserve">to </w:t>
      </w:r>
      <w:r w:rsidR="00231AB8" w:rsidRPr="00607BDA">
        <w:rPr>
          <w:lang w:val="en-GB"/>
        </w:rPr>
        <w:t>support a data</w:t>
      </w:r>
      <w:r w:rsidR="00957037" w:rsidRPr="00607BDA">
        <w:rPr>
          <w:lang w:val="en-GB"/>
        </w:rPr>
        <w:t>-</w:t>
      </w:r>
      <w:r w:rsidR="00231AB8" w:rsidRPr="00607BDA">
        <w:rPr>
          <w:lang w:val="en-GB"/>
        </w:rPr>
        <w:t xml:space="preserve">driven picture of variation in clinical practice nationally. </w:t>
      </w:r>
    </w:p>
    <w:bookmarkEnd w:id="199"/>
    <w:p w14:paraId="05E83A18" w14:textId="77777777" w:rsidR="007A18BD" w:rsidRPr="00607BDA" w:rsidRDefault="00FC2F6F" w:rsidP="000831A1">
      <w:pPr>
        <w:pStyle w:val="Bullet2"/>
        <w:numPr>
          <w:ilvl w:val="0"/>
          <w:numId w:val="46"/>
        </w:numPr>
        <w:rPr>
          <w:lang w:val="en-GB"/>
        </w:rPr>
      </w:pPr>
      <w:r>
        <w:rPr>
          <w:lang w:val="en-GB"/>
        </w:rPr>
        <w:t>E</w:t>
      </w:r>
      <w:r w:rsidR="009B2481" w:rsidRPr="00607BDA">
        <w:rPr>
          <w:lang w:val="en-GB"/>
        </w:rPr>
        <w:t>stablish</w:t>
      </w:r>
      <w:r w:rsidR="0081794A">
        <w:rPr>
          <w:lang w:val="en-GB"/>
        </w:rPr>
        <w:t>ing</w:t>
      </w:r>
      <w:r w:rsidR="009B2481" w:rsidRPr="00607BDA">
        <w:rPr>
          <w:lang w:val="en-GB"/>
        </w:rPr>
        <w:t xml:space="preserve"> a</w:t>
      </w:r>
      <w:r w:rsidR="00892FAD" w:rsidRPr="00607BDA">
        <w:rPr>
          <w:lang w:val="en-GB"/>
        </w:rPr>
        <w:t xml:space="preserve"> </w:t>
      </w:r>
      <w:r>
        <w:rPr>
          <w:lang w:val="en-GB"/>
        </w:rPr>
        <w:t xml:space="preserve">national </w:t>
      </w:r>
      <w:r w:rsidR="00892FAD" w:rsidRPr="00607BDA">
        <w:rPr>
          <w:lang w:val="en-GB"/>
        </w:rPr>
        <w:t>minimum data set</w:t>
      </w:r>
      <w:r w:rsidR="00CE6373" w:rsidRPr="00607BDA">
        <w:rPr>
          <w:lang w:val="en-GB"/>
        </w:rPr>
        <w:t xml:space="preserve"> </w:t>
      </w:r>
      <w:r w:rsidR="00892FAD" w:rsidRPr="00607BDA">
        <w:rPr>
          <w:lang w:val="en-GB"/>
        </w:rPr>
        <w:t>to record</w:t>
      </w:r>
      <w:r w:rsidR="00FB4475" w:rsidRPr="00607BDA">
        <w:rPr>
          <w:lang w:val="en-GB"/>
        </w:rPr>
        <w:t xml:space="preserve"> outcome and process data </w:t>
      </w:r>
      <w:r w:rsidR="008B7DF7" w:rsidRPr="00607BDA">
        <w:rPr>
          <w:lang w:val="en-GB"/>
        </w:rPr>
        <w:t xml:space="preserve">on topics </w:t>
      </w:r>
      <w:r w:rsidR="00640F5D" w:rsidRPr="00607BDA">
        <w:rPr>
          <w:lang w:val="en-GB"/>
        </w:rPr>
        <w:t xml:space="preserve">such as mortality, morbidity, </w:t>
      </w:r>
      <w:r w:rsidR="00FB4475" w:rsidRPr="00607BDA">
        <w:rPr>
          <w:lang w:val="en-GB"/>
        </w:rPr>
        <w:t>readmissions</w:t>
      </w:r>
      <w:r w:rsidR="00640F5D" w:rsidRPr="00607BDA">
        <w:rPr>
          <w:lang w:val="en-GB"/>
        </w:rPr>
        <w:t xml:space="preserve">, </w:t>
      </w:r>
      <w:r w:rsidR="003E5720">
        <w:rPr>
          <w:lang w:val="en-GB"/>
        </w:rPr>
        <w:t xml:space="preserve">quality measures of consultations </w:t>
      </w:r>
      <w:r w:rsidR="00640F5D" w:rsidRPr="00607BDA">
        <w:rPr>
          <w:lang w:val="en-GB"/>
        </w:rPr>
        <w:t>and patient-reported outcomes</w:t>
      </w:r>
      <w:r w:rsidR="00FB4475" w:rsidRPr="00607BDA">
        <w:rPr>
          <w:lang w:val="en-GB"/>
        </w:rPr>
        <w:t xml:space="preserve">. It is recommended </w:t>
      </w:r>
      <w:r w:rsidR="00E74930" w:rsidRPr="00607BDA">
        <w:rPr>
          <w:lang w:val="en-GB"/>
        </w:rPr>
        <w:t>the</w:t>
      </w:r>
      <w:r w:rsidR="00FB4475" w:rsidRPr="00607BDA">
        <w:rPr>
          <w:lang w:val="en-GB"/>
        </w:rPr>
        <w:t xml:space="preserve"> data be used </w:t>
      </w:r>
      <w:r w:rsidR="007A18BD" w:rsidRPr="00607BDA">
        <w:rPr>
          <w:lang w:val="en-GB"/>
        </w:rPr>
        <w:t>to:</w:t>
      </w:r>
      <w:r w:rsidR="00FB4475" w:rsidRPr="00607BDA">
        <w:rPr>
          <w:lang w:val="en-GB"/>
        </w:rPr>
        <w:t xml:space="preserve"> </w:t>
      </w:r>
    </w:p>
    <w:p w14:paraId="3909719A" w14:textId="77777777" w:rsidR="006E00E1" w:rsidRDefault="006D683C" w:rsidP="000831A1">
      <w:pPr>
        <w:pStyle w:val="BulletStyle3"/>
        <w:numPr>
          <w:ilvl w:val="0"/>
          <w:numId w:val="52"/>
        </w:numPr>
      </w:pPr>
      <w:r>
        <w:t>b</w:t>
      </w:r>
      <w:r w:rsidR="00640F5D">
        <w:t>enchmark</w:t>
      </w:r>
      <w:r w:rsidR="00FB4475" w:rsidRPr="00C33C0B">
        <w:t xml:space="preserve"> </w:t>
      </w:r>
      <w:r w:rsidR="007A18BD">
        <w:t xml:space="preserve">internally </w:t>
      </w:r>
      <w:r w:rsidR="00D71486">
        <w:t xml:space="preserve">and </w:t>
      </w:r>
      <w:r w:rsidR="00FB4475" w:rsidRPr="00C33C0B">
        <w:t>with peers (</w:t>
      </w:r>
      <w:r w:rsidR="008205CC">
        <w:t xml:space="preserve">determined by </w:t>
      </w:r>
      <w:r w:rsidR="003D72E0" w:rsidRPr="00C33C0B">
        <w:t xml:space="preserve">the professional group) </w:t>
      </w:r>
      <w:r>
        <w:t>to drive quality improvement; and</w:t>
      </w:r>
    </w:p>
    <w:p w14:paraId="3A57F457" w14:textId="77777777" w:rsidR="007A18BD" w:rsidRDefault="006D683C" w:rsidP="000831A1">
      <w:pPr>
        <w:pStyle w:val="BulletStyle3"/>
        <w:numPr>
          <w:ilvl w:val="0"/>
          <w:numId w:val="52"/>
        </w:numPr>
      </w:pPr>
      <w:r>
        <w:t>i</w:t>
      </w:r>
      <w:r w:rsidR="007A18BD">
        <w:t xml:space="preserve">nform patient choice of institution and consultant specialist (see further </w:t>
      </w:r>
      <w:r w:rsidR="00DA1590">
        <w:t>information in Recommendation 1</w:t>
      </w:r>
      <w:r w:rsidR="003E5720">
        <w:t>5</w:t>
      </w:r>
      <w:r w:rsidR="007A18BD">
        <w:t>).</w:t>
      </w:r>
    </w:p>
    <w:p w14:paraId="5B458DD0" w14:textId="77777777" w:rsidR="00D16149" w:rsidRPr="00607BDA" w:rsidRDefault="00FC2F6F" w:rsidP="000831A1">
      <w:pPr>
        <w:pStyle w:val="Bullet2"/>
        <w:numPr>
          <w:ilvl w:val="0"/>
          <w:numId w:val="46"/>
        </w:numPr>
        <w:rPr>
          <w:lang w:val="en-GB"/>
        </w:rPr>
      </w:pPr>
      <w:r>
        <w:rPr>
          <w:lang w:val="en-GB"/>
        </w:rPr>
        <w:t>E</w:t>
      </w:r>
      <w:r w:rsidR="005D451B" w:rsidRPr="00607BDA">
        <w:rPr>
          <w:lang w:val="en-GB"/>
        </w:rPr>
        <w:t>nsur</w:t>
      </w:r>
      <w:r w:rsidR="0081794A">
        <w:rPr>
          <w:lang w:val="en-GB"/>
        </w:rPr>
        <w:t>ing</w:t>
      </w:r>
      <w:r w:rsidR="005D451B" w:rsidRPr="00607BDA">
        <w:rPr>
          <w:lang w:val="en-GB"/>
        </w:rPr>
        <w:t xml:space="preserve"> </w:t>
      </w:r>
      <w:r w:rsidR="00D16149" w:rsidRPr="00607BDA">
        <w:rPr>
          <w:lang w:val="en-GB"/>
        </w:rPr>
        <w:t xml:space="preserve">complete integrity </w:t>
      </w:r>
      <w:r w:rsidR="00640F5D" w:rsidRPr="00607BDA">
        <w:rPr>
          <w:lang w:val="en-GB"/>
        </w:rPr>
        <w:t>in</w:t>
      </w:r>
      <w:r w:rsidR="00D16149" w:rsidRPr="00607BDA">
        <w:rPr>
          <w:lang w:val="en-GB"/>
        </w:rPr>
        <w:t xml:space="preserve"> the accuracy of the data</w:t>
      </w:r>
      <w:r w:rsidR="004A386F" w:rsidRPr="00607BDA">
        <w:rPr>
          <w:lang w:val="en-GB"/>
        </w:rPr>
        <w:t xml:space="preserve">, </w:t>
      </w:r>
      <w:r w:rsidR="009E09EC" w:rsidRPr="00607BDA">
        <w:rPr>
          <w:lang w:val="en-GB"/>
        </w:rPr>
        <w:t xml:space="preserve">the rigour of its analysis, </w:t>
      </w:r>
      <w:r w:rsidR="004A386F" w:rsidRPr="00607BDA">
        <w:rPr>
          <w:lang w:val="en-GB"/>
        </w:rPr>
        <w:t>and its appropriate risk-weighting</w:t>
      </w:r>
      <w:r w:rsidR="005D78F0" w:rsidRPr="00607BDA">
        <w:rPr>
          <w:lang w:val="en-GB"/>
        </w:rPr>
        <w:t xml:space="preserve"> before being used for the purposes of comparison</w:t>
      </w:r>
      <w:r w:rsidR="004A386F" w:rsidRPr="00607BDA">
        <w:rPr>
          <w:lang w:val="en-GB"/>
        </w:rPr>
        <w:t>. This include</w:t>
      </w:r>
      <w:r w:rsidR="00F51D45" w:rsidRPr="00607BDA">
        <w:rPr>
          <w:lang w:val="en-GB"/>
        </w:rPr>
        <w:t>s</w:t>
      </w:r>
      <w:r w:rsidR="009E09EC" w:rsidRPr="00607BDA">
        <w:rPr>
          <w:lang w:val="en-GB"/>
        </w:rPr>
        <w:t xml:space="preserve">, but </w:t>
      </w:r>
      <w:r w:rsidR="00F51D45" w:rsidRPr="00607BDA">
        <w:rPr>
          <w:lang w:val="en-GB"/>
        </w:rPr>
        <w:t>should not be</w:t>
      </w:r>
      <w:r w:rsidR="004A386F" w:rsidRPr="00607BDA">
        <w:rPr>
          <w:lang w:val="en-GB"/>
        </w:rPr>
        <w:t xml:space="preserve"> </w:t>
      </w:r>
      <w:r w:rsidR="009E09EC" w:rsidRPr="00607BDA">
        <w:rPr>
          <w:lang w:val="en-GB"/>
        </w:rPr>
        <w:t>limited to, addressing the following challenges:</w:t>
      </w:r>
    </w:p>
    <w:p w14:paraId="165E4719" w14:textId="77777777" w:rsidR="009E09EC" w:rsidRDefault="006D683C" w:rsidP="000831A1">
      <w:pPr>
        <w:pStyle w:val="BulletStyle3"/>
        <w:numPr>
          <w:ilvl w:val="0"/>
          <w:numId w:val="53"/>
        </w:numPr>
      </w:pPr>
      <w:r>
        <w:t>n</w:t>
      </w:r>
      <w:r w:rsidR="009E09EC">
        <w:t>ewly qualified consultant specialists</w:t>
      </w:r>
      <w:r w:rsidR="00FC2F6F">
        <w:t>;</w:t>
      </w:r>
    </w:p>
    <w:p w14:paraId="39DA3817" w14:textId="77777777" w:rsidR="009E09EC" w:rsidRDefault="006D683C" w:rsidP="000831A1">
      <w:pPr>
        <w:pStyle w:val="BulletStyle3"/>
        <w:numPr>
          <w:ilvl w:val="0"/>
          <w:numId w:val="53"/>
        </w:numPr>
      </w:pPr>
      <w:r>
        <w:t>c</w:t>
      </w:r>
      <w:r w:rsidR="009E09EC">
        <w:t xml:space="preserve">onsultant specialists returning from a long </w:t>
      </w:r>
      <w:r w:rsidR="004A386F">
        <w:t>leave of absence</w:t>
      </w:r>
      <w:r w:rsidR="00FC2F6F">
        <w:t>;</w:t>
      </w:r>
    </w:p>
    <w:p w14:paraId="03A69211" w14:textId="77777777" w:rsidR="007C4CF3" w:rsidRPr="00C33C0B" w:rsidRDefault="006D683C" w:rsidP="000831A1">
      <w:pPr>
        <w:pStyle w:val="BulletStyle3"/>
        <w:numPr>
          <w:ilvl w:val="0"/>
          <w:numId w:val="53"/>
        </w:numPr>
      </w:pPr>
      <w:r>
        <w:t>t</w:t>
      </w:r>
      <w:r w:rsidR="007C4CF3">
        <w:t>he effect of a complication where the incidence of that complication is extremely low</w:t>
      </w:r>
      <w:r w:rsidR="00FC2F6F">
        <w:t>;</w:t>
      </w:r>
    </w:p>
    <w:p w14:paraId="283E4322" w14:textId="77777777" w:rsidR="00F51D45" w:rsidRDefault="006D683C" w:rsidP="000831A1">
      <w:pPr>
        <w:pStyle w:val="BulletStyle3"/>
        <w:numPr>
          <w:ilvl w:val="0"/>
          <w:numId w:val="53"/>
        </w:numPr>
      </w:pPr>
      <w:r>
        <w:t>c</w:t>
      </w:r>
      <w:r w:rsidR="00F51D45">
        <w:t xml:space="preserve">onsultant specialists who </w:t>
      </w:r>
      <w:r w:rsidR="00506B5B">
        <w:t>treat low volume disease of high complexity</w:t>
      </w:r>
      <w:r w:rsidR="00FC2F6F">
        <w:t>;</w:t>
      </w:r>
    </w:p>
    <w:p w14:paraId="77A24897" w14:textId="77777777" w:rsidR="004A386F" w:rsidRDefault="006D683C" w:rsidP="000831A1">
      <w:pPr>
        <w:pStyle w:val="BulletStyle3"/>
        <w:numPr>
          <w:ilvl w:val="0"/>
          <w:numId w:val="53"/>
        </w:numPr>
      </w:pPr>
      <w:r>
        <w:t>t</w:t>
      </w:r>
      <w:r w:rsidR="004A386F">
        <w:t>he introduction of new technologies for a service</w:t>
      </w:r>
      <w:r w:rsidR="00FC2F6F">
        <w:t>;</w:t>
      </w:r>
    </w:p>
    <w:p w14:paraId="27C7AF82" w14:textId="77777777" w:rsidR="004A386F" w:rsidRDefault="006D683C" w:rsidP="000831A1">
      <w:pPr>
        <w:pStyle w:val="BulletStyle3"/>
        <w:numPr>
          <w:ilvl w:val="0"/>
          <w:numId w:val="53"/>
        </w:numPr>
      </w:pPr>
      <w:r>
        <w:t>t</w:t>
      </w:r>
      <w:r w:rsidR="004A386F">
        <w:t xml:space="preserve">he opening of </w:t>
      </w:r>
      <w:r w:rsidR="007C4CF3">
        <w:t xml:space="preserve">new units (e.g., new </w:t>
      </w:r>
      <w:r w:rsidR="00BF60D2">
        <w:t>hospital developments</w:t>
      </w:r>
      <w:r w:rsidR="007C4CF3">
        <w:t>)</w:t>
      </w:r>
      <w:r w:rsidR="00FC2F6F">
        <w:t>;</w:t>
      </w:r>
    </w:p>
    <w:p w14:paraId="32A4E25F" w14:textId="77777777" w:rsidR="00F51D45" w:rsidRDefault="006D683C" w:rsidP="000831A1">
      <w:pPr>
        <w:pStyle w:val="BulletStyle3"/>
        <w:numPr>
          <w:ilvl w:val="0"/>
          <w:numId w:val="53"/>
        </w:numPr>
      </w:pPr>
      <w:r>
        <w:t>consultant s</w:t>
      </w:r>
      <w:r w:rsidR="00F51D45" w:rsidRPr="007C4CF3">
        <w:t>pecialists whose referral base provides high risk patients</w:t>
      </w:r>
      <w:r w:rsidR="00FC2F6F">
        <w:t xml:space="preserve">; </w:t>
      </w:r>
      <w:r w:rsidR="00F002A1">
        <w:t>and</w:t>
      </w:r>
    </w:p>
    <w:p w14:paraId="7A8D2FAC" w14:textId="77777777" w:rsidR="007C4CF3" w:rsidRDefault="006D683C" w:rsidP="000831A1">
      <w:pPr>
        <w:pStyle w:val="BulletStyle3"/>
        <w:numPr>
          <w:ilvl w:val="0"/>
          <w:numId w:val="53"/>
        </w:numPr>
      </w:pPr>
      <w:r>
        <w:t>c</w:t>
      </w:r>
      <w:r w:rsidR="007C4CF3">
        <w:t>omplication “clusters”</w:t>
      </w:r>
      <w:r w:rsidR="00FC2F6F">
        <w:t>.</w:t>
      </w:r>
    </w:p>
    <w:p w14:paraId="156ADF89" w14:textId="77777777" w:rsidR="00FB4475" w:rsidRPr="00607BDA" w:rsidRDefault="00FC2F6F" w:rsidP="000831A1">
      <w:pPr>
        <w:pStyle w:val="Bullet2"/>
        <w:numPr>
          <w:ilvl w:val="0"/>
          <w:numId w:val="46"/>
        </w:numPr>
        <w:rPr>
          <w:lang w:val="en-GB"/>
        </w:rPr>
      </w:pPr>
      <w:r>
        <w:rPr>
          <w:lang w:val="en-GB"/>
        </w:rPr>
        <w:t>P</w:t>
      </w:r>
      <w:r w:rsidR="002F16A9" w:rsidRPr="00607BDA">
        <w:rPr>
          <w:lang w:val="en-GB"/>
        </w:rPr>
        <w:t>rogress</w:t>
      </w:r>
      <w:r w:rsidR="0081794A">
        <w:rPr>
          <w:lang w:val="en-GB"/>
        </w:rPr>
        <w:t>ing</w:t>
      </w:r>
      <w:r w:rsidR="00384070" w:rsidRPr="00607BDA">
        <w:rPr>
          <w:lang w:val="en-GB"/>
        </w:rPr>
        <w:t xml:space="preserve"> </w:t>
      </w:r>
      <w:r w:rsidR="009B2481" w:rsidRPr="00607BDA">
        <w:rPr>
          <w:lang w:val="en-GB"/>
        </w:rPr>
        <w:t>the</w:t>
      </w:r>
      <w:r w:rsidR="00FB4475" w:rsidRPr="00607BDA">
        <w:rPr>
          <w:lang w:val="en-GB"/>
        </w:rPr>
        <w:t xml:space="preserve"> minimum data set </w:t>
      </w:r>
      <w:r w:rsidR="0057592C" w:rsidRPr="00607BDA">
        <w:rPr>
          <w:lang w:val="en-GB"/>
        </w:rPr>
        <w:t>in</w:t>
      </w:r>
      <w:r w:rsidR="00FB4475" w:rsidRPr="00607BDA">
        <w:rPr>
          <w:lang w:val="en-GB"/>
        </w:rPr>
        <w:t xml:space="preserve">to a comprehensive data set, populated by data available from private health insurers and </w:t>
      </w:r>
      <w:r w:rsidR="00B01385" w:rsidRPr="00607BDA">
        <w:rPr>
          <w:lang w:val="en-GB"/>
        </w:rPr>
        <w:t>st</w:t>
      </w:r>
      <w:r w:rsidR="00616D90" w:rsidRPr="00607BDA">
        <w:rPr>
          <w:lang w:val="en-GB"/>
        </w:rPr>
        <w:t>ate public health systems</w:t>
      </w:r>
      <w:r w:rsidR="006D683C">
        <w:rPr>
          <w:lang w:val="en-GB"/>
        </w:rPr>
        <w:t>.</w:t>
      </w:r>
    </w:p>
    <w:p w14:paraId="400E3C99" w14:textId="77777777" w:rsidR="00FB4475" w:rsidRPr="00607BDA" w:rsidRDefault="00FC2F6F" w:rsidP="000831A1">
      <w:pPr>
        <w:pStyle w:val="Bullet2"/>
        <w:numPr>
          <w:ilvl w:val="0"/>
          <w:numId w:val="46"/>
        </w:numPr>
        <w:rPr>
          <w:lang w:val="en-GB"/>
        </w:rPr>
      </w:pPr>
      <w:r>
        <w:rPr>
          <w:lang w:val="en-GB"/>
        </w:rPr>
        <w:t>U</w:t>
      </w:r>
      <w:r w:rsidR="0098330A" w:rsidRPr="00607BDA">
        <w:rPr>
          <w:lang w:val="en-GB"/>
        </w:rPr>
        <w:t>s</w:t>
      </w:r>
      <w:r w:rsidR="0081794A">
        <w:rPr>
          <w:lang w:val="en-GB"/>
        </w:rPr>
        <w:t>ing</w:t>
      </w:r>
      <w:r w:rsidR="0098330A" w:rsidRPr="00607BDA">
        <w:rPr>
          <w:lang w:val="en-GB"/>
        </w:rPr>
        <w:t xml:space="preserve"> t</w:t>
      </w:r>
      <w:r w:rsidR="00FB4475" w:rsidRPr="00607BDA">
        <w:rPr>
          <w:lang w:val="en-GB"/>
        </w:rPr>
        <w:t xml:space="preserve">he collection of homogenous data </w:t>
      </w:r>
      <w:r w:rsidR="0098330A" w:rsidRPr="00607BDA">
        <w:rPr>
          <w:lang w:val="en-GB"/>
        </w:rPr>
        <w:t>to</w:t>
      </w:r>
      <w:r w:rsidR="00FB4475" w:rsidRPr="00607BDA">
        <w:rPr>
          <w:lang w:val="en-GB"/>
        </w:rPr>
        <w:t xml:space="preserve"> inform </w:t>
      </w:r>
      <w:r w:rsidR="00F002A1">
        <w:rPr>
          <w:lang w:val="en-GB"/>
        </w:rPr>
        <w:t>c</w:t>
      </w:r>
      <w:r w:rsidR="00FB4475" w:rsidRPr="00607BDA">
        <w:rPr>
          <w:lang w:val="en-GB"/>
        </w:rPr>
        <w:t xml:space="preserve">olleges and peak bodies of trends in </w:t>
      </w:r>
      <w:r w:rsidR="007D7C98" w:rsidRPr="00607BDA">
        <w:rPr>
          <w:lang w:val="en-GB"/>
        </w:rPr>
        <w:t xml:space="preserve">clinical </w:t>
      </w:r>
      <w:r w:rsidR="00FB4475" w:rsidRPr="00607BDA">
        <w:rPr>
          <w:lang w:val="en-GB"/>
        </w:rPr>
        <w:t>practice s</w:t>
      </w:r>
      <w:r w:rsidR="007D7C98" w:rsidRPr="00607BDA">
        <w:rPr>
          <w:lang w:val="en-GB"/>
        </w:rPr>
        <w:t xml:space="preserve">o that </w:t>
      </w:r>
      <w:r w:rsidR="00085979">
        <w:rPr>
          <w:lang w:val="en-GB"/>
        </w:rPr>
        <w:t xml:space="preserve">continuing professional </w:t>
      </w:r>
      <w:r w:rsidR="00BA29AE">
        <w:rPr>
          <w:lang w:val="en-GB"/>
        </w:rPr>
        <w:t>development (</w:t>
      </w:r>
      <w:r w:rsidR="00FB4475" w:rsidRPr="00607BDA">
        <w:rPr>
          <w:lang w:val="en-GB"/>
        </w:rPr>
        <w:t>CPD</w:t>
      </w:r>
      <w:r w:rsidR="00093B03">
        <w:rPr>
          <w:lang w:val="en-GB"/>
        </w:rPr>
        <w:t>)</w:t>
      </w:r>
      <w:r w:rsidR="00FB4475" w:rsidRPr="00607BDA">
        <w:rPr>
          <w:lang w:val="en-GB"/>
        </w:rPr>
        <w:t xml:space="preserve"> and other improvement levers can be more targeted</w:t>
      </w:r>
      <w:r w:rsidR="003A5BF4" w:rsidRPr="00607BDA">
        <w:rPr>
          <w:lang w:val="en-GB"/>
        </w:rPr>
        <w:t>.</w:t>
      </w:r>
    </w:p>
    <w:p w14:paraId="7D378B66" w14:textId="77777777" w:rsidR="00231AB8" w:rsidRPr="00607BDA" w:rsidRDefault="0098330A" w:rsidP="000831A1">
      <w:pPr>
        <w:pStyle w:val="Bullet2"/>
        <w:numPr>
          <w:ilvl w:val="0"/>
          <w:numId w:val="46"/>
        </w:numPr>
        <w:rPr>
          <w:lang w:val="en-GB"/>
        </w:rPr>
      </w:pPr>
      <w:r w:rsidRPr="00607BDA">
        <w:rPr>
          <w:lang w:val="en-GB"/>
        </w:rPr>
        <w:t>S</w:t>
      </w:r>
      <w:r w:rsidR="00FB4475" w:rsidRPr="00607BDA">
        <w:rPr>
          <w:lang w:val="en-GB"/>
        </w:rPr>
        <w:t xml:space="preserve">upport clinical audits as a mandatory part of CPD and </w:t>
      </w:r>
      <w:r w:rsidR="00425360" w:rsidRPr="00607BDA">
        <w:rPr>
          <w:lang w:val="en-GB"/>
        </w:rPr>
        <w:t>required attendance of</w:t>
      </w:r>
      <w:r w:rsidR="00FB4475" w:rsidRPr="00607BDA">
        <w:rPr>
          <w:lang w:val="en-GB"/>
        </w:rPr>
        <w:t xml:space="preserve"> 80</w:t>
      </w:r>
      <w:r w:rsidR="00097CE7" w:rsidRPr="00607BDA">
        <w:rPr>
          <w:lang w:val="en-GB"/>
        </w:rPr>
        <w:t xml:space="preserve"> per cent</w:t>
      </w:r>
      <w:r w:rsidR="00FB4475" w:rsidRPr="00607BDA">
        <w:rPr>
          <w:lang w:val="en-GB"/>
        </w:rPr>
        <w:t xml:space="preserve"> </w:t>
      </w:r>
      <w:r w:rsidR="00936769" w:rsidRPr="00607BDA">
        <w:rPr>
          <w:lang w:val="en-GB"/>
        </w:rPr>
        <w:t xml:space="preserve">of </w:t>
      </w:r>
      <w:r w:rsidR="00FB4475" w:rsidRPr="00607BDA">
        <w:rPr>
          <w:lang w:val="en-GB"/>
        </w:rPr>
        <w:t>mo</w:t>
      </w:r>
      <w:r w:rsidR="007D7C98" w:rsidRPr="00607BDA">
        <w:rPr>
          <w:lang w:val="en-GB"/>
        </w:rPr>
        <w:t>rtality and morbidity meetings</w:t>
      </w:r>
      <w:r w:rsidR="000B234F" w:rsidRPr="00607BDA">
        <w:rPr>
          <w:lang w:val="en-GB"/>
        </w:rPr>
        <w:t>.</w:t>
      </w:r>
    </w:p>
    <w:p w14:paraId="56EBD5BE" w14:textId="77777777" w:rsidR="00231AB8" w:rsidRPr="00C33C0B" w:rsidRDefault="00684874" w:rsidP="0046317E">
      <w:pPr>
        <w:pStyle w:val="Heading2"/>
      </w:pPr>
      <w:bookmarkStart w:id="200" w:name="_Toc67952245"/>
      <w:bookmarkEnd w:id="198"/>
      <w:r w:rsidRPr="00C33C0B">
        <w:t>Rationale</w:t>
      </w:r>
      <w:r w:rsidR="0075296D">
        <w:t xml:space="preserve"> </w:t>
      </w:r>
      <w:r w:rsidR="00DA1590">
        <w:t>1</w:t>
      </w:r>
      <w:r w:rsidR="003E5720">
        <w:t>4</w:t>
      </w:r>
      <w:bookmarkEnd w:id="200"/>
    </w:p>
    <w:p w14:paraId="3073C672" w14:textId="77777777" w:rsidR="00231AB8" w:rsidRPr="00F30EE1" w:rsidRDefault="00FE796F" w:rsidP="00F30EE1">
      <w:r w:rsidRPr="00F30EE1">
        <w:rPr>
          <w:rFonts w:eastAsiaTheme="minorHAnsi"/>
        </w:rPr>
        <w:t xml:space="preserve">This recommendation focuses on </w:t>
      </w:r>
      <w:r w:rsidR="00925650" w:rsidRPr="00F30EE1">
        <w:rPr>
          <w:rFonts w:eastAsiaTheme="minorHAnsi"/>
        </w:rPr>
        <w:t>establishing a consistent</w:t>
      </w:r>
      <w:r w:rsidR="00FC2F6F" w:rsidRPr="00F30EE1">
        <w:rPr>
          <w:rFonts w:eastAsiaTheme="minorHAnsi"/>
        </w:rPr>
        <w:t xml:space="preserve"> national</w:t>
      </w:r>
      <w:r w:rsidR="00925650" w:rsidRPr="00F30EE1">
        <w:rPr>
          <w:rFonts w:eastAsiaTheme="minorHAnsi"/>
        </w:rPr>
        <w:t xml:space="preserve"> minimum data set </w:t>
      </w:r>
      <w:r w:rsidR="006E7D62" w:rsidRPr="00F30EE1">
        <w:rPr>
          <w:rFonts w:eastAsiaTheme="minorHAnsi"/>
        </w:rPr>
        <w:t xml:space="preserve">for the purposes of comparison that will </w:t>
      </w:r>
      <w:r w:rsidR="00925650" w:rsidRPr="00F30EE1">
        <w:rPr>
          <w:rFonts w:eastAsiaTheme="minorHAnsi"/>
        </w:rPr>
        <w:t>inform evidence-based care</w:t>
      </w:r>
      <w:r w:rsidR="00892FAD" w:rsidRPr="00F30EE1">
        <w:rPr>
          <w:rFonts w:eastAsiaTheme="minorHAnsi"/>
        </w:rPr>
        <w:t xml:space="preserve"> and patient choice</w:t>
      </w:r>
      <w:r w:rsidR="006E7D62" w:rsidRPr="00F30EE1">
        <w:rPr>
          <w:rFonts w:eastAsiaTheme="minorHAnsi"/>
        </w:rPr>
        <w:t xml:space="preserve">. </w:t>
      </w:r>
      <w:r w:rsidRPr="00F30EE1">
        <w:rPr>
          <w:rFonts w:eastAsiaTheme="minorHAnsi"/>
        </w:rPr>
        <w:t>It is based on the following</w:t>
      </w:r>
      <w:r w:rsidR="00CB271F" w:rsidRPr="00F30EE1">
        <w:rPr>
          <w:rFonts w:eastAsiaTheme="minorHAnsi"/>
        </w:rPr>
        <w:t>:</w:t>
      </w:r>
    </w:p>
    <w:p w14:paraId="6490D6E2" w14:textId="77777777" w:rsidR="00A759F9" w:rsidRPr="00A759F9" w:rsidRDefault="00231AB8" w:rsidP="00231AB8">
      <w:pPr>
        <w:pStyle w:val="Bullet-green"/>
        <w:rPr>
          <w:lang w:val="en-GB"/>
        </w:rPr>
      </w:pPr>
      <w:r w:rsidRPr="00A759F9">
        <w:rPr>
          <w:lang w:val="en-GB"/>
        </w:rPr>
        <w:t>Clinical care sh</w:t>
      </w:r>
      <w:r w:rsidR="00957037" w:rsidRPr="00A759F9">
        <w:rPr>
          <w:lang w:val="en-GB"/>
        </w:rPr>
        <w:t>ould be evidence-based and data-</w:t>
      </w:r>
      <w:r w:rsidRPr="00A759F9">
        <w:rPr>
          <w:lang w:val="en-GB"/>
        </w:rPr>
        <w:t>driven</w:t>
      </w:r>
      <w:r w:rsidR="00F23A06" w:rsidRPr="00A759F9">
        <w:rPr>
          <w:lang w:val="en-GB"/>
        </w:rPr>
        <w:t xml:space="preserve">. </w:t>
      </w:r>
    </w:p>
    <w:p w14:paraId="23908348" w14:textId="77777777" w:rsidR="00231AB8" w:rsidRPr="00C33C0B" w:rsidRDefault="00F23A06" w:rsidP="005D78F0">
      <w:pPr>
        <w:pStyle w:val="Bullet-green"/>
      </w:pPr>
      <w:r>
        <w:t>The</w:t>
      </w:r>
      <w:r w:rsidR="00231AB8" w:rsidRPr="00C33C0B">
        <w:t xml:space="preserve"> provision of timely, relevant and reliable information on patient care to clinicians has been shown to </w:t>
      </w:r>
      <w:r w:rsidR="00957037" w:rsidRPr="00C33C0B">
        <w:t>support</w:t>
      </w:r>
      <w:r w:rsidR="00231AB8" w:rsidRPr="00C33C0B">
        <w:t xml:space="preserve"> improvements in health care quality</w:t>
      </w:r>
      <w:r w:rsidR="00CD0604">
        <w:t>.</w:t>
      </w:r>
    </w:p>
    <w:p w14:paraId="7A091933" w14:textId="77777777" w:rsidR="006E7D62" w:rsidRPr="00D851D7" w:rsidRDefault="006E7D62" w:rsidP="006E7D62">
      <w:pPr>
        <w:pStyle w:val="Bullet-green"/>
        <w:rPr>
          <w:lang w:val="en-GB"/>
        </w:rPr>
      </w:pPr>
      <w:r>
        <w:rPr>
          <w:lang w:val="en-GB"/>
        </w:rPr>
        <w:t xml:space="preserve">The Committee </w:t>
      </w:r>
      <w:r w:rsidR="00B348B6">
        <w:rPr>
          <w:lang w:val="en-GB"/>
        </w:rPr>
        <w:t>recognises</w:t>
      </w:r>
      <w:r>
        <w:rPr>
          <w:lang w:val="en-GB"/>
        </w:rPr>
        <w:t xml:space="preserve"> that the integrity of </w:t>
      </w:r>
      <w:r w:rsidR="00E74930">
        <w:rPr>
          <w:lang w:val="en-GB"/>
        </w:rPr>
        <w:t>the</w:t>
      </w:r>
      <w:r>
        <w:rPr>
          <w:lang w:val="en-GB"/>
        </w:rPr>
        <w:t xml:space="preserve"> data is crucial to this recommendation’s success</w:t>
      </w:r>
      <w:r w:rsidR="00894CB3">
        <w:rPr>
          <w:lang w:val="en-GB"/>
        </w:rPr>
        <w:t>, and its acceptance by the profession, individual clinicians, and consumers</w:t>
      </w:r>
      <w:r>
        <w:rPr>
          <w:lang w:val="en-GB"/>
        </w:rPr>
        <w:t xml:space="preserve">. </w:t>
      </w:r>
      <w:r w:rsidR="000648A0">
        <w:rPr>
          <w:lang w:val="en-GB"/>
        </w:rPr>
        <w:t xml:space="preserve">All challenges identified by clinicians should be addressed prior to using </w:t>
      </w:r>
      <w:r w:rsidR="00E74930">
        <w:rPr>
          <w:lang w:val="en-GB"/>
        </w:rPr>
        <w:t>the</w:t>
      </w:r>
      <w:r w:rsidR="000648A0">
        <w:rPr>
          <w:lang w:val="en-GB"/>
        </w:rPr>
        <w:t xml:space="preserve"> data for comparison purposes to minimise </w:t>
      </w:r>
      <w:r w:rsidR="001967A2">
        <w:rPr>
          <w:lang w:val="en-GB"/>
        </w:rPr>
        <w:t xml:space="preserve">the possibility of </w:t>
      </w:r>
      <w:r w:rsidR="000648A0">
        <w:rPr>
          <w:lang w:val="en-GB"/>
        </w:rPr>
        <w:t xml:space="preserve">the data set </w:t>
      </w:r>
      <w:r w:rsidR="001967A2">
        <w:rPr>
          <w:lang w:val="en-GB"/>
        </w:rPr>
        <w:t xml:space="preserve">being </w:t>
      </w:r>
      <w:r w:rsidR="000648A0">
        <w:rPr>
          <w:lang w:val="en-GB"/>
        </w:rPr>
        <w:t>discredited</w:t>
      </w:r>
      <w:r w:rsidR="001967A2">
        <w:rPr>
          <w:lang w:val="en-GB"/>
        </w:rPr>
        <w:t xml:space="preserve"> upon implementation</w:t>
      </w:r>
      <w:r w:rsidR="000648A0">
        <w:rPr>
          <w:lang w:val="en-GB"/>
        </w:rPr>
        <w:t>.</w:t>
      </w:r>
    </w:p>
    <w:p w14:paraId="4A18B4A2" w14:textId="77777777" w:rsidR="00C55B59" w:rsidRPr="00D851D7" w:rsidRDefault="00C55B59" w:rsidP="00C55B59">
      <w:pPr>
        <w:pStyle w:val="Bullet-green"/>
        <w:rPr>
          <w:lang w:val="en-GB"/>
        </w:rPr>
      </w:pPr>
      <w:r w:rsidRPr="00A759F9">
        <w:rPr>
          <w:lang w:val="en-GB"/>
        </w:rPr>
        <w:t>Many health</w:t>
      </w:r>
      <w:r w:rsidR="00581AB9" w:rsidRPr="00A759F9">
        <w:rPr>
          <w:lang w:val="en-GB"/>
        </w:rPr>
        <w:t xml:space="preserve"> </w:t>
      </w:r>
      <w:r w:rsidRPr="00A759F9">
        <w:rPr>
          <w:lang w:val="en-GB"/>
        </w:rPr>
        <w:t xml:space="preserve">care providers </w:t>
      </w:r>
      <w:r w:rsidR="00F77630" w:rsidRPr="00A759F9">
        <w:rPr>
          <w:lang w:val="en-GB"/>
        </w:rPr>
        <w:t>are not aware of</w:t>
      </w:r>
      <w:r w:rsidRPr="00A759F9">
        <w:rPr>
          <w:lang w:val="en-GB"/>
        </w:rPr>
        <w:t xml:space="preserve"> how their clinical practice compares to</w:t>
      </w:r>
      <w:r w:rsidR="0040407B">
        <w:rPr>
          <w:lang w:val="en-GB"/>
        </w:rPr>
        <w:t xml:space="preserve"> that of their</w:t>
      </w:r>
      <w:r w:rsidRPr="00A759F9">
        <w:rPr>
          <w:lang w:val="en-GB"/>
        </w:rPr>
        <w:t xml:space="preserve"> peers</w:t>
      </w:r>
      <w:r w:rsidR="00BF41FF" w:rsidRPr="00A759F9">
        <w:rPr>
          <w:lang w:val="en-GB"/>
        </w:rPr>
        <w:t>. U</w:t>
      </w:r>
      <w:r w:rsidRPr="00A759F9">
        <w:rPr>
          <w:lang w:val="en-GB"/>
        </w:rPr>
        <w:t>nderstanding variation in clinical practice is critical to improving</w:t>
      </w:r>
      <w:r w:rsidRPr="00D851D7">
        <w:rPr>
          <w:lang w:val="en-GB"/>
        </w:rPr>
        <w:t xml:space="preserve"> the quality, value and appropriateness of health</w:t>
      </w:r>
      <w:r w:rsidR="008B07A4" w:rsidRPr="00D851D7">
        <w:rPr>
          <w:lang w:val="en-GB"/>
        </w:rPr>
        <w:t xml:space="preserve"> </w:t>
      </w:r>
      <w:r w:rsidRPr="00D851D7">
        <w:rPr>
          <w:lang w:val="en-GB"/>
        </w:rPr>
        <w:t>care</w:t>
      </w:r>
      <w:r w:rsidR="008B07A4" w:rsidRPr="00D851D7">
        <w:rPr>
          <w:lang w:val="en-GB"/>
        </w:rPr>
        <w:t>.</w:t>
      </w:r>
    </w:p>
    <w:p w14:paraId="30D6957A" w14:textId="77777777" w:rsidR="00231AB8" w:rsidRPr="00D851D7" w:rsidRDefault="00231AB8" w:rsidP="00231AB8">
      <w:pPr>
        <w:pStyle w:val="Bullet-green"/>
        <w:rPr>
          <w:lang w:val="en-GB"/>
        </w:rPr>
      </w:pPr>
      <w:r w:rsidRPr="00D851D7">
        <w:rPr>
          <w:lang w:val="en-GB"/>
        </w:rPr>
        <w:t xml:space="preserve">Data </w:t>
      </w:r>
      <w:r w:rsidR="008A1AAC">
        <w:rPr>
          <w:lang w:val="en-GB"/>
        </w:rPr>
        <w:t>are</w:t>
      </w:r>
      <w:r w:rsidRPr="00D851D7">
        <w:rPr>
          <w:lang w:val="en-GB"/>
        </w:rPr>
        <w:t xml:space="preserve"> fundamental to audit</w:t>
      </w:r>
      <w:r w:rsidR="00C35F23" w:rsidRPr="00D851D7">
        <w:rPr>
          <w:lang w:val="en-GB"/>
        </w:rPr>
        <w:t>ing</w:t>
      </w:r>
      <w:r w:rsidRPr="00D851D7">
        <w:rPr>
          <w:lang w:val="en-GB"/>
        </w:rPr>
        <w:t>, benchmarking and monitoring</w:t>
      </w:r>
      <w:r w:rsidRPr="00A759F9">
        <w:rPr>
          <w:lang w:val="en-GB"/>
        </w:rPr>
        <w:t xml:space="preserve"> outcomes of care</w:t>
      </w:r>
      <w:r w:rsidR="00B43F7D" w:rsidRPr="00D851D7">
        <w:rPr>
          <w:lang w:val="en-GB"/>
        </w:rPr>
        <w:t>.</w:t>
      </w:r>
    </w:p>
    <w:p w14:paraId="33312F01" w14:textId="77777777" w:rsidR="00231AB8" w:rsidRDefault="00231AB8" w:rsidP="00231AB8">
      <w:pPr>
        <w:pStyle w:val="Bullet-green"/>
        <w:rPr>
          <w:lang w:val="en-GB"/>
        </w:rPr>
      </w:pPr>
      <w:r w:rsidRPr="00D851D7">
        <w:rPr>
          <w:lang w:val="en-GB"/>
        </w:rPr>
        <w:t>Audit</w:t>
      </w:r>
      <w:r w:rsidR="00B75632" w:rsidRPr="00D851D7">
        <w:rPr>
          <w:lang w:val="en-GB"/>
        </w:rPr>
        <w:t>ing</w:t>
      </w:r>
      <w:r w:rsidRPr="00D851D7">
        <w:rPr>
          <w:lang w:val="en-GB"/>
        </w:rPr>
        <w:t xml:space="preserve"> and benchmarking are important quality assurance and quality improvement tools </w:t>
      </w:r>
      <w:r w:rsidRPr="00A759F9">
        <w:rPr>
          <w:lang w:val="en-GB"/>
        </w:rPr>
        <w:t>that can lead to reflection, learning and change in practice</w:t>
      </w:r>
      <w:r w:rsidR="00FA01CD" w:rsidRPr="00D851D7">
        <w:rPr>
          <w:lang w:val="en-GB"/>
        </w:rPr>
        <w:t>.</w:t>
      </w:r>
      <w:r w:rsidRPr="00D851D7">
        <w:rPr>
          <w:lang w:val="en-GB"/>
        </w:rPr>
        <w:t xml:space="preserve"> </w:t>
      </w:r>
    </w:p>
    <w:p w14:paraId="00E5105C" w14:textId="77777777" w:rsidR="00FB4475" w:rsidRPr="00C33C0B" w:rsidRDefault="00FB4475" w:rsidP="0046317E">
      <w:pPr>
        <w:pStyle w:val="Heading2"/>
      </w:pPr>
      <w:bookmarkStart w:id="201" w:name="_Toc67952246"/>
      <w:bookmarkStart w:id="202" w:name="_Hlk529008716"/>
      <w:r w:rsidRPr="00C33C0B">
        <w:t xml:space="preserve">Recommendation </w:t>
      </w:r>
      <w:r w:rsidR="004A6F15">
        <w:t>1</w:t>
      </w:r>
      <w:r w:rsidR="003E5720">
        <w:t>5</w:t>
      </w:r>
      <w:r w:rsidR="007474AD">
        <w:t xml:space="preserve"> – Provide </w:t>
      </w:r>
      <w:r w:rsidR="007474AD">
        <w:rPr>
          <w:lang w:val="en-GB"/>
        </w:rPr>
        <w:t>transparency on the cost and quality of consultant specialist services</w:t>
      </w:r>
      <w:bookmarkEnd w:id="201"/>
    </w:p>
    <w:p w14:paraId="6EB14879" w14:textId="77777777" w:rsidR="00982319" w:rsidRPr="00C33C0B" w:rsidRDefault="00B233BE" w:rsidP="00607BDA">
      <w:pPr>
        <w:pStyle w:val="Bullet-green"/>
        <w:numPr>
          <w:ilvl w:val="0"/>
          <w:numId w:val="0"/>
        </w:numPr>
        <w:ind w:left="431" w:hanging="431"/>
        <w:rPr>
          <w:lang w:val="en-GB"/>
        </w:rPr>
      </w:pPr>
      <w:r>
        <w:rPr>
          <w:lang w:val="en-GB"/>
        </w:rPr>
        <w:t xml:space="preserve">The </w:t>
      </w:r>
      <w:r w:rsidR="00C8572C" w:rsidRPr="00C33C0B">
        <w:rPr>
          <w:lang w:val="en-GB"/>
        </w:rPr>
        <w:t>Committee recommends that</w:t>
      </w:r>
      <w:r w:rsidR="00982319" w:rsidRPr="00C33C0B">
        <w:rPr>
          <w:lang w:val="en-GB"/>
        </w:rPr>
        <w:t>:</w:t>
      </w:r>
    </w:p>
    <w:p w14:paraId="22364CDC" w14:textId="77777777" w:rsidR="00FB4475" w:rsidRPr="00607BDA" w:rsidRDefault="00B348B6" w:rsidP="000831A1">
      <w:pPr>
        <w:pStyle w:val="Bullet2"/>
        <w:numPr>
          <w:ilvl w:val="0"/>
          <w:numId w:val="50"/>
        </w:numPr>
        <w:rPr>
          <w:lang w:val="en-GB"/>
        </w:rPr>
      </w:pPr>
      <w:r w:rsidRPr="00607BDA">
        <w:rPr>
          <w:lang w:val="en-GB"/>
        </w:rPr>
        <w:t>MBS c</w:t>
      </w:r>
      <w:r w:rsidR="001967A2" w:rsidRPr="00607BDA">
        <w:rPr>
          <w:lang w:val="en-GB"/>
        </w:rPr>
        <w:t>ost</w:t>
      </w:r>
      <w:r w:rsidR="00FB4475" w:rsidRPr="00607BDA">
        <w:rPr>
          <w:lang w:val="en-GB"/>
        </w:rPr>
        <w:t xml:space="preserve"> data</w:t>
      </w:r>
      <w:r w:rsidR="007474AD">
        <w:rPr>
          <w:lang w:val="en-GB"/>
        </w:rPr>
        <w:t>,</w:t>
      </w:r>
      <w:r w:rsidR="00790BF8" w:rsidRPr="00607BDA">
        <w:rPr>
          <w:lang w:val="en-GB"/>
        </w:rPr>
        <w:t xml:space="preserve"> including data on out-of-pocket fees</w:t>
      </w:r>
      <w:r w:rsidR="007474AD">
        <w:rPr>
          <w:lang w:val="en-GB"/>
        </w:rPr>
        <w:t>,</w:t>
      </w:r>
      <w:r w:rsidR="00790BF8" w:rsidRPr="00607BDA">
        <w:rPr>
          <w:lang w:val="en-GB"/>
        </w:rPr>
        <w:t xml:space="preserve"> </w:t>
      </w:r>
      <w:r w:rsidR="00F71E4B" w:rsidRPr="00607BDA">
        <w:rPr>
          <w:lang w:val="en-GB"/>
        </w:rPr>
        <w:t xml:space="preserve">is </w:t>
      </w:r>
      <w:r w:rsidRPr="00607BDA">
        <w:rPr>
          <w:lang w:val="en-GB"/>
        </w:rPr>
        <w:t xml:space="preserve">shared </w:t>
      </w:r>
      <w:r w:rsidR="006C5141" w:rsidRPr="00607BDA">
        <w:rPr>
          <w:lang w:val="en-GB"/>
        </w:rPr>
        <w:t xml:space="preserve">at an institutional </w:t>
      </w:r>
      <w:r w:rsidR="004324A2">
        <w:rPr>
          <w:lang w:val="en-GB"/>
        </w:rPr>
        <w:t xml:space="preserve">and individual provider </w:t>
      </w:r>
      <w:r w:rsidR="001967A2" w:rsidRPr="00607BDA">
        <w:rPr>
          <w:lang w:val="en-GB"/>
        </w:rPr>
        <w:t>level</w:t>
      </w:r>
      <w:r w:rsidR="00FC2F6F">
        <w:rPr>
          <w:lang w:val="en-GB"/>
        </w:rPr>
        <w:t>;</w:t>
      </w:r>
      <w:r w:rsidR="001967A2" w:rsidRPr="00607BDA">
        <w:rPr>
          <w:lang w:val="en-GB"/>
        </w:rPr>
        <w:t xml:space="preserve"> </w:t>
      </w:r>
    </w:p>
    <w:p w14:paraId="182F5F87" w14:textId="77777777" w:rsidR="00EF3390" w:rsidRPr="00607BDA" w:rsidRDefault="00CA1122" w:rsidP="000831A1">
      <w:pPr>
        <w:pStyle w:val="Bullet2"/>
        <w:numPr>
          <w:ilvl w:val="0"/>
          <w:numId w:val="50"/>
        </w:numPr>
        <w:rPr>
          <w:lang w:val="en-GB"/>
        </w:rPr>
      </w:pPr>
      <w:r>
        <w:rPr>
          <w:lang w:val="en-GB"/>
        </w:rPr>
        <w:t>c</w:t>
      </w:r>
      <w:r w:rsidR="00AA329D" w:rsidRPr="00607BDA">
        <w:rPr>
          <w:lang w:val="en-GB"/>
        </w:rPr>
        <w:t>onsultant specialist</w:t>
      </w:r>
      <w:r w:rsidR="00CE6373" w:rsidRPr="00607BDA">
        <w:rPr>
          <w:lang w:val="en-GB"/>
        </w:rPr>
        <w:t xml:space="preserve"> </w:t>
      </w:r>
      <w:r w:rsidR="00FB4475" w:rsidRPr="00607BDA">
        <w:rPr>
          <w:lang w:val="en-GB"/>
        </w:rPr>
        <w:t xml:space="preserve">risk-weighted outcome </w:t>
      </w:r>
      <w:r w:rsidR="00B348B6" w:rsidRPr="00607BDA">
        <w:rPr>
          <w:lang w:val="en-GB"/>
        </w:rPr>
        <w:t xml:space="preserve">data </w:t>
      </w:r>
      <w:r w:rsidR="00DA1590" w:rsidRPr="00607BDA">
        <w:rPr>
          <w:lang w:val="en-GB"/>
        </w:rPr>
        <w:t>discussed in Recommendation</w:t>
      </w:r>
      <w:r w:rsidR="003E5720">
        <w:rPr>
          <w:lang w:val="en-GB"/>
        </w:rPr>
        <w:t> </w:t>
      </w:r>
      <w:r w:rsidR="00DA1590" w:rsidRPr="00607BDA">
        <w:rPr>
          <w:lang w:val="en-GB"/>
        </w:rPr>
        <w:t>1</w:t>
      </w:r>
      <w:r w:rsidR="003E5720">
        <w:rPr>
          <w:lang w:val="en-GB"/>
        </w:rPr>
        <w:t>4</w:t>
      </w:r>
      <w:r w:rsidR="00DA1590" w:rsidRPr="00607BDA">
        <w:rPr>
          <w:lang w:val="en-GB"/>
        </w:rPr>
        <w:t xml:space="preserve"> </w:t>
      </w:r>
      <w:r w:rsidR="008F1CD5" w:rsidRPr="00607BDA">
        <w:rPr>
          <w:lang w:val="en-GB"/>
        </w:rPr>
        <w:t xml:space="preserve">is </w:t>
      </w:r>
      <w:r w:rsidR="00FB4475" w:rsidRPr="00607BDA">
        <w:rPr>
          <w:lang w:val="en-GB"/>
        </w:rPr>
        <w:t xml:space="preserve">shared </w:t>
      </w:r>
      <w:r w:rsidR="00F71E4B" w:rsidRPr="00607BDA">
        <w:rPr>
          <w:lang w:val="en-GB"/>
        </w:rPr>
        <w:t>at an institutional</w:t>
      </w:r>
      <w:r w:rsidR="003E5720">
        <w:rPr>
          <w:lang w:val="en-GB"/>
        </w:rPr>
        <w:t>, disease</w:t>
      </w:r>
      <w:r w:rsidR="003E5720">
        <w:rPr>
          <w:lang w:val="en-GB"/>
        </w:rPr>
        <w:noBreakHyphen/>
        <w:t>specific unit</w:t>
      </w:r>
      <w:r w:rsidR="00F71E4B" w:rsidRPr="00607BDA">
        <w:rPr>
          <w:lang w:val="en-GB"/>
        </w:rPr>
        <w:t xml:space="preserve"> </w:t>
      </w:r>
      <w:r w:rsidR="00D71486" w:rsidRPr="00607BDA">
        <w:rPr>
          <w:lang w:val="en-GB"/>
        </w:rPr>
        <w:t>level</w:t>
      </w:r>
      <w:r w:rsidR="00FC2F6F">
        <w:rPr>
          <w:lang w:val="en-GB"/>
        </w:rPr>
        <w:t>;</w:t>
      </w:r>
    </w:p>
    <w:p w14:paraId="6C707C15" w14:textId="77777777" w:rsidR="008C35A5" w:rsidRPr="00607BDA" w:rsidRDefault="00CA1122" w:rsidP="000831A1">
      <w:pPr>
        <w:pStyle w:val="Bullet2"/>
        <w:numPr>
          <w:ilvl w:val="0"/>
          <w:numId w:val="50"/>
        </w:numPr>
        <w:rPr>
          <w:lang w:val="en-GB"/>
        </w:rPr>
      </w:pPr>
      <w:r>
        <w:rPr>
          <w:lang w:val="en-GB"/>
        </w:rPr>
        <w:t>c</w:t>
      </w:r>
      <w:r w:rsidR="00EF3390" w:rsidRPr="00607BDA">
        <w:rPr>
          <w:lang w:val="en-GB"/>
        </w:rPr>
        <w:t xml:space="preserve">ost and outcome data </w:t>
      </w:r>
      <w:r w:rsidR="00F67299" w:rsidRPr="00607BDA">
        <w:rPr>
          <w:lang w:val="en-GB"/>
        </w:rPr>
        <w:t>are</w:t>
      </w:r>
      <w:r w:rsidR="00EF3390" w:rsidRPr="00607BDA">
        <w:rPr>
          <w:lang w:val="en-GB"/>
        </w:rPr>
        <w:t xml:space="preserve"> </w:t>
      </w:r>
      <w:r w:rsidR="003E5720">
        <w:rPr>
          <w:lang w:val="en-GB"/>
        </w:rPr>
        <w:t xml:space="preserve">publicly available to enable discussion with the </w:t>
      </w:r>
      <w:r w:rsidR="00304E74" w:rsidRPr="00607BDA">
        <w:rPr>
          <w:lang w:val="en-GB"/>
        </w:rPr>
        <w:t>GP at the time of referral</w:t>
      </w:r>
      <w:r w:rsidR="00FC2F6F">
        <w:rPr>
          <w:lang w:val="en-GB"/>
        </w:rPr>
        <w:t>;</w:t>
      </w:r>
      <w:r>
        <w:rPr>
          <w:lang w:val="en-GB"/>
        </w:rPr>
        <w:t xml:space="preserve"> and</w:t>
      </w:r>
    </w:p>
    <w:p w14:paraId="32551AC1" w14:textId="77777777" w:rsidR="00FB4475" w:rsidRPr="00607BDA" w:rsidRDefault="00CA1122" w:rsidP="000831A1">
      <w:pPr>
        <w:pStyle w:val="Bullet2"/>
        <w:numPr>
          <w:ilvl w:val="0"/>
          <w:numId w:val="50"/>
        </w:numPr>
        <w:rPr>
          <w:lang w:val="en-GB"/>
        </w:rPr>
      </w:pPr>
      <w:r>
        <w:rPr>
          <w:lang w:val="en-GB"/>
        </w:rPr>
        <w:t>t</w:t>
      </w:r>
      <w:r w:rsidR="00B83F38" w:rsidRPr="00607BDA">
        <w:rPr>
          <w:lang w:val="en-GB"/>
        </w:rPr>
        <w:t>he presentation of c</w:t>
      </w:r>
      <w:r w:rsidR="00330931" w:rsidRPr="00607BDA">
        <w:rPr>
          <w:lang w:val="en-GB"/>
        </w:rPr>
        <w:t xml:space="preserve">ost and outcome data should be co-designed </w:t>
      </w:r>
      <w:r w:rsidR="00B83F38" w:rsidRPr="00607BDA">
        <w:rPr>
          <w:lang w:val="en-GB"/>
        </w:rPr>
        <w:t xml:space="preserve">with consumers </w:t>
      </w:r>
      <w:r w:rsidR="009806D3" w:rsidRPr="00607BDA">
        <w:rPr>
          <w:lang w:val="en-GB"/>
        </w:rPr>
        <w:t>and include</w:t>
      </w:r>
      <w:r w:rsidR="00FB4475" w:rsidRPr="00607BDA">
        <w:rPr>
          <w:lang w:val="en-GB"/>
        </w:rPr>
        <w:t xml:space="preserve"> </w:t>
      </w:r>
      <w:r w:rsidR="002E01EF" w:rsidRPr="00607BDA">
        <w:rPr>
          <w:lang w:val="en-GB"/>
        </w:rPr>
        <w:t xml:space="preserve">a </w:t>
      </w:r>
      <w:r w:rsidR="00FB4475" w:rsidRPr="00607BDA">
        <w:rPr>
          <w:lang w:val="en-GB"/>
        </w:rPr>
        <w:t xml:space="preserve">clear explanation of </w:t>
      </w:r>
      <w:r w:rsidR="002E01EF" w:rsidRPr="00607BDA">
        <w:rPr>
          <w:lang w:val="en-GB"/>
        </w:rPr>
        <w:t xml:space="preserve">the </w:t>
      </w:r>
      <w:r w:rsidR="00FB4475" w:rsidRPr="00607BDA">
        <w:rPr>
          <w:lang w:val="en-GB"/>
        </w:rPr>
        <w:t>data and its limitations</w:t>
      </w:r>
      <w:r w:rsidR="008B6778" w:rsidRPr="00607BDA">
        <w:rPr>
          <w:lang w:val="en-GB"/>
        </w:rPr>
        <w:t>.</w:t>
      </w:r>
    </w:p>
    <w:p w14:paraId="05F031F6" w14:textId="77777777" w:rsidR="00C8572C" w:rsidRPr="00C33C0B" w:rsidRDefault="00C8572C" w:rsidP="0046317E">
      <w:pPr>
        <w:pStyle w:val="Heading2"/>
      </w:pPr>
      <w:bookmarkStart w:id="203" w:name="_Toc67952247"/>
      <w:bookmarkEnd w:id="202"/>
      <w:r w:rsidRPr="00C33C0B">
        <w:t>Rationale</w:t>
      </w:r>
      <w:r w:rsidR="00F92B14">
        <w:t xml:space="preserve"> </w:t>
      </w:r>
      <w:r w:rsidR="004A6F15">
        <w:t>1</w:t>
      </w:r>
      <w:r w:rsidR="003E5720">
        <w:t>5</w:t>
      </w:r>
      <w:bookmarkEnd w:id="203"/>
    </w:p>
    <w:p w14:paraId="6AB967A8" w14:textId="77777777" w:rsidR="003F3900" w:rsidRPr="00F30EE1" w:rsidRDefault="00A27CE8" w:rsidP="00F30EE1">
      <w:r w:rsidRPr="00F30EE1">
        <w:rPr>
          <w:rFonts w:eastAsiaTheme="minorHAnsi"/>
        </w:rPr>
        <w:t xml:space="preserve">This recommendation focuses on </w:t>
      </w:r>
      <w:r w:rsidR="00231559" w:rsidRPr="00F30EE1">
        <w:rPr>
          <w:rFonts w:eastAsiaTheme="minorHAnsi"/>
        </w:rPr>
        <w:t xml:space="preserve">providing patients with transparency on cost and outcomes when choosing </w:t>
      </w:r>
      <w:r w:rsidR="00790BF8" w:rsidRPr="00F30EE1">
        <w:rPr>
          <w:rFonts w:eastAsiaTheme="minorHAnsi"/>
        </w:rPr>
        <w:t>an institution</w:t>
      </w:r>
      <w:r w:rsidR="009806D3" w:rsidRPr="00F30EE1">
        <w:rPr>
          <w:rFonts w:eastAsiaTheme="minorHAnsi"/>
        </w:rPr>
        <w:t xml:space="preserve"> and </w:t>
      </w:r>
      <w:r w:rsidR="007474AD" w:rsidRPr="00F30EE1">
        <w:rPr>
          <w:rFonts w:eastAsiaTheme="minorHAnsi"/>
        </w:rPr>
        <w:t xml:space="preserve">seeks </w:t>
      </w:r>
      <w:r w:rsidR="002A07E5" w:rsidRPr="00F30EE1">
        <w:rPr>
          <w:rFonts w:eastAsiaTheme="minorHAnsi"/>
        </w:rPr>
        <w:t>to support value-based health care</w:t>
      </w:r>
      <w:r w:rsidRPr="00F30EE1">
        <w:rPr>
          <w:rFonts w:eastAsiaTheme="minorHAnsi"/>
        </w:rPr>
        <w:t>. It is based on the following</w:t>
      </w:r>
      <w:r w:rsidR="00CB271F" w:rsidRPr="00F30EE1">
        <w:rPr>
          <w:rFonts w:eastAsiaTheme="minorHAnsi"/>
        </w:rPr>
        <w:t>:</w:t>
      </w:r>
    </w:p>
    <w:p w14:paraId="65CA8832" w14:textId="77777777" w:rsidR="00071373" w:rsidRPr="00A339AD" w:rsidRDefault="00071373" w:rsidP="00071373">
      <w:pPr>
        <w:pStyle w:val="Bullet-green"/>
        <w:rPr>
          <w:lang w:val="en-GB"/>
        </w:rPr>
      </w:pPr>
      <w:r w:rsidRPr="00A339AD">
        <w:rPr>
          <w:lang w:val="en-GB"/>
        </w:rPr>
        <w:t>Increasing the availability and transparency of data on service-level practice will inform choice and improve patient involvement in all aspects of care. It may also improve average standards of quality of care through competition between providers</w:t>
      </w:r>
      <w:sdt>
        <w:sdtPr>
          <w:rPr>
            <w:lang w:val="en-GB"/>
          </w:rPr>
          <w:id w:val="1877119911"/>
          <w:citation/>
        </w:sdtPr>
        <w:sdtContent>
          <w:r w:rsidR="009C7990">
            <w:rPr>
              <w:lang w:val="en-GB"/>
            </w:rPr>
            <w:fldChar w:fldCharType="begin"/>
          </w:r>
          <w:r w:rsidR="009C7990">
            <w:instrText xml:space="preserve"> CITATION Cam16 \l 3081 </w:instrText>
          </w:r>
          <w:r w:rsidR="009C7990">
            <w:rPr>
              <w:lang w:val="en-GB"/>
            </w:rPr>
            <w:fldChar w:fldCharType="separate"/>
          </w:r>
          <w:r w:rsidR="009C7990">
            <w:rPr>
              <w:noProof/>
            </w:rPr>
            <w:t xml:space="preserve"> (13)</w:t>
          </w:r>
          <w:r w:rsidR="009C7990">
            <w:rPr>
              <w:lang w:val="en-GB"/>
            </w:rPr>
            <w:fldChar w:fldCharType="end"/>
          </w:r>
        </w:sdtContent>
      </w:sdt>
      <w:r w:rsidR="00497F80">
        <w:rPr>
          <w:lang w:val="en-GB"/>
        </w:rPr>
        <w:t>.</w:t>
      </w:r>
    </w:p>
    <w:p w14:paraId="25D7E325" w14:textId="77777777" w:rsidR="00C8572C" w:rsidRPr="00A339AD" w:rsidRDefault="00C8572C" w:rsidP="00C8572C">
      <w:pPr>
        <w:pStyle w:val="Bullet-green"/>
        <w:rPr>
          <w:lang w:val="en-GB"/>
        </w:rPr>
      </w:pPr>
      <w:r w:rsidRPr="00F63951">
        <w:rPr>
          <w:lang w:val="en-GB"/>
        </w:rPr>
        <w:t xml:space="preserve">Patients must </w:t>
      </w:r>
      <w:r w:rsidR="00640F5D">
        <w:rPr>
          <w:lang w:val="en-GB"/>
        </w:rPr>
        <w:t xml:space="preserve">have </w:t>
      </w:r>
      <w:r w:rsidRPr="00F63951">
        <w:rPr>
          <w:lang w:val="en-GB"/>
        </w:rPr>
        <w:t>adequate</w:t>
      </w:r>
      <w:r w:rsidR="00071373">
        <w:rPr>
          <w:lang w:val="en-GB"/>
        </w:rPr>
        <w:t xml:space="preserve"> </w:t>
      </w:r>
      <w:r w:rsidRPr="00F63951">
        <w:rPr>
          <w:lang w:val="en-GB"/>
        </w:rPr>
        <w:t xml:space="preserve">information </w:t>
      </w:r>
      <w:r w:rsidR="00640F5D">
        <w:rPr>
          <w:lang w:val="en-GB"/>
        </w:rPr>
        <w:t>conveyed in</w:t>
      </w:r>
      <w:r w:rsidR="003F179F">
        <w:rPr>
          <w:lang w:val="en-GB"/>
        </w:rPr>
        <w:t xml:space="preserve"> accessible</w:t>
      </w:r>
      <w:r w:rsidRPr="00F63951">
        <w:rPr>
          <w:lang w:val="en-GB"/>
        </w:rPr>
        <w:t xml:space="preserve"> language</w:t>
      </w:r>
      <w:r w:rsidR="00640F5D">
        <w:rPr>
          <w:lang w:val="en-GB"/>
        </w:rPr>
        <w:t xml:space="preserve"> </w:t>
      </w:r>
      <w:r w:rsidRPr="00F63951">
        <w:rPr>
          <w:lang w:val="en-GB"/>
        </w:rPr>
        <w:t xml:space="preserve">to </w:t>
      </w:r>
      <w:r w:rsidR="00640F5D">
        <w:rPr>
          <w:lang w:val="en-GB"/>
        </w:rPr>
        <w:t xml:space="preserve">make an informed decision on </w:t>
      </w:r>
      <w:r w:rsidRPr="00F63951">
        <w:rPr>
          <w:lang w:val="en-GB"/>
        </w:rPr>
        <w:t xml:space="preserve">a preferred </w:t>
      </w:r>
      <w:r w:rsidR="00AA329D">
        <w:rPr>
          <w:lang w:val="en-GB"/>
        </w:rPr>
        <w:t>consultant specialist</w:t>
      </w:r>
      <w:r w:rsidR="003137A7" w:rsidRPr="00A339AD">
        <w:rPr>
          <w:lang w:val="en-GB"/>
        </w:rPr>
        <w:t>.</w:t>
      </w:r>
    </w:p>
    <w:p w14:paraId="6631DB61" w14:textId="77777777" w:rsidR="009806D3" w:rsidRPr="00231559" w:rsidRDefault="009806D3" w:rsidP="009806D3">
      <w:pPr>
        <w:pStyle w:val="Bullet-green"/>
        <w:rPr>
          <w:lang w:val="en-GB"/>
        </w:rPr>
      </w:pPr>
      <w:r>
        <w:t>I</w:t>
      </w:r>
      <w:r w:rsidRPr="00B233BE">
        <w:t xml:space="preserve">nformed patient decision-making </w:t>
      </w:r>
      <w:r>
        <w:t xml:space="preserve">will </w:t>
      </w:r>
      <w:r w:rsidRPr="00B233BE">
        <w:t>increase competition so that price can reflect quality of care.</w:t>
      </w:r>
    </w:p>
    <w:p w14:paraId="21BA0962" w14:textId="77777777" w:rsidR="0027616B" w:rsidRDefault="00C8572C" w:rsidP="00607BDA">
      <w:pPr>
        <w:pStyle w:val="Bullet-green"/>
      </w:pPr>
      <w:r w:rsidRPr="00607BDA">
        <w:t xml:space="preserve">Patients should have transparency </w:t>
      </w:r>
      <w:r w:rsidR="00D40625" w:rsidRPr="00607BDA">
        <w:t>on</w:t>
      </w:r>
      <w:r w:rsidRPr="00607BDA">
        <w:t xml:space="preserve"> the full financial costs they will bear</w:t>
      </w:r>
      <w:r w:rsidR="00A1248F" w:rsidRPr="00607BDA">
        <w:t xml:space="preserve">. </w:t>
      </w:r>
      <w:r w:rsidR="00C55B59" w:rsidRPr="00F63951">
        <w:t xml:space="preserve">A </w:t>
      </w:r>
      <w:r w:rsidR="00C33AB5">
        <w:t xml:space="preserve">2017 </w:t>
      </w:r>
      <w:r w:rsidR="00C55B59" w:rsidRPr="00F63951">
        <w:t xml:space="preserve">study by Freed </w:t>
      </w:r>
      <w:r w:rsidR="00E30D4D" w:rsidRPr="00F63951">
        <w:t>and</w:t>
      </w:r>
      <w:r w:rsidR="00C55B59" w:rsidRPr="00F63951">
        <w:t xml:space="preserve"> Allen </w:t>
      </w:r>
      <w:sdt>
        <w:sdtPr>
          <w:id w:val="931169487"/>
          <w:citation/>
        </w:sdtPr>
        <w:sdtContent>
          <w:r w:rsidR="009C7990">
            <w:fldChar w:fldCharType="begin"/>
          </w:r>
          <w:r w:rsidR="009C7990">
            <w:instrText xml:space="preserve"> CITATION Fre17 \l 3081 </w:instrText>
          </w:r>
          <w:r w:rsidR="009C7990">
            <w:fldChar w:fldCharType="separate"/>
          </w:r>
          <w:r w:rsidR="009C7990">
            <w:rPr>
              <w:noProof/>
            </w:rPr>
            <w:t>(14)</w:t>
          </w:r>
          <w:r w:rsidR="009C7990">
            <w:fldChar w:fldCharType="end"/>
          </w:r>
        </w:sdtContent>
      </w:sdt>
      <w:r w:rsidR="006E1F47" w:rsidRPr="00F63951">
        <w:t xml:space="preserve"> on out-of-</w:t>
      </w:r>
      <w:r w:rsidR="00C55B59" w:rsidRPr="00F63951">
        <w:t xml:space="preserve">pocket </w:t>
      </w:r>
      <w:r w:rsidR="00505CCB">
        <w:t>costs</w:t>
      </w:r>
      <w:r w:rsidR="00505CCB" w:rsidRPr="00F63951">
        <w:t xml:space="preserve"> </w:t>
      </w:r>
      <w:r w:rsidR="00C55B59" w:rsidRPr="00F63951">
        <w:t xml:space="preserve">for an initial outpatient consultation </w:t>
      </w:r>
      <w:r w:rsidR="006E1F47" w:rsidRPr="00F63951">
        <w:t xml:space="preserve">showed </w:t>
      </w:r>
      <w:r w:rsidR="00970789" w:rsidRPr="00F63951">
        <w:t>wide</w:t>
      </w:r>
      <w:r w:rsidR="006E1F47" w:rsidRPr="00607BDA">
        <w:t xml:space="preserve"> </w:t>
      </w:r>
      <w:r w:rsidR="00A1248F" w:rsidRPr="00607BDA">
        <w:t>variation</w:t>
      </w:r>
      <w:r w:rsidR="00FB5B19" w:rsidRPr="00607BDA">
        <w:t>.</w:t>
      </w:r>
      <w:r w:rsidR="007474AD">
        <w:t xml:space="preserve"> For example, t</w:t>
      </w:r>
      <w:r w:rsidR="007474AD" w:rsidRPr="007474AD">
        <w:t>here is variation in the mean, median and 10th/90th percentile levels of fees for an initial outpatient consultation between specialties. Mean fees for an initial consultation were less than $200 (including Medicare benefits and patient contribution) in only three of the 11 specialties.</w:t>
      </w:r>
      <w:r w:rsidR="004253DB">
        <w:t xml:space="preserve"> </w:t>
      </w:r>
    </w:p>
    <w:p w14:paraId="7906B2B7" w14:textId="77777777" w:rsidR="00C55B59" w:rsidRPr="00C33C0B" w:rsidRDefault="004253DB" w:rsidP="00607BDA">
      <w:pPr>
        <w:pStyle w:val="Bullet-green"/>
      </w:pPr>
      <w:r>
        <w:t>T</w:t>
      </w:r>
      <w:r w:rsidR="006E1F47" w:rsidRPr="00F63951">
        <w:t xml:space="preserve">here </w:t>
      </w:r>
      <w:r w:rsidR="00AA4DAF">
        <w:t>are</w:t>
      </w:r>
      <w:r w:rsidR="006E1F47" w:rsidRPr="00F63951">
        <w:t xml:space="preserve"> no data on quality of</w:t>
      </w:r>
      <w:r w:rsidR="006E1F47" w:rsidRPr="00C33C0B">
        <w:t xml:space="preserve"> care in the outpatient setting</w:t>
      </w:r>
      <w:r w:rsidR="009A4172">
        <w:t>,</w:t>
      </w:r>
      <w:r w:rsidR="006E1F47" w:rsidRPr="00C33C0B">
        <w:t xml:space="preserve"> and patients </w:t>
      </w:r>
      <w:r w:rsidR="00AD34B6">
        <w:t xml:space="preserve">do not have access to information on </w:t>
      </w:r>
      <w:r w:rsidR="006E1F47" w:rsidRPr="00C33C0B">
        <w:t>the range of appropriate fees</w:t>
      </w:r>
      <w:r w:rsidR="00E0568F">
        <w:t xml:space="preserve"> and</w:t>
      </w:r>
      <w:r w:rsidR="006E1F47" w:rsidRPr="00C33C0B">
        <w:t xml:space="preserve"> the value of the service they receive</w:t>
      </w:r>
      <w:r w:rsidR="001F7E8A">
        <w:t>.</w:t>
      </w:r>
    </w:p>
    <w:p w14:paraId="11030694" w14:textId="77777777" w:rsidR="00A1248F" w:rsidRDefault="00F9208F" w:rsidP="00607BDA">
      <w:pPr>
        <w:pStyle w:val="Bullet-green"/>
      </w:pPr>
      <w:r w:rsidRPr="007474AD">
        <w:rPr>
          <w:lang w:val="en-GB"/>
        </w:rPr>
        <w:t xml:space="preserve">There are </w:t>
      </w:r>
      <w:r w:rsidR="00A80E30" w:rsidRPr="007474AD">
        <w:rPr>
          <w:lang w:val="en-GB"/>
        </w:rPr>
        <w:t xml:space="preserve">global </w:t>
      </w:r>
      <w:r w:rsidRPr="007474AD">
        <w:rPr>
          <w:lang w:val="en-GB"/>
        </w:rPr>
        <w:t xml:space="preserve">trends towards public reporting </w:t>
      </w:r>
      <w:r w:rsidR="00607274" w:rsidRPr="007474AD">
        <w:rPr>
          <w:lang w:val="en-GB"/>
        </w:rPr>
        <w:t xml:space="preserve">on </w:t>
      </w:r>
      <w:r w:rsidRPr="007474AD">
        <w:rPr>
          <w:lang w:val="en-GB"/>
        </w:rPr>
        <w:t>quality and performance</w:t>
      </w:r>
      <w:r w:rsidR="00F427DF" w:rsidRPr="007474AD">
        <w:rPr>
          <w:lang w:val="en-GB"/>
        </w:rPr>
        <w:t>,</w:t>
      </w:r>
      <w:r w:rsidRPr="007474AD">
        <w:rPr>
          <w:lang w:val="en-GB"/>
        </w:rPr>
        <w:t xml:space="preserve"> with the objective of improving patient information and choice. </w:t>
      </w:r>
      <w:r w:rsidRPr="00C33C0B">
        <w:t xml:space="preserve">In the </w:t>
      </w:r>
      <w:r w:rsidR="00F427DF">
        <w:t>U</w:t>
      </w:r>
      <w:r w:rsidR="00133B1C">
        <w:t xml:space="preserve">nited </w:t>
      </w:r>
      <w:r w:rsidR="00F427DF">
        <w:t>K</w:t>
      </w:r>
      <w:r w:rsidR="00133B1C">
        <w:t>ingdom</w:t>
      </w:r>
      <w:r w:rsidR="00F427DF">
        <w:t xml:space="preserve">’s </w:t>
      </w:r>
      <w:r w:rsidR="007474AD">
        <w:t xml:space="preserve">(UK) </w:t>
      </w:r>
      <w:r w:rsidRPr="00C33C0B">
        <w:t xml:space="preserve">National Health Service (NHS), the NHS Choices website </w:t>
      </w:r>
      <w:r w:rsidR="00AD34B6">
        <w:t xml:space="preserve">has been established for patients </w:t>
      </w:r>
      <w:r w:rsidRPr="00C33C0B">
        <w:t>to score providers and add commentary about their experience. In addition surgeon</w:t>
      </w:r>
      <w:r w:rsidR="002B574A">
        <w:t>-</w:t>
      </w:r>
      <w:r w:rsidRPr="00C33C0B">
        <w:t>level</w:t>
      </w:r>
      <w:r w:rsidR="002B574A">
        <w:t>,</w:t>
      </w:r>
      <w:r w:rsidRPr="00C33C0B">
        <w:t xml:space="preserve"> risk-adjusted </w:t>
      </w:r>
      <w:r w:rsidR="00FD70AD">
        <w:t xml:space="preserve">information on </w:t>
      </w:r>
      <w:r w:rsidRPr="00C33C0B">
        <w:t>mortality rates, waiting times and volume</w:t>
      </w:r>
      <w:r w:rsidR="00DD0BF9">
        <w:t>s</w:t>
      </w:r>
      <w:r w:rsidRPr="00C33C0B">
        <w:t xml:space="preserve"> of procedures is publicly available. GPs in the </w:t>
      </w:r>
      <w:r w:rsidR="007474AD">
        <w:t>UK</w:t>
      </w:r>
      <w:r w:rsidRPr="00C33C0B">
        <w:t xml:space="preserve"> are legally required to offer patients a choice of </w:t>
      </w:r>
      <w:r w:rsidR="00AA329D">
        <w:t>consultant specialist</w:t>
      </w:r>
      <w:r w:rsidR="00CF27FC" w:rsidRPr="00C33C0B">
        <w:t>s</w:t>
      </w:r>
      <w:r w:rsidR="00CE6373" w:rsidRPr="00C33C0B">
        <w:t xml:space="preserve"> </w:t>
      </w:r>
      <w:r w:rsidR="00E56C6C">
        <w:t>for referral</w:t>
      </w:r>
      <w:r w:rsidRPr="00C33C0B">
        <w:t>, along</w:t>
      </w:r>
      <w:r w:rsidR="00D401DC">
        <w:t xml:space="preserve"> with</w:t>
      </w:r>
      <w:r w:rsidRPr="00C33C0B">
        <w:t xml:space="preserve"> the above information, under the </w:t>
      </w:r>
      <w:r w:rsidR="00540176">
        <w:t>“</w:t>
      </w:r>
      <w:r w:rsidRPr="00C33C0B">
        <w:t>Any qualified provider</w:t>
      </w:r>
      <w:r w:rsidR="00540176">
        <w:t>”</w:t>
      </w:r>
      <w:r w:rsidRPr="00C33C0B">
        <w:t xml:space="preserve"> policy</w:t>
      </w:r>
      <w:sdt>
        <w:sdtPr>
          <w:id w:val="-2068721467"/>
          <w:citation/>
        </w:sdtPr>
        <w:sdtContent>
          <w:r w:rsidR="009C7990">
            <w:fldChar w:fldCharType="begin"/>
          </w:r>
          <w:r w:rsidR="009C7990">
            <w:instrText xml:space="preserve"> CITATION Pro18 \l 3081 </w:instrText>
          </w:r>
          <w:r w:rsidR="009C7990">
            <w:fldChar w:fldCharType="separate"/>
          </w:r>
          <w:r w:rsidR="009C7990">
            <w:rPr>
              <w:noProof/>
            </w:rPr>
            <w:t xml:space="preserve"> (15)</w:t>
          </w:r>
          <w:r w:rsidR="009C7990">
            <w:fldChar w:fldCharType="end"/>
          </w:r>
        </w:sdtContent>
      </w:sdt>
      <w:r w:rsidR="00497F80">
        <w:t>.</w:t>
      </w:r>
    </w:p>
    <w:p w14:paraId="361B096D" w14:textId="77777777" w:rsidR="00FB4475" w:rsidRPr="00C33C0B" w:rsidRDefault="00684874" w:rsidP="00246FD6">
      <w:pPr>
        <w:pStyle w:val="Heading2"/>
        <w:ind w:left="578" w:hanging="578"/>
      </w:pPr>
      <w:bookmarkStart w:id="204" w:name="_Toc67952248"/>
      <w:r w:rsidRPr="00C33C0B">
        <w:t>Recommendation 1</w:t>
      </w:r>
      <w:r w:rsidR="003E5720">
        <w:t>6</w:t>
      </w:r>
      <w:r w:rsidR="00C0022A">
        <w:t xml:space="preserve"> - </w:t>
      </w:r>
      <w:r w:rsidR="00C0022A">
        <w:rPr>
          <w:lang w:val="en-GB"/>
        </w:rPr>
        <w:t xml:space="preserve">Improve informed </w:t>
      </w:r>
      <w:r w:rsidR="003E5720">
        <w:rPr>
          <w:lang w:val="en-GB"/>
        </w:rPr>
        <w:t xml:space="preserve">comprehensive </w:t>
      </w:r>
      <w:r w:rsidR="00C0022A">
        <w:rPr>
          <w:lang w:val="en-GB"/>
        </w:rPr>
        <w:t>patient consent and shared decision-making practices</w:t>
      </w:r>
      <w:bookmarkEnd w:id="204"/>
    </w:p>
    <w:p w14:paraId="46455C3C" w14:textId="77777777" w:rsidR="00C0022A" w:rsidRDefault="00E22689" w:rsidP="00607BDA">
      <w:pPr>
        <w:pStyle w:val="Bullet-green"/>
        <w:numPr>
          <w:ilvl w:val="0"/>
          <w:numId w:val="0"/>
        </w:numPr>
        <w:rPr>
          <w:lang w:val="en-GB"/>
        </w:rPr>
      </w:pPr>
      <w:r w:rsidRPr="00C33C0B">
        <w:rPr>
          <w:lang w:val="en-GB"/>
        </w:rPr>
        <w:t>The Committee recommends</w:t>
      </w:r>
      <w:r w:rsidR="00C0022A">
        <w:rPr>
          <w:lang w:val="en-GB"/>
        </w:rPr>
        <w:t>:</w:t>
      </w:r>
    </w:p>
    <w:p w14:paraId="6DF04821" w14:textId="77777777" w:rsidR="009C65F6" w:rsidRPr="00607BDA" w:rsidRDefault="00F9208F" w:rsidP="000831A1">
      <w:pPr>
        <w:pStyle w:val="Bullet2"/>
        <w:numPr>
          <w:ilvl w:val="0"/>
          <w:numId w:val="51"/>
        </w:numPr>
      </w:pPr>
      <w:r w:rsidRPr="00C33C0B">
        <w:rPr>
          <w:lang w:val="en-GB"/>
        </w:rPr>
        <w:t xml:space="preserve">including </w:t>
      </w:r>
      <w:r w:rsidR="000C2B97" w:rsidRPr="00C33C0B">
        <w:rPr>
          <w:lang w:val="en-GB"/>
        </w:rPr>
        <w:t xml:space="preserve">the following </w:t>
      </w:r>
      <w:r w:rsidRPr="00C33C0B">
        <w:rPr>
          <w:lang w:val="en-GB"/>
        </w:rPr>
        <w:t xml:space="preserve">in standard </w:t>
      </w:r>
      <w:r w:rsidR="00BC196C" w:rsidRPr="00C33C0B">
        <w:rPr>
          <w:lang w:val="en-GB"/>
        </w:rPr>
        <w:t xml:space="preserve">attendance item descriptors </w:t>
      </w:r>
      <w:r w:rsidR="00C0022A">
        <w:rPr>
          <w:lang w:val="en-GB"/>
        </w:rPr>
        <w:t xml:space="preserve">(refer to </w:t>
      </w:r>
      <w:r w:rsidR="00C0022A" w:rsidRPr="00607BDA">
        <w:t xml:space="preserve">Recommendation 1) </w:t>
      </w:r>
      <w:r w:rsidR="00E22689" w:rsidRPr="00607BDA">
        <w:t>when multiple treatment options are available</w:t>
      </w:r>
      <w:r w:rsidR="00497F80" w:rsidRPr="00607BDA">
        <w:t>:</w:t>
      </w:r>
    </w:p>
    <w:p w14:paraId="360C0E21" w14:textId="77777777" w:rsidR="009C65F6" w:rsidRPr="00C33C0B" w:rsidRDefault="00FC2F6F" w:rsidP="000831A1">
      <w:pPr>
        <w:pStyle w:val="Bullet2"/>
        <w:numPr>
          <w:ilvl w:val="0"/>
          <w:numId w:val="47"/>
        </w:numPr>
      </w:pPr>
      <w:r>
        <w:t>d</w:t>
      </w:r>
      <w:r w:rsidR="009C65F6" w:rsidRPr="00C33C0B">
        <w:t xml:space="preserve">iscussion of patient treatment options to assess </w:t>
      </w:r>
      <w:r w:rsidR="00A717C7">
        <w:t xml:space="preserve">the </w:t>
      </w:r>
      <w:r w:rsidR="00AD34B6">
        <w:t xml:space="preserve">risks and benefits </w:t>
      </w:r>
      <w:r w:rsidR="009C65F6" w:rsidRPr="00C33C0B">
        <w:t>of each option</w:t>
      </w:r>
      <w:r w:rsidR="000A7958">
        <w:t>,</w:t>
      </w:r>
      <w:r w:rsidR="009C65F6" w:rsidRPr="00C33C0B">
        <w:t xml:space="preserve"> given the patient</w:t>
      </w:r>
      <w:r w:rsidR="003F4862">
        <w:t>’s</w:t>
      </w:r>
      <w:r w:rsidR="009C65F6" w:rsidRPr="00C33C0B">
        <w:t xml:space="preserve"> characteristics</w:t>
      </w:r>
      <w:r w:rsidR="003F179F">
        <w:t xml:space="preserve">, </w:t>
      </w:r>
      <w:r w:rsidR="009C65F6" w:rsidRPr="00C33C0B">
        <w:t>medical history</w:t>
      </w:r>
      <w:r w:rsidR="003F179F">
        <w:t xml:space="preserve"> and life circumstance</w:t>
      </w:r>
      <w:r>
        <w:t>;</w:t>
      </w:r>
    </w:p>
    <w:p w14:paraId="0786D073" w14:textId="77777777" w:rsidR="009C65F6" w:rsidRPr="00C33C0B" w:rsidRDefault="00FC2F6F" w:rsidP="000831A1">
      <w:pPr>
        <w:pStyle w:val="Bullet2"/>
        <w:numPr>
          <w:ilvl w:val="0"/>
          <w:numId w:val="47"/>
        </w:numPr>
      </w:pPr>
      <w:r>
        <w:t>c</w:t>
      </w:r>
      <w:r w:rsidR="009C65F6" w:rsidRPr="00C33C0B">
        <w:t>onsideration and discussion of referrals to other health professionals</w:t>
      </w:r>
      <w:r w:rsidR="003F179F">
        <w:t xml:space="preserve"> and services</w:t>
      </w:r>
      <w:r>
        <w:t>;</w:t>
      </w:r>
      <w:r w:rsidR="001A44E7">
        <w:t xml:space="preserve"> and</w:t>
      </w:r>
    </w:p>
    <w:p w14:paraId="59F771B1" w14:textId="77777777" w:rsidR="009C65F6" w:rsidRPr="00C33C0B" w:rsidRDefault="00FC2F6F" w:rsidP="000831A1">
      <w:pPr>
        <w:pStyle w:val="Bullet2"/>
        <w:numPr>
          <w:ilvl w:val="0"/>
          <w:numId w:val="47"/>
        </w:numPr>
      </w:pPr>
      <w:r>
        <w:t>a</w:t>
      </w:r>
      <w:r w:rsidR="00BE1D72">
        <w:t xml:space="preserve"> requirement for</w:t>
      </w:r>
      <w:r w:rsidR="00BE1D72" w:rsidRPr="00C33C0B">
        <w:t xml:space="preserve"> </w:t>
      </w:r>
      <w:r w:rsidR="009C65F6" w:rsidRPr="00C33C0B">
        <w:t>written document</w:t>
      </w:r>
      <w:r w:rsidR="00124833" w:rsidRPr="00C33C0B">
        <w:t>ation</w:t>
      </w:r>
      <w:r w:rsidR="001E7A37">
        <w:t>,</w:t>
      </w:r>
      <w:r w:rsidR="009C65F6" w:rsidRPr="00C33C0B">
        <w:t xml:space="preserve"> </w:t>
      </w:r>
      <w:r w:rsidR="00124833" w:rsidRPr="00C33C0B">
        <w:rPr>
          <w:szCs w:val="22"/>
        </w:rPr>
        <w:t xml:space="preserve">made available </w:t>
      </w:r>
      <w:r w:rsidR="007C426B">
        <w:rPr>
          <w:szCs w:val="22"/>
        </w:rPr>
        <w:t>to</w:t>
      </w:r>
      <w:r w:rsidR="007C426B" w:rsidRPr="00C33C0B">
        <w:rPr>
          <w:szCs w:val="22"/>
        </w:rPr>
        <w:t xml:space="preserve"> </w:t>
      </w:r>
      <w:r w:rsidR="00124833" w:rsidRPr="00C33C0B">
        <w:rPr>
          <w:szCs w:val="22"/>
        </w:rPr>
        <w:t xml:space="preserve">the patient and/or </w:t>
      </w:r>
      <w:r w:rsidR="00497F80" w:rsidRPr="00C33C0B">
        <w:rPr>
          <w:szCs w:val="22"/>
        </w:rPr>
        <w:t>carer</w:t>
      </w:r>
      <w:r w:rsidR="00497F80">
        <w:rPr>
          <w:szCs w:val="22"/>
        </w:rPr>
        <w:t>,</w:t>
      </w:r>
      <w:r w:rsidR="00497F80" w:rsidRPr="00C33C0B">
        <w:rPr>
          <w:szCs w:val="22"/>
        </w:rPr>
        <w:t xml:space="preserve"> </w:t>
      </w:r>
      <w:r w:rsidR="00497F80" w:rsidRPr="00C33C0B">
        <w:t>which</w:t>
      </w:r>
      <w:r w:rsidR="00124833" w:rsidRPr="00C33C0B">
        <w:t xml:space="preserve"> </w:t>
      </w:r>
      <w:r w:rsidR="009C65F6" w:rsidRPr="00C33C0B">
        <w:t>outlines treatment options and information on associated risks and benefits</w:t>
      </w:r>
      <w:r w:rsidR="009C2A63">
        <w:t>.</w:t>
      </w:r>
    </w:p>
    <w:p w14:paraId="04D169B2" w14:textId="77777777" w:rsidR="00BC196C" w:rsidRPr="00607BDA" w:rsidRDefault="00BC196C" w:rsidP="000831A1">
      <w:pPr>
        <w:pStyle w:val="Bullet2"/>
        <w:numPr>
          <w:ilvl w:val="0"/>
          <w:numId w:val="51"/>
        </w:numPr>
      </w:pPr>
      <w:r w:rsidRPr="00607BDA">
        <w:t>that provider education on the patient consent process be promoted through:</w:t>
      </w:r>
    </w:p>
    <w:p w14:paraId="70D095B2" w14:textId="77777777" w:rsidR="009C65F6" w:rsidRPr="00C33C0B" w:rsidRDefault="00EC490A" w:rsidP="000831A1">
      <w:pPr>
        <w:pStyle w:val="Bullet2"/>
        <w:numPr>
          <w:ilvl w:val="0"/>
          <w:numId w:val="48"/>
        </w:numPr>
      </w:pPr>
      <w:r>
        <w:t>c</w:t>
      </w:r>
      <w:r w:rsidR="009C65F6" w:rsidRPr="00C33C0B">
        <w:t>olleges</w:t>
      </w:r>
      <w:r w:rsidR="00475589" w:rsidRPr="00C33C0B">
        <w:t>, using CPD as a lever</w:t>
      </w:r>
      <w:r w:rsidR="00B85435">
        <w:t>; and</w:t>
      </w:r>
    </w:p>
    <w:p w14:paraId="0D0BCB2C" w14:textId="77777777" w:rsidR="009C65F6" w:rsidRPr="00C33C0B" w:rsidRDefault="00B85435" w:rsidP="000831A1">
      <w:pPr>
        <w:pStyle w:val="Bullet2"/>
        <w:numPr>
          <w:ilvl w:val="0"/>
          <w:numId w:val="48"/>
        </w:numPr>
      </w:pPr>
      <w:r>
        <w:t>i</w:t>
      </w:r>
      <w:r w:rsidR="008B66D4">
        <w:t>ncreased</w:t>
      </w:r>
      <w:r w:rsidR="008B66D4" w:rsidRPr="00C33C0B">
        <w:t xml:space="preserve"> </w:t>
      </w:r>
      <w:r w:rsidR="008232D7" w:rsidRPr="00C33C0B">
        <w:t>p</w:t>
      </w:r>
      <w:r w:rsidR="009C65F6" w:rsidRPr="00C33C0B">
        <w:t xml:space="preserve">atient awareness of the Australian Commission </w:t>
      </w:r>
      <w:r w:rsidR="00AD34B6">
        <w:t>on Safety and Quality in Health C</w:t>
      </w:r>
      <w:r w:rsidR="00946E7F">
        <w:t>are’s</w:t>
      </w:r>
      <w:r w:rsidR="009C65F6" w:rsidRPr="00C33C0B">
        <w:t xml:space="preserve"> standards</w:t>
      </w:r>
      <w:r w:rsidR="00691A78">
        <w:t>, achieved</w:t>
      </w:r>
      <w:r w:rsidR="008232D7" w:rsidRPr="00C33C0B">
        <w:t xml:space="preserve"> </w:t>
      </w:r>
      <w:r w:rsidR="00475589" w:rsidRPr="00C33C0B">
        <w:t>via</w:t>
      </w:r>
      <w:r w:rsidR="008232D7" w:rsidRPr="00C33C0B">
        <w:t xml:space="preserve"> media campaigns and by </w:t>
      </w:r>
      <w:r w:rsidR="009C65F6" w:rsidRPr="00C33C0B">
        <w:t xml:space="preserve">informing </w:t>
      </w:r>
      <w:r w:rsidR="00474551">
        <w:t>general practice</w:t>
      </w:r>
      <w:r w:rsidR="009C65F6" w:rsidRPr="00C33C0B">
        <w:t xml:space="preserve">. </w:t>
      </w:r>
    </w:p>
    <w:p w14:paraId="187E140E" w14:textId="77777777" w:rsidR="00FB4475" w:rsidRPr="00C33C0B" w:rsidRDefault="00EC490A" w:rsidP="000831A1">
      <w:pPr>
        <w:pStyle w:val="Bullet2"/>
        <w:numPr>
          <w:ilvl w:val="0"/>
          <w:numId w:val="51"/>
        </w:numPr>
        <w:rPr>
          <w:lang w:val="en-GB"/>
        </w:rPr>
      </w:pPr>
      <w:r>
        <w:rPr>
          <w:lang w:val="en-GB"/>
        </w:rPr>
        <w:t>improving</w:t>
      </w:r>
      <w:r w:rsidR="00A221D0">
        <w:rPr>
          <w:lang w:val="en-GB"/>
        </w:rPr>
        <w:t xml:space="preserve"> the consent process</w:t>
      </w:r>
      <w:r>
        <w:rPr>
          <w:lang w:val="en-GB"/>
        </w:rPr>
        <w:t xml:space="preserve"> by including in provider education materials</w:t>
      </w:r>
      <w:r w:rsidR="00474551">
        <w:rPr>
          <w:lang w:val="en-GB"/>
        </w:rPr>
        <w:t xml:space="preserve">, consumer information </w:t>
      </w:r>
      <w:r>
        <w:rPr>
          <w:lang w:val="en-GB"/>
        </w:rPr>
        <w:t>and other relevant materials the following information</w:t>
      </w:r>
      <w:r w:rsidR="00497F80">
        <w:rPr>
          <w:lang w:val="en-GB"/>
        </w:rPr>
        <w:t>:</w:t>
      </w:r>
    </w:p>
    <w:p w14:paraId="37D411FC" w14:textId="77777777" w:rsidR="001A0F70" w:rsidRPr="00C33C0B" w:rsidRDefault="00EC490A" w:rsidP="000831A1">
      <w:pPr>
        <w:pStyle w:val="Bullet2"/>
        <w:numPr>
          <w:ilvl w:val="0"/>
          <w:numId w:val="49"/>
        </w:numPr>
      </w:pPr>
      <w:r>
        <w:t>t</w:t>
      </w:r>
      <w:r w:rsidR="001A0F70" w:rsidRPr="00C33C0B">
        <w:t xml:space="preserve">he aim of the informed consent discussion is to give </w:t>
      </w:r>
      <w:r w:rsidR="00A30D95">
        <w:t>a</w:t>
      </w:r>
      <w:r w:rsidR="001A0F70" w:rsidRPr="00C33C0B">
        <w:t xml:space="preserve"> patient the information they need to make a decision about </w:t>
      </w:r>
      <w:r w:rsidR="00D76629">
        <w:t>the</w:t>
      </w:r>
      <w:r w:rsidR="006B7CF5">
        <w:t>ir</w:t>
      </w:r>
      <w:r w:rsidR="00D76629" w:rsidRPr="00C33C0B">
        <w:t xml:space="preserve"> </w:t>
      </w:r>
      <w:r w:rsidR="001A0F70" w:rsidRPr="00C33C0B">
        <w:t>treatment or procedure</w:t>
      </w:r>
      <w:r w:rsidR="006D2667">
        <w:t xml:space="preserve"> </w:t>
      </w:r>
      <w:r w:rsidR="001A0F70" w:rsidRPr="00C33C0B">
        <w:t>(if any)</w:t>
      </w:r>
      <w:r w:rsidR="00474551">
        <w:t xml:space="preserve"> and their overall care</w:t>
      </w:r>
    </w:p>
    <w:p w14:paraId="5DC2D387" w14:textId="77777777" w:rsidR="00FB4475" w:rsidRPr="00C33C0B" w:rsidRDefault="00EC490A" w:rsidP="000831A1">
      <w:pPr>
        <w:pStyle w:val="Bullet2"/>
        <w:numPr>
          <w:ilvl w:val="0"/>
          <w:numId w:val="49"/>
        </w:numPr>
      </w:pPr>
      <w:r>
        <w:t>t</w:t>
      </w:r>
      <w:r w:rsidR="00475589" w:rsidRPr="00C33C0B">
        <w:t>he discussion must</w:t>
      </w:r>
      <w:r w:rsidR="00FB4475" w:rsidRPr="00C33C0B">
        <w:t xml:space="preserve"> be tai</w:t>
      </w:r>
      <w:r w:rsidR="00475589" w:rsidRPr="00C33C0B">
        <w:t>lored to the individual patient</w:t>
      </w:r>
      <w:r w:rsidR="00474551">
        <w:t xml:space="preserve"> and their circumstances</w:t>
      </w:r>
    </w:p>
    <w:p w14:paraId="1639B9DD" w14:textId="77777777" w:rsidR="00FB4475" w:rsidRPr="00C33C0B" w:rsidRDefault="00EC490A" w:rsidP="000831A1">
      <w:pPr>
        <w:pStyle w:val="Bullet2"/>
        <w:numPr>
          <w:ilvl w:val="0"/>
          <w:numId w:val="49"/>
        </w:numPr>
      </w:pPr>
      <w:r>
        <w:t>i</w:t>
      </w:r>
      <w:r w:rsidR="00FB4475" w:rsidRPr="00C33C0B">
        <w:t>nformed consent during medical practice</w:t>
      </w:r>
      <w:r w:rsidR="00415A4F">
        <w:t>—</w:t>
      </w:r>
      <w:r w:rsidR="00FB4475" w:rsidRPr="00C33C0B">
        <w:t>on both treatment options and financial costs</w:t>
      </w:r>
      <w:r w:rsidR="00415A4F">
        <w:t>—</w:t>
      </w:r>
      <w:r w:rsidR="00FB4475" w:rsidRPr="00C33C0B">
        <w:t xml:space="preserve">is an essential component of comprehensive medical care. </w:t>
      </w:r>
      <w:r w:rsidR="00102075">
        <w:t>Patient a</w:t>
      </w:r>
      <w:r w:rsidR="00FB4475" w:rsidRPr="00C33C0B">
        <w:t>uthorisation is “informed” when the physician discloses and the patient understands the diagnosis, the relevant options for treatment (including no treatment) and any respective risks and benefits</w:t>
      </w:r>
    </w:p>
    <w:p w14:paraId="3F9C0244" w14:textId="77777777" w:rsidR="00FB4475" w:rsidRPr="00C33C0B" w:rsidRDefault="00EC490A" w:rsidP="000831A1">
      <w:pPr>
        <w:pStyle w:val="Bullet2"/>
        <w:numPr>
          <w:ilvl w:val="0"/>
          <w:numId w:val="49"/>
        </w:numPr>
      </w:pPr>
      <w:r>
        <w:t>d</w:t>
      </w:r>
      <w:r w:rsidR="00FB4475" w:rsidRPr="00C33C0B">
        <w:t>octors should give advice</w:t>
      </w:r>
      <w:r w:rsidR="00474551">
        <w:t xml:space="preserve"> in accordance with their scope of practice. T</w:t>
      </w:r>
      <w:r w:rsidR="00FB4475" w:rsidRPr="00C33C0B">
        <w:t xml:space="preserve">here should be no coercion. The patient </w:t>
      </w:r>
      <w:r w:rsidR="00474551">
        <w:t xml:space="preserve">is always </w:t>
      </w:r>
      <w:r w:rsidR="00FB4475" w:rsidRPr="00C33C0B">
        <w:t>free to accept or reject the advice offered</w:t>
      </w:r>
    </w:p>
    <w:p w14:paraId="5F0FC045" w14:textId="77777777" w:rsidR="00FB4475" w:rsidRPr="00C33C0B" w:rsidRDefault="00EC490A" w:rsidP="000831A1">
      <w:pPr>
        <w:pStyle w:val="Bullet2"/>
        <w:numPr>
          <w:ilvl w:val="0"/>
          <w:numId w:val="49"/>
        </w:numPr>
      </w:pPr>
      <w:r>
        <w:t>c</w:t>
      </w:r>
      <w:r w:rsidR="00A221D0">
        <w:t>linicians</w:t>
      </w:r>
      <w:r w:rsidR="00A221D0" w:rsidRPr="00C33C0B">
        <w:t xml:space="preserve"> </w:t>
      </w:r>
      <w:r w:rsidR="00FB4475" w:rsidRPr="00C33C0B">
        <w:t xml:space="preserve">should give information about the risks of any intervention, especially those that are likely to influence the patient’s decisions </w:t>
      </w:r>
    </w:p>
    <w:p w14:paraId="7A500189" w14:textId="77777777" w:rsidR="00FB4475" w:rsidRPr="00C33C0B" w:rsidRDefault="00EC490A" w:rsidP="000831A1">
      <w:pPr>
        <w:pStyle w:val="Bullet2"/>
        <w:numPr>
          <w:ilvl w:val="0"/>
          <w:numId w:val="49"/>
        </w:numPr>
      </w:pPr>
      <w:r>
        <w:t>t</w:t>
      </w:r>
      <w:r w:rsidR="00FB4475" w:rsidRPr="00C33C0B">
        <w:t>he informed consent process should be documented thoroughly, using an electronic medical record, procedure-specific consent forms, patient education materials and other options whenever possible</w:t>
      </w:r>
      <w:r>
        <w:t>, and</w:t>
      </w:r>
    </w:p>
    <w:p w14:paraId="6A57E93E" w14:textId="77777777" w:rsidR="00FB4475" w:rsidRPr="00C33C0B" w:rsidRDefault="00EC490A" w:rsidP="000831A1">
      <w:pPr>
        <w:pStyle w:val="Bullet2"/>
        <w:numPr>
          <w:ilvl w:val="0"/>
          <w:numId w:val="49"/>
        </w:numPr>
      </w:pPr>
      <w:r>
        <w:t>m</w:t>
      </w:r>
      <w:r w:rsidR="00FB4475" w:rsidRPr="00C33C0B">
        <w:t xml:space="preserve">echanisms should be in place to monitor the quality of </w:t>
      </w:r>
      <w:r w:rsidR="006E0886">
        <w:t xml:space="preserve">the </w:t>
      </w:r>
      <w:r w:rsidR="00FB4475" w:rsidRPr="00C33C0B">
        <w:t>patient consent process</w:t>
      </w:r>
      <w:r w:rsidR="00D33F0A">
        <w:t>,</w:t>
      </w:r>
      <w:r w:rsidR="00FB4475" w:rsidRPr="00C33C0B">
        <w:t xml:space="preserve"> such as peer</w:t>
      </w:r>
      <w:r w:rsidR="00CC3A63">
        <w:t xml:space="preserve"> </w:t>
      </w:r>
      <w:r w:rsidR="00FB4475" w:rsidRPr="00C33C0B">
        <w:t>review and patient reported outcomes</w:t>
      </w:r>
      <w:r w:rsidR="006255E6">
        <w:t>.</w:t>
      </w:r>
    </w:p>
    <w:p w14:paraId="499BCEC2" w14:textId="77777777" w:rsidR="00A1248F" w:rsidRPr="00C33C0B" w:rsidRDefault="00684874" w:rsidP="0046317E">
      <w:pPr>
        <w:pStyle w:val="Heading2"/>
      </w:pPr>
      <w:bookmarkStart w:id="205" w:name="_Toc67952249"/>
      <w:r w:rsidRPr="00C33C0B">
        <w:t>Rationale</w:t>
      </w:r>
      <w:r w:rsidR="00391665">
        <w:t xml:space="preserve"> </w:t>
      </w:r>
      <w:r w:rsidRPr="00C33C0B">
        <w:t>1</w:t>
      </w:r>
      <w:r w:rsidR="003E5720">
        <w:t>6</w:t>
      </w:r>
      <w:bookmarkEnd w:id="205"/>
    </w:p>
    <w:p w14:paraId="7957BD24" w14:textId="77777777" w:rsidR="00407609" w:rsidRDefault="00407609" w:rsidP="006B36E9">
      <w:pPr>
        <w:pStyle w:val="Bullet-green"/>
        <w:numPr>
          <w:ilvl w:val="0"/>
          <w:numId w:val="0"/>
        </w:numPr>
        <w:rPr>
          <w:lang w:val="en-GB"/>
        </w:rPr>
      </w:pPr>
      <w:r>
        <w:rPr>
          <w:lang w:val="en-GB"/>
        </w:rPr>
        <w:t xml:space="preserve">This recommendation focuses on </w:t>
      </w:r>
      <w:r w:rsidR="00D16B84">
        <w:rPr>
          <w:lang w:val="en-GB"/>
        </w:rPr>
        <w:t xml:space="preserve">improving the patient consent process </w:t>
      </w:r>
      <w:r w:rsidR="00A423C8">
        <w:rPr>
          <w:lang w:val="en-GB"/>
        </w:rPr>
        <w:t xml:space="preserve">and encouraging shared decision-making during consultant specialist attendances. It </w:t>
      </w:r>
      <w:r>
        <w:rPr>
          <w:lang w:val="en-GB"/>
        </w:rPr>
        <w:t>is based on the following</w:t>
      </w:r>
      <w:r w:rsidR="00CB271F">
        <w:rPr>
          <w:lang w:val="en-GB"/>
        </w:rPr>
        <w:t>:</w:t>
      </w:r>
    </w:p>
    <w:p w14:paraId="36001806" w14:textId="77777777" w:rsidR="00C0022A" w:rsidRDefault="00A968D6" w:rsidP="006504E4">
      <w:pPr>
        <w:pStyle w:val="Bullet-green"/>
        <w:rPr>
          <w:lang w:val="en-GB"/>
        </w:rPr>
      </w:pPr>
      <w:r w:rsidRPr="00C33C0B">
        <w:rPr>
          <w:lang w:val="en-GB"/>
        </w:rPr>
        <w:t xml:space="preserve">The Committee recognises that </w:t>
      </w:r>
      <w:r w:rsidR="00AD34B6">
        <w:rPr>
          <w:lang w:val="en-GB"/>
        </w:rPr>
        <w:t>consent processes may vary</w:t>
      </w:r>
      <w:r w:rsidR="00FE3F90" w:rsidRPr="00C33C0B">
        <w:rPr>
          <w:lang w:val="en-GB"/>
        </w:rPr>
        <w:t xml:space="preserve"> </w:t>
      </w:r>
      <w:r w:rsidR="00AD34B6">
        <w:rPr>
          <w:lang w:val="en-GB"/>
        </w:rPr>
        <w:t xml:space="preserve">in different </w:t>
      </w:r>
      <w:r w:rsidR="00FE3F90" w:rsidRPr="00C33C0B">
        <w:rPr>
          <w:lang w:val="en-GB"/>
        </w:rPr>
        <w:t>clinical situations</w:t>
      </w:r>
      <w:sdt>
        <w:sdtPr>
          <w:rPr>
            <w:lang w:val="en-GB"/>
          </w:rPr>
          <w:id w:val="-480620119"/>
          <w:citation/>
        </w:sdtPr>
        <w:sdtContent>
          <w:r w:rsidR="00C7146A">
            <w:rPr>
              <w:lang w:val="en-GB"/>
            </w:rPr>
            <w:fldChar w:fldCharType="begin"/>
          </w:r>
          <w:r w:rsidR="00C7146A">
            <w:instrText xml:space="preserve"> CITATION Roy16 \l 3081 </w:instrText>
          </w:r>
          <w:r w:rsidR="00C7146A">
            <w:rPr>
              <w:lang w:val="en-GB"/>
            </w:rPr>
            <w:fldChar w:fldCharType="separate"/>
          </w:r>
          <w:r w:rsidR="00C7146A">
            <w:rPr>
              <w:noProof/>
            </w:rPr>
            <w:t xml:space="preserve"> (16)</w:t>
          </w:r>
          <w:r w:rsidR="00C7146A">
            <w:rPr>
              <w:lang w:val="en-GB"/>
            </w:rPr>
            <w:fldChar w:fldCharType="end"/>
          </w:r>
        </w:sdtContent>
      </w:sdt>
      <w:r w:rsidR="000C5002">
        <w:rPr>
          <w:lang w:val="en-GB"/>
        </w:rPr>
        <w:t>,</w:t>
      </w:r>
      <w:r w:rsidR="00FE3F90" w:rsidRPr="00C33C0B">
        <w:rPr>
          <w:lang w:val="en-GB"/>
        </w:rPr>
        <w:t xml:space="preserve"> </w:t>
      </w:r>
      <w:r w:rsidR="000A2DF2">
        <w:rPr>
          <w:lang w:val="en-GB"/>
        </w:rPr>
        <w:t xml:space="preserve">but </w:t>
      </w:r>
      <w:r w:rsidR="00FE3F90" w:rsidRPr="00C33C0B">
        <w:rPr>
          <w:lang w:val="en-GB"/>
        </w:rPr>
        <w:t>the basic principle remains</w:t>
      </w:r>
      <w:r w:rsidR="00CB3348">
        <w:rPr>
          <w:lang w:val="en-GB"/>
        </w:rPr>
        <w:t xml:space="preserve"> the same:</w:t>
      </w:r>
      <w:r w:rsidR="00FE3F90" w:rsidRPr="00C33C0B">
        <w:rPr>
          <w:lang w:val="en-GB"/>
        </w:rPr>
        <w:t xml:space="preserve"> the provider must outline any material risk</w:t>
      </w:r>
      <w:r w:rsidR="00AD34B6">
        <w:rPr>
          <w:lang w:val="en-GB"/>
        </w:rPr>
        <w:t xml:space="preserve"> and benefit</w:t>
      </w:r>
      <w:r w:rsidR="00FE3F90" w:rsidRPr="00C33C0B">
        <w:rPr>
          <w:lang w:val="en-GB"/>
        </w:rPr>
        <w:t xml:space="preserve"> to the patient</w:t>
      </w:r>
      <w:sdt>
        <w:sdtPr>
          <w:rPr>
            <w:lang w:val="en-GB"/>
          </w:rPr>
          <w:id w:val="-1134013795"/>
          <w:citation/>
        </w:sdtPr>
        <w:sdtContent>
          <w:r w:rsidR="00C7146A">
            <w:rPr>
              <w:lang w:val="en-GB"/>
            </w:rPr>
            <w:fldChar w:fldCharType="begin"/>
          </w:r>
          <w:r w:rsidR="00C7146A">
            <w:instrText xml:space="preserve"> CITATION Roy \l 3081 </w:instrText>
          </w:r>
          <w:r w:rsidR="00C7146A">
            <w:rPr>
              <w:lang w:val="en-GB"/>
            </w:rPr>
            <w:fldChar w:fldCharType="separate"/>
          </w:r>
          <w:r w:rsidR="00C7146A">
            <w:rPr>
              <w:noProof/>
            </w:rPr>
            <w:t xml:space="preserve"> (17)</w:t>
          </w:r>
          <w:r w:rsidR="00C7146A">
            <w:rPr>
              <w:lang w:val="en-GB"/>
            </w:rPr>
            <w:fldChar w:fldCharType="end"/>
          </w:r>
        </w:sdtContent>
      </w:sdt>
      <w:r w:rsidR="00497F80">
        <w:rPr>
          <w:lang w:val="en-GB"/>
        </w:rPr>
        <w:t>.</w:t>
      </w:r>
      <w:r w:rsidR="00FE3F90" w:rsidRPr="00C33C0B">
        <w:rPr>
          <w:lang w:val="en-GB"/>
        </w:rPr>
        <w:t xml:space="preserve"> </w:t>
      </w:r>
    </w:p>
    <w:p w14:paraId="3CA66117" w14:textId="77777777" w:rsidR="00C0022A" w:rsidRDefault="006B36E9" w:rsidP="006504E4">
      <w:pPr>
        <w:pStyle w:val="Bullet-green"/>
        <w:rPr>
          <w:lang w:val="en-GB"/>
        </w:rPr>
      </w:pPr>
      <w:r w:rsidRPr="00C33C0B">
        <w:rPr>
          <w:lang w:val="en-GB"/>
        </w:rPr>
        <w:t>To protect the rights of patients and guide ethical practice, i</w:t>
      </w:r>
      <w:r w:rsidR="00A1248F" w:rsidRPr="00C33C0B">
        <w:rPr>
          <w:lang w:val="en-GB"/>
        </w:rPr>
        <w:t xml:space="preserve">nformed consent is </w:t>
      </w:r>
      <w:r w:rsidR="00A968D6" w:rsidRPr="00C33C0B">
        <w:rPr>
          <w:lang w:val="en-GB"/>
        </w:rPr>
        <w:t>essential</w:t>
      </w:r>
      <w:r w:rsidR="00C0022A">
        <w:rPr>
          <w:lang w:val="en-GB"/>
        </w:rPr>
        <w:t xml:space="preserve">, </w:t>
      </w:r>
      <w:r w:rsidRPr="00C33C0B">
        <w:rPr>
          <w:lang w:val="en-GB"/>
        </w:rPr>
        <w:t>particularly where there is a high rate of interventions associated with potential side</w:t>
      </w:r>
      <w:r w:rsidR="006B7CF5">
        <w:rPr>
          <w:lang w:val="en-GB"/>
        </w:rPr>
        <w:t xml:space="preserve"> </w:t>
      </w:r>
      <w:r w:rsidRPr="00C33C0B">
        <w:rPr>
          <w:lang w:val="en-GB"/>
        </w:rPr>
        <w:t>effect</w:t>
      </w:r>
      <w:bookmarkStart w:id="206" w:name="_Toc521442210"/>
      <w:r w:rsidRPr="00C33C0B">
        <w:rPr>
          <w:lang w:val="en-GB"/>
        </w:rPr>
        <w:t>.</w:t>
      </w:r>
      <w:r w:rsidR="001A0F70" w:rsidRPr="00C33C0B">
        <w:rPr>
          <w:lang w:val="en-GB"/>
        </w:rPr>
        <w:t xml:space="preserve"> </w:t>
      </w:r>
    </w:p>
    <w:p w14:paraId="55E79110" w14:textId="77777777" w:rsidR="001A0F70" w:rsidRPr="00C33C0B" w:rsidRDefault="009F5C65" w:rsidP="006504E4">
      <w:pPr>
        <w:pStyle w:val="Bullet-green"/>
        <w:rPr>
          <w:lang w:val="en-GB"/>
        </w:rPr>
      </w:pPr>
      <w:r w:rsidRPr="00C33C0B">
        <w:rPr>
          <w:lang w:val="en-GB"/>
        </w:rPr>
        <w:t xml:space="preserve">To support shared decision-making, the </w:t>
      </w:r>
      <w:r w:rsidR="006B36E9" w:rsidRPr="00C33C0B">
        <w:rPr>
          <w:lang w:val="en-GB"/>
        </w:rPr>
        <w:t xml:space="preserve">Committee </w:t>
      </w:r>
      <w:r w:rsidRPr="00C33C0B">
        <w:rPr>
          <w:lang w:val="en-GB"/>
        </w:rPr>
        <w:t>believes that the patient’s goals should be sought</w:t>
      </w:r>
      <w:r w:rsidR="009C576F">
        <w:rPr>
          <w:lang w:val="en-GB"/>
        </w:rPr>
        <w:t xml:space="preserve">, </w:t>
      </w:r>
      <w:r w:rsidRPr="00C33C0B">
        <w:rPr>
          <w:lang w:val="en-GB"/>
        </w:rPr>
        <w:t>understood</w:t>
      </w:r>
      <w:r w:rsidR="009C576F">
        <w:rPr>
          <w:lang w:val="en-GB"/>
        </w:rPr>
        <w:t xml:space="preserve"> and taken into account,</w:t>
      </w:r>
      <w:r w:rsidRPr="00C33C0B">
        <w:rPr>
          <w:lang w:val="en-GB"/>
        </w:rPr>
        <w:t xml:space="preserve"> along with the expert medica</w:t>
      </w:r>
      <w:r w:rsidR="001A0F70" w:rsidRPr="00C33C0B">
        <w:rPr>
          <w:lang w:val="en-GB"/>
        </w:rPr>
        <w:t>l knowledge of the practitioner.</w:t>
      </w:r>
    </w:p>
    <w:p w14:paraId="2FB4E742" w14:textId="77777777" w:rsidR="00E3109A" w:rsidRPr="00B1551B" w:rsidRDefault="00E3109A" w:rsidP="00B1551B">
      <w:pPr>
        <w:pStyle w:val="Bullet-green"/>
        <w:numPr>
          <w:ilvl w:val="0"/>
          <w:numId w:val="0"/>
        </w:numPr>
        <w:rPr>
          <w:lang w:val="en-GB"/>
        </w:rPr>
      </w:pPr>
      <w:bookmarkStart w:id="207" w:name="_Toc521442211"/>
      <w:bookmarkEnd w:id="206"/>
      <w:r w:rsidRPr="00B1551B">
        <w:rPr>
          <w:lang w:val="en-GB"/>
        </w:rPr>
        <w:br w:type="page"/>
      </w:r>
    </w:p>
    <w:p w14:paraId="4A189DA7" w14:textId="77777777" w:rsidR="00FB4475" w:rsidRPr="00C33C0B" w:rsidRDefault="00944AB0" w:rsidP="007C6C57">
      <w:pPr>
        <w:pStyle w:val="Heading1"/>
      </w:pPr>
      <w:r>
        <w:t xml:space="preserve"> </w:t>
      </w:r>
      <w:bookmarkStart w:id="208" w:name="_Toc67952250"/>
      <w:r w:rsidR="00FB4475" w:rsidRPr="00C33C0B">
        <w:t>My Health Record</w:t>
      </w:r>
      <w:bookmarkEnd w:id="207"/>
      <w:r>
        <w:t xml:space="preserve"> recommendations</w:t>
      </w:r>
      <w:bookmarkEnd w:id="208"/>
    </w:p>
    <w:p w14:paraId="2D64DEDE" w14:textId="77777777" w:rsidR="006E560B" w:rsidRDefault="006E560B" w:rsidP="0046317E">
      <w:pPr>
        <w:pStyle w:val="Heading2"/>
      </w:pPr>
      <w:bookmarkStart w:id="209" w:name="_Toc67952251"/>
      <w:r>
        <w:t>My Health Record</w:t>
      </w:r>
      <w:bookmarkEnd w:id="209"/>
    </w:p>
    <w:p w14:paraId="11C6C444" w14:textId="77777777" w:rsidR="006E560B" w:rsidRPr="00607BDA" w:rsidRDefault="006E560B" w:rsidP="006E560B">
      <w:pPr>
        <w:rPr>
          <w:lang w:val="en-GB" w:eastAsia="en-US"/>
        </w:rPr>
      </w:pPr>
      <w:r w:rsidRPr="006E560B">
        <w:rPr>
          <w:lang w:val="en-GB" w:eastAsia="en-US"/>
        </w:rPr>
        <w:t>The Federal Government announced in the 2017 Budget a commitment to continue to expand the My Health Record system. By the end of 2018, every Australian will have a My Health Record unle</w:t>
      </w:r>
      <w:r>
        <w:rPr>
          <w:lang w:val="en-GB" w:eastAsia="en-US"/>
        </w:rPr>
        <w:t xml:space="preserve">ss they choose not to have one. </w:t>
      </w:r>
      <w:r w:rsidRPr="006E560B">
        <w:rPr>
          <w:lang w:val="en-GB" w:eastAsia="en-US"/>
        </w:rPr>
        <w:t xml:space="preserve">Through the My Health Record system </w:t>
      </w:r>
      <w:r>
        <w:rPr>
          <w:lang w:val="en-GB" w:eastAsia="en-US"/>
        </w:rPr>
        <w:t>healthcare practitioners have</w:t>
      </w:r>
      <w:r w:rsidRPr="006E560B">
        <w:rPr>
          <w:lang w:val="en-GB" w:eastAsia="en-US"/>
        </w:rPr>
        <w:t xml:space="preserve"> access</w:t>
      </w:r>
      <w:r>
        <w:rPr>
          <w:lang w:val="en-GB" w:eastAsia="en-US"/>
        </w:rPr>
        <w:t xml:space="preserve"> to</w:t>
      </w:r>
      <w:r w:rsidRPr="006E560B">
        <w:rPr>
          <w:lang w:val="en-GB" w:eastAsia="en-US"/>
        </w:rPr>
        <w:t xml:space="preserve"> timely information about patients such as shared health summaries, discharge summaries, prescription and dispense records, pathology reports and diagnostic imaging reports.</w:t>
      </w:r>
    </w:p>
    <w:p w14:paraId="11642179" w14:textId="77777777" w:rsidR="006E560B" w:rsidRDefault="009C2477" w:rsidP="00FB4475">
      <w:pPr>
        <w:rPr>
          <w:rStyle w:val="FootnoteReference"/>
          <w:rFonts w:cstheme="minorHAnsi"/>
          <w:lang w:val="en-GB"/>
        </w:rPr>
      </w:pPr>
      <w:r w:rsidRPr="00C33C0B">
        <w:rPr>
          <w:lang w:val="en-GB"/>
        </w:rPr>
        <w:t xml:space="preserve">The Committee supports the principle that </w:t>
      </w:r>
      <w:r>
        <w:rPr>
          <w:lang w:val="en-GB"/>
        </w:rPr>
        <w:t>e</w:t>
      </w:r>
      <w:r w:rsidRPr="00C33C0B">
        <w:rPr>
          <w:lang w:val="en-GB"/>
        </w:rPr>
        <w:t xml:space="preserve">lectronic </w:t>
      </w:r>
      <w:r>
        <w:rPr>
          <w:lang w:val="en-GB"/>
        </w:rPr>
        <w:t>h</w:t>
      </w:r>
      <w:r w:rsidRPr="00C33C0B">
        <w:rPr>
          <w:lang w:val="en-GB"/>
        </w:rPr>
        <w:t xml:space="preserve">ealth </w:t>
      </w:r>
      <w:r>
        <w:rPr>
          <w:lang w:val="en-GB"/>
        </w:rPr>
        <w:t>r</w:t>
      </w:r>
      <w:r w:rsidRPr="00C33C0B">
        <w:rPr>
          <w:lang w:val="en-GB"/>
        </w:rPr>
        <w:t xml:space="preserve">ecords can </w:t>
      </w:r>
      <w:r>
        <w:rPr>
          <w:lang w:val="en-GB"/>
        </w:rPr>
        <w:t>e</w:t>
      </w:r>
      <w:r w:rsidRPr="00C33C0B">
        <w:rPr>
          <w:lang w:val="en-GB"/>
        </w:rPr>
        <w:t>nhance information sharing between patients and providers</w:t>
      </w:r>
      <w:r>
        <w:rPr>
          <w:lang w:val="en-GB"/>
        </w:rPr>
        <w:t xml:space="preserve"> and thereby promote safe </w:t>
      </w:r>
      <w:r w:rsidR="00474551">
        <w:rPr>
          <w:lang w:val="en-GB"/>
        </w:rPr>
        <w:t xml:space="preserve">and efficient </w:t>
      </w:r>
      <w:r>
        <w:rPr>
          <w:lang w:val="en-GB"/>
        </w:rPr>
        <w:t xml:space="preserve">practice, support self-management and </w:t>
      </w:r>
      <w:r w:rsidRPr="00C33C0B">
        <w:rPr>
          <w:lang w:val="en-GB"/>
        </w:rPr>
        <w:t>improve patient care</w:t>
      </w:r>
      <w:sdt>
        <w:sdtPr>
          <w:rPr>
            <w:lang w:val="en-GB"/>
          </w:rPr>
          <w:id w:val="291574875"/>
          <w:citation/>
        </w:sdtPr>
        <w:sdtContent>
          <w:r w:rsidR="00C7146A">
            <w:rPr>
              <w:lang w:val="en-GB"/>
            </w:rPr>
            <w:fldChar w:fldCharType="begin"/>
          </w:r>
          <w:r w:rsidR="00C7146A">
            <w:instrText xml:space="preserve"> CITATION Min \l 3081 </w:instrText>
          </w:r>
          <w:r w:rsidR="00C7146A">
            <w:rPr>
              <w:lang w:val="en-GB"/>
            </w:rPr>
            <w:fldChar w:fldCharType="separate"/>
          </w:r>
          <w:r w:rsidR="00C7146A">
            <w:rPr>
              <w:noProof/>
            </w:rPr>
            <w:t xml:space="preserve"> (18)</w:t>
          </w:r>
          <w:r w:rsidR="00C7146A">
            <w:rPr>
              <w:lang w:val="en-GB"/>
            </w:rPr>
            <w:fldChar w:fldCharType="end"/>
          </w:r>
        </w:sdtContent>
      </w:sdt>
      <w:r w:rsidR="00E0652E">
        <w:rPr>
          <w:lang w:val="en-GB"/>
        </w:rPr>
        <w:t>.</w:t>
      </w:r>
      <w:r w:rsidR="00FB4475" w:rsidRPr="00C33C0B">
        <w:rPr>
          <w:rStyle w:val="FootnoteReference"/>
          <w:rFonts w:cstheme="minorHAnsi"/>
          <w:lang w:val="en-GB"/>
        </w:rPr>
        <w:t xml:space="preserve"> </w:t>
      </w:r>
    </w:p>
    <w:p w14:paraId="4964DE59" w14:textId="77777777" w:rsidR="00FB4475" w:rsidRPr="00C33C0B" w:rsidRDefault="00FB4475" w:rsidP="00FB4475">
      <w:pPr>
        <w:rPr>
          <w:lang w:val="en-GB"/>
        </w:rPr>
      </w:pPr>
      <w:r w:rsidRPr="00C33C0B">
        <w:rPr>
          <w:lang w:val="en-GB"/>
        </w:rPr>
        <w:t xml:space="preserve">The </w:t>
      </w:r>
      <w:r w:rsidR="008A544A" w:rsidRPr="00C33C0B">
        <w:rPr>
          <w:lang w:val="en-GB"/>
        </w:rPr>
        <w:t>Committee</w:t>
      </w:r>
      <w:r w:rsidRPr="00C33C0B">
        <w:rPr>
          <w:lang w:val="en-GB"/>
        </w:rPr>
        <w:t xml:space="preserve"> has made </w:t>
      </w:r>
      <w:r w:rsidR="008A544A" w:rsidRPr="00C33C0B">
        <w:rPr>
          <w:lang w:val="en-GB"/>
        </w:rPr>
        <w:t xml:space="preserve">both MBS and non-MBS recommendations to support </w:t>
      </w:r>
      <w:r w:rsidR="00550F68">
        <w:rPr>
          <w:lang w:val="en-GB"/>
        </w:rPr>
        <w:t xml:space="preserve">the </w:t>
      </w:r>
      <w:r w:rsidRPr="00C33C0B">
        <w:rPr>
          <w:lang w:val="en-GB"/>
        </w:rPr>
        <w:t xml:space="preserve">adoption of digital record systems by </w:t>
      </w:r>
      <w:r w:rsidR="00AA329D">
        <w:rPr>
          <w:lang w:val="en-GB"/>
        </w:rPr>
        <w:t>consultant specialist</w:t>
      </w:r>
      <w:r w:rsidR="00CE6373" w:rsidRPr="00C33C0B">
        <w:rPr>
          <w:lang w:val="en-GB"/>
        </w:rPr>
        <w:t>s</w:t>
      </w:r>
      <w:r w:rsidR="00142C1E">
        <w:rPr>
          <w:lang w:val="en-GB"/>
        </w:rPr>
        <w:t>,</w:t>
      </w:r>
      <w:r w:rsidR="00CE6373" w:rsidRPr="00C33C0B">
        <w:rPr>
          <w:lang w:val="en-GB"/>
        </w:rPr>
        <w:t xml:space="preserve"> </w:t>
      </w:r>
      <w:r w:rsidR="00D2440E">
        <w:rPr>
          <w:lang w:val="en-GB"/>
        </w:rPr>
        <w:t>cognisant of</w:t>
      </w:r>
      <w:r w:rsidR="008A544A" w:rsidRPr="00C33C0B">
        <w:rPr>
          <w:lang w:val="en-GB"/>
        </w:rPr>
        <w:t xml:space="preserve"> the current limitations of digital readiness among </w:t>
      </w:r>
      <w:r w:rsidR="00AA329D">
        <w:rPr>
          <w:lang w:val="en-GB"/>
        </w:rPr>
        <w:t>consultant specialist</w:t>
      </w:r>
      <w:r w:rsidR="008A544A" w:rsidRPr="00C33C0B">
        <w:rPr>
          <w:lang w:val="en-GB"/>
        </w:rPr>
        <w:t>s.</w:t>
      </w:r>
    </w:p>
    <w:p w14:paraId="3DB2C96F" w14:textId="77777777" w:rsidR="00FB4475" w:rsidRPr="00C33C0B" w:rsidRDefault="00FB4475" w:rsidP="001B444E">
      <w:pPr>
        <w:pStyle w:val="Heading2"/>
      </w:pPr>
      <w:bookmarkStart w:id="210" w:name="_Toc67952252"/>
      <w:r w:rsidRPr="00C33C0B">
        <w:t>Barrier</w:t>
      </w:r>
      <w:r w:rsidR="005A29A5" w:rsidRPr="00C33C0B">
        <w:t>s</w:t>
      </w:r>
      <w:r w:rsidRPr="00C33C0B">
        <w:t xml:space="preserve"> to uptake of My Health Record by </w:t>
      </w:r>
      <w:r w:rsidR="00AA329D">
        <w:t>consultant specialist</w:t>
      </w:r>
      <w:r w:rsidR="00CE6373" w:rsidRPr="00C33C0B">
        <w:t>s</w:t>
      </w:r>
      <w:bookmarkEnd w:id="210"/>
    </w:p>
    <w:p w14:paraId="0EE67DA5" w14:textId="77777777" w:rsidR="00FB4475" w:rsidRPr="00C33C0B" w:rsidRDefault="009324A7" w:rsidP="00FB4475">
      <w:pPr>
        <w:rPr>
          <w:lang w:val="en-GB"/>
        </w:rPr>
      </w:pPr>
      <w:r w:rsidRPr="00C33C0B">
        <w:rPr>
          <w:lang w:val="en-GB"/>
        </w:rPr>
        <w:t>The Committee notes that</w:t>
      </w:r>
      <w:r w:rsidR="00FB4475" w:rsidRPr="00C33C0B">
        <w:rPr>
          <w:lang w:val="en-GB"/>
        </w:rPr>
        <w:t xml:space="preserve"> adoption </w:t>
      </w:r>
      <w:r w:rsidRPr="00C33C0B">
        <w:rPr>
          <w:lang w:val="en-GB"/>
        </w:rPr>
        <w:t xml:space="preserve">of My Health Record </w:t>
      </w:r>
      <w:r w:rsidR="00FB4475" w:rsidRPr="00C33C0B">
        <w:rPr>
          <w:lang w:val="en-GB"/>
        </w:rPr>
        <w:t xml:space="preserve">is very low among </w:t>
      </w:r>
      <w:r w:rsidR="00AA329D">
        <w:rPr>
          <w:lang w:val="en-GB"/>
        </w:rPr>
        <w:t>consultant specialist</w:t>
      </w:r>
      <w:r w:rsidR="00CE6373" w:rsidRPr="00C33C0B">
        <w:rPr>
          <w:lang w:val="en-GB"/>
        </w:rPr>
        <w:t>s</w:t>
      </w:r>
      <w:r w:rsidR="00FB4475" w:rsidRPr="00C33C0B">
        <w:rPr>
          <w:lang w:val="en-GB"/>
        </w:rPr>
        <w:t xml:space="preserve"> </w:t>
      </w:r>
      <w:r w:rsidR="00E6172B">
        <w:rPr>
          <w:lang w:val="en-GB"/>
        </w:rPr>
        <w:t>(</w:t>
      </w:r>
      <w:r w:rsidRPr="00C33C0B">
        <w:rPr>
          <w:lang w:val="en-GB"/>
        </w:rPr>
        <w:t xml:space="preserve">just </w:t>
      </w:r>
      <w:r w:rsidR="00FB4475" w:rsidRPr="00C33C0B">
        <w:rPr>
          <w:lang w:val="en-GB"/>
        </w:rPr>
        <w:t>263 providers in September 2017</w:t>
      </w:r>
      <w:r w:rsidR="008B02BF">
        <w:rPr>
          <w:lang w:val="en-GB"/>
        </w:rPr>
        <w:t>)</w:t>
      </w:r>
      <w:sdt>
        <w:sdtPr>
          <w:rPr>
            <w:lang w:val="en-GB"/>
          </w:rPr>
          <w:id w:val="798963341"/>
          <w:citation/>
        </w:sdtPr>
        <w:sdtContent>
          <w:r w:rsidR="00C7146A">
            <w:rPr>
              <w:lang w:val="en-GB"/>
            </w:rPr>
            <w:fldChar w:fldCharType="begin"/>
          </w:r>
          <w:r w:rsidR="00C7146A">
            <w:instrText xml:space="preserve"> CITATION Aus17 \l 3081 </w:instrText>
          </w:r>
          <w:r w:rsidR="00C7146A">
            <w:rPr>
              <w:lang w:val="en-GB"/>
            </w:rPr>
            <w:fldChar w:fldCharType="separate"/>
          </w:r>
          <w:r w:rsidR="00C7146A">
            <w:rPr>
              <w:noProof/>
            </w:rPr>
            <w:t xml:space="preserve"> (19)</w:t>
          </w:r>
          <w:r w:rsidR="00C7146A">
            <w:rPr>
              <w:lang w:val="en-GB"/>
            </w:rPr>
            <w:fldChar w:fldCharType="end"/>
          </w:r>
        </w:sdtContent>
      </w:sdt>
      <w:r w:rsidR="00E0652E">
        <w:rPr>
          <w:lang w:val="en-GB"/>
        </w:rPr>
        <w:t>.</w:t>
      </w:r>
      <w:r w:rsidR="00FB4475" w:rsidRPr="00C33C0B">
        <w:rPr>
          <w:lang w:val="en-GB"/>
        </w:rPr>
        <w:t xml:space="preserve"> Barriers to uptake include:</w:t>
      </w:r>
    </w:p>
    <w:p w14:paraId="3B6EE002" w14:textId="77777777" w:rsidR="00FB4475" w:rsidRPr="00C33C0B" w:rsidRDefault="00FB4475" w:rsidP="00FB4475">
      <w:pPr>
        <w:pStyle w:val="Bullet-green"/>
        <w:rPr>
          <w:lang w:val="en-GB"/>
        </w:rPr>
      </w:pPr>
      <w:r w:rsidRPr="00C33C0B">
        <w:rPr>
          <w:lang w:val="en-GB"/>
        </w:rPr>
        <w:t xml:space="preserve">A fragmented </w:t>
      </w:r>
      <w:r w:rsidR="009324A7" w:rsidRPr="00C33C0B">
        <w:rPr>
          <w:lang w:val="en-GB"/>
        </w:rPr>
        <w:t xml:space="preserve">clinical information system </w:t>
      </w:r>
      <w:r w:rsidRPr="00C33C0B">
        <w:rPr>
          <w:lang w:val="en-GB"/>
        </w:rPr>
        <w:t>provider market</w:t>
      </w:r>
      <w:r w:rsidR="00375EEE">
        <w:rPr>
          <w:lang w:val="en-GB"/>
        </w:rPr>
        <w:t>,</w:t>
      </w:r>
      <w:r w:rsidRPr="00C33C0B">
        <w:rPr>
          <w:lang w:val="en-GB"/>
        </w:rPr>
        <w:t xml:space="preserve"> which has led to inter-operability issues</w:t>
      </w:r>
      <w:r w:rsidR="00B85435">
        <w:rPr>
          <w:lang w:val="en-GB"/>
        </w:rPr>
        <w:t>;</w:t>
      </w:r>
    </w:p>
    <w:p w14:paraId="279487FE" w14:textId="77777777" w:rsidR="00FB4475" w:rsidRPr="00C33C0B" w:rsidRDefault="00FB4475" w:rsidP="00FB4475">
      <w:pPr>
        <w:pStyle w:val="Bullet-green"/>
        <w:rPr>
          <w:lang w:val="en-GB"/>
        </w:rPr>
      </w:pPr>
      <w:r w:rsidRPr="00C33C0B">
        <w:rPr>
          <w:lang w:val="en-GB"/>
        </w:rPr>
        <w:t>Concerns about the usability and utility of the current My Health Record architecture</w:t>
      </w:r>
      <w:r w:rsidR="00A273FD">
        <w:rPr>
          <w:lang w:val="en-GB"/>
        </w:rPr>
        <w:t>,</w:t>
      </w:r>
      <w:r w:rsidRPr="00C33C0B">
        <w:rPr>
          <w:lang w:val="en-GB"/>
        </w:rPr>
        <w:t xml:space="preserve"> which acts as document repository (through the uploading of PDFs) with limited search function</w:t>
      </w:r>
      <w:sdt>
        <w:sdtPr>
          <w:rPr>
            <w:lang w:val="en-GB"/>
          </w:rPr>
          <w:id w:val="-511844202"/>
          <w:citation/>
        </w:sdtPr>
        <w:sdtContent>
          <w:r w:rsidR="00C7146A">
            <w:rPr>
              <w:lang w:val="en-GB"/>
            </w:rPr>
            <w:fldChar w:fldCharType="begin"/>
          </w:r>
          <w:r w:rsidR="00C7146A">
            <w:instrText xml:space="preserve"> CITATION Gra17 \l 3081 </w:instrText>
          </w:r>
          <w:r w:rsidR="00C7146A">
            <w:rPr>
              <w:lang w:val="en-GB"/>
            </w:rPr>
            <w:fldChar w:fldCharType="separate"/>
          </w:r>
          <w:r w:rsidR="00C7146A">
            <w:rPr>
              <w:noProof/>
            </w:rPr>
            <w:t xml:space="preserve"> (20)</w:t>
          </w:r>
          <w:r w:rsidR="00C7146A">
            <w:rPr>
              <w:lang w:val="en-GB"/>
            </w:rPr>
            <w:fldChar w:fldCharType="end"/>
          </w:r>
        </w:sdtContent>
      </w:sdt>
      <w:r w:rsidR="00B85435">
        <w:rPr>
          <w:lang w:val="en-GB"/>
        </w:rPr>
        <w:t>;</w:t>
      </w:r>
    </w:p>
    <w:p w14:paraId="0831D7E5" w14:textId="77777777" w:rsidR="00FB4475" w:rsidRPr="00C33C0B" w:rsidRDefault="001007F0" w:rsidP="00FB4475">
      <w:pPr>
        <w:pStyle w:val="Bullet-green"/>
        <w:rPr>
          <w:lang w:val="en-GB"/>
        </w:rPr>
      </w:pPr>
      <w:r>
        <w:rPr>
          <w:lang w:val="en-GB"/>
        </w:rPr>
        <w:t xml:space="preserve">Perceptions regarding the rigour of </w:t>
      </w:r>
      <w:r w:rsidR="00FB4475" w:rsidRPr="00C33C0B">
        <w:rPr>
          <w:lang w:val="en-GB"/>
        </w:rPr>
        <w:t>data privacy</w:t>
      </w:r>
      <w:r w:rsidR="00B85435">
        <w:rPr>
          <w:lang w:val="en-GB"/>
        </w:rPr>
        <w:t xml:space="preserve">; </w:t>
      </w:r>
      <w:r w:rsidR="00F1672E">
        <w:rPr>
          <w:lang w:val="en-GB"/>
        </w:rPr>
        <w:t>and</w:t>
      </w:r>
    </w:p>
    <w:p w14:paraId="7B341DA4" w14:textId="77777777" w:rsidR="00FB4475" w:rsidRPr="00C33C0B" w:rsidRDefault="00FB4475" w:rsidP="00FB4475">
      <w:pPr>
        <w:pStyle w:val="Bullet-green"/>
        <w:rPr>
          <w:lang w:val="en-GB"/>
        </w:rPr>
      </w:pPr>
      <w:r w:rsidRPr="00C33C0B">
        <w:rPr>
          <w:lang w:val="en-GB"/>
        </w:rPr>
        <w:t>Health</w:t>
      </w:r>
      <w:r w:rsidR="008C3C6A">
        <w:rPr>
          <w:lang w:val="en-GB"/>
        </w:rPr>
        <w:t xml:space="preserve"> </w:t>
      </w:r>
      <w:r w:rsidRPr="00C33C0B">
        <w:rPr>
          <w:lang w:val="en-GB"/>
        </w:rPr>
        <w:t>care provider and consumer education and engagement</w:t>
      </w:r>
      <w:sdt>
        <w:sdtPr>
          <w:rPr>
            <w:lang w:val="en-GB"/>
          </w:rPr>
          <w:id w:val="767896091"/>
          <w:citation/>
        </w:sdtPr>
        <w:sdtContent>
          <w:r w:rsidR="00C7146A">
            <w:rPr>
              <w:lang w:val="en-GB"/>
            </w:rPr>
            <w:fldChar w:fldCharType="begin"/>
          </w:r>
          <w:r w:rsidR="00C7146A">
            <w:instrText xml:space="preserve"> CITATION Sig16 \l 3081 </w:instrText>
          </w:r>
          <w:r w:rsidR="00C7146A">
            <w:rPr>
              <w:lang w:val="en-GB"/>
            </w:rPr>
            <w:fldChar w:fldCharType="separate"/>
          </w:r>
          <w:r w:rsidR="00C7146A">
            <w:rPr>
              <w:noProof/>
            </w:rPr>
            <w:t xml:space="preserve"> (21)</w:t>
          </w:r>
          <w:r w:rsidR="00C7146A">
            <w:rPr>
              <w:lang w:val="en-GB"/>
            </w:rPr>
            <w:fldChar w:fldCharType="end"/>
          </w:r>
        </w:sdtContent>
      </w:sdt>
      <w:r w:rsidR="00E0652E">
        <w:rPr>
          <w:lang w:val="en-GB"/>
        </w:rPr>
        <w:t>.</w:t>
      </w:r>
    </w:p>
    <w:p w14:paraId="1962184A" w14:textId="77777777" w:rsidR="00690EC7" w:rsidRDefault="00FB4475" w:rsidP="00FB4475">
      <w:pPr>
        <w:rPr>
          <w:rFonts w:cstheme="minorHAnsi"/>
          <w:lang w:val="en-GB"/>
        </w:rPr>
      </w:pPr>
      <w:r w:rsidRPr="00C33C0B">
        <w:rPr>
          <w:lang w:val="en-GB"/>
        </w:rPr>
        <w:t>Evaluations of the roll-out of shared electronic health records globally suggest that countries have often quoted time</w:t>
      </w:r>
      <w:r w:rsidR="002B3BAF">
        <w:rPr>
          <w:lang w:val="en-GB"/>
        </w:rPr>
        <w:t xml:space="preserve"> </w:t>
      </w:r>
      <w:r w:rsidRPr="00C33C0B">
        <w:rPr>
          <w:lang w:val="en-GB"/>
        </w:rPr>
        <w:t xml:space="preserve">frames of 10 years or more. </w:t>
      </w:r>
      <w:r w:rsidR="002B3BAF">
        <w:rPr>
          <w:lang w:val="en-GB"/>
        </w:rPr>
        <w:t>Such</w:t>
      </w:r>
      <w:r w:rsidRPr="00C33C0B">
        <w:rPr>
          <w:lang w:val="en-GB"/>
        </w:rPr>
        <w:t xml:space="preserve"> time</w:t>
      </w:r>
      <w:r w:rsidR="002B3BAF">
        <w:rPr>
          <w:lang w:val="en-GB"/>
        </w:rPr>
        <w:t xml:space="preserve"> </w:t>
      </w:r>
      <w:r w:rsidRPr="00C33C0B">
        <w:rPr>
          <w:lang w:val="en-GB"/>
        </w:rPr>
        <w:t xml:space="preserve">frames </w:t>
      </w:r>
      <w:r w:rsidR="00113AE1">
        <w:rPr>
          <w:lang w:val="en-GB"/>
        </w:rPr>
        <w:t>reflect</w:t>
      </w:r>
      <w:r w:rsidR="00785931" w:rsidRPr="00C33C0B">
        <w:rPr>
          <w:lang w:val="en-GB"/>
        </w:rPr>
        <w:t xml:space="preserve"> </w:t>
      </w:r>
      <w:r w:rsidRPr="00C33C0B">
        <w:rPr>
          <w:lang w:val="en-GB"/>
        </w:rPr>
        <w:t>the significant change management required</w:t>
      </w:r>
      <w:r w:rsidR="00C263AE">
        <w:rPr>
          <w:lang w:val="en-GB"/>
        </w:rPr>
        <w:t xml:space="preserve"> and s</w:t>
      </w:r>
      <w:r w:rsidRPr="00C33C0B">
        <w:rPr>
          <w:lang w:val="en-GB"/>
        </w:rPr>
        <w:t>ugges</w:t>
      </w:r>
      <w:r w:rsidR="00C263AE">
        <w:rPr>
          <w:lang w:val="en-GB"/>
        </w:rPr>
        <w:t>t</w:t>
      </w:r>
      <w:r w:rsidRPr="00C33C0B">
        <w:rPr>
          <w:lang w:val="en-GB"/>
        </w:rPr>
        <w:t xml:space="preserve"> </w:t>
      </w:r>
      <w:r w:rsidR="006B7CF5">
        <w:rPr>
          <w:lang w:val="en-GB"/>
        </w:rPr>
        <w:t>a need to</w:t>
      </w:r>
      <w:r w:rsidRPr="00C33C0B">
        <w:rPr>
          <w:lang w:val="en-GB"/>
        </w:rPr>
        <w:t xml:space="preserve"> anticipate and plan for several generations of software</w:t>
      </w:r>
      <w:sdt>
        <w:sdtPr>
          <w:rPr>
            <w:lang w:val="en-GB"/>
          </w:rPr>
          <w:id w:val="2141685238"/>
          <w:citation/>
        </w:sdtPr>
        <w:sdtContent>
          <w:r w:rsidR="00C7146A">
            <w:rPr>
              <w:lang w:val="en-GB"/>
            </w:rPr>
            <w:fldChar w:fldCharType="begin"/>
          </w:r>
          <w:r w:rsidR="00C7146A">
            <w:instrText xml:space="preserve"> CITATION Cen08 \l 3081 </w:instrText>
          </w:r>
          <w:r w:rsidR="00C7146A">
            <w:rPr>
              <w:lang w:val="en-GB"/>
            </w:rPr>
            <w:fldChar w:fldCharType="separate"/>
          </w:r>
          <w:r w:rsidR="00C7146A">
            <w:rPr>
              <w:noProof/>
            </w:rPr>
            <w:t xml:space="preserve"> (22)</w:t>
          </w:r>
          <w:r w:rsidR="00C7146A">
            <w:rPr>
              <w:lang w:val="en-GB"/>
            </w:rPr>
            <w:fldChar w:fldCharType="end"/>
          </w:r>
        </w:sdtContent>
      </w:sdt>
      <w:r w:rsidR="00E0652E">
        <w:rPr>
          <w:rStyle w:val="FootnoteReference"/>
          <w:rFonts w:cstheme="minorHAnsi"/>
          <w:vertAlign w:val="baseline"/>
          <w:lang w:val="en-GB"/>
        </w:rPr>
        <w:t>.</w:t>
      </w:r>
    </w:p>
    <w:p w14:paraId="3BD6DC56" w14:textId="77777777" w:rsidR="003E5720" w:rsidRPr="00C33C0B" w:rsidRDefault="003E5720" w:rsidP="00246FD6">
      <w:pPr>
        <w:pStyle w:val="Heading2"/>
        <w:ind w:left="578" w:hanging="578"/>
      </w:pPr>
      <w:bookmarkStart w:id="211" w:name="_Toc22894023"/>
      <w:bookmarkStart w:id="212" w:name="_Toc67952253"/>
      <w:r w:rsidRPr="00C33C0B">
        <w:t>Recommendation 1</w:t>
      </w:r>
      <w:r>
        <w:t>7 – Incentivise adoption of My Health Record</w:t>
      </w:r>
      <w:bookmarkEnd w:id="211"/>
      <w:bookmarkEnd w:id="212"/>
    </w:p>
    <w:p w14:paraId="3CCFA93B" w14:textId="77777777" w:rsidR="003E5720" w:rsidRDefault="003E5720" w:rsidP="003E5720">
      <w:r>
        <w:rPr>
          <w:lang w:val="en-US" w:eastAsia="en-US"/>
        </w:rPr>
        <w:t>The Committee recommends:</w:t>
      </w:r>
    </w:p>
    <w:p w14:paraId="059C1C0C" w14:textId="77777777" w:rsidR="003E5720" w:rsidRDefault="003E5720" w:rsidP="003E5720">
      <w:pPr>
        <w:pStyle w:val="Bullet-green"/>
        <w:numPr>
          <w:ilvl w:val="0"/>
          <w:numId w:val="44"/>
        </w:numPr>
      </w:pPr>
      <w:r>
        <w:t xml:space="preserve">introducing a single incentive payment to consultant specialists upon their adoption of My Health Record, </w:t>
      </w:r>
      <w:r w:rsidRPr="00C33C0B">
        <w:t xml:space="preserve">triggered by </w:t>
      </w:r>
      <w:r>
        <w:t xml:space="preserve">achieving a </w:t>
      </w:r>
      <w:r w:rsidRPr="00C33C0B">
        <w:t xml:space="preserve">volume of uploads </w:t>
      </w:r>
      <w:r>
        <w:t>that is proportional to the number of attendances that the provider performs; and</w:t>
      </w:r>
    </w:p>
    <w:p w14:paraId="50ECA325" w14:textId="77777777" w:rsidR="003E5720" w:rsidRDefault="003E5720" w:rsidP="003E5720">
      <w:pPr>
        <w:pStyle w:val="Bullet-green"/>
        <w:numPr>
          <w:ilvl w:val="0"/>
          <w:numId w:val="44"/>
        </w:numPr>
      </w:pPr>
      <w:r>
        <w:t xml:space="preserve">reviewing the effectiveness of the incentive payment after </w:t>
      </w:r>
      <w:r w:rsidR="00690EC7">
        <w:t>a defined period such as two years</w:t>
      </w:r>
      <w:r>
        <w:t>.</w:t>
      </w:r>
    </w:p>
    <w:p w14:paraId="213B916B" w14:textId="77777777" w:rsidR="003E5720" w:rsidRPr="00C33C0B" w:rsidRDefault="003E5720" w:rsidP="003E5720">
      <w:pPr>
        <w:pStyle w:val="Heading2"/>
      </w:pPr>
      <w:bookmarkStart w:id="213" w:name="_Toc22894024"/>
      <w:bookmarkStart w:id="214" w:name="_Toc67952254"/>
      <w:r w:rsidRPr="00C33C0B">
        <w:t>Rationale</w:t>
      </w:r>
      <w:r>
        <w:t xml:space="preserve"> 17</w:t>
      </w:r>
      <w:bookmarkEnd w:id="213"/>
      <w:bookmarkEnd w:id="214"/>
    </w:p>
    <w:p w14:paraId="05467A96" w14:textId="77777777" w:rsidR="003E5720" w:rsidRDefault="003E5720" w:rsidP="003E5720">
      <w:pPr>
        <w:rPr>
          <w:lang w:val="en-GB"/>
        </w:rPr>
      </w:pPr>
      <w:r>
        <w:rPr>
          <w:lang w:val="en-GB"/>
        </w:rPr>
        <w:t>This recommendation focuses on encouraging use of My Health Record by consultant specialists. It is based on the following:</w:t>
      </w:r>
    </w:p>
    <w:p w14:paraId="7BD96F41" w14:textId="77777777" w:rsidR="003E5720" w:rsidRPr="00803A7E" w:rsidRDefault="003E5720" w:rsidP="003E5720">
      <w:pPr>
        <w:pStyle w:val="Bullet-green"/>
        <w:rPr>
          <w:lang w:val="en-GB"/>
        </w:rPr>
      </w:pPr>
      <w:r w:rsidRPr="00C17F86">
        <w:rPr>
          <w:lang w:val="en-GB"/>
        </w:rPr>
        <w:t>Given current barriers to the uptake of My Health Record, the Committee believes that, in the short term, incentivising consultant specialists to adopt My Health Record will be more effective than mandating its use.</w:t>
      </w:r>
    </w:p>
    <w:p w14:paraId="5F8E1B9B" w14:textId="77777777" w:rsidR="00671DC0" w:rsidRDefault="00671DC0" w:rsidP="00671DC0">
      <w:pPr>
        <w:pStyle w:val="Heading2"/>
      </w:pPr>
      <w:bookmarkStart w:id="215" w:name="_Toc67952255"/>
      <w:r>
        <w:t>Recommendation 1</w:t>
      </w:r>
      <w:r w:rsidR="00690EC7">
        <w:t>8</w:t>
      </w:r>
      <w:r w:rsidR="00F1672E">
        <w:t xml:space="preserve"> –</w:t>
      </w:r>
      <w:r w:rsidR="00690EC7">
        <w:t>U</w:t>
      </w:r>
      <w:r w:rsidR="00A10405">
        <w:t xml:space="preserve">se </w:t>
      </w:r>
      <w:r w:rsidR="00F1672E">
        <w:t>of My Health Record</w:t>
      </w:r>
      <w:r w:rsidR="00690EC7">
        <w:t xml:space="preserve"> for case conferences and complex plans</w:t>
      </w:r>
      <w:bookmarkEnd w:id="215"/>
    </w:p>
    <w:p w14:paraId="69C5E10C" w14:textId="77777777" w:rsidR="00F1672E" w:rsidRDefault="00671DC0" w:rsidP="00607BDA">
      <w:pPr>
        <w:pStyle w:val="Bullet-green"/>
        <w:numPr>
          <w:ilvl w:val="0"/>
          <w:numId w:val="0"/>
        </w:numPr>
      </w:pPr>
      <w:r>
        <w:rPr>
          <w:lang w:val="en-US" w:eastAsia="en-US"/>
        </w:rPr>
        <w:t>The Committee</w:t>
      </w:r>
      <w:r w:rsidR="00F1672E">
        <w:rPr>
          <w:lang w:val="en-US" w:eastAsia="en-US"/>
        </w:rPr>
        <w:t xml:space="preserve"> recommends</w:t>
      </w:r>
      <w:r w:rsidR="009B52AE">
        <w:rPr>
          <w:lang w:val="en-US" w:eastAsia="en-US"/>
        </w:rPr>
        <w:t xml:space="preserve"> </w:t>
      </w:r>
      <w:r w:rsidR="00690EC7">
        <w:rPr>
          <w:lang w:val="en-US" w:eastAsia="en-US"/>
        </w:rPr>
        <w:t xml:space="preserve">that: </w:t>
      </w:r>
    </w:p>
    <w:p w14:paraId="67577E18" w14:textId="77777777" w:rsidR="00690EC7" w:rsidRDefault="00690EC7" w:rsidP="000831A1">
      <w:pPr>
        <w:pStyle w:val="Bullet-green"/>
        <w:numPr>
          <w:ilvl w:val="0"/>
          <w:numId w:val="42"/>
        </w:numPr>
      </w:pPr>
      <w:r>
        <w:t>outcomes of case conferences are uploaded to My Health Record, unless patient consent is withdrawn, and where reasonably achievable, with:</w:t>
      </w:r>
    </w:p>
    <w:p w14:paraId="228D5EC6" w14:textId="77777777" w:rsidR="00FF3DDE" w:rsidRDefault="00F1672E" w:rsidP="00C035DF">
      <w:pPr>
        <w:pStyle w:val="Bullet-green"/>
        <w:numPr>
          <w:ilvl w:val="1"/>
          <w:numId w:val="42"/>
        </w:numPr>
      </w:pPr>
      <w:r>
        <w:t>f</w:t>
      </w:r>
      <w:r w:rsidR="00671DC0">
        <w:t xml:space="preserve">or treatment planning case conferences, the specialist organising the conference </w:t>
      </w:r>
      <w:r w:rsidR="008F28D4">
        <w:t>responsible for the upload</w:t>
      </w:r>
      <w:r w:rsidR="00B85435">
        <w:t>;</w:t>
      </w:r>
      <w:r>
        <w:t xml:space="preserve"> and</w:t>
      </w:r>
    </w:p>
    <w:p w14:paraId="247995AB" w14:textId="77777777" w:rsidR="00021C6C" w:rsidRDefault="00F1672E" w:rsidP="00C035DF">
      <w:pPr>
        <w:pStyle w:val="Bullet-green"/>
        <w:numPr>
          <w:ilvl w:val="1"/>
          <w:numId w:val="42"/>
        </w:numPr>
      </w:pPr>
      <w:r>
        <w:t>f</w:t>
      </w:r>
      <w:r w:rsidR="008F28D4">
        <w:t>or community and discharge case conferences, the GP participating in the case conference responsible for the upload</w:t>
      </w:r>
      <w:r w:rsidR="009B52AE">
        <w:t>.</w:t>
      </w:r>
    </w:p>
    <w:p w14:paraId="676F7C63" w14:textId="77777777" w:rsidR="00FF3DDE" w:rsidRDefault="00FF3DDE" w:rsidP="00FF3DDE">
      <w:pPr>
        <w:pStyle w:val="Bullet-green"/>
        <w:numPr>
          <w:ilvl w:val="0"/>
          <w:numId w:val="42"/>
        </w:numPr>
      </w:pPr>
      <w:r>
        <w:t>geriatric complex plans and paediatric complex plans be uploaded to My Health Record, with the geriatrician or paediatrician responsible for the upload, unless patient consent is withdrawn, and where reasonably achievable.</w:t>
      </w:r>
    </w:p>
    <w:p w14:paraId="3B03D5CE" w14:textId="1F202C5F" w:rsidR="009B52AE" w:rsidRDefault="009B52AE" w:rsidP="00607BDA">
      <w:pPr>
        <w:rPr>
          <w:i/>
        </w:rPr>
      </w:pPr>
      <w:r w:rsidRPr="00607BDA">
        <w:rPr>
          <w:i/>
        </w:rPr>
        <w:t>Note: See case conference item descriptors in Section 7</w:t>
      </w:r>
      <w:r w:rsidR="007F6438">
        <w:rPr>
          <w:i/>
        </w:rPr>
        <w:t xml:space="preserve"> and Recommendation </w:t>
      </w:r>
      <w:r w:rsidR="00FF3DDE">
        <w:rPr>
          <w:i/>
        </w:rPr>
        <w:t>11</w:t>
      </w:r>
      <w:r w:rsidR="007F6438">
        <w:rPr>
          <w:i/>
        </w:rPr>
        <w:t>e</w:t>
      </w:r>
      <w:r w:rsidR="00062C75">
        <w:rPr>
          <w:i/>
        </w:rPr>
        <w:t xml:space="preserve"> </w:t>
      </w:r>
      <w:r w:rsidR="007F6438">
        <w:rPr>
          <w:i/>
        </w:rPr>
        <w:t>(iv)</w:t>
      </w:r>
      <w:r w:rsidRPr="00607BDA">
        <w:rPr>
          <w:i/>
        </w:rPr>
        <w:t>.</w:t>
      </w:r>
    </w:p>
    <w:p w14:paraId="1D2E12A2" w14:textId="77777777" w:rsidR="00A10405" w:rsidRPr="00C33C0B" w:rsidRDefault="00A10405" w:rsidP="00A10405">
      <w:pPr>
        <w:pStyle w:val="Heading2"/>
      </w:pPr>
      <w:bookmarkStart w:id="216" w:name="_Toc67952256"/>
      <w:r w:rsidRPr="00C33C0B">
        <w:t>Rationale</w:t>
      </w:r>
      <w:r>
        <w:t xml:space="preserve"> 1</w:t>
      </w:r>
      <w:r w:rsidR="00FF3DDE">
        <w:t>8</w:t>
      </w:r>
      <w:bookmarkEnd w:id="216"/>
    </w:p>
    <w:p w14:paraId="0B8D9FAE" w14:textId="77777777" w:rsidR="00A10405" w:rsidRDefault="00A10405" w:rsidP="00A10405">
      <w:pPr>
        <w:rPr>
          <w:lang w:val="en-GB"/>
        </w:rPr>
      </w:pPr>
      <w:r>
        <w:rPr>
          <w:lang w:val="en-GB"/>
        </w:rPr>
        <w:t>This recommendation focuses on encouraging the upload of event summaries to My Health Record. It is based on the following:</w:t>
      </w:r>
    </w:p>
    <w:p w14:paraId="53338CFC" w14:textId="77777777" w:rsidR="00A10405" w:rsidRDefault="00A10405" w:rsidP="00607BDA">
      <w:pPr>
        <w:pStyle w:val="Bullet-green"/>
        <w:rPr>
          <w:lang w:val="en-GB"/>
        </w:rPr>
      </w:pPr>
      <w:r>
        <w:rPr>
          <w:lang w:val="en-GB"/>
        </w:rPr>
        <w:t xml:space="preserve">Case conferences facilitate </w:t>
      </w:r>
      <w:r w:rsidRPr="00F25E40">
        <w:rPr>
          <w:lang w:val="en-GB"/>
        </w:rPr>
        <w:t xml:space="preserve">consultant specialist input into </w:t>
      </w:r>
      <w:r>
        <w:rPr>
          <w:lang w:val="en-GB"/>
        </w:rPr>
        <w:t>the management of patient</w:t>
      </w:r>
      <w:r w:rsidR="00F01167">
        <w:rPr>
          <w:lang w:val="en-GB"/>
        </w:rPr>
        <w:t xml:space="preserve"> health care</w:t>
      </w:r>
      <w:r>
        <w:rPr>
          <w:lang w:val="en-GB"/>
        </w:rPr>
        <w:t>, and the upload of case conference outcomes to My Health Record</w:t>
      </w:r>
      <w:r w:rsidR="00FF3DDE">
        <w:rPr>
          <w:lang w:val="en-GB"/>
        </w:rPr>
        <w:t>, along with the upload of paediatric and geriatric complex plans,</w:t>
      </w:r>
      <w:r>
        <w:rPr>
          <w:lang w:val="en-GB"/>
        </w:rPr>
        <w:t xml:space="preserve"> is considered central to support integrated care.</w:t>
      </w:r>
    </w:p>
    <w:p w14:paraId="7BB470EA" w14:textId="77777777" w:rsidR="00A10405" w:rsidRPr="00607BDA" w:rsidRDefault="00A10405" w:rsidP="00607BDA">
      <w:pPr>
        <w:pStyle w:val="Bullet-green"/>
        <w:rPr>
          <w:lang w:val="en-GB"/>
        </w:rPr>
      </w:pPr>
      <w:r>
        <w:rPr>
          <w:lang w:val="en-GB"/>
        </w:rPr>
        <w:t xml:space="preserve">This will assist patients and their health care professionals through the enhancement of the information available. </w:t>
      </w:r>
    </w:p>
    <w:p w14:paraId="545CCB40" w14:textId="77777777" w:rsidR="009B52AE" w:rsidRDefault="009B52AE" w:rsidP="00607BDA">
      <w:pPr>
        <w:pStyle w:val="Heading2"/>
      </w:pPr>
      <w:bookmarkStart w:id="217" w:name="_Toc528922283"/>
      <w:bookmarkStart w:id="218" w:name="_Toc528950828"/>
      <w:bookmarkStart w:id="219" w:name="_Toc529028106"/>
      <w:bookmarkStart w:id="220" w:name="_Toc530121947"/>
      <w:bookmarkStart w:id="221" w:name="_Toc530122124"/>
      <w:bookmarkStart w:id="222" w:name="_Toc67952257"/>
      <w:bookmarkEnd w:id="217"/>
      <w:bookmarkEnd w:id="218"/>
      <w:bookmarkEnd w:id="219"/>
      <w:bookmarkEnd w:id="220"/>
      <w:bookmarkEnd w:id="221"/>
      <w:r>
        <w:t>Recommendation 1</w:t>
      </w:r>
      <w:r w:rsidR="00FF3DDE">
        <w:t>9</w:t>
      </w:r>
      <w:r>
        <w:t xml:space="preserve"> </w:t>
      </w:r>
      <w:r w:rsidR="00A10405">
        <w:t>–</w:t>
      </w:r>
      <w:r>
        <w:t xml:space="preserve"> </w:t>
      </w:r>
      <w:r w:rsidR="00A10405">
        <w:t>Encourage adoption of My Health Record</w:t>
      </w:r>
      <w:bookmarkEnd w:id="222"/>
    </w:p>
    <w:p w14:paraId="06EE350A" w14:textId="77777777" w:rsidR="009B52AE" w:rsidRDefault="009B52AE" w:rsidP="00607BDA">
      <w:pPr>
        <w:pStyle w:val="Bullet-green"/>
        <w:numPr>
          <w:ilvl w:val="0"/>
          <w:numId w:val="0"/>
        </w:numPr>
        <w:ind w:left="431" w:hanging="431"/>
      </w:pPr>
      <w:r>
        <w:t>The Committee recommends:</w:t>
      </w:r>
    </w:p>
    <w:p w14:paraId="7B756B7D" w14:textId="1D5C16E2" w:rsidR="009B52AE" w:rsidRPr="00C33C0B" w:rsidRDefault="009B52AE" w:rsidP="000831A1">
      <w:pPr>
        <w:pStyle w:val="Bullet-green"/>
        <w:numPr>
          <w:ilvl w:val="0"/>
          <w:numId w:val="45"/>
        </w:numPr>
      </w:pPr>
      <w:r>
        <w:t>improving the functionality of My Health Record and educat</w:t>
      </w:r>
      <w:r w:rsidR="00093B03">
        <w:t>ing</w:t>
      </w:r>
      <w:r>
        <w:t xml:space="preserve"> consultant special</w:t>
      </w:r>
      <w:r w:rsidR="00B85435">
        <w:t>ists on the benefits of its use;</w:t>
      </w:r>
    </w:p>
    <w:p w14:paraId="62A996B7" w14:textId="77777777" w:rsidR="009B52AE" w:rsidRPr="00C33C0B" w:rsidRDefault="009B52AE" w:rsidP="000831A1">
      <w:pPr>
        <w:pStyle w:val="Bullet-green"/>
        <w:numPr>
          <w:ilvl w:val="0"/>
          <w:numId w:val="45"/>
        </w:numPr>
      </w:pPr>
      <w:r>
        <w:t>c</w:t>
      </w:r>
      <w:r w:rsidRPr="00C33C0B">
        <w:t>ontinu</w:t>
      </w:r>
      <w:r>
        <w:t>ing</w:t>
      </w:r>
      <w:r w:rsidRPr="00C33C0B">
        <w:t xml:space="preserve"> to develop and enhance the functionality and </w:t>
      </w:r>
      <w:r>
        <w:t xml:space="preserve">ability to search the </w:t>
      </w:r>
      <w:r w:rsidRPr="00C33C0B">
        <w:t>data of My Health Record</w:t>
      </w:r>
      <w:r>
        <w:t>, so that</w:t>
      </w:r>
      <w:r w:rsidRPr="00C33C0B">
        <w:t xml:space="preserve"> </w:t>
      </w:r>
      <w:r>
        <w:t>it</w:t>
      </w:r>
      <w:r w:rsidRPr="00C33C0B">
        <w:t xml:space="preserve"> become</w:t>
      </w:r>
      <w:r>
        <w:t xml:space="preserve">s </w:t>
      </w:r>
      <w:r w:rsidRPr="00C33C0B">
        <w:t>a value-add tool for</w:t>
      </w:r>
      <w:r w:rsidR="00CC3A63">
        <w:t xml:space="preserve"> consumers and</w:t>
      </w:r>
      <w:r w:rsidRPr="00C33C0B">
        <w:t xml:space="preserve"> clinicians in day</w:t>
      </w:r>
      <w:r>
        <w:t>-</w:t>
      </w:r>
      <w:r w:rsidRPr="00C33C0B">
        <w:t>to</w:t>
      </w:r>
      <w:r>
        <w:t>-</w:t>
      </w:r>
      <w:r w:rsidRPr="00C33C0B">
        <w:t>day quality patient care</w:t>
      </w:r>
      <w:r w:rsidR="00B85435">
        <w:t>;</w:t>
      </w:r>
    </w:p>
    <w:p w14:paraId="1F07D182" w14:textId="77777777" w:rsidR="009B52AE" w:rsidRDefault="009B52AE" w:rsidP="000831A1">
      <w:pPr>
        <w:pStyle w:val="Bullet-green"/>
        <w:numPr>
          <w:ilvl w:val="0"/>
          <w:numId w:val="45"/>
        </w:numPr>
      </w:pPr>
      <w:r>
        <w:t>b</w:t>
      </w:r>
      <w:r w:rsidRPr="00C33C0B">
        <w:t>roaden</w:t>
      </w:r>
      <w:r>
        <w:t>ing</w:t>
      </w:r>
      <w:r w:rsidRPr="00C33C0B">
        <w:t xml:space="preserve"> training for health</w:t>
      </w:r>
      <w:r>
        <w:t xml:space="preserve"> </w:t>
      </w:r>
      <w:r w:rsidRPr="00C33C0B">
        <w:t>care providers to include education about using the My Health Record system clinically</w:t>
      </w:r>
      <w:r>
        <w:t>,</w:t>
      </w:r>
      <w:r w:rsidRPr="00C33C0B">
        <w:t xml:space="preserve"> and about its benefits for patients and the health system</w:t>
      </w:r>
      <w:r w:rsidR="00B85435">
        <w:t>;</w:t>
      </w:r>
      <w:r>
        <w:t xml:space="preserve"> </w:t>
      </w:r>
    </w:p>
    <w:p w14:paraId="09FD38B4" w14:textId="77777777" w:rsidR="009B52AE" w:rsidRPr="00C33C0B" w:rsidRDefault="009B52AE" w:rsidP="000831A1">
      <w:pPr>
        <w:pStyle w:val="BulletStyle3"/>
        <w:numPr>
          <w:ilvl w:val="0"/>
          <w:numId w:val="43"/>
        </w:numPr>
      </w:pPr>
      <w:r>
        <w:t>including the development of</w:t>
      </w:r>
      <w:r w:rsidRPr="00C33C0B">
        <w:t xml:space="preserve"> appropriate scenarios relevant to the full range of health</w:t>
      </w:r>
      <w:r>
        <w:t xml:space="preserve"> </w:t>
      </w:r>
      <w:r w:rsidRPr="00C33C0B">
        <w:t>care providers across disciplines and clinical settings</w:t>
      </w:r>
      <w:r w:rsidR="006D683C">
        <w:t>.</w:t>
      </w:r>
    </w:p>
    <w:p w14:paraId="52750803" w14:textId="77777777" w:rsidR="009B52AE" w:rsidRPr="00607BDA" w:rsidRDefault="009B52AE" w:rsidP="000831A1">
      <w:pPr>
        <w:pStyle w:val="Bullet-green"/>
        <w:numPr>
          <w:ilvl w:val="0"/>
          <w:numId w:val="45"/>
        </w:numPr>
      </w:pPr>
      <w:r>
        <w:t>w</w:t>
      </w:r>
      <w:r w:rsidRPr="00C33C0B">
        <w:t>ork</w:t>
      </w:r>
      <w:r>
        <w:t>ing</w:t>
      </w:r>
      <w:r w:rsidRPr="00C33C0B">
        <w:t xml:space="preserve"> with academic institutions to embed digital health competencies </w:t>
      </w:r>
      <w:r>
        <w:t xml:space="preserve">into undergraduate and </w:t>
      </w:r>
      <w:r w:rsidRPr="00C33C0B">
        <w:t xml:space="preserve">postgraduate </w:t>
      </w:r>
      <w:r>
        <w:t xml:space="preserve">training </w:t>
      </w:r>
      <w:r w:rsidRPr="00C33C0B">
        <w:t>and CPD program</w:t>
      </w:r>
      <w:r>
        <w:t>me</w:t>
      </w:r>
      <w:r w:rsidRPr="00C33C0B">
        <w:t>s</w:t>
      </w:r>
      <w:r w:rsidR="00B85435">
        <w:t>.</w:t>
      </w:r>
      <w:r w:rsidRPr="00C33C0B">
        <w:t xml:space="preserve"> </w:t>
      </w:r>
    </w:p>
    <w:p w14:paraId="6EC144E3" w14:textId="77777777" w:rsidR="00FB4475" w:rsidRPr="00C33C0B" w:rsidRDefault="00E3109A" w:rsidP="0023502C">
      <w:pPr>
        <w:pStyle w:val="Heading2"/>
      </w:pPr>
      <w:bookmarkStart w:id="223" w:name="_Toc528922285"/>
      <w:bookmarkStart w:id="224" w:name="_Toc528950830"/>
      <w:bookmarkStart w:id="225" w:name="_Toc529028108"/>
      <w:bookmarkStart w:id="226" w:name="_Toc530121949"/>
      <w:bookmarkStart w:id="227" w:name="_Toc530122126"/>
      <w:bookmarkStart w:id="228" w:name="_Toc67952258"/>
      <w:bookmarkEnd w:id="223"/>
      <w:bookmarkEnd w:id="224"/>
      <w:bookmarkEnd w:id="225"/>
      <w:bookmarkEnd w:id="226"/>
      <w:bookmarkEnd w:id="227"/>
      <w:r w:rsidRPr="00C33C0B">
        <w:t>Rationale</w:t>
      </w:r>
      <w:r w:rsidR="00914FBE">
        <w:t xml:space="preserve"> </w:t>
      </w:r>
      <w:r w:rsidR="00A10405">
        <w:t>1</w:t>
      </w:r>
      <w:r w:rsidR="00FF3DDE">
        <w:t>9</w:t>
      </w:r>
      <w:bookmarkEnd w:id="228"/>
    </w:p>
    <w:p w14:paraId="077CA497" w14:textId="77777777" w:rsidR="0023502C" w:rsidRDefault="0023502C" w:rsidP="00FB4475">
      <w:pPr>
        <w:rPr>
          <w:lang w:val="en-GB"/>
        </w:rPr>
      </w:pPr>
      <w:r>
        <w:rPr>
          <w:lang w:val="en-GB"/>
        </w:rPr>
        <w:t>Th</w:t>
      </w:r>
      <w:r w:rsidR="00D328AD">
        <w:rPr>
          <w:lang w:val="en-GB"/>
        </w:rPr>
        <w:t>is</w:t>
      </w:r>
      <w:r>
        <w:rPr>
          <w:lang w:val="en-GB"/>
        </w:rPr>
        <w:t xml:space="preserve"> recommendation focuses on </w:t>
      </w:r>
      <w:r w:rsidR="00D328AD">
        <w:rPr>
          <w:lang w:val="en-GB"/>
        </w:rPr>
        <w:t>further enhancing My Health Record to improve health outcomes and improve the efficiency of the overall system</w:t>
      </w:r>
      <w:r w:rsidR="00DC3978">
        <w:rPr>
          <w:lang w:val="en-GB"/>
        </w:rPr>
        <w:t>.</w:t>
      </w:r>
      <w:r>
        <w:rPr>
          <w:lang w:val="en-GB"/>
        </w:rPr>
        <w:t xml:space="preserve"> It is based on the following</w:t>
      </w:r>
      <w:r w:rsidR="00CB271F">
        <w:rPr>
          <w:lang w:val="en-GB"/>
        </w:rPr>
        <w:t>:</w:t>
      </w:r>
    </w:p>
    <w:p w14:paraId="53C2EC87" w14:textId="77777777" w:rsidR="00803A7E" w:rsidRDefault="00445203" w:rsidP="00803A7E">
      <w:pPr>
        <w:pStyle w:val="Bullet-green"/>
        <w:rPr>
          <w:lang w:val="en-GB"/>
        </w:rPr>
      </w:pPr>
      <w:r>
        <w:rPr>
          <w:lang w:val="en-GB"/>
        </w:rPr>
        <w:t>The Committee noted the evidence that e</w:t>
      </w:r>
      <w:r w:rsidRPr="00C33C0B">
        <w:rPr>
          <w:lang w:val="en-GB"/>
        </w:rPr>
        <w:t xml:space="preserve">lectronic </w:t>
      </w:r>
      <w:r>
        <w:rPr>
          <w:lang w:val="en-GB"/>
        </w:rPr>
        <w:t>h</w:t>
      </w:r>
      <w:r w:rsidRPr="00C33C0B">
        <w:rPr>
          <w:lang w:val="en-GB"/>
        </w:rPr>
        <w:t xml:space="preserve">ealth </w:t>
      </w:r>
      <w:r>
        <w:rPr>
          <w:lang w:val="en-GB"/>
        </w:rPr>
        <w:t>r</w:t>
      </w:r>
      <w:r w:rsidRPr="00C33C0B">
        <w:rPr>
          <w:lang w:val="en-GB"/>
        </w:rPr>
        <w:t xml:space="preserve">ecords can </w:t>
      </w:r>
      <w:r>
        <w:rPr>
          <w:lang w:val="en-GB"/>
        </w:rPr>
        <w:t>e</w:t>
      </w:r>
      <w:r w:rsidRPr="00C33C0B">
        <w:rPr>
          <w:lang w:val="en-GB"/>
        </w:rPr>
        <w:t>nhance information sharing between patients and providers</w:t>
      </w:r>
      <w:r>
        <w:rPr>
          <w:lang w:val="en-GB"/>
        </w:rPr>
        <w:t xml:space="preserve"> and thereby promote safe practice, support self-management and </w:t>
      </w:r>
      <w:r w:rsidRPr="00C33C0B">
        <w:rPr>
          <w:lang w:val="en-GB"/>
        </w:rPr>
        <w:t>improve patient care</w:t>
      </w:r>
      <w:sdt>
        <w:sdtPr>
          <w:rPr>
            <w:lang w:val="en-GB"/>
          </w:rPr>
          <w:id w:val="1841728547"/>
          <w:citation/>
        </w:sdtPr>
        <w:sdtContent>
          <w:r w:rsidR="00C7146A">
            <w:rPr>
              <w:lang w:val="en-GB"/>
            </w:rPr>
            <w:fldChar w:fldCharType="begin"/>
          </w:r>
          <w:r w:rsidR="00C7146A">
            <w:instrText xml:space="preserve"> CITATION NIC16 \l 3081 </w:instrText>
          </w:r>
          <w:r w:rsidR="00C7146A">
            <w:rPr>
              <w:lang w:val="en-GB"/>
            </w:rPr>
            <w:fldChar w:fldCharType="separate"/>
          </w:r>
          <w:r w:rsidR="00C7146A">
            <w:rPr>
              <w:noProof/>
            </w:rPr>
            <w:t xml:space="preserve"> (23)</w:t>
          </w:r>
          <w:r w:rsidR="00C7146A">
            <w:rPr>
              <w:lang w:val="en-GB"/>
            </w:rPr>
            <w:fldChar w:fldCharType="end"/>
          </w:r>
        </w:sdtContent>
      </w:sdt>
      <w:r w:rsidR="00DC3978" w:rsidRPr="00C17F86">
        <w:rPr>
          <w:lang w:val="en-GB"/>
        </w:rPr>
        <w:t>.</w:t>
      </w:r>
      <w:r w:rsidR="00FB4475" w:rsidRPr="00C17F86">
        <w:rPr>
          <w:lang w:val="en-GB"/>
        </w:rPr>
        <w:t xml:space="preserve"> </w:t>
      </w:r>
    </w:p>
    <w:p w14:paraId="77F8CF4E" w14:textId="77777777" w:rsidR="00445203" w:rsidRDefault="00445203" w:rsidP="00803A7E">
      <w:pPr>
        <w:pStyle w:val="Bullet-green"/>
        <w:rPr>
          <w:lang w:val="en-GB"/>
        </w:rPr>
      </w:pPr>
      <w:r>
        <w:rPr>
          <w:lang w:val="en-GB"/>
        </w:rPr>
        <w:t>The Committee agreed that systems that support professionals in their practice efficiently and effectively are more likely to be adopted and sustainable into the future. The Committee also agreed that use of My Health Record needed to continually move with changes in clinical best practice and reflect the needs of patients and their practitioners.</w:t>
      </w:r>
    </w:p>
    <w:p w14:paraId="1F35E27E" w14:textId="77777777" w:rsidR="00445203" w:rsidRPr="00803A7E" w:rsidRDefault="00445203" w:rsidP="00803A7E">
      <w:pPr>
        <w:pStyle w:val="Bullet-green"/>
        <w:rPr>
          <w:lang w:val="en-GB"/>
        </w:rPr>
      </w:pPr>
      <w:r>
        <w:rPr>
          <w:lang w:val="en-GB"/>
        </w:rPr>
        <w:t>The Committee noted that creating awareness was only the first step in encouraging adoption with continuing professional</w:t>
      </w:r>
      <w:r w:rsidR="00F01167">
        <w:rPr>
          <w:lang w:val="en-GB"/>
        </w:rPr>
        <w:t xml:space="preserve"> and consumer</w:t>
      </w:r>
      <w:r>
        <w:rPr>
          <w:lang w:val="en-GB"/>
        </w:rPr>
        <w:t xml:space="preserve"> education necessary to support ongoing use. </w:t>
      </w:r>
    </w:p>
    <w:p w14:paraId="713EB8B0" w14:textId="77777777" w:rsidR="00803A7E" w:rsidRDefault="00172119" w:rsidP="00172119">
      <w:pPr>
        <w:pStyle w:val="Heading1"/>
      </w:pPr>
      <w:bookmarkStart w:id="229" w:name="_Hlk524335574"/>
      <w:r>
        <w:t xml:space="preserve"> </w:t>
      </w:r>
      <w:bookmarkStart w:id="230" w:name="_Toc67952259"/>
      <w:r w:rsidR="00803A7E">
        <w:t>Referral practices recommendations</w:t>
      </w:r>
      <w:bookmarkEnd w:id="230"/>
    </w:p>
    <w:p w14:paraId="4ED68459" w14:textId="417F84F6" w:rsidR="00181A30" w:rsidRPr="00181A30" w:rsidRDefault="00181A30" w:rsidP="00607BDA">
      <w:pPr>
        <w:spacing w:before="0" w:after="0" w:line="276" w:lineRule="auto"/>
        <w:rPr>
          <w:rFonts w:ascii="Calibri" w:hAnsi="Calibri" w:cs="Calibri"/>
          <w:szCs w:val="22"/>
        </w:rPr>
      </w:pPr>
      <w:r w:rsidRPr="00181A30">
        <w:rPr>
          <w:rFonts w:ascii="Calibri" w:hAnsi="Calibri" w:cs="Calibri"/>
          <w:szCs w:val="22"/>
        </w:rPr>
        <w:t xml:space="preserve">As part of the review of attendances, the Committee considered the suitability of current referral practices for specialists. </w:t>
      </w:r>
    </w:p>
    <w:p w14:paraId="182E2272" w14:textId="78ACFC9E" w:rsidR="00181A30" w:rsidRPr="00181A30" w:rsidRDefault="00181A30" w:rsidP="00607BDA">
      <w:pPr>
        <w:spacing w:before="0" w:after="0" w:line="276" w:lineRule="auto"/>
        <w:rPr>
          <w:rFonts w:ascii="Calibri" w:hAnsi="Calibri" w:cs="Calibri"/>
          <w:szCs w:val="22"/>
        </w:rPr>
      </w:pPr>
      <w:r w:rsidRPr="00181A30">
        <w:rPr>
          <w:rFonts w:ascii="Calibri" w:hAnsi="Calibri" w:cs="Calibri"/>
          <w:szCs w:val="22"/>
        </w:rPr>
        <w:t>The Committee supports the principles that GPs should remain actively involved in the patient's care when being referred between specialists</w:t>
      </w:r>
      <w:r w:rsidR="00FF3DDE">
        <w:rPr>
          <w:rFonts w:ascii="Calibri" w:hAnsi="Calibri" w:cs="Calibri"/>
          <w:szCs w:val="22"/>
        </w:rPr>
        <w:t xml:space="preserve"> and recognises that patients require adequate time to visit their referred specialist.</w:t>
      </w:r>
    </w:p>
    <w:p w14:paraId="49CCB8F5" w14:textId="30D2B2C6" w:rsidR="00181A30" w:rsidRPr="00607BDA" w:rsidRDefault="00181A30" w:rsidP="00EB4527">
      <w:pPr>
        <w:spacing w:before="0" w:after="0" w:line="276" w:lineRule="auto"/>
        <w:rPr>
          <w:rFonts w:ascii="Calibri" w:hAnsi="Calibri" w:cs="Calibri"/>
          <w:szCs w:val="22"/>
        </w:rPr>
      </w:pPr>
      <w:r w:rsidRPr="00181A30">
        <w:rPr>
          <w:rFonts w:ascii="Calibri" w:hAnsi="Calibri" w:cs="Calibri"/>
          <w:szCs w:val="22"/>
        </w:rPr>
        <w:t>The Committee also acknowledges the importance of allied health services as an integral part of a specialist treatment plan for many common conditions and has made recommendations for specialist-referred AHP services to improve access for patients and streamline access to relevant</w:t>
      </w:r>
      <w:r>
        <w:rPr>
          <w:rFonts w:ascii="Calibri" w:hAnsi="Calibri" w:cs="Calibri"/>
          <w:szCs w:val="22"/>
        </w:rPr>
        <w:t xml:space="preserve"> multidisciplinary</w:t>
      </w:r>
      <w:r w:rsidRPr="00181A30">
        <w:rPr>
          <w:rFonts w:ascii="Calibri" w:hAnsi="Calibri" w:cs="Calibri"/>
          <w:szCs w:val="22"/>
        </w:rPr>
        <w:t xml:space="preserve"> treatment.</w:t>
      </w:r>
    </w:p>
    <w:p w14:paraId="718E386E" w14:textId="293A793D" w:rsidR="001535F1" w:rsidRDefault="000A5CE9" w:rsidP="001535F1">
      <w:pPr>
        <w:pStyle w:val="Heading2"/>
      </w:pPr>
      <w:bookmarkStart w:id="231" w:name="_Toc67952260"/>
      <w:bookmarkStart w:id="232" w:name="_Hlk529008524"/>
      <w:r w:rsidRPr="00671DE8">
        <w:t xml:space="preserve">Recommendation </w:t>
      </w:r>
      <w:r w:rsidR="00FF3DDE" w:rsidRPr="00671DE8">
        <w:t>20</w:t>
      </w:r>
      <w:r w:rsidR="00787666" w:rsidRPr="00671DE8">
        <w:t xml:space="preserve"> </w:t>
      </w:r>
      <w:r w:rsidR="001535F1">
        <w:t xml:space="preserve">(Not agreed) </w:t>
      </w:r>
      <w:r w:rsidR="00787666" w:rsidRPr="00671DE8">
        <w:t xml:space="preserve">– </w:t>
      </w:r>
      <w:r w:rsidR="00BA6769" w:rsidRPr="00671DE8">
        <w:t>Extend</w:t>
      </w:r>
      <w:r w:rsidR="005C5EA3" w:rsidRPr="00671DE8">
        <w:t xml:space="preserve"> </w:t>
      </w:r>
      <w:r w:rsidR="00787666" w:rsidRPr="00671DE8">
        <w:t>the current specialist to specialist referral validity period</w:t>
      </w:r>
      <w:bookmarkEnd w:id="231"/>
    </w:p>
    <w:p w14:paraId="3E53B877" w14:textId="77777777" w:rsidR="00EB4527" w:rsidRPr="000E0DE2" w:rsidRDefault="00EB4527" w:rsidP="00EB4527">
      <w:pPr>
        <w:pStyle w:val="BoxNormal"/>
        <w:rPr>
          <w:b/>
        </w:rPr>
      </w:pPr>
      <w:r w:rsidRPr="000E0DE2">
        <w:rPr>
          <w:b/>
        </w:rPr>
        <w:t>Taskforce Note</w:t>
      </w:r>
    </w:p>
    <w:p w14:paraId="2CD87C95" w14:textId="77777777" w:rsidR="00EB4527" w:rsidRPr="00EB4527" w:rsidRDefault="00EB4527" w:rsidP="00EB4527">
      <w:pPr>
        <w:pStyle w:val="BoxNormal"/>
      </w:pPr>
      <w:r w:rsidRPr="00EB4527">
        <w:t>The Taskforce did not agree to this recommendation. The Taskforce noted that this issue had been examined by a number of its clinical committees. The Taskforce supports the critical role of the GP as part of the broader health system and noted that the three-month limit facilitated regular ongoing contact between patient and GP.</w:t>
      </w:r>
    </w:p>
    <w:p w14:paraId="6553DECD" w14:textId="08302152" w:rsidR="00EB4527" w:rsidRDefault="00EB4527" w:rsidP="00EB4527">
      <w:pPr>
        <w:pStyle w:val="BoxNormal"/>
        <w:rPr>
          <w:lang w:val="en-US" w:eastAsia="en-US"/>
        </w:rPr>
      </w:pPr>
      <w:r w:rsidRPr="00EB4527">
        <w:t>The Taskforce therefore</w:t>
      </w:r>
      <w:r w:rsidRPr="00EB4527">
        <w:rPr>
          <w:lang w:val="en-US" w:eastAsia="en-US"/>
        </w:rPr>
        <w:t xml:space="preserve"> recommends retaining the specialist-to-specialist referral validity of three months.</w:t>
      </w:r>
    </w:p>
    <w:p w14:paraId="354E1634" w14:textId="4C39ED5D" w:rsidR="000A5CE9" w:rsidRDefault="00803E7D" w:rsidP="00607BDA">
      <w:pPr>
        <w:pStyle w:val="Bullet-green"/>
        <w:numPr>
          <w:ilvl w:val="0"/>
          <w:numId w:val="0"/>
        </w:numPr>
        <w:rPr>
          <w:lang w:val="en-US" w:eastAsia="en-US"/>
        </w:rPr>
      </w:pPr>
      <w:r w:rsidRPr="00671DE8">
        <w:rPr>
          <w:lang w:val="en-US" w:eastAsia="en-US"/>
        </w:rPr>
        <w:t>The Committee recommends</w:t>
      </w:r>
      <w:r w:rsidR="00642A3C" w:rsidRPr="00671DE8">
        <w:rPr>
          <w:lang w:val="en-US" w:eastAsia="en-US"/>
        </w:rPr>
        <w:t xml:space="preserve"> </w:t>
      </w:r>
      <w:r w:rsidR="00BA6769" w:rsidRPr="00671DE8">
        <w:rPr>
          <w:lang w:val="en-US" w:eastAsia="en-US"/>
        </w:rPr>
        <w:t xml:space="preserve">extending </w:t>
      </w:r>
      <w:r w:rsidR="00093B03" w:rsidRPr="00671DE8">
        <w:rPr>
          <w:lang w:val="en-US" w:eastAsia="en-US"/>
        </w:rPr>
        <w:t xml:space="preserve">the </w:t>
      </w:r>
      <w:r w:rsidR="000A5CE9" w:rsidRPr="00671DE8">
        <w:rPr>
          <w:lang w:val="en-US" w:eastAsia="en-US"/>
        </w:rPr>
        <w:t xml:space="preserve">specialist-to-specialist referral validity </w:t>
      </w:r>
      <w:r w:rsidR="00BA6769" w:rsidRPr="00671DE8">
        <w:rPr>
          <w:lang w:val="en-US" w:eastAsia="en-US"/>
        </w:rPr>
        <w:t>from three months to six months</w:t>
      </w:r>
      <w:r w:rsidR="000A5CE9" w:rsidRPr="00671DE8">
        <w:rPr>
          <w:lang w:val="en-US" w:eastAsia="en-US"/>
        </w:rPr>
        <w:t>.</w:t>
      </w:r>
      <w:r w:rsidR="00F01167" w:rsidRPr="00671DE8">
        <w:rPr>
          <w:lang w:val="en-US" w:eastAsia="en-US"/>
        </w:rPr>
        <w:t xml:space="preserve"> This </w:t>
      </w:r>
      <w:r w:rsidR="00D275E0" w:rsidRPr="00671DE8">
        <w:rPr>
          <w:lang w:val="en-US" w:eastAsia="en-US"/>
        </w:rPr>
        <w:t xml:space="preserve">change </w:t>
      </w:r>
      <w:r w:rsidR="00F01167" w:rsidRPr="00671DE8">
        <w:rPr>
          <w:lang w:val="en-US" w:eastAsia="en-US"/>
        </w:rPr>
        <w:t>does not affect the capacity for GPs to provide</w:t>
      </w:r>
      <w:r w:rsidR="00D275E0" w:rsidRPr="00671DE8">
        <w:rPr>
          <w:lang w:val="en-US" w:eastAsia="en-US"/>
        </w:rPr>
        <w:t xml:space="preserve"> referrals to consultant specialists in accordance with the MBS requirements</w:t>
      </w:r>
      <w:r w:rsidR="00F01167" w:rsidRPr="00671DE8">
        <w:rPr>
          <w:lang w:val="en-US" w:eastAsia="en-US"/>
        </w:rPr>
        <w:t>.</w:t>
      </w:r>
    </w:p>
    <w:p w14:paraId="0FB68AD5" w14:textId="77777777" w:rsidR="000A5CE9" w:rsidRDefault="000A5CE9" w:rsidP="000A5CE9">
      <w:pPr>
        <w:pStyle w:val="Heading2"/>
      </w:pPr>
      <w:bookmarkStart w:id="233" w:name="_Toc67952261"/>
      <w:bookmarkEnd w:id="232"/>
      <w:r>
        <w:t>Rationale</w:t>
      </w:r>
      <w:r w:rsidR="00C83279">
        <w:t xml:space="preserve"> </w:t>
      </w:r>
      <w:r w:rsidR="00FF3DDE">
        <w:t>20</w:t>
      </w:r>
      <w:bookmarkEnd w:id="233"/>
    </w:p>
    <w:p w14:paraId="68F8BADC" w14:textId="77777777" w:rsidR="00E85307" w:rsidRDefault="000A5CE9" w:rsidP="00607BDA">
      <w:pPr>
        <w:pStyle w:val="Bullet-green"/>
        <w:numPr>
          <w:ilvl w:val="0"/>
          <w:numId w:val="0"/>
        </w:numPr>
        <w:rPr>
          <w:lang w:val="en-US" w:eastAsia="en-US"/>
        </w:rPr>
      </w:pPr>
      <w:r>
        <w:rPr>
          <w:lang w:val="en-US" w:eastAsia="en-US"/>
        </w:rPr>
        <w:t>This recommendation focuses on</w:t>
      </w:r>
      <w:r w:rsidR="00E85307">
        <w:rPr>
          <w:lang w:val="en-US" w:eastAsia="en-US"/>
        </w:rPr>
        <w:t xml:space="preserve"> striking a balance between patient convenience and </w:t>
      </w:r>
      <w:r w:rsidR="00475386">
        <w:rPr>
          <w:lang w:val="en-US" w:eastAsia="en-US"/>
        </w:rPr>
        <w:t>enabling</w:t>
      </w:r>
      <w:r w:rsidR="00E85307">
        <w:rPr>
          <w:lang w:val="en-US" w:eastAsia="en-US"/>
        </w:rPr>
        <w:t xml:space="preserve"> GP</w:t>
      </w:r>
      <w:r w:rsidR="001E5FFD">
        <w:rPr>
          <w:lang w:val="en-US" w:eastAsia="en-US"/>
        </w:rPr>
        <w:t xml:space="preserve"> </w:t>
      </w:r>
      <w:r w:rsidR="00475386">
        <w:rPr>
          <w:lang w:val="en-US" w:eastAsia="en-US"/>
        </w:rPr>
        <w:t>oversight of patient care. It is based on the following</w:t>
      </w:r>
      <w:r w:rsidR="00CB271F">
        <w:rPr>
          <w:lang w:val="en-US" w:eastAsia="en-US"/>
        </w:rPr>
        <w:t>:</w:t>
      </w:r>
    </w:p>
    <w:p w14:paraId="29256D94" w14:textId="50A50E2E" w:rsidR="00E85307" w:rsidRPr="0019507E" w:rsidRDefault="00E61C36" w:rsidP="00607BDA">
      <w:pPr>
        <w:pStyle w:val="Bullet-green"/>
      </w:pPr>
      <w:r w:rsidRPr="00607BDA">
        <w:rPr>
          <w:lang w:val="en-US" w:eastAsia="en-US"/>
        </w:rPr>
        <w:t>The Committee noted</w:t>
      </w:r>
      <w:r w:rsidR="00EA47AF" w:rsidRPr="00607BDA">
        <w:rPr>
          <w:lang w:val="en-US" w:eastAsia="en-US"/>
        </w:rPr>
        <w:t xml:space="preserve"> that </w:t>
      </w:r>
      <w:r w:rsidRPr="00607BDA">
        <w:rPr>
          <w:lang w:val="en-US" w:eastAsia="en-US"/>
        </w:rPr>
        <w:t>specialist-to-specialist referrals are increasingly common</w:t>
      </w:r>
      <w:r w:rsidR="00454FD0" w:rsidRPr="00607BDA">
        <w:rPr>
          <w:lang w:val="en-US" w:eastAsia="en-US"/>
        </w:rPr>
        <w:t xml:space="preserve"> </w:t>
      </w:r>
      <w:r w:rsidR="00EA47AF" w:rsidRPr="00607BDA">
        <w:rPr>
          <w:lang w:val="en-US" w:eastAsia="en-US"/>
        </w:rPr>
        <w:t xml:space="preserve">in modern clinical practice </w:t>
      </w:r>
      <w:r w:rsidR="00454FD0" w:rsidRPr="00607BDA">
        <w:rPr>
          <w:lang w:val="en-US" w:eastAsia="en-US"/>
        </w:rPr>
        <w:t xml:space="preserve">and </w:t>
      </w:r>
      <w:r w:rsidR="00787666">
        <w:rPr>
          <w:lang w:val="en-US" w:eastAsia="en-US"/>
        </w:rPr>
        <w:t>recommend</w:t>
      </w:r>
      <w:r w:rsidR="00FF3DDE">
        <w:rPr>
          <w:lang w:val="en-US" w:eastAsia="en-US"/>
        </w:rPr>
        <w:t>s</w:t>
      </w:r>
      <w:r w:rsidR="00475386" w:rsidRPr="00607BDA">
        <w:rPr>
          <w:lang w:val="en-US" w:eastAsia="en-US"/>
        </w:rPr>
        <w:t xml:space="preserve"> </w:t>
      </w:r>
      <w:r w:rsidR="00EA47AF" w:rsidRPr="00607BDA">
        <w:rPr>
          <w:lang w:val="en-US" w:eastAsia="en-US"/>
        </w:rPr>
        <w:t>increas</w:t>
      </w:r>
      <w:r w:rsidR="00787666">
        <w:rPr>
          <w:lang w:val="en-US" w:eastAsia="en-US"/>
        </w:rPr>
        <w:t>ing</w:t>
      </w:r>
      <w:r w:rsidR="00E85307" w:rsidRPr="00607BDA">
        <w:rPr>
          <w:lang w:val="en-US" w:eastAsia="en-US"/>
        </w:rPr>
        <w:t xml:space="preserve"> the</w:t>
      </w:r>
      <w:r w:rsidR="00454FD0" w:rsidRPr="00607BDA">
        <w:rPr>
          <w:lang w:val="en-US" w:eastAsia="en-US"/>
        </w:rPr>
        <w:t>ir</w:t>
      </w:r>
      <w:r w:rsidR="00E85307" w:rsidRPr="00607BDA">
        <w:rPr>
          <w:lang w:val="en-US" w:eastAsia="en-US"/>
        </w:rPr>
        <w:t xml:space="preserve"> validity </w:t>
      </w:r>
      <w:r w:rsidRPr="00607BDA">
        <w:rPr>
          <w:lang w:val="en-US" w:eastAsia="en-US"/>
        </w:rPr>
        <w:t xml:space="preserve">from three months </w:t>
      </w:r>
      <w:r w:rsidR="00E85307" w:rsidRPr="00607BDA">
        <w:rPr>
          <w:lang w:val="en-US" w:eastAsia="en-US"/>
        </w:rPr>
        <w:t>to six months</w:t>
      </w:r>
      <w:r w:rsidR="00EA47AF" w:rsidRPr="00607BDA">
        <w:rPr>
          <w:lang w:val="en-US" w:eastAsia="en-US"/>
        </w:rPr>
        <w:t xml:space="preserve"> </w:t>
      </w:r>
      <w:r w:rsidR="00454FD0" w:rsidRPr="00607BDA">
        <w:rPr>
          <w:lang w:val="en-US" w:eastAsia="en-US"/>
        </w:rPr>
        <w:t xml:space="preserve">to </w:t>
      </w:r>
      <w:r w:rsidR="00E85307" w:rsidRPr="00607BDA">
        <w:rPr>
          <w:lang w:val="en-US" w:eastAsia="en-US"/>
        </w:rPr>
        <w:t xml:space="preserve">reduce the </w:t>
      </w:r>
      <w:r w:rsidR="00454FD0" w:rsidRPr="00607BDA">
        <w:rPr>
          <w:lang w:val="en-US" w:eastAsia="en-US"/>
        </w:rPr>
        <w:t>incidence of expired referrals</w:t>
      </w:r>
      <w:r w:rsidR="00EA47AF" w:rsidRPr="00607BDA">
        <w:rPr>
          <w:lang w:val="en-US" w:eastAsia="en-US"/>
        </w:rPr>
        <w:t>.</w:t>
      </w:r>
      <w:r w:rsidR="00787666">
        <w:rPr>
          <w:lang w:val="en-US" w:eastAsia="en-US"/>
        </w:rPr>
        <w:t xml:space="preserve"> </w:t>
      </w:r>
      <w:r w:rsidR="00787666" w:rsidRPr="00454FD0">
        <w:t>For example, episodes of treatment involving preoperative and postoperative chemotherapy and radiation often exceed three months, which can lead to expired referrals before treatment is complete.</w:t>
      </w:r>
    </w:p>
    <w:p w14:paraId="45D84DBD" w14:textId="1E7CD48A" w:rsidR="00A41569" w:rsidRPr="0019507E" w:rsidRDefault="00FF3DDE" w:rsidP="001114A9">
      <w:pPr>
        <w:pStyle w:val="Bullet-green"/>
      </w:pPr>
      <w:r>
        <w:rPr>
          <w:lang w:val="en-US" w:eastAsia="en-US"/>
        </w:rPr>
        <w:t>T</w:t>
      </w:r>
      <w:r w:rsidR="00787666">
        <w:rPr>
          <w:lang w:val="en-US" w:eastAsia="en-US"/>
        </w:rPr>
        <w:t>he Committee</w:t>
      </w:r>
      <w:r w:rsidR="00C0099E" w:rsidRPr="00607BDA">
        <w:rPr>
          <w:lang w:val="en-US" w:eastAsia="en-US"/>
        </w:rPr>
        <w:t xml:space="preserve"> noted that this topic was also considered by the Principles and Rules Committee</w:t>
      </w:r>
      <w:r w:rsidR="00D275E0">
        <w:rPr>
          <w:lang w:val="en-US" w:eastAsia="en-US"/>
        </w:rPr>
        <w:t xml:space="preserve"> and the General Practice and Primary Care Committee</w:t>
      </w:r>
      <w:r w:rsidR="00C0099E" w:rsidRPr="00607BDA">
        <w:rPr>
          <w:lang w:val="en-US" w:eastAsia="en-US"/>
        </w:rPr>
        <w:t>, who recommended keeping referral validity to three months</w:t>
      </w:r>
      <w:r>
        <w:rPr>
          <w:lang w:val="en-US" w:eastAsia="en-US"/>
        </w:rPr>
        <w:t xml:space="preserve"> to e</w:t>
      </w:r>
      <w:r w:rsidR="002D6E0F" w:rsidRPr="00607BDA">
        <w:rPr>
          <w:lang w:val="en-US" w:eastAsia="en-US"/>
        </w:rPr>
        <w:t>nabl</w:t>
      </w:r>
      <w:r>
        <w:rPr>
          <w:lang w:val="en-US" w:eastAsia="en-US"/>
        </w:rPr>
        <w:t>e</w:t>
      </w:r>
      <w:r w:rsidR="002D6E0F" w:rsidRPr="00607BDA">
        <w:rPr>
          <w:lang w:val="en-US" w:eastAsia="en-US"/>
        </w:rPr>
        <w:t xml:space="preserve"> GP</w:t>
      </w:r>
      <w:r>
        <w:rPr>
          <w:lang w:val="en-US" w:eastAsia="en-US"/>
        </w:rPr>
        <w:t>s</w:t>
      </w:r>
      <w:r w:rsidR="002D6E0F" w:rsidRPr="00607BDA">
        <w:rPr>
          <w:lang w:val="en-US" w:eastAsia="en-US"/>
        </w:rPr>
        <w:t xml:space="preserve"> </w:t>
      </w:r>
      <w:r>
        <w:rPr>
          <w:lang w:val="en-US" w:eastAsia="en-US"/>
        </w:rPr>
        <w:t xml:space="preserve">to continue to be informed </w:t>
      </w:r>
      <w:r w:rsidR="002D6E0F" w:rsidRPr="00607BDA">
        <w:rPr>
          <w:lang w:val="en-US" w:eastAsia="en-US"/>
        </w:rPr>
        <w:t>of patient care provided by consultant specialists</w:t>
      </w:r>
      <w:r>
        <w:rPr>
          <w:lang w:val="en-US" w:eastAsia="en-US"/>
        </w:rPr>
        <w:t xml:space="preserve">. However, the Committee believes that extending the specialist to specialist referral validity period will maintain GP involvement and </w:t>
      </w:r>
      <w:r w:rsidR="009C2A4A">
        <w:rPr>
          <w:lang w:val="en-US" w:eastAsia="en-US"/>
        </w:rPr>
        <w:t>reduce the frequency of need for patients to obtain a re-referral without compromising the quality of care</w:t>
      </w:r>
      <w:r w:rsidR="00BD30C8">
        <w:rPr>
          <w:lang w:val="en-US" w:eastAsia="en-US"/>
        </w:rPr>
        <w:t>. Appropriate communication with the GP where a specialist to specialist referral occurs should also be strengthened</w:t>
      </w:r>
      <w:r>
        <w:rPr>
          <w:lang w:val="en-US" w:eastAsia="en-US"/>
        </w:rPr>
        <w:t>.</w:t>
      </w:r>
    </w:p>
    <w:p w14:paraId="492C6B3C" w14:textId="77777777" w:rsidR="000A5CE9" w:rsidRDefault="000A5CE9" w:rsidP="000A5CE9">
      <w:pPr>
        <w:pStyle w:val="Heading2"/>
      </w:pPr>
      <w:bookmarkStart w:id="234" w:name="_Toc67952262"/>
      <w:bookmarkStart w:id="235" w:name="_Hlk529008472"/>
      <w:r>
        <w:t xml:space="preserve">Recommendation </w:t>
      </w:r>
      <w:r w:rsidR="00FF3DDE">
        <w:t>21</w:t>
      </w:r>
      <w:r w:rsidR="00ED04AD">
        <w:t xml:space="preserve"> </w:t>
      </w:r>
      <w:r w:rsidR="00F14F9F">
        <w:t>–</w:t>
      </w:r>
      <w:r w:rsidR="00787666">
        <w:t xml:space="preserve"> </w:t>
      </w:r>
      <w:r w:rsidR="00741A3D">
        <w:t xml:space="preserve">Introducing a new </w:t>
      </w:r>
      <w:r w:rsidR="00F14F9F">
        <w:t>AHP pathway</w:t>
      </w:r>
      <w:bookmarkEnd w:id="234"/>
    </w:p>
    <w:p w14:paraId="481AC147" w14:textId="77777777" w:rsidR="000A5CE9" w:rsidRDefault="00787666" w:rsidP="00607BDA">
      <w:pPr>
        <w:pStyle w:val="Bullet-green"/>
        <w:numPr>
          <w:ilvl w:val="0"/>
          <w:numId w:val="0"/>
        </w:numPr>
        <w:rPr>
          <w:lang w:val="en-US" w:eastAsia="en-US"/>
        </w:rPr>
      </w:pPr>
      <w:r>
        <w:rPr>
          <w:lang w:val="en-US" w:eastAsia="en-US"/>
        </w:rPr>
        <w:t>The Committee recommends</w:t>
      </w:r>
      <w:r w:rsidR="00391C72">
        <w:rPr>
          <w:lang w:val="en-US" w:eastAsia="en-US"/>
        </w:rPr>
        <w:t xml:space="preserve"> </w:t>
      </w:r>
      <w:r w:rsidR="0090169A">
        <w:rPr>
          <w:lang w:val="en-US" w:eastAsia="en-US"/>
        </w:rPr>
        <w:t>introducing a</w:t>
      </w:r>
      <w:r w:rsidR="00E0652E">
        <w:rPr>
          <w:lang w:val="en-US" w:eastAsia="en-US"/>
        </w:rPr>
        <w:t>n</w:t>
      </w:r>
      <w:r w:rsidR="0090169A">
        <w:rPr>
          <w:lang w:val="en-US" w:eastAsia="en-US"/>
        </w:rPr>
        <w:t xml:space="preserve"> AHP pathway</w:t>
      </w:r>
      <w:r w:rsidR="00640ADE">
        <w:rPr>
          <w:lang w:val="en-US" w:eastAsia="en-US"/>
        </w:rPr>
        <w:t xml:space="preserve"> for consultant specialists under certain circumstances, but only after </w:t>
      </w:r>
      <w:r w:rsidR="00AA154B">
        <w:rPr>
          <w:lang w:val="en-US" w:eastAsia="en-US"/>
        </w:rPr>
        <w:t xml:space="preserve">a full review of the evidence and the associated </w:t>
      </w:r>
      <w:r w:rsidR="00640ADE">
        <w:rPr>
          <w:lang w:val="en-US" w:eastAsia="en-US"/>
        </w:rPr>
        <w:t>costs and benefits</w:t>
      </w:r>
      <w:r w:rsidR="006F17AF">
        <w:rPr>
          <w:lang w:val="en-US" w:eastAsia="en-US"/>
        </w:rPr>
        <w:t xml:space="preserve"> </w:t>
      </w:r>
      <w:r w:rsidR="00AA154B">
        <w:rPr>
          <w:lang w:val="en-US" w:eastAsia="en-US"/>
        </w:rPr>
        <w:t>of any suggested pathway</w:t>
      </w:r>
      <w:r w:rsidR="006F17AF">
        <w:rPr>
          <w:lang w:val="en-US" w:eastAsia="en-US"/>
        </w:rPr>
        <w:t>.</w:t>
      </w:r>
    </w:p>
    <w:p w14:paraId="45758A86" w14:textId="77777777" w:rsidR="000A5CE9" w:rsidRPr="000A5CE9" w:rsidRDefault="000A5CE9" w:rsidP="000A5CE9">
      <w:pPr>
        <w:pStyle w:val="Heading2"/>
      </w:pPr>
      <w:bookmarkStart w:id="236" w:name="_Toc67952263"/>
      <w:bookmarkEnd w:id="235"/>
      <w:r>
        <w:t xml:space="preserve">Rationale </w:t>
      </w:r>
      <w:r w:rsidR="00FF3DDE">
        <w:t>21</w:t>
      </w:r>
      <w:bookmarkEnd w:id="236"/>
    </w:p>
    <w:p w14:paraId="49500654" w14:textId="77777777" w:rsidR="001E5FFD" w:rsidRDefault="00E85307" w:rsidP="00607BDA">
      <w:pPr>
        <w:pStyle w:val="Bullet-green"/>
        <w:numPr>
          <w:ilvl w:val="0"/>
          <w:numId w:val="0"/>
        </w:numPr>
        <w:rPr>
          <w:lang w:val="en-US" w:eastAsia="en-US"/>
        </w:rPr>
      </w:pPr>
      <w:r>
        <w:rPr>
          <w:lang w:val="en-US" w:eastAsia="en-US"/>
        </w:rPr>
        <w:t xml:space="preserve">This recommendation focuses on </w:t>
      </w:r>
      <w:r w:rsidR="006F17AF">
        <w:rPr>
          <w:lang w:val="en-US" w:eastAsia="en-US"/>
        </w:rPr>
        <w:t>the increasing importance of the AHP role in consultant specialist care. It is based on the following</w:t>
      </w:r>
      <w:r w:rsidR="00CB271F">
        <w:rPr>
          <w:lang w:val="en-US" w:eastAsia="en-US"/>
        </w:rPr>
        <w:t>:</w:t>
      </w:r>
    </w:p>
    <w:p w14:paraId="1E0FA194" w14:textId="77777777" w:rsidR="00F14F9F" w:rsidRPr="0019507E" w:rsidRDefault="00966A7A" w:rsidP="00607BDA">
      <w:pPr>
        <w:pStyle w:val="Bullet-green"/>
      </w:pPr>
      <w:r w:rsidRPr="00607BDA">
        <w:rPr>
          <w:lang w:val="en-US" w:eastAsia="en-US"/>
        </w:rPr>
        <w:t xml:space="preserve">Consultant specialists increasingly recognise the importance of AHP care in the treatment and pre-treatment of many common conditions. </w:t>
      </w:r>
      <w:r w:rsidR="00F14F9F" w:rsidRPr="00966A7A">
        <w:t>For example, gastroenterologists referring to psychologists to treat irritable bowel syndrome, pain medicine specialists referring to psychologists for somatic symptom disorder, and orthopaedic sur</w:t>
      </w:r>
      <w:r w:rsidR="00F14F9F">
        <w:t>geons referring to physiotherapist</w:t>
      </w:r>
      <w:r w:rsidR="00F14F9F" w:rsidRPr="00966A7A">
        <w:t>s before surgical repair of an anterior cruciate ligament</w:t>
      </w:r>
      <w:r w:rsidR="00F14F9F">
        <w:t xml:space="preserve"> injury</w:t>
      </w:r>
      <w:r w:rsidR="00F14F9F" w:rsidRPr="00966A7A">
        <w:t>.</w:t>
      </w:r>
    </w:p>
    <w:p w14:paraId="58B6752B" w14:textId="77777777" w:rsidR="00966A7A" w:rsidRPr="0019507E" w:rsidRDefault="00A1122A" w:rsidP="00607BDA">
      <w:pPr>
        <w:pStyle w:val="Bullet-green"/>
      </w:pPr>
      <w:r w:rsidRPr="00607BDA">
        <w:rPr>
          <w:lang w:val="en-US" w:eastAsia="en-US"/>
        </w:rPr>
        <w:t>C</w:t>
      </w:r>
      <w:r w:rsidR="006F17AF" w:rsidRPr="00607BDA">
        <w:rPr>
          <w:lang w:val="en-US" w:eastAsia="en-US"/>
        </w:rPr>
        <w:t>onsultant s</w:t>
      </w:r>
      <w:r w:rsidR="00803A7E" w:rsidRPr="00607BDA">
        <w:rPr>
          <w:lang w:val="en-US" w:eastAsia="en-US"/>
        </w:rPr>
        <w:t xml:space="preserve">pecialists can </w:t>
      </w:r>
      <w:r w:rsidRPr="00607BDA">
        <w:rPr>
          <w:lang w:val="en-US" w:eastAsia="en-US"/>
        </w:rPr>
        <w:t xml:space="preserve">already </w:t>
      </w:r>
      <w:r w:rsidR="00803A7E" w:rsidRPr="00607BDA">
        <w:rPr>
          <w:lang w:val="en-US" w:eastAsia="en-US"/>
        </w:rPr>
        <w:t xml:space="preserve">refer to </w:t>
      </w:r>
      <w:r w:rsidR="006F17AF" w:rsidRPr="00607BDA">
        <w:rPr>
          <w:lang w:val="en-US" w:eastAsia="en-US"/>
        </w:rPr>
        <w:t>AHPs</w:t>
      </w:r>
      <w:r w:rsidRPr="00607BDA">
        <w:rPr>
          <w:lang w:val="en-US" w:eastAsia="en-US"/>
        </w:rPr>
        <w:t xml:space="preserve">, </w:t>
      </w:r>
      <w:r w:rsidR="00803A7E" w:rsidRPr="00607BDA">
        <w:rPr>
          <w:lang w:val="en-US" w:eastAsia="en-US"/>
        </w:rPr>
        <w:t>but the patient wi</w:t>
      </w:r>
      <w:r w:rsidRPr="00607BDA">
        <w:rPr>
          <w:lang w:val="en-US" w:eastAsia="en-US"/>
        </w:rPr>
        <w:t>ll not have access to a rebate</w:t>
      </w:r>
      <w:r w:rsidR="00F14F9F">
        <w:rPr>
          <w:lang w:val="en-US" w:eastAsia="en-US"/>
        </w:rPr>
        <w:t>. T</w:t>
      </w:r>
      <w:r w:rsidRPr="00607BDA">
        <w:rPr>
          <w:lang w:val="en-US" w:eastAsia="en-US"/>
        </w:rPr>
        <w:t>his opens up a means-based pathway to patients who can afford to pay for AHP.</w:t>
      </w:r>
    </w:p>
    <w:p w14:paraId="6AB9DA9F" w14:textId="77777777" w:rsidR="00803A7E" w:rsidRPr="0019507E" w:rsidRDefault="00803A7E" w:rsidP="00607BDA">
      <w:pPr>
        <w:pStyle w:val="Bullet-green"/>
      </w:pPr>
      <w:r w:rsidRPr="00607BDA">
        <w:rPr>
          <w:lang w:val="en-US" w:eastAsia="en-US"/>
        </w:rPr>
        <w:t xml:space="preserve">For patients to access a rebate, they must be assessed </w:t>
      </w:r>
      <w:r w:rsidR="00DC1C16" w:rsidRPr="00607BDA">
        <w:rPr>
          <w:lang w:val="en-US" w:eastAsia="en-US"/>
        </w:rPr>
        <w:t xml:space="preserve">by their GP </w:t>
      </w:r>
      <w:r w:rsidRPr="00607BDA">
        <w:rPr>
          <w:lang w:val="en-US" w:eastAsia="en-US"/>
        </w:rPr>
        <w:t>for</w:t>
      </w:r>
      <w:r w:rsidR="00FC13A2" w:rsidRPr="00607BDA">
        <w:rPr>
          <w:lang w:val="en-US" w:eastAsia="en-US"/>
        </w:rPr>
        <w:t xml:space="preserve"> eligibility</w:t>
      </w:r>
      <w:r w:rsidRPr="00607BDA">
        <w:rPr>
          <w:lang w:val="en-US" w:eastAsia="en-US"/>
        </w:rPr>
        <w:t xml:space="preserve"> and </w:t>
      </w:r>
      <w:r w:rsidR="00FC13A2" w:rsidRPr="00607BDA">
        <w:rPr>
          <w:lang w:val="en-US" w:eastAsia="en-US"/>
        </w:rPr>
        <w:t xml:space="preserve">development of </w:t>
      </w:r>
      <w:r w:rsidRPr="00607BDA">
        <w:rPr>
          <w:lang w:val="en-US" w:eastAsia="en-US"/>
        </w:rPr>
        <w:t xml:space="preserve">a GP Management Plan (item 721). If granted, the patient can access up to five AHP visits with a rebate. </w:t>
      </w:r>
      <w:r w:rsidR="00A1122A" w:rsidRPr="00607BDA">
        <w:rPr>
          <w:lang w:val="en-US" w:eastAsia="en-US"/>
        </w:rPr>
        <w:t>This is inconvenient for patients, adds an additional cost of visiting their GP, and increases the likelihood of the intervention not taking place.</w:t>
      </w:r>
    </w:p>
    <w:p w14:paraId="7704E418" w14:textId="77777777" w:rsidR="00797298" w:rsidRPr="0019507E" w:rsidRDefault="00A1122A" w:rsidP="00607BDA">
      <w:pPr>
        <w:pStyle w:val="Bullet-green"/>
      </w:pPr>
      <w:r w:rsidRPr="00607BDA">
        <w:rPr>
          <w:lang w:val="en-US" w:eastAsia="en-US"/>
        </w:rPr>
        <w:t xml:space="preserve">The Committee considered </w:t>
      </w:r>
      <w:r w:rsidR="008E735E" w:rsidRPr="00607BDA">
        <w:rPr>
          <w:lang w:val="en-US" w:eastAsia="en-US"/>
        </w:rPr>
        <w:t xml:space="preserve">a </w:t>
      </w:r>
      <w:r w:rsidR="00CE7018" w:rsidRPr="00607BDA">
        <w:rPr>
          <w:lang w:val="en-US" w:eastAsia="en-US"/>
        </w:rPr>
        <w:t>recommend</w:t>
      </w:r>
      <w:r w:rsidR="008E735E" w:rsidRPr="00607BDA">
        <w:rPr>
          <w:lang w:val="en-US" w:eastAsia="en-US"/>
        </w:rPr>
        <w:t xml:space="preserve">ation for </w:t>
      </w:r>
      <w:r w:rsidR="00CE7018" w:rsidRPr="00607BDA">
        <w:rPr>
          <w:lang w:val="en-US" w:eastAsia="en-US"/>
        </w:rPr>
        <w:t>consultant specialist</w:t>
      </w:r>
      <w:r w:rsidR="001B4D91" w:rsidRPr="00607BDA">
        <w:rPr>
          <w:lang w:val="en-US" w:eastAsia="en-US"/>
        </w:rPr>
        <w:t>s to</w:t>
      </w:r>
      <w:r w:rsidR="00CE7018" w:rsidRPr="00607BDA">
        <w:rPr>
          <w:lang w:val="en-US" w:eastAsia="en-US"/>
        </w:rPr>
        <w:t xml:space="preserve"> </w:t>
      </w:r>
      <w:r w:rsidR="00433DF0" w:rsidRPr="00607BDA">
        <w:rPr>
          <w:lang w:val="en-US" w:eastAsia="en-US"/>
        </w:rPr>
        <w:t xml:space="preserve">have </w:t>
      </w:r>
      <w:r w:rsidR="00CE7018" w:rsidRPr="00607BDA">
        <w:rPr>
          <w:lang w:val="en-US" w:eastAsia="en-US"/>
        </w:rPr>
        <w:t xml:space="preserve">access to a small number of “AHP bridging referrals” </w:t>
      </w:r>
      <w:r w:rsidR="008E735E" w:rsidRPr="00607BDA">
        <w:rPr>
          <w:lang w:val="en-US" w:eastAsia="en-US"/>
        </w:rPr>
        <w:t>that were eligible for a rebate</w:t>
      </w:r>
      <w:r w:rsidR="00797298" w:rsidRPr="00607BDA">
        <w:rPr>
          <w:lang w:val="en-US" w:eastAsia="en-US"/>
        </w:rPr>
        <w:t xml:space="preserve">. </w:t>
      </w:r>
      <w:r w:rsidR="008E735E" w:rsidRPr="00607BDA">
        <w:rPr>
          <w:lang w:val="en-US" w:eastAsia="en-US"/>
        </w:rPr>
        <w:t>Howe</w:t>
      </w:r>
      <w:r w:rsidR="001B4D91" w:rsidRPr="00607BDA">
        <w:rPr>
          <w:lang w:val="en-US" w:eastAsia="en-US"/>
        </w:rPr>
        <w:t>ver, the Committee agreed this c</w:t>
      </w:r>
      <w:r w:rsidR="008E735E" w:rsidRPr="00607BDA">
        <w:rPr>
          <w:lang w:val="en-US" w:eastAsia="en-US"/>
        </w:rPr>
        <w:t>ould result in:</w:t>
      </w:r>
    </w:p>
    <w:p w14:paraId="11AF60DC" w14:textId="77777777" w:rsidR="008E735E" w:rsidRPr="00607BDA" w:rsidRDefault="00185F48" w:rsidP="000831A1">
      <w:pPr>
        <w:pStyle w:val="Bullet-green"/>
        <w:numPr>
          <w:ilvl w:val="1"/>
          <w:numId w:val="5"/>
        </w:numPr>
        <w:rPr>
          <w:lang w:val="en-US" w:eastAsia="en-US"/>
        </w:rPr>
      </w:pPr>
      <w:r>
        <w:rPr>
          <w:lang w:val="en-US" w:eastAsia="en-US"/>
        </w:rPr>
        <w:t>a</w:t>
      </w:r>
      <w:r w:rsidR="001B4D91" w:rsidRPr="00607BDA">
        <w:rPr>
          <w:lang w:val="en-US" w:eastAsia="en-US"/>
        </w:rPr>
        <w:t xml:space="preserve"> very large increase in AHP spend, as there are approximately 25 million consultant specialist attendances per year</w:t>
      </w:r>
      <w:r w:rsidR="00B85435">
        <w:rPr>
          <w:lang w:val="en-US" w:eastAsia="en-US"/>
        </w:rPr>
        <w:t xml:space="preserve">; </w:t>
      </w:r>
      <w:r w:rsidR="001B4D91" w:rsidRPr="00607BDA">
        <w:rPr>
          <w:lang w:val="en-US" w:eastAsia="en-US"/>
        </w:rPr>
        <w:t>and</w:t>
      </w:r>
    </w:p>
    <w:p w14:paraId="1023A061" w14:textId="77777777" w:rsidR="001B4D91" w:rsidRPr="00607BDA" w:rsidRDefault="00185F48" w:rsidP="000831A1">
      <w:pPr>
        <w:pStyle w:val="Bullet-green"/>
        <w:numPr>
          <w:ilvl w:val="1"/>
          <w:numId w:val="5"/>
        </w:numPr>
        <w:rPr>
          <w:lang w:val="en-US" w:eastAsia="en-US"/>
        </w:rPr>
      </w:pPr>
      <w:r>
        <w:rPr>
          <w:lang w:val="en-US" w:eastAsia="en-US"/>
        </w:rPr>
        <w:t>c</w:t>
      </w:r>
      <w:r w:rsidR="001B4D91" w:rsidRPr="00607BDA">
        <w:rPr>
          <w:lang w:val="en-US" w:eastAsia="en-US"/>
        </w:rPr>
        <w:t xml:space="preserve">ost-shifting from health funds to the MBS, as many patients currently have AHP visits covered under their health insurance plan. </w:t>
      </w:r>
    </w:p>
    <w:p w14:paraId="41CC7584" w14:textId="77777777" w:rsidR="0000514C" w:rsidRPr="0019507E" w:rsidRDefault="00797298" w:rsidP="00607BDA">
      <w:pPr>
        <w:pStyle w:val="Bullet-green"/>
      </w:pPr>
      <w:r w:rsidRPr="00607BDA">
        <w:rPr>
          <w:lang w:val="en-US" w:eastAsia="en-US"/>
        </w:rPr>
        <w:t xml:space="preserve">The Committee also </w:t>
      </w:r>
      <w:r w:rsidR="00052BF7" w:rsidRPr="00607BDA">
        <w:rPr>
          <w:lang w:val="en-US" w:eastAsia="en-US"/>
        </w:rPr>
        <w:t xml:space="preserve">noted that GPs can only access AHP visits for patient </w:t>
      </w:r>
      <w:r w:rsidR="00DC23A8" w:rsidRPr="00607BDA">
        <w:rPr>
          <w:lang w:val="en-US" w:eastAsia="en-US"/>
        </w:rPr>
        <w:t xml:space="preserve">population groups </w:t>
      </w:r>
      <w:r w:rsidR="00DC7468" w:rsidRPr="00607BDA">
        <w:rPr>
          <w:lang w:val="en-US" w:eastAsia="en-US"/>
        </w:rPr>
        <w:t>that meet sp</w:t>
      </w:r>
      <w:r w:rsidR="00DC1C16" w:rsidRPr="00607BDA">
        <w:rPr>
          <w:lang w:val="en-US" w:eastAsia="en-US"/>
        </w:rPr>
        <w:t>ecific chronic disease criteria</w:t>
      </w:r>
      <w:r w:rsidR="00DC7468" w:rsidRPr="00607BDA">
        <w:rPr>
          <w:lang w:val="en-US" w:eastAsia="en-US"/>
        </w:rPr>
        <w:t>.</w:t>
      </w:r>
      <w:r w:rsidR="00185F48">
        <w:rPr>
          <w:lang w:val="en-US" w:eastAsia="en-US"/>
        </w:rPr>
        <w:t xml:space="preserve"> </w:t>
      </w:r>
      <w:r w:rsidR="00840E7F" w:rsidRPr="00607BDA">
        <w:rPr>
          <w:lang w:val="en-US" w:eastAsia="en-US"/>
        </w:rPr>
        <w:t xml:space="preserve">The Committee therefore recommended </w:t>
      </w:r>
      <w:r w:rsidR="00FC13A2" w:rsidRPr="00607BDA">
        <w:rPr>
          <w:lang w:val="en-US" w:eastAsia="en-US"/>
        </w:rPr>
        <w:t xml:space="preserve">that </w:t>
      </w:r>
      <w:r w:rsidR="00840E7F" w:rsidRPr="00607BDA">
        <w:rPr>
          <w:lang w:val="en-US" w:eastAsia="en-US"/>
        </w:rPr>
        <w:t>opening up a</w:t>
      </w:r>
      <w:r w:rsidR="00433DF0" w:rsidRPr="00607BDA">
        <w:rPr>
          <w:lang w:val="en-US" w:eastAsia="en-US"/>
        </w:rPr>
        <w:t>n</w:t>
      </w:r>
      <w:r w:rsidR="00840E7F" w:rsidRPr="00607BDA">
        <w:rPr>
          <w:lang w:val="en-US" w:eastAsia="en-US"/>
        </w:rPr>
        <w:t xml:space="preserve"> AHP pathway</w:t>
      </w:r>
      <w:r w:rsidR="00A54BB2" w:rsidRPr="00607BDA">
        <w:rPr>
          <w:lang w:val="en-US" w:eastAsia="en-US"/>
        </w:rPr>
        <w:t xml:space="preserve"> for consultant specialists </w:t>
      </w:r>
      <w:r w:rsidR="00C35606" w:rsidRPr="00607BDA">
        <w:rPr>
          <w:lang w:val="en-US" w:eastAsia="en-US"/>
        </w:rPr>
        <w:t>should be considered</w:t>
      </w:r>
      <w:r w:rsidR="007949D8" w:rsidRPr="00607BDA">
        <w:rPr>
          <w:lang w:val="en-US" w:eastAsia="en-US"/>
        </w:rPr>
        <w:t xml:space="preserve">, while noting that this should only occur after a </w:t>
      </w:r>
      <w:r w:rsidR="00FC13A2" w:rsidRPr="00607BDA">
        <w:rPr>
          <w:lang w:val="en-US" w:eastAsia="en-US"/>
        </w:rPr>
        <w:t xml:space="preserve">full </w:t>
      </w:r>
      <w:r w:rsidR="007949D8" w:rsidRPr="00607BDA">
        <w:rPr>
          <w:lang w:val="en-US" w:eastAsia="en-US"/>
        </w:rPr>
        <w:t>review of associated costs and benefits.</w:t>
      </w:r>
    </w:p>
    <w:p w14:paraId="5BC51F58" w14:textId="77777777" w:rsidR="00FB4475" w:rsidRPr="00C33C0B" w:rsidRDefault="00B85435" w:rsidP="00FB4475">
      <w:pPr>
        <w:pStyle w:val="Heading1"/>
        <w:rPr>
          <w:lang w:val="en-GB"/>
        </w:rPr>
      </w:pPr>
      <w:bookmarkStart w:id="237" w:name="_Toc459996819"/>
      <w:bookmarkStart w:id="238" w:name="_Toc458167009"/>
      <w:bookmarkStart w:id="239" w:name="_Toc468831606"/>
      <w:bookmarkStart w:id="240" w:name="_Toc521442212"/>
      <w:bookmarkEnd w:id="229"/>
      <w:r>
        <w:rPr>
          <w:lang w:val="en-GB"/>
        </w:rPr>
        <w:t xml:space="preserve"> </w:t>
      </w:r>
      <w:bookmarkStart w:id="241" w:name="_Toc67952264"/>
      <w:r w:rsidR="00834274">
        <w:rPr>
          <w:lang w:val="en-GB"/>
        </w:rPr>
        <w:t>I</w:t>
      </w:r>
      <w:r w:rsidR="00FB4475" w:rsidRPr="00C33C0B">
        <w:rPr>
          <w:lang w:val="en-GB"/>
        </w:rPr>
        <w:t>mpact statement</w:t>
      </w:r>
      <w:bookmarkEnd w:id="237"/>
      <w:bookmarkEnd w:id="238"/>
      <w:bookmarkEnd w:id="239"/>
      <w:bookmarkEnd w:id="240"/>
      <w:bookmarkEnd w:id="241"/>
    </w:p>
    <w:p w14:paraId="34505D5E" w14:textId="77777777" w:rsidR="00E76A74" w:rsidRDefault="00FB4475" w:rsidP="00FB4475">
      <w:pPr>
        <w:rPr>
          <w:lang w:val="en-GB"/>
        </w:rPr>
      </w:pPr>
      <w:bookmarkStart w:id="242" w:name="_Hlk528950647"/>
      <w:r w:rsidRPr="00C33C0B">
        <w:rPr>
          <w:lang w:val="en-GB"/>
        </w:rPr>
        <w:t xml:space="preserve">Both patients and providers are expected to benefit from these recommendations as they address concerns regarding patient access and quality of care, and they take steps to simplify the MBS and make it easier to use and understand. The Committee also considered each recommendation’s impact on provider groups to ensure that any changes were reasonable and fair. However, if the Committee identified evidence of potential item misuse or safety concerns, recommendations were made to encourage best practice, in line with the overarching purpose of the MBS Review. </w:t>
      </w:r>
      <w:bookmarkEnd w:id="242"/>
    </w:p>
    <w:p w14:paraId="0A1AB64B" w14:textId="78F6088B" w:rsidR="000F73A5" w:rsidRPr="00DD50C6" w:rsidDel="00577D91" w:rsidRDefault="000F73A5" w:rsidP="00E65C6B">
      <w:pPr>
        <w:pStyle w:val="Heading2"/>
      </w:pPr>
      <w:bookmarkStart w:id="243" w:name="_Toc55897405"/>
      <w:bookmarkStart w:id="244" w:name="_Toc55897740"/>
      <w:bookmarkStart w:id="245" w:name="_Toc67952265"/>
      <w:r w:rsidRPr="00DD50C6" w:rsidDel="00577D91">
        <w:t>Introductory notes</w:t>
      </w:r>
      <w:bookmarkEnd w:id="243"/>
      <w:bookmarkEnd w:id="244"/>
      <w:bookmarkEnd w:id="245"/>
    </w:p>
    <w:p w14:paraId="3DD0183D" w14:textId="65C8E1D1" w:rsidR="000F73A5" w:rsidRPr="00DD50C6" w:rsidDel="00577D91" w:rsidRDefault="000F73A5" w:rsidP="000F73A5">
      <w:pPr>
        <w:pStyle w:val="Bullet-green"/>
        <w:rPr>
          <w:lang w:val="en-GB"/>
        </w:rPr>
      </w:pPr>
      <w:r w:rsidRPr="00DD50C6" w:rsidDel="00577D91">
        <w:rPr>
          <w:lang w:val="en-GB"/>
        </w:rPr>
        <w:t>The MBS refers to “specialists” and “consultant physicians”. These two roles used to be very different.  Now they are similar. In this report, “consultant specialist” means both “specialists and consultant physicians”.</w:t>
      </w:r>
    </w:p>
    <w:p w14:paraId="733EB074" w14:textId="3BBAD1CF" w:rsidR="000F73A5" w:rsidRPr="00DD50C6" w:rsidDel="00577D91" w:rsidRDefault="000F73A5" w:rsidP="000F73A5">
      <w:pPr>
        <w:pStyle w:val="Bullet-green"/>
        <w:rPr>
          <w:lang w:val="en-GB"/>
        </w:rPr>
      </w:pPr>
      <w:r w:rsidRPr="00DD50C6" w:rsidDel="00577D91">
        <w:rPr>
          <w:lang w:val="en-GB"/>
        </w:rPr>
        <w:t>The MBS uses the term “attendance” for a consultation. This consumer summary will use the term consultation.</w:t>
      </w:r>
    </w:p>
    <w:p w14:paraId="4704393E" w14:textId="50F1117E" w:rsidR="000F73A5" w:rsidRPr="00DD50C6" w:rsidDel="00577D91" w:rsidRDefault="000F73A5" w:rsidP="000F73A5">
      <w:pPr>
        <w:pStyle w:val="Bullet-green"/>
        <w:rPr>
          <w:lang w:val="en-GB"/>
        </w:rPr>
      </w:pPr>
      <w:r w:rsidRPr="00DD50C6" w:rsidDel="00577D91">
        <w:rPr>
          <w:lang w:val="en-GB"/>
        </w:rPr>
        <w:t>The Committee reviewed 143 MBS items</w:t>
      </w:r>
      <w:r w:rsidRPr="00DD50C6" w:rsidDel="00577D91">
        <w:rPr>
          <w:b/>
          <w:lang w:val="en-GB"/>
        </w:rPr>
        <w:t xml:space="preserve"> </w:t>
      </w:r>
      <w:r w:rsidRPr="00DD50C6" w:rsidDel="00577D91">
        <w:rPr>
          <w:lang w:val="en-GB"/>
        </w:rPr>
        <w:t xml:space="preserve">used by consultant specialists to claim for consultations. </w:t>
      </w:r>
    </w:p>
    <w:p w14:paraId="0814D6F8" w14:textId="4854A5BF" w:rsidR="000F73A5" w:rsidRPr="00DD50C6" w:rsidDel="00577D91" w:rsidRDefault="000F73A5" w:rsidP="000F73A5">
      <w:pPr>
        <w:pStyle w:val="Bullet-green"/>
        <w:rPr>
          <w:lang w:val="en-GB"/>
        </w:rPr>
      </w:pPr>
      <w:r w:rsidRPr="00DD50C6" w:rsidDel="00577D91">
        <w:rPr>
          <w:lang w:val="en-GB"/>
        </w:rPr>
        <w:t xml:space="preserve">In the financial year 2016-17, these items totalled 26 million services and cost the taxpayer $1.9 billion – plus out of pocket costs. </w:t>
      </w:r>
    </w:p>
    <w:p w14:paraId="22879A99" w14:textId="409DF07F" w:rsidR="000F73A5" w:rsidRPr="00DD50C6" w:rsidDel="00577D91" w:rsidRDefault="000F73A5" w:rsidP="000F73A5">
      <w:pPr>
        <w:pStyle w:val="Bullet-green"/>
        <w:rPr>
          <w:lang w:val="en-GB"/>
        </w:rPr>
      </w:pPr>
      <w:r w:rsidRPr="00DD50C6" w:rsidDel="00577D91">
        <w:rPr>
          <w:lang w:val="en-GB"/>
        </w:rPr>
        <w:t>Over the past five years, use of these items has increased by 4.2% per year, and the cost has increased by 5.5% per year.</w:t>
      </w:r>
    </w:p>
    <w:p w14:paraId="4742A364" w14:textId="77777777" w:rsidR="000F73A5" w:rsidRPr="00607BDA" w:rsidRDefault="000F73A5" w:rsidP="00607BDA">
      <w:pPr>
        <w:pStyle w:val="Heading2"/>
      </w:pPr>
      <w:bookmarkStart w:id="246" w:name="_Toc67952266"/>
      <w:r w:rsidRPr="00052DB8">
        <w:t xml:space="preserve">Standard </w:t>
      </w:r>
      <w:r>
        <w:t>attendance recommendations</w:t>
      </w:r>
      <w:bookmarkEnd w:id="246"/>
    </w:p>
    <w:p w14:paraId="62831BED" w14:textId="77777777" w:rsidR="000F73A5" w:rsidRPr="00052DB8" w:rsidRDefault="000F73A5" w:rsidP="000F73A5">
      <w:pPr>
        <w:rPr>
          <w:lang w:val="en-GB"/>
        </w:rPr>
      </w:pPr>
      <w:r w:rsidRPr="00052DB8">
        <w:rPr>
          <w:lang w:val="en-GB"/>
        </w:rPr>
        <w:t xml:space="preserve">Replace the current </w:t>
      </w:r>
      <w:r>
        <w:rPr>
          <w:lang w:val="en-GB"/>
        </w:rPr>
        <w:t xml:space="preserve">consultation </w:t>
      </w:r>
      <w:r w:rsidRPr="00052DB8">
        <w:rPr>
          <w:lang w:val="en-GB"/>
        </w:rPr>
        <w:t>items with items based on the length of the consultation (</w:t>
      </w:r>
      <w:r>
        <w:rPr>
          <w:lang w:val="en-GB"/>
        </w:rPr>
        <w:t>as for</w:t>
      </w:r>
      <w:r w:rsidRPr="00052DB8">
        <w:rPr>
          <w:lang w:val="en-GB"/>
        </w:rPr>
        <w:t xml:space="preserve"> GP consultations)</w:t>
      </w:r>
      <w:r>
        <w:rPr>
          <w:lang w:val="en-GB"/>
        </w:rPr>
        <w:t>,</w:t>
      </w:r>
      <w:r w:rsidRPr="00052DB8">
        <w:rPr>
          <w:lang w:val="en-GB"/>
        </w:rPr>
        <w:t xml:space="preserve"> and describe </w:t>
      </w:r>
      <w:r>
        <w:rPr>
          <w:lang w:val="en-GB"/>
        </w:rPr>
        <w:t>key activities for each.</w:t>
      </w:r>
    </w:p>
    <w:p w14:paraId="5AD342D0" w14:textId="77777777" w:rsidR="000F73A5" w:rsidRPr="00052DB8" w:rsidRDefault="000F73A5" w:rsidP="000F73A5">
      <w:pPr>
        <w:pStyle w:val="Bullet-green"/>
        <w:rPr>
          <w:lang w:val="en-GB"/>
        </w:rPr>
      </w:pPr>
      <w:r w:rsidRPr="00052DB8">
        <w:rPr>
          <w:lang w:val="en-GB"/>
        </w:rPr>
        <w:t>Consumer points</w:t>
      </w:r>
      <w:r>
        <w:rPr>
          <w:lang w:val="en-GB"/>
        </w:rPr>
        <w:t>.</w:t>
      </w:r>
    </w:p>
    <w:p w14:paraId="75B71F18" w14:textId="77777777" w:rsidR="000F73A5" w:rsidRPr="00423430" w:rsidRDefault="000F73A5" w:rsidP="000F73A5">
      <w:pPr>
        <w:pStyle w:val="Bullet2"/>
      </w:pPr>
      <w:r w:rsidRPr="00052DB8">
        <w:t>Consumers can expect GPs and consultant specialists to set their appointments and fees the same way</w:t>
      </w:r>
      <w:r>
        <w:t xml:space="preserve"> (i.e., by the length of time they spend with you).</w:t>
      </w:r>
    </w:p>
    <w:p w14:paraId="0D30CD63" w14:textId="77777777" w:rsidR="000F73A5" w:rsidRPr="00423430" w:rsidRDefault="000F73A5" w:rsidP="000F73A5">
      <w:pPr>
        <w:pStyle w:val="Bullet2"/>
      </w:pPr>
      <w:r w:rsidRPr="00052DB8">
        <w:t>It will be easier to know and compare the fees (and out of pocket costs) of different consultant specialists</w:t>
      </w:r>
      <w:r>
        <w:t>.</w:t>
      </w:r>
    </w:p>
    <w:p w14:paraId="24441793" w14:textId="77777777" w:rsidR="000F73A5" w:rsidRPr="00FF03D9" w:rsidRDefault="000F73A5" w:rsidP="000F73A5">
      <w:pPr>
        <w:pStyle w:val="Bullet2"/>
      </w:pPr>
      <w:r w:rsidRPr="00052DB8">
        <w:t>First and subsequent consultations will be charged the same: on the basis of time.</w:t>
      </w:r>
    </w:p>
    <w:p w14:paraId="63491640" w14:textId="77777777" w:rsidR="000F73A5" w:rsidRPr="0060516A" w:rsidRDefault="000F73A5" w:rsidP="000F73A5">
      <w:r>
        <w:t xml:space="preserve">Introduce </w:t>
      </w:r>
      <w:r w:rsidRPr="00052DB8">
        <w:t>time</w:t>
      </w:r>
      <w:r>
        <w:t>-</w:t>
      </w:r>
      <w:r w:rsidRPr="00052DB8">
        <w:t>tiered items</w:t>
      </w:r>
      <w:r>
        <w:t xml:space="preserve"> that mirror the </w:t>
      </w:r>
      <w:r w:rsidRPr="00052DB8">
        <w:t>standard consultation</w:t>
      </w:r>
      <w:r>
        <w:t xml:space="preserve"> structure</w:t>
      </w:r>
      <w:r w:rsidRPr="00052DB8">
        <w:t xml:space="preserve"> (above) </w:t>
      </w:r>
      <w:r>
        <w:t>for a</w:t>
      </w:r>
      <w:r w:rsidRPr="0060516A">
        <w:rPr>
          <w:lang w:val="en-GB"/>
        </w:rPr>
        <w:t>cute, urgent, and unplanned</w:t>
      </w:r>
      <w:r w:rsidRPr="00052DB8">
        <w:rPr>
          <w:lang w:val="en-GB"/>
        </w:rPr>
        <w:t xml:space="preserve"> consultations</w:t>
      </w:r>
      <w:r w:rsidRPr="00052DB8">
        <w:t xml:space="preserve"> and set a higher fee. These items are only used when a patient is at risk of serious harm or death, and the care happens outside the usual consulting rooms.</w:t>
      </w:r>
    </w:p>
    <w:p w14:paraId="05E789C4" w14:textId="77777777" w:rsidR="000F73A5" w:rsidRPr="00052DB8" w:rsidRDefault="000F73A5" w:rsidP="000F73A5">
      <w:pPr>
        <w:pStyle w:val="Bullet-green"/>
        <w:rPr>
          <w:lang w:val="en-GB"/>
        </w:rPr>
      </w:pPr>
      <w:r w:rsidRPr="00052DB8">
        <w:rPr>
          <w:lang w:val="en-GB"/>
        </w:rPr>
        <w:t>Consumer points</w:t>
      </w:r>
      <w:r>
        <w:rPr>
          <w:lang w:val="en-GB"/>
        </w:rPr>
        <w:t>.</w:t>
      </w:r>
    </w:p>
    <w:p w14:paraId="1E9CE8FD" w14:textId="77777777" w:rsidR="000F73A5" w:rsidRPr="00052DB8" w:rsidRDefault="000F73A5" w:rsidP="000F73A5">
      <w:pPr>
        <w:pStyle w:val="Bullet2"/>
      </w:pPr>
      <w:r w:rsidRPr="00052DB8">
        <w:t>The time-tiered item approach is the same</w:t>
      </w:r>
      <w:r>
        <w:t xml:space="preserve"> as for standard consultations. The</w:t>
      </w:r>
      <w:r w:rsidRPr="00052DB8">
        <w:t xml:space="preserve"> higher payment reflects the urgent and unexpected nature of the work.</w:t>
      </w:r>
    </w:p>
    <w:p w14:paraId="04A30203" w14:textId="77777777" w:rsidR="000F73A5" w:rsidRPr="00A5731B" w:rsidRDefault="000F73A5" w:rsidP="00607BDA">
      <w:pPr>
        <w:pStyle w:val="Heading2"/>
      </w:pPr>
      <w:bookmarkStart w:id="247" w:name="_Toc67952267"/>
      <w:r w:rsidRPr="00607BDA">
        <w:t xml:space="preserve">Complex plan </w:t>
      </w:r>
      <w:r>
        <w:t>recommendations</w:t>
      </w:r>
      <w:r w:rsidRPr="00607BDA">
        <w:t>:</w:t>
      </w:r>
      <w:bookmarkEnd w:id="247"/>
      <w:r w:rsidRPr="00607BDA">
        <w:t xml:space="preserve"> </w:t>
      </w:r>
    </w:p>
    <w:p w14:paraId="7C90E73B" w14:textId="77777777" w:rsidR="000F73A5" w:rsidRPr="00052DB8" w:rsidRDefault="000F73A5" w:rsidP="000F73A5">
      <w:r>
        <w:rPr>
          <w:lang w:val="en-GB"/>
        </w:rPr>
        <w:t>Replace these items with time-</w:t>
      </w:r>
      <w:r w:rsidRPr="00052DB8">
        <w:rPr>
          <w:lang w:val="en-GB"/>
        </w:rPr>
        <w:t>tiered it</w:t>
      </w:r>
      <w:r>
        <w:rPr>
          <w:lang w:val="en-GB"/>
        </w:rPr>
        <w:t>ems, except for those provided by paediatricians</w:t>
      </w:r>
      <w:r w:rsidR="00FF3DDE">
        <w:rPr>
          <w:lang w:val="en-GB"/>
        </w:rPr>
        <w:t xml:space="preserve"> and geriatricians.</w:t>
      </w:r>
    </w:p>
    <w:p w14:paraId="5E03C0D6" w14:textId="77777777" w:rsidR="000F73A5" w:rsidRPr="00052DB8" w:rsidRDefault="000F73A5" w:rsidP="000F73A5">
      <w:pPr>
        <w:pStyle w:val="Bullet-green"/>
        <w:rPr>
          <w:lang w:val="en-GB"/>
        </w:rPr>
      </w:pPr>
      <w:r w:rsidRPr="00052DB8">
        <w:rPr>
          <w:lang w:val="en-GB"/>
        </w:rPr>
        <w:t xml:space="preserve">Consumer </w:t>
      </w:r>
      <w:r w:rsidRPr="0048455A">
        <w:t>points</w:t>
      </w:r>
      <w:r>
        <w:t>.</w:t>
      </w:r>
    </w:p>
    <w:p w14:paraId="5109BC11" w14:textId="77777777" w:rsidR="000F73A5" w:rsidRPr="00423430" w:rsidRDefault="000F73A5" w:rsidP="000F73A5">
      <w:pPr>
        <w:pStyle w:val="Bullet2"/>
      </w:pPr>
      <w:r w:rsidRPr="00052DB8">
        <w:t xml:space="preserve">These consultations provide the referring doctor (usually the patient’s GP) with a detailed management plan, which may include detail on which tests to perform and how often, changes to medications, and when to refer back to the </w:t>
      </w:r>
      <w:r>
        <w:t xml:space="preserve">consultant </w:t>
      </w:r>
      <w:r w:rsidRPr="00052DB8">
        <w:t>specialist. This</w:t>
      </w:r>
      <w:r w:rsidRPr="00423430">
        <w:t xml:space="preserve"> item is not</w:t>
      </w:r>
      <w:r w:rsidRPr="00052DB8">
        <w:t>, however,</w:t>
      </w:r>
      <w:r w:rsidRPr="00423430">
        <w:t xml:space="preserve"> always used </w:t>
      </w:r>
      <w:r>
        <w:t>this way</w:t>
      </w:r>
      <w:r w:rsidRPr="00423430">
        <w:t>.</w:t>
      </w:r>
      <w:r w:rsidRPr="00052DB8">
        <w:t xml:space="preserve"> Changing to time</w:t>
      </w:r>
      <w:r>
        <w:t>-</w:t>
      </w:r>
      <w:r w:rsidRPr="00052DB8">
        <w:t>tiering makes the items simpler without removing any benefit to patients.</w:t>
      </w:r>
    </w:p>
    <w:p w14:paraId="7D80A858" w14:textId="77777777" w:rsidR="000F73A5" w:rsidRDefault="000F73A5" w:rsidP="000F73A5">
      <w:pPr>
        <w:pStyle w:val="Bullet2"/>
      </w:pPr>
      <w:r w:rsidRPr="00052DB8">
        <w:t>Paediatricians use the existing items for</w:t>
      </w:r>
      <w:r w:rsidRPr="00052DB8">
        <w:rPr>
          <w:lang w:val="en-GB"/>
        </w:rPr>
        <w:t xml:space="preserve"> c</w:t>
      </w:r>
      <w:r w:rsidRPr="00423430">
        <w:rPr>
          <w:lang w:val="en-GB"/>
        </w:rPr>
        <w:t xml:space="preserve">hildren with certain developmental disorders (e.g., autism) </w:t>
      </w:r>
      <w:r w:rsidR="009C2A4A">
        <w:rPr>
          <w:lang w:val="en-GB"/>
        </w:rPr>
        <w:t>and</w:t>
      </w:r>
      <w:r w:rsidRPr="00423430">
        <w:rPr>
          <w:lang w:val="en-GB"/>
        </w:rPr>
        <w:t xml:space="preserve"> </w:t>
      </w:r>
      <w:r w:rsidRPr="0060516A">
        <w:rPr>
          <w:lang w:val="en-GB"/>
        </w:rPr>
        <w:t xml:space="preserve">for children with a disability. These items also provide access </w:t>
      </w:r>
      <w:r w:rsidRPr="00052DB8">
        <w:rPr>
          <w:lang w:val="en-GB"/>
        </w:rPr>
        <w:t>to allied health professional visits that are eligible for a MBS rebate. The Committee recommends these items remain with wording cha</w:t>
      </w:r>
      <w:r>
        <w:rPr>
          <w:lang w:val="en-GB"/>
        </w:rPr>
        <w:t xml:space="preserve">nged to reflect modern practice, </w:t>
      </w:r>
      <w:r w:rsidRPr="00423430">
        <w:t>replacing</w:t>
      </w:r>
      <w:r w:rsidRPr="0060516A">
        <w:t xml:space="preserve"> the outdated term “pervasive neurodevelopment disorder” with “complex </w:t>
      </w:r>
      <w:r w:rsidRPr="00052DB8">
        <w:t>neurodevelopmental disorder”</w:t>
      </w:r>
      <w:r>
        <w:t xml:space="preserve"> to enable </w:t>
      </w:r>
      <w:r w:rsidRPr="00423430">
        <w:t>paediatricians to use t</w:t>
      </w:r>
      <w:r w:rsidRPr="00052DB8">
        <w:t>he</w:t>
      </w:r>
      <w:r w:rsidRPr="00423430">
        <w:t xml:space="preserve"> item for children with </w:t>
      </w:r>
      <w:r>
        <w:t>fetal</w:t>
      </w:r>
      <w:r w:rsidRPr="00423430">
        <w:t xml:space="preserve"> alcohol spectrum disorder (FASD).</w:t>
      </w:r>
    </w:p>
    <w:p w14:paraId="4BC745CF" w14:textId="77777777" w:rsidR="00FF3DDE" w:rsidRPr="000F13EF" w:rsidRDefault="00FF3DDE" w:rsidP="00FF3DDE">
      <w:pPr>
        <w:pStyle w:val="Bullet2"/>
      </w:pPr>
      <w:r w:rsidRPr="000F13EF">
        <w:t xml:space="preserve">Geriatricians use the existing items to provide a comprehensive assessment and management plan for patients who are at </w:t>
      </w:r>
      <w:r>
        <w:t xml:space="preserve">least </w:t>
      </w:r>
      <w:r w:rsidRPr="000F13EF">
        <w:t xml:space="preserve">65 years old </w:t>
      </w:r>
      <w:r>
        <w:t>and includes evaluation of the medical, physical, psychological and social aspects of the patient’s health. The Committee recommends these items remain in the MBS.</w:t>
      </w:r>
    </w:p>
    <w:p w14:paraId="36CDEA32" w14:textId="499EC512" w:rsidR="000F73A5" w:rsidRPr="00607BDA" w:rsidRDefault="000F73A5" w:rsidP="00607BDA">
      <w:pPr>
        <w:pStyle w:val="Heading2"/>
      </w:pPr>
      <w:bookmarkStart w:id="248" w:name="_Toc67952268"/>
      <w:r w:rsidRPr="0048455A">
        <w:t>Telehealth</w:t>
      </w:r>
      <w:r>
        <w:t xml:space="preserve"> recommendations</w:t>
      </w:r>
      <w:r w:rsidR="00F17DD4">
        <w:t xml:space="preserve"> (r</w:t>
      </w:r>
      <w:r w:rsidR="00CC4A5B">
        <w:t>eferred</w:t>
      </w:r>
      <w:r w:rsidR="00F17DD4">
        <w:t xml:space="preserve"> to the Taskforce’s Telehealth Working Group for consideration</w:t>
      </w:r>
      <w:r w:rsidR="00CC4A5B">
        <w:t>)</w:t>
      </w:r>
      <w:bookmarkEnd w:id="248"/>
    </w:p>
    <w:p w14:paraId="149E4B65" w14:textId="77777777" w:rsidR="000F73A5" w:rsidRPr="00052DB8" w:rsidRDefault="000F73A5" w:rsidP="000F73A5">
      <w:r w:rsidRPr="00052DB8">
        <w:t xml:space="preserve">Over time, reduce the loading paid to </w:t>
      </w:r>
      <w:r>
        <w:t>consultant specialists</w:t>
      </w:r>
      <w:r w:rsidRPr="00052DB8">
        <w:t xml:space="preserve"> when they use telehealth and use all the money saved to promote the wider use of telehealth. Monitor this change to make sure it achieves what’s intended</w:t>
      </w:r>
      <w:r>
        <w:t xml:space="preserve"> and does not introduce unwanted consequences</w:t>
      </w:r>
      <w:r w:rsidRPr="00052DB8">
        <w:t>. Then introduce telehealth specific items using the time</w:t>
      </w:r>
      <w:r>
        <w:t>-</w:t>
      </w:r>
      <w:r w:rsidRPr="00052DB8">
        <w:t xml:space="preserve">tiered </w:t>
      </w:r>
      <w:r>
        <w:t>structure as for standard attendances</w:t>
      </w:r>
      <w:r w:rsidRPr="00052DB8">
        <w:t>.</w:t>
      </w:r>
    </w:p>
    <w:p w14:paraId="17BF2342" w14:textId="77777777" w:rsidR="000F73A5" w:rsidRPr="00052DB8" w:rsidRDefault="000F73A5" w:rsidP="00C035DF">
      <w:pPr>
        <w:pStyle w:val="Bullet-green"/>
        <w:keepNext/>
        <w:rPr>
          <w:lang w:val="en-GB"/>
        </w:rPr>
      </w:pPr>
      <w:r w:rsidRPr="00052DB8">
        <w:rPr>
          <w:lang w:val="en-GB"/>
        </w:rPr>
        <w:t>Consumer points</w:t>
      </w:r>
      <w:r>
        <w:rPr>
          <w:lang w:val="en-GB"/>
        </w:rPr>
        <w:t>.</w:t>
      </w:r>
    </w:p>
    <w:p w14:paraId="1AB84BFB" w14:textId="77777777" w:rsidR="000F73A5" w:rsidRPr="00052DB8" w:rsidRDefault="000F73A5" w:rsidP="00C035DF">
      <w:pPr>
        <w:pStyle w:val="Bullet2"/>
        <w:keepNext/>
      </w:pPr>
      <w:r w:rsidRPr="00052DB8">
        <w:t>International evidence shows that once consumers and clinicians understand the benefits of telehealth, they don’t need incentives to use it – and it saves everyone time and money</w:t>
      </w:r>
      <w:r>
        <w:t>.</w:t>
      </w:r>
    </w:p>
    <w:p w14:paraId="2B47AE15" w14:textId="77777777" w:rsidR="000F73A5" w:rsidRPr="00423430" w:rsidRDefault="000F73A5" w:rsidP="000F73A5">
      <w:pPr>
        <w:pStyle w:val="Bullet2"/>
      </w:pPr>
      <w:r w:rsidRPr="00052DB8">
        <w:t xml:space="preserve">The </w:t>
      </w:r>
      <w:r w:rsidR="00EA0868">
        <w:t xml:space="preserve">benefits </w:t>
      </w:r>
      <w:r w:rsidRPr="00052DB8">
        <w:t>saved from the loading could be used to educate consumers and clinicians so they use telehealth for everyone’s benefit.</w:t>
      </w:r>
    </w:p>
    <w:p w14:paraId="77EE238F" w14:textId="77777777" w:rsidR="000F73A5" w:rsidRPr="00607BDA" w:rsidRDefault="000F73A5" w:rsidP="00607BDA">
      <w:pPr>
        <w:pStyle w:val="Heading2"/>
      </w:pPr>
      <w:bookmarkStart w:id="249" w:name="_Toc67952269"/>
      <w:r w:rsidRPr="00052DB8">
        <w:t xml:space="preserve">Case </w:t>
      </w:r>
      <w:r w:rsidRPr="00607BDA">
        <w:t>conference</w:t>
      </w:r>
      <w:r>
        <w:t xml:space="preserve"> recommendations</w:t>
      </w:r>
      <w:bookmarkEnd w:id="249"/>
    </w:p>
    <w:p w14:paraId="05D70D2E" w14:textId="77777777" w:rsidR="000F73A5" w:rsidRDefault="000F73A5" w:rsidP="000F73A5">
      <w:r>
        <w:t xml:space="preserve">Case conferences are </w:t>
      </w:r>
      <w:r w:rsidRPr="00052DB8">
        <w:t>where a group of health professionals (and their patient) meet to d</w:t>
      </w:r>
      <w:r>
        <w:t>iscuss, develop and agree on a care plan.</w:t>
      </w:r>
    </w:p>
    <w:p w14:paraId="2621444D" w14:textId="77777777" w:rsidR="000F73A5" w:rsidRPr="00052DB8" w:rsidRDefault="000F73A5" w:rsidP="000F73A5">
      <w:pPr>
        <w:rPr>
          <w:lang w:val="en-GB"/>
        </w:rPr>
      </w:pPr>
      <w:r w:rsidRPr="00052DB8">
        <w:t xml:space="preserve">Change the current case conference items </w:t>
      </w:r>
      <w:r w:rsidRPr="00052DB8">
        <w:rPr>
          <w:lang w:val="en-GB"/>
        </w:rPr>
        <w:t xml:space="preserve">to facilitate shared decision-making and more integrated care with </w:t>
      </w:r>
      <w:r>
        <w:rPr>
          <w:lang w:val="en-GB"/>
        </w:rPr>
        <w:t xml:space="preserve">the </w:t>
      </w:r>
      <w:r w:rsidRPr="00052DB8">
        <w:rPr>
          <w:lang w:val="en-GB"/>
        </w:rPr>
        <w:t xml:space="preserve">patient and their GP. Have three types of case conference: (1) </w:t>
      </w:r>
      <w:r>
        <w:rPr>
          <w:lang w:val="en-GB"/>
        </w:rPr>
        <w:t xml:space="preserve">discharge </w:t>
      </w:r>
      <w:r w:rsidRPr="00052DB8">
        <w:rPr>
          <w:lang w:val="en-GB"/>
        </w:rPr>
        <w:t xml:space="preserve">planning (2) </w:t>
      </w:r>
      <w:r>
        <w:rPr>
          <w:lang w:val="en-GB"/>
        </w:rPr>
        <w:t>community care</w:t>
      </w:r>
      <w:r w:rsidRPr="00052DB8">
        <w:rPr>
          <w:lang w:val="en-GB"/>
        </w:rPr>
        <w:t xml:space="preserve"> planning</w:t>
      </w:r>
      <w:r>
        <w:rPr>
          <w:lang w:val="en-GB"/>
        </w:rPr>
        <w:t>, and</w:t>
      </w:r>
      <w:r w:rsidRPr="00052DB8">
        <w:rPr>
          <w:lang w:val="en-GB"/>
        </w:rPr>
        <w:t xml:space="preserve"> (3) treatment planning</w:t>
      </w:r>
      <w:r>
        <w:rPr>
          <w:lang w:val="en-GB"/>
        </w:rPr>
        <w:t>.</w:t>
      </w:r>
    </w:p>
    <w:p w14:paraId="6546065A" w14:textId="77777777" w:rsidR="000F73A5" w:rsidRPr="00052DB8" w:rsidRDefault="000F73A5" w:rsidP="000F73A5">
      <w:pPr>
        <w:pStyle w:val="Bullet-green"/>
        <w:rPr>
          <w:lang w:val="en-GB"/>
        </w:rPr>
      </w:pPr>
      <w:r>
        <w:rPr>
          <w:lang w:val="en-GB"/>
        </w:rPr>
        <w:t>Consumer points.</w:t>
      </w:r>
    </w:p>
    <w:p w14:paraId="4A6E965E" w14:textId="77777777" w:rsidR="000F73A5" w:rsidRPr="00052DB8" w:rsidRDefault="000F73A5" w:rsidP="000F73A5">
      <w:pPr>
        <w:pStyle w:val="Bullet2"/>
      </w:pPr>
      <w:r w:rsidRPr="00052DB8">
        <w:t>Case conference items are for discussing patient treatm</w:t>
      </w:r>
      <w:r w:rsidRPr="00423430">
        <w:t xml:space="preserve">ent options, risks and benefits; </w:t>
      </w:r>
      <w:r w:rsidRPr="00052DB8">
        <w:t>recommending</w:t>
      </w:r>
      <w:r>
        <w:t xml:space="preserve"> </w:t>
      </w:r>
      <w:r w:rsidRPr="00052DB8">
        <w:t>a treatment plan</w:t>
      </w:r>
      <w:r>
        <w:t>; reaching an agreed decision and obtaining informed patient consent.</w:t>
      </w:r>
    </w:p>
    <w:p w14:paraId="0F8B6EAA" w14:textId="77777777" w:rsidR="000F73A5" w:rsidRPr="00052DB8" w:rsidRDefault="000F73A5" w:rsidP="000F73A5">
      <w:pPr>
        <w:pStyle w:val="Bullet2"/>
        <w:rPr>
          <w:szCs w:val="22"/>
          <w:lang w:val="en-GB"/>
        </w:rPr>
      </w:pPr>
      <w:r w:rsidRPr="00052DB8">
        <w:rPr>
          <w:szCs w:val="22"/>
          <w:lang w:val="en-GB"/>
        </w:rPr>
        <w:t>Consumers must be</w:t>
      </w:r>
      <w:r>
        <w:rPr>
          <w:szCs w:val="22"/>
          <w:lang w:val="en-GB"/>
        </w:rPr>
        <w:t>:</w:t>
      </w:r>
      <w:r w:rsidRPr="00052DB8">
        <w:rPr>
          <w:szCs w:val="22"/>
          <w:lang w:val="en-GB"/>
        </w:rPr>
        <w:t xml:space="preserve"> invited </w:t>
      </w:r>
      <w:r>
        <w:rPr>
          <w:szCs w:val="22"/>
          <w:lang w:val="en-GB"/>
        </w:rPr>
        <w:t xml:space="preserve">to community and discharge case conferences, be </w:t>
      </w:r>
      <w:r w:rsidRPr="00052DB8">
        <w:rPr>
          <w:szCs w:val="22"/>
          <w:lang w:val="en-GB"/>
        </w:rPr>
        <w:t>enabled to participate</w:t>
      </w:r>
      <w:r>
        <w:rPr>
          <w:szCs w:val="22"/>
          <w:lang w:val="en-GB"/>
        </w:rPr>
        <w:t xml:space="preserve"> if they elect to attend, </w:t>
      </w:r>
      <w:r w:rsidRPr="00052DB8">
        <w:rPr>
          <w:szCs w:val="22"/>
          <w:lang w:val="en-GB"/>
        </w:rPr>
        <w:t>and give informed consent to any treatment care plan</w:t>
      </w:r>
      <w:r>
        <w:rPr>
          <w:szCs w:val="22"/>
          <w:lang w:val="en-GB"/>
        </w:rPr>
        <w:t>.</w:t>
      </w:r>
    </w:p>
    <w:p w14:paraId="7321336A" w14:textId="77777777" w:rsidR="000F73A5" w:rsidRPr="00C80CC3" w:rsidRDefault="000F73A5" w:rsidP="000F73A5">
      <w:pPr>
        <w:pStyle w:val="Bullet2"/>
        <w:rPr>
          <w:szCs w:val="22"/>
          <w:lang w:val="en-GB"/>
        </w:rPr>
      </w:pPr>
      <w:r w:rsidRPr="00052DB8">
        <w:rPr>
          <w:szCs w:val="22"/>
          <w:lang w:val="en-GB"/>
        </w:rPr>
        <w:t xml:space="preserve">GPs </w:t>
      </w:r>
      <w:r>
        <w:rPr>
          <w:szCs w:val="22"/>
          <w:lang w:val="en-GB"/>
        </w:rPr>
        <w:t xml:space="preserve">(or their delegate) must </w:t>
      </w:r>
      <w:r w:rsidRPr="00052DB8">
        <w:rPr>
          <w:szCs w:val="22"/>
          <w:lang w:val="en-GB"/>
        </w:rPr>
        <w:t xml:space="preserve">participate </w:t>
      </w:r>
      <w:r>
        <w:rPr>
          <w:szCs w:val="22"/>
          <w:lang w:val="en-GB"/>
        </w:rPr>
        <w:t>in both discharge and community care planning case conferences, or r</w:t>
      </w:r>
      <w:r w:rsidRPr="00C80CC3">
        <w:rPr>
          <w:szCs w:val="22"/>
          <w:lang w:val="en-GB"/>
        </w:rPr>
        <w:t xml:space="preserve">eview </w:t>
      </w:r>
      <w:r>
        <w:rPr>
          <w:szCs w:val="22"/>
          <w:lang w:val="en-GB"/>
        </w:rPr>
        <w:t xml:space="preserve">case conference </w:t>
      </w:r>
      <w:r w:rsidRPr="00C80CC3">
        <w:rPr>
          <w:szCs w:val="22"/>
          <w:lang w:val="en-GB"/>
        </w:rPr>
        <w:t>outcomes and</w:t>
      </w:r>
      <w:r>
        <w:rPr>
          <w:szCs w:val="22"/>
          <w:lang w:val="en-GB"/>
        </w:rPr>
        <w:t xml:space="preserve"> communicate</w:t>
      </w:r>
      <w:r w:rsidRPr="00C80CC3">
        <w:rPr>
          <w:szCs w:val="22"/>
          <w:lang w:val="en-GB"/>
        </w:rPr>
        <w:t xml:space="preserve"> any proposed changes to the patient and t</w:t>
      </w:r>
      <w:r>
        <w:rPr>
          <w:szCs w:val="22"/>
          <w:lang w:val="en-GB"/>
        </w:rPr>
        <w:t>o the case conference organiser.</w:t>
      </w:r>
    </w:p>
    <w:p w14:paraId="5BBE6A88" w14:textId="77777777" w:rsidR="000F73A5" w:rsidRDefault="000F73A5" w:rsidP="000F73A5">
      <w:pPr>
        <w:pStyle w:val="Bullet2"/>
        <w:rPr>
          <w:szCs w:val="22"/>
          <w:lang w:val="en-GB"/>
        </w:rPr>
      </w:pPr>
      <w:r>
        <w:rPr>
          <w:szCs w:val="22"/>
          <w:lang w:val="en-GB"/>
        </w:rPr>
        <w:t>Nurse practitioners and a</w:t>
      </w:r>
      <w:r w:rsidRPr="00052DB8">
        <w:rPr>
          <w:szCs w:val="22"/>
          <w:lang w:val="en-GB"/>
        </w:rPr>
        <w:t xml:space="preserve">llied health professionals </w:t>
      </w:r>
      <w:r>
        <w:rPr>
          <w:szCs w:val="22"/>
          <w:lang w:val="en-GB"/>
        </w:rPr>
        <w:t>can</w:t>
      </w:r>
      <w:r w:rsidRPr="00052DB8">
        <w:rPr>
          <w:szCs w:val="22"/>
          <w:lang w:val="en-GB"/>
        </w:rPr>
        <w:t xml:space="preserve"> be included in case conferences</w:t>
      </w:r>
      <w:r>
        <w:rPr>
          <w:szCs w:val="22"/>
          <w:lang w:val="en-GB"/>
        </w:rPr>
        <w:t>. These include</w:t>
      </w:r>
      <w:r w:rsidRPr="00052DB8">
        <w:rPr>
          <w:szCs w:val="22"/>
          <w:lang w:val="en-GB"/>
        </w:rPr>
        <w:t xml:space="preserve"> Aboriginal and Torres Strait Islander health practitioners, Aboriginal health workers, audiologists, chiropractors, diabetes educators, dietitians, exercise physiologists, mental health nurses, occupational therapists, osteopathists, physiotherapists, podiatrists, psychologists, social workers, and speech pathologists</w:t>
      </w:r>
      <w:r>
        <w:rPr>
          <w:szCs w:val="22"/>
          <w:lang w:val="en-GB"/>
        </w:rPr>
        <w:t>.</w:t>
      </w:r>
    </w:p>
    <w:p w14:paraId="3309DB84" w14:textId="77777777" w:rsidR="000F73A5" w:rsidRPr="00423430" w:rsidRDefault="000F73A5" w:rsidP="000F73A5">
      <w:pPr>
        <w:pStyle w:val="Bullet2"/>
        <w:rPr>
          <w:szCs w:val="22"/>
          <w:lang w:val="en-GB"/>
        </w:rPr>
      </w:pPr>
      <w:r>
        <w:rPr>
          <w:szCs w:val="22"/>
          <w:lang w:val="en-GB"/>
        </w:rPr>
        <w:t>The Committee has recommended that the impact of introducing new case conference items and the potential increase in fees should be closely monitored, including the potential impact on out-of-pocket costs.</w:t>
      </w:r>
    </w:p>
    <w:p w14:paraId="1C373750" w14:textId="77777777" w:rsidR="000F73A5" w:rsidRPr="00607BDA" w:rsidRDefault="000F73A5" w:rsidP="00607BDA">
      <w:pPr>
        <w:pStyle w:val="Heading2"/>
      </w:pPr>
      <w:bookmarkStart w:id="250" w:name="_Toc67952270"/>
      <w:r w:rsidRPr="00052DB8">
        <w:t xml:space="preserve">Use of data to </w:t>
      </w:r>
      <w:r w:rsidRPr="00ED4476">
        <w:t>inform</w:t>
      </w:r>
      <w:r w:rsidRPr="00052DB8">
        <w:t xml:space="preserve"> quality care and </w:t>
      </w:r>
      <w:r w:rsidRPr="00DD609C">
        <w:t xml:space="preserve">informed </w:t>
      </w:r>
      <w:r w:rsidRPr="00052DB8">
        <w:t xml:space="preserve">patient choice </w:t>
      </w:r>
      <w:r w:rsidRPr="00DD609C">
        <w:t>and consent</w:t>
      </w:r>
      <w:bookmarkEnd w:id="250"/>
    </w:p>
    <w:p w14:paraId="0D51C22C" w14:textId="77777777" w:rsidR="000F73A5" w:rsidRPr="00052DB8" w:rsidRDefault="000F73A5" w:rsidP="000F73A5">
      <w:pPr>
        <w:rPr>
          <w:color w:val="FF0000"/>
          <w:lang w:val="en-GB"/>
        </w:rPr>
      </w:pPr>
      <w:r w:rsidRPr="00052DB8">
        <w:rPr>
          <w:lang w:val="en-GB"/>
        </w:rPr>
        <w:t>Establish a minimum data set</w:t>
      </w:r>
      <w:r>
        <w:rPr>
          <w:lang w:val="en-GB"/>
        </w:rPr>
        <w:t xml:space="preserve"> </w:t>
      </w:r>
      <w:r w:rsidRPr="00052DB8">
        <w:rPr>
          <w:lang w:val="en-GB"/>
        </w:rPr>
        <w:t>for patients and GPs to use together when considering referrals</w:t>
      </w:r>
      <w:r>
        <w:rPr>
          <w:lang w:val="en-GB"/>
        </w:rPr>
        <w:t xml:space="preserve">. Include patient outcomes, patient reported outcomes and fees - </w:t>
      </w:r>
      <w:r w:rsidRPr="00BD30C8">
        <w:rPr>
          <w:lang w:val="en-GB"/>
        </w:rPr>
        <w:t>at the provider</w:t>
      </w:r>
      <w:r>
        <w:rPr>
          <w:lang w:val="en-GB"/>
        </w:rPr>
        <w:t xml:space="preserve"> and</w:t>
      </w:r>
      <w:r w:rsidR="00BD30C8">
        <w:rPr>
          <w:lang w:val="en-GB"/>
        </w:rPr>
        <w:t>/or</w:t>
      </w:r>
      <w:r>
        <w:rPr>
          <w:lang w:val="en-GB"/>
        </w:rPr>
        <w:t xml:space="preserve"> service level. Ensure the information is accurate and clearly explained, and </w:t>
      </w:r>
      <w:r w:rsidRPr="00423430">
        <w:rPr>
          <w:lang w:val="en-GB"/>
        </w:rPr>
        <w:t>c</w:t>
      </w:r>
      <w:r w:rsidRPr="00052DB8">
        <w:rPr>
          <w:lang w:val="en-GB"/>
        </w:rPr>
        <w:t>o-design the presentation of cost and outcome information with consumers.</w:t>
      </w:r>
    </w:p>
    <w:p w14:paraId="1492B7C0" w14:textId="77777777" w:rsidR="000F73A5" w:rsidRPr="00052DB8" w:rsidRDefault="000F73A5" w:rsidP="000F73A5">
      <w:pPr>
        <w:pStyle w:val="Bullet-green"/>
        <w:rPr>
          <w:lang w:val="en-GB"/>
        </w:rPr>
      </w:pPr>
      <w:r w:rsidRPr="00ED4476">
        <w:t>Consumer</w:t>
      </w:r>
      <w:r>
        <w:rPr>
          <w:lang w:val="en-GB"/>
        </w:rPr>
        <w:t xml:space="preserve"> points.</w:t>
      </w:r>
    </w:p>
    <w:p w14:paraId="5BA00934" w14:textId="77777777" w:rsidR="000F73A5" w:rsidRPr="00052DB8" w:rsidRDefault="000F73A5" w:rsidP="000F73A5">
      <w:pPr>
        <w:pStyle w:val="Bullet2"/>
      </w:pPr>
      <w:r>
        <w:t xml:space="preserve">This will provide </w:t>
      </w:r>
      <w:r w:rsidRPr="00423430">
        <w:t xml:space="preserve">patients with transparency on the cost and </w:t>
      </w:r>
      <w:r>
        <w:t>outcomes</w:t>
      </w:r>
      <w:r w:rsidRPr="00423430">
        <w:t xml:space="preserve"> of consultant specialist services. </w:t>
      </w:r>
    </w:p>
    <w:p w14:paraId="258E0288" w14:textId="77777777" w:rsidR="000F73A5" w:rsidRPr="0060516A" w:rsidRDefault="000F73A5" w:rsidP="000F73A5">
      <w:pPr>
        <w:pStyle w:val="Bullet2"/>
      </w:pPr>
      <w:r>
        <w:t>This will support imp</w:t>
      </w:r>
      <w:r w:rsidRPr="00423430">
        <w:t>rove</w:t>
      </w:r>
      <w:r>
        <w:t>d</w:t>
      </w:r>
      <w:r w:rsidRPr="00423430">
        <w:t xml:space="preserve"> patient consent and shared decision-making </w:t>
      </w:r>
      <w:r>
        <w:t xml:space="preserve">processes. </w:t>
      </w:r>
      <w:r w:rsidRPr="00423430">
        <w:t xml:space="preserve">MBS item descriptors </w:t>
      </w:r>
      <w:r>
        <w:t xml:space="preserve">will include </w:t>
      </w:r>
      <w:r w:rsidRPr="00423430">
        <w:t xml:space="preserve">a requirement for multiple treatment options to be discussed when they are </w:t>
      </w:r>
      <w:r w:rsidRPr="0060516A">
        <w:t xml:space="preserve">available. </w:t>
      </w:r>
    </w:p>
    <w:p w14:paraId="5403F1CC" w14:textId="77777777" w:rsidR="000F73A5" w:rsidRDefault="000F73A5" w:rsidP="000F73A5">
      <w:pPr>
        <w:pStyle w:val="Bullet2"/>
      </w:pPr>
      <w:r w:rsidRPr="00052DB8">
        <w:t xml:space="preserve">Consultant specialists will be required to discuss available treatment options with the patient, consider referrals to other consultant specialists, and provide a written document outlining the options and their </w:t>
      </w:r>
      <w:r>
        <w:t xml:space="preserve">associated </w:t>
      </w:r>
      <w:r w:rsidRPr="00052DB8">
        <w:t xml:space="preserve">advantages and disadvantages. </w:t>
      </w:r>
    </w:p>
    <w:p w14:paraId="36600982" w14:textId="77777777" w:rsidR="000F73A5" w:rsidRDefault="000F73A5" w:rsidP="00607BDA">
      <w:pPr>
        <w:pStyle w:val="Heading2"/>
      </w:pPr>
      <w:bookmarkStart w:id="251" w:name="_Toc67952271"/>
      <w:r w:rsidRPr="00052DB8">
        <w:t xml:space="preserve">My </w:t>
      </w:r>
      <w:r w:rsidRPr="00ED4476">
        <w:t>Health</w:t>
      </w:r>
      <w:r w:rsidRPr="00052DB8">
        <w:t xml:space="preserve"> Record</w:t>
      </w:r>
      <w:r>
        <w:t xml:space="preserve"> recommendations</w:t>
      </w:r>
      <w:bookmarkEnd w:id="251"/>
    </w:p>
    <w:p w14:paraId="1D59975F" w14:textId="77777777" w:rsidR="000F73A5" w:rsidRPr="00052DB8" w:rsidRDefault="000F73A5" w:rsidP="000F73A5">
      <w:r w:rsidRPr="00052DB8">
        <w:t xml:space="preserve">Use </w:t>
      </w:r>
      <w:r w:rsidRPr="00052DB8">
        <w:rPr>
          <w:lang w:val="en-GB"/>
        </w:rPr>
        <w:t xml:space="preserve">MBS and non-MBS mechanisms to support the adoption of digital </w:t>
      </w:r>
      <w:r>
        <w:rPr>
          <w:lang w:val="en-GB"/>
        </w:rPr>
        <w:t xml:space="preserve">health </w:t>
      </w:r>
      <w:r w:rsidRPr="00052DB8">
        <w:rPr>
          <w:lang w:val="en-GB"/>
        </w:rPr>
        <w:t>record systems</w:t>
      </w:r>
      <w:r>
        <w:rPr>
          <w:lang w:val="en-GB"/>
        </w:rPr>
        <w:t>.</w:t>
      </w:r>
    </w:p>
    <w:p w14:paraId="1110D482" w14:textId="77777777" w:rsidR="000F73A5" w:rsidRPr="00CA200B" w:rsidRDefault="000F73A5" w:rsidP="000F73A5">
      <w:pPr>
        <w:pStyle w:val="Bullet-green"/>
      </w:pPr>
      <w:r>
        <w:rPr>
          <w:lang w:val="en-GB"/>
        </w:rPr>
        <w:t>MBS mechanism.</w:t>
      </w:r>
    </w:p>
    <w:p w14:paraId="4DB52D28" w14:textId="77777777" w:rsidR="000F73A5" w:rsidRPr="00052DB8" w:rsidRDefault="000F73A5" w:rsidP="000F73A5">
      <w:pPr>
        <w:pStyle w:val="Bullet2"/>
      </w:pPr>
      <w:r>
        <w:t>O</w:t>
      </w:r>
      <w:r w:rsidRPr="00052DB8">
        <w:t>utcomes of case conferences are uploaded to My Health Record.</w:t>
      </w:r>
    </w:p>
    <w:p w14:paraId="3A923EA2" w14:textId="77777777" w:rsidR="000F73A5" w:rsidRPr="00052DB8" w:rsidRDefault="000F73A5" w:rsidP="000F73A5">
      <w:pPr>
        <w:pStyle w:val="BulletStyle3"/>
      </w:pPr>
      <w:r w:rsidRPr="00052DB8">
        <w:t>For treatment planning case conferences, the consultant specialist organising the conference should be responsible for the upload.</w:t>
      </w:r>
    </w:p>
    <w:p w14:paraId="1779A44C" w14:textId="77777777" w:rsidR="000F73A5" w:rsidRDefault="000F73A5" w:rsidP="000F73A5">
      <w:pPr>
        <w:pStyle w:val="BulletStyle3"/>
      </w:pPr>
      <w:r w:rsidRPr="00052DB8">
        <w:t>For community and discharge case conferences, the GP participating in the case conference should be responsible for the upload.</w:t>
      </w:r>
    </w:p>
    <w:p w14:paraId="30A0AA1D" w14:textId="77777777" w:rsidR="00FF3DDE" w:rsidRPr="00052DB8" w:rsidRDefault="00FF3DDE" w:rsidP="000F73A5">
      <w:pPr>
        <w:pStyle w:val="BulletStyle3"/>
      </w:pPr>
      <w:r>
        <w:rPr>
          <w:lang w:val="en-GB"/>
        </w:rPr>
        <w:t>Paediatric complex plans and geriatric complex plans are uploaded to My Health Record, with the paediatrician or geriatrician responsible for the upload.</w:t>
      </w:r>
    </w:p>
    <w:p w14:paraId="1EAADE59" w14:textId="77777777" w:rsidR="000F73A5" w:rsidRPr="00CA200B" w:rsidRDefault="000F73A5" w:rsidP="000F73A5">
      <w:pPr>
        <w:pStyle w:val="Bullet-green"/>
      </w:pPr>
      <w:r w:rsidRPr="00CA200B">
        <w:rPr>
          <w:szCs w:val="22"/>
        </w:rPr>
        <w:t>Non-MBS mecha</w:t>
      </w:r>
      <w:r>
        <w:rPr>
          <w:szCs w:val="22"/>
        </w:rPr>
        <w:t>nisms.</w:t>
      </w:r>
    </w:p>
    <w:p w14:paraId="1C20BE92" w14:textId="77777777" w:rsidR="000F73A5" w:rsidRPr="00383555" w:rsidRDefault="000F73A5" w:rsidP="000F73A5">
      <w:pPr>
        <w:pStyle w:val="Bullet2"/>
      </w:pPr>
      <w:r w:rsidRPr="00CA200B">
        <w:t>I</w:t>
      </w:r>
      <w:r w:rsidRPr="0060516A">
        <w:t>ntroduce a single incentive payment to consultant specialists upon their adoption of My Health Record</w:t>
      </w:r>
      <w:r w:rsidRPr="0060516A">
        <w:rPr>
          <w:lang w:val="en-GB"/>
        </w:rPr>
        <w:t>, triggered by achieving a volume of uploads proportional to the number of attend</w:t>
      </w:r>
      <w:r>
        <w:rPr>
          <w:lang w:val="en-GB"/>
        </w:rPr>
        <w:t>ances that the provider perform</w:t>
      </w:r>
      <w:r w:rsidR="009C2A4A">
        <w:rPr>
          <w:lang w:val="en-GB"/>
        </w:rPr>
        <w:t>s</w:t>
      </w:r>
      <w:r>
        <w:rPr>
          <w:lang w:val="en-GB"/>
        </w:rPr>
        <w:t>.</w:t>
      </w:r>
    </w:p>
    <w:p w14:paraId="2F3BB065" w14:textId="77777777" w:rsidR="000F73A5" w:rsidRDefault="000F73A5" w:rsidP="000F73A5">
      <w:pPr>
        <w:pStyle w:val="Bullet2"/>
      </w:pPr>
      <w:r w:rsidRPr="00423430">
        <w:t xml:space="preserve">Improve the functionality of My Health Record </w:t>
      </w:r>
      <w:r>
        <w:t>and</w:t>
      </w:r>
      <w:r w:rsidRPr="0060516A">
        <w:t xml:space="preserve"> educate consultant specialists on the benefits of its use.</w:t>
      </w:r>
    </w:p>
    <w:p w14:paraId="1FEAE5DD" w14:textId="77777777" w:rsidR="00834274" w:rsidRDefault="00834274" w:rsidP="00FB4475">
      <w:pPr>
        <w:rPr>
          <w:lang w:val="en-GB"/>
        </w:rPr>
        <w:sectPr w:rsidR="00834274" w:rsidSect="005429D9">
          <w:endnotePr>
            <w:numFmt w:val="decimal"/>
          </w:endnotePr>
          <w:pgSz w:w="11906" w:h="16838" w:code="9"/>
          <w:pgMar w:top="1440" w:right="1797" w:bottom="993" w:left="1797" w:header="851" w:footer="381" w:gutter="0"/>
          <w:cols w:space="720"/>
          <w:docGrid w:linePitch="326"/>
        </w:sectPr>
      </w:pPr>
    </w:p>
    <w:bookmarkStart w:id="252" w:name="_Ref467371422" w:displacedByCustomXml="next"/>
    <w:bookmarkStart w:id="253" w:name="_Ref467371429" w:displacedByCustomXml="next"/>
    <w:bookmarkStart w:id="254" w:name="_Toc468831608" w:displacedByCustomXml="next"/>
    <w:bookmarkStart w:id="255" w:name="_Toc521442213" w:displacedByCustomXml="next"/>
    <w:sdt>
      <w:sdtPr>
        <w:rPr>
          <w:rFonts w:cs="Times New Roman"/>
          <w:b w:val="0"/>
          <w:bCs w:val="0"/>
          <w:color w:val="auto"/>
          <w:sz w:val="22"/>
          <w:szCs w:val="24"/>
          <w:lang w:val="en-AU" w:eastAsia="en-AU"/>
        </w:rPr>
        <w:id w:val="-255216695"/>
        <w:docPartObj>
          <w:docPartGallery w:val="Bibliographies"/>
          <w:docPartUnique/>
        </w:docPartObj>
      </w:sdtPr>
      <w:sdtContent>
        <w:bookmarkStart w:id="256" w:name="_Toc67952272" w:displacedByCustomXml="prev"/>
        <w:p w14:paraId="11811A97" w14:textId="77777777" w:rsidR="00C70F2D" w:rsidRDefault="00785016">
          <w:pPr>
            <w:pStyle w:val="Heading1"/>
          </w:pPr>
          <w:r>
            <w:rPr>
              <w:rFonts w:cs="Times New Roman"/>
              <w:b w:val="0"/>
              <w:bCs w:val="0"/>
              <w:color w:val="auto"/>
              <w:sz w:val="22"/>
              <w:szCs w:val="24"/>
              <w:lang w:val="en-AU" w:eastAsia="en-AU"/>
            </w:rPr>
            <w:t xml:space="preserve"> </w:t>
          </w:r>
          <w:r w:rsidR="00C70F2D">
            <w:t>References</w:t>
          </w:r>
          <w:bookmarkEnd w:id="256"/>
        </w:p>
        <w:p w14:paraId="20E5DB63" w14:textId="77777777" w:rsidR="00F457D1" w:rsidRPr="00F457D1" w:rsidRDefault="00C70F2D" w:rsidP="00DD50C6">
          <w:pPr>
            <w:pStyle w:val="Bibliography"/>
            <w:rPr>
              <w:noProof/>
              <w:sz w:val="24"/>
              <w:lang w:val="en-US"/>
            </w:rPr>
          </w:pPr>
          <w:r w:rsidRPr="00F457D1">
            <w:fldChar w:fldCharType="begin"/>
          </w:r>
          <w:r w:rsidRPr="00F457D1">
            <w:instrText xml:space="preserve"> BIBLIOGRAPHY </w:instrText>
          </w:r>
          <w:r w:rsidRPr="00F457D1">
            <w:fldChar w:fldCharType="separate"/>
          </w:r>
          <w:r w:rsidR="00F457D1" w:rsidRPr="00F457D1">
            <w:rPr>
              <w:noProof/>
              <w:lang w:val="en-US"/>
            </w:rPr>
            <w:t xml:space="preserve">1. </w:t>
          </w:r>
          <w:r w:rsidR="00F457D1" w:rsidRPr="00F457D1">
            <w:rPr>
              <w:i/>
              <w:iCs/>
              <w:noProof/>
              <w:lang w:val="en-US"/>
            </w:rPr>
            <w:t xml:space="preserve">Over 150 potentially low-value health care practices: an Australian study. </w:t>
          </w:r>
          <w:r w:rsidR="00F457D1" w:rsidRPr="00F457D1">
            <w:rPr>
              <w:bCs/>
              <w:noProof/>
              <w:lang w:val="en-US"/>
            </w:rPr>
            <w:t>Elshaug, Adam , et al.</w:t>
          </w:r>
          <w:r w:rsidR="00F457D1" w:rsidRPr="00F457D1">
            <w:rPr>
              <w:noProof/>
              <w:lang w:val="en-US"/>
            </w:rPr>
            <w:t xml:space="preserve"> 2012, The Medical Journal of Australia, pp. 556-560.</w:t>
          </w:r>
        </w:p>
        <w:p w14:paraId="2D1E3836" w14:textId="77777777" w:rsidR="00F457D1" w:rsidRPr="00F457D1" w:rsidRDefault="00F457D1" w:rsidP="00DD50C6">
          <w:pPr>
            <w:pStyle w:val="Bibliography"/>
            <w:rPr>
              <w:bCs/>
              <w:noProof/>
              <w:lang w:val="en-US"/>
            </w:rPr>
          </w:pPr>
          <w:r w:rsidRPr="00F457D1">
            <w:rPr>
              <w:noProof/>
              <w:lang w:val="en-US"/>
            </w:rPr>
            <w:t xml:space="preserve">2. </w:t>
          </w:r>
          <w:r w:rsidRPr="00F457D1">
            <w:rPr>
              <w:bCs/>
              <w:i/>
              <w:iCs/>
              <w:noProof/>
              <w:lang w:val="en-US"/>
            </w:rPr>
            <w:t xml:space="preserve">Relative Value Study. </w:t>
          </w:r>
          <w:r w:rsidRPr="00F457D1">
            <w:rPr>
              <w:bCs/>
              <w:noProof/>
              <w:lang w:val="en-US"/>
            </w:rPr>
            <w:t>s.l. : Department of Health, 2008.</w:t>
          </w:r>
        </w:p>
        <w:p w14:paraId="7B5F41E3" w14:textId="77777777" w:rsidR="00F457D1" w:rsidRPr="00F457D1" w:rsidRDefault="00F457D1" w:rsidP="00DD50C6">
          <w:pPr>
            <w:pStyle w:val="Bibliography"/>
            <w:rPr>
              <w:bCs/>
              <w:noProof/>
              <w:lang w:val="en-US"/>
            </w:rPr>
          </w:pPr>
          <w:r w:rsidRPr="00F457D1">
            <w:rPr>
              <w:bCs/>
              <w:noProof/>
              <w:lang w:val="en-US"/>
            </w:rPr>
            <w:t xml:space="preserve">3. </w:t>
          </w:r>
          <w:r w:rsidRPr="00F457D1">
            <w:rPr>
              <w:bCs/>
              <w:i/>
              <w:iCs/>
              <w:noProof/>
              <w:lang w:val="en-US"/>
            </w:rPr>
            <w:t xml:space="preserve">Determinants of GP billing in Australia: content and time. </w:t>
          </w:r>
          <w:r w:rsidRPr="00F457D1">
            <w:rPr>
              <w:bCs/>
              <w:noProof/>
              <w:lang w:val="en-US"/>
            </w:rPr>
            <w:t>Britt, Valenti, Miller and Farmer. 2, s.l. : Medical Journal of Australia, 2004, Vol. 181.</w:t>
          </w:r>
        </w:p>
        <w:p w14:paraId="106F8C3E" w14:textId="77777777" w:rsidR="00F457D1" w:rsidRPr="00F457D1" w:rsidRDefault="00F457D1" w:rsidP="00DD50C6">
          <w:pPr>
            <w:pStyle w:val="Bibliography"/>
            <w:rPr>
              <w:bCs/>
              <w:noProof/>
              <w:lang w:val="en-US"/>
            </w:rPr>
          </w:pPr>
          <w:r>
            <w:rPr>
              <w:bCs/>
              <w:noProof/>
              <w:lang w:val="en-US"/>
            </w:rPr>
            <w:t xml:space="preserve">4. </w:t>
          </w:r>
          <w:r w:rsidRPr="00F457D1">
            <w:rPr>
              <w:bCs/>
              <w:noProof/>
              <w:lang w:val="en-US"/>
            </w:rPr>
            <w:t>Wage et</w:t>
          </w:r>
          <w:r>
            <w:rPr>
              <w:bCs/>
              <w:noProof/>
              <w:lang w:val="en-US"/>
            </w:rPr>
            <w:t xml:space="preserve"> al</w:t>
          </w:r>
          <w:r w:rsidRPr="00F457D1">
            <w:rPr>
              <w:bCs/>
              <w:noProof/>
              <w:lang w:val="en-US"/>
            </w:rPr>
            <w:t xml:space="preserve">. Clinician Acceptance is the Key Factor for Sustainable Telehealth Services. </w:t>
          </w:r>
          <w:r w:rsidRPr="00F457D1">
            <w:rPr>
              <w:bCs/>
              <w:i/>
              <w:iCs/>
              <w:noProof/>
              <w:lang w:val="en-US"/>
            </w:rPr>
            <w:t xml:space="preserve">Sage journals. </w:t>
          </w:r>
          <w:r w:rsidRPr="00F457D1">
            <w:rPr>
              <w:bCs/>
              <w:noProof/>
              <w:lang w:val="en-US"/>
            </w:rPr>
            <w:t>2014.</w:t>
          </w:r>
        </w:p>
        <w:p w14:paraId="2263D3DB" w14:textId="77777777" w:rsidR="00F457D1" w:rsidRPr="00F457D1" w:rsidRDefault="00F457D1" w:rsidP="00DD50C6">
          <w:pPr>
            <w:pStyle w:val="Bibliography"/>
            <w:rPr>
              <w:bCs/>
              <w:noProof/>
              <w:lang w:val="en-US"/>
            </w:rPr>
          </w:pPr>
          <w:r>
            <w:rPr>
              <w:bCs/>
              <w:noProof/>
              <w:lang w:val="en-US"/>
            </w:rPr>
            <w:t xml:space="preserve">5. </w:t>
          </w:r>
          <w:r w:rsidRPr="00F457D1">
            <w:rPr>
              <w:bCs/>
              <w:noProof/>
              <w:lang w:val="en-US"/>
            </w:rPr>
            <w:t>Torre-Dı´ez et</w:t>
          </w:r>
          <w:r>
            <w:rPr>
              <w:bCs/>
              <w:noProof/>
              <w:lang w:val="en-US"/>
            </w:rPr>
            <w:t xml:space="preserve"> al</w:t>
          </w:r>
          <w:r w:rsidRPr="00F457D1">
            <w:rPr>
              <w:bCs/>
              <w:noProof/>
              <w:lang w:val="en-US"/>
            </w:rPr>
            <w:t>. Cost-Utility and Cost-Effectiveness Studies of Telemedicine, Electronic, and Mobile Health Systems in the Literature: A Systematic Review. s.l. : Telemed J E Health, 2015. 21(2): 81–85.</w:t>
          </w:r>
        </w:p>
        <w:p w14:paraId="6AC34E46" w14:textId="77777777" w:rsidR="00F457D1" w:rsidRPr="00F457D1" w:rsidRDefault="00F457D1" w:rsidP="00DD50C6">
          <w:pPr>
            <w:pStyle w:val="Bibliography"/>
            <w:rPr>
              <w:bCs/>
              <w:noProof/>
              <w:lang w:val="en-US"/>
            </w:rPr>
          </w:pPr>
          <w:r w:rsidRPr="00F457D1">
            <w:rPr>
              <w:bCs/>
              <w:noProof/>
              <w:lang w:val="en-US"/>
            </w:rPr>
            <w:t xml:space="preserve">6. Marsh JD, et al. Feasibility, effectiveness and costs associated with a web-based follow-up assessment following total joint arthroplasty. </w:t>
          </w:r>
          <w:r w:rsidRPr="00F457D1">
            <w:rPr>
              <w:bCs/>
              <w:i/>
              <w:iCs/>
              <w:noProof/>
              <w:lang w:val="en-US"/>
            </w:rPr>
            <w:t xml:space="preserve">J Arthroplasty. </w:t>
          </w:r>
          <w:r w:rsidRPr="00F457D1">
            <w:rPr>
              <w:bCs/>
              <w:noProof/>
              <w:lang w:val="en-US"/>
            </w:rPr>
            <w:t>2014. 29:1723–8. doi:10.1016/j.arth.2014.04.003.</w:t>
          </w:r>
        </w:p>
        <w:p w14:paraId="619ECBD6" w14:textId="77777777" w:rsidR="00F457D1" w:rsidRPr="00F457D1" w:rsidRDefault="00F457D1" w:rsidP="00DD50C6">
          <w:pPr>
            <w:pStyle w:val="Bibliography"/>
            <w:rPr>
              <w:bCs/>
              <w:noProof/>
              <w:lang w:val="en-US"/>
            </w:rPr>
          </w:pPr>
          <w:r w:rsidRPr="00F457D1">
            <w:rPr>
              <w:bCs/>
              <w:noProof/>
              <w:lang w:val="en-US"/>
            </w:rPr>
            <w:t xml:space="preserve">7. Sairaanhoitokorvaustentaksat. </w:t>
          </w:r>
          <w:r w:rsidRPr="00F457D1">
            <w:rPr>
              <w:bCs/>
              <w:i/>
              <w:iCs/>
              <w:noProof/>
              <w:lang w:val="en-US"/>
            </w:rPr>
            <w:t xml:space="preserve">Kela. </w:t>
          </w:r>
          <w:r w:rsidRPr="00F457D1">
            <w:rPr>
              <w:bCs/>
              <w:noProof/>
              <w:lang w:val="en-US"/>
            </w:rPr>
            <w:t>[Online] 6 6, 2018. (https://www.kela.fi/documents/10180/0/Sairaanhoitokorvausten+taksat+6.6.2018/c33a166c-4d0b-4bd9-a776-8cd46455de39).</w:t>
          </w:r>
        </w:p>
        <w:p w14:paraId="23FECCFA" w14:textId="77777777" w:rsidR="00F457D1" w:rsidRPr="00F457D1" w:rsidRDefault="00F457D1" w:rsidP="00DD50C6">
          <w:pPr>
            <w:pStyle w:val="Bibliography"/>
            <w:rPr>
              <w:bCs/>
              <w:noProof/>
              <w:lang w:val="en-US"/>
            </w:rPr>
          </w:pPr>
          <w:r w:rsidRPr="00F457D1">
            <w:rPr>
              <w:bCs/>
              <w:noProof/>
              <w:lang w:val="en-US"/>
            </w:rPr>
            <w:t>8. Data dictionary and Hospital Episode Statistics,. s.l. : Department of Health, NHS England, 2015.</w:t>
          </w:r>
        </w:p>
        <w:p w14:paraId="010A4C72" w14:textId="77777777" w:rsidR="00F457D1" w:rsidRPr="00F457D1" w:rsidRDefault="00F457D1" w:rsidP="00DD50C6">
          <w:pPr>
            <w:pStyle w:val="Bibliography"/>
            <w:rPr>
              <w:bCs/>
              <w:noProof/>
              <w:lang w:val="en-US"/>
            </w:rPr>
          </w:pPr>
          <w:r w:rsidRPr="00F457D1">
            <w:rPr>
              <w:bCs/>
              <w:noProof/>
              <w:lang w:val="en-US"/>
            </w:rPr>
            <w:t>9. Bradford et</w:t>
          </w:r>
          <w:r>
            <w:rPr>
              <w:bCs/>
              <w:noProof/>
              <w:lang w:val="en-US"/>
            </w:rPr>
            <w:t xml:space="preserve"> al</w:t>
          </w:r>
          <w:r w:rsidRPr="00F457D1">
            <w:rPr>
              <w:bCs/>
              <w:noProof/>
              <w:lang w:val="en-US"/>
            </w:rPr>
            <w:t>. Awareness, experiences and perceptions of telehealth in a rural Queensland community. s.l. : BMC Health Services Research, 2015. 15:427.</w:t>
          </w:r>
        </w:p>
        <w:p w14:paraId="032358AE" w14:textId="77777777" w:rsidR="00F457D1" w:rsidRPr="00F457D1" w:rsidRDefault="00F457D1" w:rsidP="00DD50C6">
          <w:pPr>
            <w:pStyle w:val="Bibliography"/>
            <w:rPr>
              <w:bCs/>
              <w:noProof/>
              <w:lang w:val="en-US"/>
            </w:rPr>
          </w:pPr>
          <w:r w:rsidRPr="00F457D1">
            <w:rPr>
              <w:bCs/>
              <w:noProof/>
              <w:lang w:val="en-US"/>
            </w:rPr>
            <w:t>10. McDonald J, et al. Systematic Review of Comprehensive Primary Care Models. Sydney : Australian Primary Health Care Research Institute, 2006.</w:t>
          </w:r>
        </w:p>
        <w:p w14:paraId="7E0DC594" w14:textId="77777777" w:rsidR="00F457D1" w:rsidRPr="00F457D1" w:rsidRDefault="00F457D1" w:rsidP="00DD50C6">
          <w:pPr>
            <w:pStyle w:val="Bibliography"/>
            <w:rPr>
              <w:bCs/>
              <w:noProof/>
              <w:lang w:val="en-US"/>
            </w:rPr>
          </w:pPr>
          <w:r w:rsidRPr="00F457D1">
            <w:rPr>
              <w:bCs/>
              <w:noProof/>
              <w:lang w:val="en-US"/>
            </w:rPr>
            <w:t xml:space="preserve">11. EH, Wagner. The role of patient care teams in chronic disease management, ,.;. </w:t>
          </w:r>
          <w:r w:rsidRPr="00F457D1">
            <w:rPr>
              <w:bCs/>
              <w:i/>
              <w:iCs/>
              <w:noProof/>
              <w:lang w:val="en-US"/>
            </w:rPr>
            <w:t xml:space="preserve">British Medical Journal. </w:t>
          </w:r>
          <w:r w:rsidRPr="00F457D1">
            <w:rPr>
              <w:bCs/>
              <w:noProof/>
              <w:lang w:val="en-US"/>
            </w:rPr>
            <w:t>2000. Vols. 320(569-572).</w:t>
          </w:r>
        </w:p>
        <w:p w14:paraId="7161B735" w14:textId="77777777" w:rsidR="00F457D1" w:rsidRPr="00F457D1" w:rsidRDefault="00F457D1" w:rsidP="00DD50C6">
          <w:pPr>
            <w:pStyle w:val="Bibliography"/>
            <w:rPr>
              <w:bCs/>
              <w:noProof/>
              <w:lang w:val="en-US"/>
            </w:rPr>
          </w:pPr>
          <w:r w:rsidRPr="00F457D1">
            <w:rPr>
              <w:bCs/>
              <w:noProof/>
              <w:lang w:val="en-US"/>
            </w:rPr>
            <w:t>12. Good Medical Practice: A Code of Conduct for Doctors in Australia. [Online] March 2014. http://www.medicalboard.gov.au/Codes-Guidelines-Policies.aspx.</w:t>
          </w:r>
        </w:p>
        <w:p w14:paraId="4CBE6843" w14:textId="77777777" w:rsidR="00F457D1" w:rsidRPr="00F457D1" w:rsidRDefault="00F457D1" w:rsidP="00DD50C6">
          <w:pPr>
            <w:pStyle w:val="Bibliography"/>
            <w:rPr>
              <w:bCs/>
              <w:noProof/>
              <w:lang w:val="en-US"/>
            </w:rPr>
          </w:pPr>
          <w:r w:rsidRPr="00F457D1">
            <w:rPr>
              <w:bCs/>
              <w:noProof/>
              <w:lang w:val="en-US"/>
            </w:rPr>
            <w:t>13. Campanella et</w:t>
          </w:r>
          <w:r>
            <w:rPr>
              <w:bCs/>
              <w:noProof/>
              <w:lang w:val="en-US"/>
            </w:rPr>
            <w:t xml:space="preserve"> al</w:t>
          </w:r>
          <w:r w:rsidRPr="00F457D1">
            <w:rPr>
              <w:bCs/>
              <w:noProof/>
              <w:lang w:val="en-US"/>
            </w:rPr>
            <w:t>. The impact of Public Reporting on clinical outcomes: a systematic review and meta-analysis, , .; . s.l. : BMC Health Serv Res, 2016. 16: 296.</w:t>
          </w:r>
        </w:p>
        <w:p w14:paraId="3FB29D7E" w14:textId="77777777" w:rsidR="00F457D1" w:rsidRPr="00F457D1" w:rsidRDefault="00F457D1" w:rsidP="00DD50C6">
          <w:pPr>
            <w:pStyle w:val="Bibliography"/>
            <w:rPr>
              <w:bCs/>
              <w:noProof/>
              <w:lang w:val="en-US"/>
            </w:rPr>
          </w:pPr>
          <w:r w:rsidRPr="00F457D1">
            <w:rPr>
              <w:bCs/>
              <w:noProof/>
              <w:lang w:val="en-US"/>
            </w:rPr>
            <w:t xml:space="preserve">14. Allen, Freed &amp;. Variation in outpatient consultant physician fees in Australia by specialty and state and territory. </w:t>
          </w:r>
          <w:r w:rsidRPr="00F457D1">
            <w:rPr>
              <w:bCs/>
              <w:i/>
              <w:iCs/>
              <w:noProof/>
              <w:lang w:val="en-US"/>
            </w:rPr>
            <w:t xml:space="preserve">MJA. </w:t>
          </w:r>
          <w:r w:rsidRPr="00F457D1">
            <w:rPr>
              <w:bCs/>
              <w:noProof/>
              <w:lang w:val="en-US"/>
            </w:rPr>
            <w:t>6 March 2017. 206 (4) j .</w:t>
          </w:r>
        </w:p>
        <w:p w14:paraId="4250CBBB" w14:textId="77777777" w:rsidR="00F457D1" w:rsidRPr="00F457D1" w:rsidRDefault="00F457D1" w:rsidP="00DD50C6">
          <w:pPr>
            <w:pStyle w:val="Bibliography"/>
            <w:rPr>
              <w:bCs/>
              <w:noProof/>
              <w:lang w:val="en-US"/>
            </w:rPr>
          </w:pPr>
          <w:r w:rsidRPr="00F457D1">
            <w:rPr>
              <w:bCs/>
              <w:noProof/>
              <w:lang w:val="en-US"/>
            </w:rPr>
            <w:t>15. Scott, Professor Anthony. Health Sector Report Specialists. s.l. : ANZ – Melbourne Institute, 2018.</w:t>
          </w:r>
        </w:p>
        <w:p w14:paraId="30A4A06C" w14:textId="77777777" w:rsidR="00F457D1" w:rsidRPr="00F457D1" w:rsidRDefault="00F457D1" w:rsidP="00DD50C6">
          <w:pPr>
            <w:pStyle w:val="Bibliography"/>
            <w:rPr>
              <w:bCs/>
              <w:noProof/>
              <w:lang w:val="en-US"/>
            </w:rPr>
          </w:pPr>
          <w:r w:rsidRPr="00F457D1">
            <w:rPr>
              <w:bCs/>
              <w:noProof/>
              <w:lang w:val="en-US"/>
            </w:rPr>
            <w:t>16. Royal College of Surgeons of England. Consent: Supported Decision-Making: A guide to good practice . 2016.</w:t>
          </w:r>
        </w:p>
        <w:p w14:paraId="36AB20C2" w14:textId="77777777" w:rsidR="00F457D1" w:rsidRPr="00F457D1" w:rsidRDefault="00F457D1" w:rsidP="00DD50C6">
          <w:pPr>
            <w:pStyle w:val="Bibliography"/>
            <w:rPr>
              <w:bCs/>
              <w:noProof/>
              <w:lang w:val="en-US"/>
            </w:rPr>
          </w:pPr>
          <w:r w:rsidRPr="00F457D1">
            <w:rPr>
              <w:bCs/>
              <w:noProof/>
              <w:lang w:val="en-US"/>
            </w:rPr>
            <w:t>17. Royal College of Surgeons. Position paper: Informed consent. Vols. FES-PST-042.</w:t>
          </w:r>
        </w:p>
        <w:p w14:paraId="5E147DEE" w14:textId="77777777" w:rsidR="00F457D1" w:rsidRPr="00F457D1" w:rsidRDefault="00F457D1" w:rsidP="00DD50C6">
          <w:pPr>
            <w:pStyle w:val="Bibliography"/>
            <w:rPr>
              <w:bCs/>
              <w:noProof/>
              <w:lang w:val="en-US"/>
            </w:rPr>
          </w:pPr>
          <w:r w:rsidRPr="00F457D1">
            <w:rPr>
              <w:bCs/>
              <w:noProof/>
              <w:lang w:val="en-US"/>
            </w:rPr>
            <w:t xml:space="preserve">18. Minion, Lynne. AMA calls for improvements to My Health Record for it to reach potential . </w:t>
          </w:r>
          <w:r w:rsidRPr="00F457D1">
            <w:rPr>
              <w:bCs/>
              <w:i/>
              <w:iCs/>
              <w:noProof/>
              <w:lang w:val="en-US"/>
            </w:rPr>
            <w:t xml:space="preserve">Healthcare IT news. </w:t>
          </w:r>
          <w:r w:rsidRPr="00F457D1">
            <w:rPr>
              <w:bCs/>
              <w:noProof/>
              <w:lang w:val="en-US"/>
            </w:rPr>
            <w:t>15 Dec 2017.</w:t>
          </w:r>
        </w:p>
        <w:p w14:paraId="532FE9ED" w14:textId="77777777" w:rsidR="00F457D1" w:rsidRPr="00F457D1" w:rsidRDefault="00F457D1" w:rsidP="00DD50C6">
          <w:pPr>
            <w:pStyle w:val="Bibliography"/>
            <w:rPr>
              <w:bCs/>
              <w:noProof/>
              <w:lang w:val="en-US"/>
            </w:rPr>
          </w:pPr>
          <w:r w:rsidRPr="00F457D1">
            <w:rPr>
              <w:bCs/>
              <w:noProof/>
              <w:lang w:val="en-US"/>
            </w:rPr>
            <w:t xml:space="preserve">19. Australian Digital Health Agency. </w:t>
          </w:r>
          <w:r w:rsidRPr="00F457D1">
            <w:rPr>
              <w:bCs/>
              <w:i/>
              <w:iCs/>
              <w:noProof/>
              <w:lang w:val="en-US"/>
            </w:rPr>
            <w:t xml:space="preserve">My Health Record Participation and Use Dashboard. </w:t>
          </w:r>
          <w:r w:rsidRPr="00F457D1">
            <w:rPr>
              <w:bCs/>
              <w:noProof/>
              <w:lang w:val="en-US"/>
            </w:rPr>
            <w:t>Period ending 10 September 2017.</w:t>
          </w:r>
        </w:p>
        <w:p w14:paraId="702E1A76" w14:textId="77777777" w:rsidR="00F457D1" w:rsidRPr="00F457D1" w:rsidRDefault="00F457D1" w:rsidP="00DD50C6">
          <w:pPr>
            <w:pStyle w:val="Bibliography"/>
            <w:rPr>
              <w:bCs/>
              <w:noProof/>
              <w:lang w:val="en-US"/>
            </w:rPr>
          </w:pPr>
          <w:r w:rsidRPr="00F457D1">
            <w:rPr>
              <w:bCs/>
              <w:noProof/>
              <w:lang w:val="en-US"/>
            </w:rPr>
            <w:t xml:space="preserve">20. Grieve, Grahame. Where to now for the My Health Record. </w:t>
          </w:r>
          <w:r w:rsidRPr="00F457D1">
            <w:rPr>
              <w:bCs/>
              <w:i/>
              <w:iCs/>
              <w:noProof/>
              <w:lang w:val="en-US"/>
            </w:rPr>
            <w:t xml:space="preserve">Healthcare IT. </w:t>
          </w:r>
          <w:r w:rsidRPr="00F457D1">
            <w:rPr>
              <w:bCs/>
              <w:noProof/>
              <w:lang w:val="en-US"/>
            </w:rPr>
            <w:t>November 2017.</w:t>
          </w:r>
        </w:p>
        <w:p w14:paraId="33BA1A41" w14:textId="77777777" w:rsidR="00F457D1" w:rsidRPr="00F457D1" w:rsidRDefault="00F457D1" w:rsidP="00DD50C6">
          <w:pPr>
            <w:pStyle w:val="Bibliography"/>
            <w:rPr>
              <w:bCs/>
              <w:noProof/>
              <w:lang w:val="en-US"/>
            </w:rPr>
          </w:pPr>
          <w:r w:rsidRPr="00F457D1">
            <w:rPr>
              <w:bCs/>
              <w:noProof/>
              <w:lang w:val="en-US"/>
            </w:rPr>
            <w:t>21. Millers, Siggins. Evaluation of the Participation Trials for the My Health Record. November 2016.</w:t>
          </w:r>
        </w:p>
        <w:p w14:paraId="058DECFC" w14:textId="77777777" w:rsidR="00F457D1" w:rsidRPr="00F457D1" w:rsidRDefault="00F457D1" w:rsidP="00DD50C6">
          <w:pPr>
            <w:pStyle w:val="Bibliography"/>
            <w:rPr>
              <w:bCs/>
              <w:noProof/>
              <w:lang w:val="en-US"/>
            </w:rPr>
          </w:pPr>
          <w:r w:rsidRPr="00F457D1">
            <w:rPr>
              <w:bCs/>
              <w:noProof/>
              <w:lang w:val="en-US"/>
            </w:rPr>
            <w:t>22. Center for Information Technology Leadership. The value of personal health records. Charlestown, Mass : CITL, 2008.</w:t>
          </w:r>
        </w:p>
        <w:p w14:paraId="30C929F5" w14:textId="77777777" w:rsidR="00F457D1" w:rsidRPr="00F457D1" w:rsidRDefault="00F457D1" w:rsidP="00DD50C6">
          <w:pPr>
            <w:pStyle w:val="Bibliography"/>
            <w:rPr>
              <w:bCs/>
              <w:noProof/>
              <w:lang w:val="en-US"/>
            </w:rPr>
          </w:pPr>
          <w:r w:rsidRPr="00F457D1">
            <w:rPr>
              <w:bCs/>
              <w:noProof/>
              <w:lang w:val="en-US"/>
            </w:rPr>
            <w:t xml:space="preserve">23. NICE. Phototherapy for Psoriasis. </w:t>
          </w:r>
          <w:r w:rsidRPr="00F457D1">
            <w:rPr>
              <w:bCs/>
              <w:i/>
              <w:iCs/>
              <w:noProof/>
              <w:lang w:val="en-US"/>
            </w:rPr>
            <w:t xml:space="preserve">NICE. </w:t>
          </w:r>
          <w:r w:rsidRPr="00F457D1">
            <w:rPr>
              <w:bCs/>
              <w:noProof/>
              <w:lang w:val="en-US"/>
            </w:rPr>
            <w:t>[Online] n/a n/a, 2016. http://pathways.nice.org.uk/pathways/psoriasis#path=view%3A/pathways/psoriasis/phototherapy-for-psoriasis.xml&amp;content=view-index.</w:t>
          </w:r>
        </w:p>
        <w:p w14:paraId="40D8022F" w14:textId="41BA2ADA" w:rsidR="00C70F2D" w:rsidRPr="0030327D" w:rsidRDefault="00C70F2D" w:rsidP="0030327D">
          <w:r w:rsidRPr="00F457D1">
            <w:rPr>
              <w:bCs/>
            </w:rPr>
            <w:fldChar w:fldCharType="end"/>
          </w:r>
        </w:p>
      </w:sdtContent>
    </w:sdt>
    <w:p w14:paraId="39D894F3" w14:textId="77777777" w:rsidR="00C70F2D" w:rsidRDefault="00C70F2D" w:rsidP="00C70F2D">
      <w:pPr>
        <w:pStyle w:val="AppendixStyle1"/>
        <w:numPr>
          <w:ilvl w:val="0"/>
          <w:numId w:val="0"/>
        </w:numPr>
        <w:rPr>
          <w:lang w:val="en-GB"/>
        </w:rPr>
        <w:sectPr w:rsidR="00C70F2D" w:rsidSect="0047078E">
          <w:endnotePr>
            <w:numFmt w:val="decimal"/>
          </w:endnotePr>
          <w:pgSz w:w="11906" w:h="16838" w:code="9"/>
          <w:pgMar w:top="851" w:right="1797" w:bottom="1440" w:left="1797" w:header="720" w:footer="720" w:gutter="0"/>
          <w:cols w:space="720"/>
          <w:docGrid w:linePitch="326"/>
        </w:sectPr>
      </w:pPr>
    </w:p>
    <w:p w14:paraId="44D6F9E1" w14:textId="77777777" w:rsidR="00C70F2D" w:rsidRPr="00C33C0B" w:rsidRDefault="00785016" w:rsidP="00246FD6">
      <w:pPr>
        <w:pStyle w:val="Heading1"/>
        <w:spacing w:before="0"/>
        <w:rPr>
          <w:lang w:val="en-GB"/>
        </w:rPr>
      </w:pPr>
      <w:r>
        <w:rPr>
          <w:lang w:val="en-GB"/>
        </w:rPr>
        <w:t xml:space="preserve"> </w:t>
      </w:r>
      <w:bookmarkStart w:id="257" w:name="_Toc67952273"/>
      <w:r w:rsidR="00C70F2D" w:rsidRPr="00C33C0B">
        <w:rPr>
          <w:lang w:val="en-GB"/>
        </w:rPr>
        <w:t>Glossary</w:t>
      </w:r>
      <w:bookmarkEnd w:id="257"/>
    </w:p>
    <w:tbl>
      <w:tblPr>
        <w:tblStyle w:val="GridTable1Light"/>
        <w:tblW w:w="4959" w:type="pct"/>
        <w:tblLook w:val="06A0" w:firstRow="1" w:lastRow="0" w:firstColumn="1" w:lastColumn="0" w:noHBand="1" w:noVBand="1"/>
        <w:tblDescription w:val="Glossary table which contains two heading columns: terms and their descriptions."/>
      </w:tblPr>
      <w:tblGrid>
        <w:gridCol w:w="1561"/>
        <w:gridCol w:w="6673"/>
      </w:tblGrid>
      <w:tr w:rsidR="00C70F2D" w:rsidRPr="0030327D" w14:paraId="52CE4DA9" w14:textId="77777777" w:rsidTr="00E33D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1" w:type="dxa"/>
          </w:tcPr>
          <w:p w14:paraId="063D1125" w14:textId="77777777" w:rsidR="00C70F2D" w:rsidRPr="008A5CDC" w:rsidRDefault="00C70F2D" w:rsidP="0030327D">
            <w:pPr>
              <w:rPr>
                <w:sz w:val="20"/>
                <w:szCs w:val="20"/>
              </w:rPr>
            </w:pPr>
            <w:r w:rsidRPr="008A5CDC">
              <w:rPr>
                <w:sz w:val="20"/>
                <w:szCs w:val="20"/>
              </w:rPr>
              <w:t>Term</w:t>
            </w:r>
          </w:p>
        </w:tc>
        <w:tc>
          <w:tcPr>
            <w:tcW w:w="6673" w:type="dxa"/>
          </w:tcPr>
          <w:p w14:paraId="6FC77B33" w14:textId="77777777" w:rsidR="00C70F2D" w:rsidRPr="008A5CDC" w:rsidRDefault="00C70F2D" w:rsidP="0030327D">
            <w:pPr>
              <w:cnfStyle w:val="100000000000" w:firstRow="1" w:lastRow="0" w:firstColumn="0" w:lastColumn="0" w:oddVBand="0" w:evenVBand="0" w:oddHBand="0" w:evenHBand="0" w:firstRowFirstColumn="0" w:firstRowLastColumn="0" w:lastRowFirstColumn="0" w:lastRowLastColumn="0"/>
              <w:rPr>
                <w:sz w:val="20"/>
                <w:szCs w:val="20"/>
              </w:rPr>
            </w:pPr>
            <w:r w:rsidRPr="008A5CDC">
              <w:rPr>
                <w:sz w:val="20"/>
                <w:szCs w:val="20"/>
              </w:rPr>
              <w:t>Description</w:t>
            </w:r>
          </w:p>
        </w:tc>
      </w:tr>
      <w:tr w:rsidR="00C70F2D" w:rsidRPr="0030327D" w14:paraId="3E27699C"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4F86293B" w14:textId="77777777" w:rsidR="00C70F2D" w:rsidRPr="008A5CDC" w:rsidRDefault="00C70F2D" w:rsidP="008A5CDC">
            <w:pPr>
              <w:pStyle w:val="Tabletext"/>
            </w:pPr>
            <w:r w:rsidRPr="008A5CDC">
              <w:t>AHP</w:t>
            </w:r>
          </w:p>
        </w:tc>
        <w:tc>
          <w:tcPr>
            <w:tcW w:w="6673" w:type="dxa"/>
          </w:tcPr>
          <w:p w14:paraId="68E8984B" w14:textId="77777777" w:rsidR="00C70F2D" w:rsidRPr="008A5CDC" w:rsidRDefault="00C70F2D" w:rsidP="008A5CDC">
            <w:pPr>
              <w:pStyle w:val="Tabletext"/>
              <w:cnfStyle w:val="000000000000" w:firstRow="0" w:lastRow="0" w:firstColumn="0" w:lastColumn="0" w:oddVBand="0" w:evenVBand="0" w:oddHBand="0" w:evenHBand="0" w:firstRowFirstColumn="0" w:firstRowLastColumn="0" w:lastRowFirstColumn="0" w:lastRowLastColumn="0"/>
            </w:pPr>
            <w:r w:rsidRPr="008A5CDC">
              <w:t>Allied Health Professional</w:t>
            </w:r>
          </w:p>
        </w:tc>
      </w:tr>
      <w:tr w:rsidR="00C70F2D" w:rsidRPr="0030327D" w14:paraId="0963DED0"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090B62E3" w14:textId="77777777" w:rsidR="00C70F2D" w:rsidRPr="008A5CDC" w:rsidRDefault="00C70F2D" w:rsidP="0030327D">
            <w:pPr>
              <w:rPr>
                <w:sz w:val="20"/>
                <w:szCs w:val="20"/>
              </w:rPr>
            </w:pPr>
            <w:r w:rsidRPr="008A5CDC">
              <w:rPr>
                <w:sz w:val="20"/>
                <w:szCs w:val="20"/>
              </w:rPr>
              <w:t>CAGR</w:t>
            </w:r>
          </w:p>
        </w:tc>
        <w:tc>
          <w:tcPr>
            <w:tcW w:w="6673" w:type="dxa"/>
          </w:tcPr>
          <w:p w14:paraId="14DD5072" w14:textId="77777777" w:rsidR="00C70F2D" w:rsidRPr="008A5CDC" w:rsidRDefault="00C70F2D"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 xml:space="preserve">Compound annual growth rate, or the average annual growth rate over a specified time period. </w:t>
            </w:r>
          </w:p>
        </w:tc>
      </w:tr>
      <w:tr w:rsidR="003A75BF" w:rsidRPr="0030327D" w14:paraId="7F0B5811"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57678A48" w14:textId="77777777" w:rsidR="003A75BF" w:rsidRPr="008A5CDC" w:rsidRDefault="003A75BF" w:rsidP="0030327D">
            <w:pPr>
              <w:rPr>
                <w:sz w:val="20"/>
                <w:szCs w:val="20"/>
              </w:rPr>
            </w:pPr>
            <w:r w:rsidRPr="008A5CDC">
              <w:rPr>
                <w:sz w:val="20"/>
                <w:szCs w:val="20"/>
              </w:rPr>
              <w:t>Carers</w:t>
            </w:r>
          </w:p>
        </w:tc>
        <w:tc>
          <w:tcPr>
            <w:tcW w:w="6673" w:type="dxa"/>
          </w:tcPr>
          <w:p w14:paraId="3A30D941"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 xml:space="preserve">Carers provide unpaid care and support to family members and friends who have a disability, mental illness, chronic condition, terminal illness, an alcohol or other drug issue or who are frail aged </w:t>
            </w:r>
            <w:sdt>
              <w:sdtPr>
                <w:rPr>
                  <w:sz w:val="20"/>
                  <w:szCs w:val="20"/>
                </w:rPr>
                <w:id w:val="1731423631"/>
                <w:citation/>
              </w:sdtPr>
              <w:sdtContent>
                <w:r w:rsidRPr="008A5CDC">
                  <w:rPr>
                    <w:sz w:val="20"/>
                    <w:szCs w:val="20"/>
                  </w:rPr>
                  <w:fldChar w:fldCharType="begin"/>
                </w:r>
                <w:r w:rsidRPr="008A5CDC">
                  <w:rPr>
                    <w:sz w:val="20"/>
                    <w:szCs w:val="20"/>
                  </w:rPr>
                  <w:instrText xml:space="preserve"> CITATION Car \l 3081 </w:instrText>
                </w:r>
                <w:r w:rsidRPr="008A5CDC">
                  <w:rPr>
                    <w:sz w:val="20"/>
                    <w:szCs w:val="20"/>
                  </w:rPr>
                  <w:fldChar w:fldCharType="separate"/>
                </w:r>
                <w:r w:rsidRPr="008A5CDC">
                  <w:rPr>
                    <w:sz w:val="20"/>
                    <w:szCs w:val="20"/>
                  </w:rPr>
                  <w:t>(Carers Australia, n.d.)</w:t>
                </w:r>
                <w:r w:rsidRPr="008A5CDC">
                  <w:rPr>
                    <w:sz w:val="20"/>
                    <w:szCs w:val="20"/>
                  </w:rPr>
                  <w:fldChar w:fldCharType="end"/>
                </w:r>
              </w:sdtContent>
            </w:sdt>
            <w:r w:rsidRPr="008A5CDC">
              <w:rPr>
                <w:sz w:val="20"/>
                <w:szCs w:val="20"/>
              </w:rPr>
              <w:t>.</w:t>
            </w:r>
          </w:p>
        </w:tc>
      </w:tr>
      <w:tr w:rsidR="00C70F2D" w:rsidRPr="0030327D" w14:paraId="10AD8288"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713E92FD" w14:textId="77777777" w:rsidR="00C70F2D" w:rsidRPr="008A5CDC" w:rsidRDefault="00C70F2D" w:rsidP="0030327D">
            <w:pPr>
              <w:rPr>
                <w:sz w:val="20"/>
                <w:szCs w:val="20"/>
              </w:rPr>
            </w:pPr>
            <w:r w:rsidRPr="008A5CDC">
              <w:rPr>
                <w:sz w:val="20"/>
                <w:szCs w:val="20"/>
              </w:rPr>
              <w:t>Change</w:t>
            </w:r>
          </w:p>
        </w:tc>
        <w:tc>
          <w:tcPr>
            <w:tcW w:w="6673" w:type="dxa"/>
            <w:hideMark/>
          </w:tcPr>
          <w:p w14:paraId="0899D5D8" w14:textId="77777777" w:rsidR="00C70F2D" w:rsidRPr="008A5CDC" w:rsidRDefault="00C70F2D"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C339F7" w:rsidRPr="0030327D" w14:paraId="4E0A5248"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6B7564AF" w14:textId="77777777" w:rsidR="00C339F7" w:rsidRPr="008A5CDC" w:rsidRDefault="00C339F7" w:rsidP="0030327D">
            <w:pPr>
              <w:rPr>
                <w:sz w:val="20"/>
                <w:szCs w:val="20"/>
              </w:rPr>
            </w:pPr>
            <w:r w:rsidRPr="008A5CDC">
              <w:rPr>
                <w:sz w:val="20"/>
                <w:szCs w:val="20"/>
              </w:rPr>
              <w:t>Consumer</w:t>
            </w:r>
          </w:p>
        </w:tc>
        <w:tc>
          <w:tcPr>
            <w:tcW w:w="6673" w:type="dxa"/>
          </w:tcPr>
          <w:p w14:paraId="11A48025"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 xml:space="preserve">Patients and potential patients, carers, and people who use health care services. </w:t>
            </w:r>
          </w:p>
          <w:p w14:paraId="6ED4B493"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 xml:space="preserve">Collectively, ‘consumers’ and ‘community members’ may be referred to as ‘the public’. </w:t>
            </w:r>
          </w:p>
          <w:p w14:paraId="712060E3"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 xml:space="preserve">The Australian Commission on Safety and Quality in Health Care definition: members of the public who use, or are potential users of health care services - patients, consumers, families, carers and other support people.  </w:t>
            </w:r>
          </w:p>
          <w:p w14:paraId="0231DD7A" w14:textId="77777777" w:rsidR="00C339F7" w:rsidRPr="008A5CDC" w:rsidRDefault="00023621" w:rsidP="0030327D">
            <w:pP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517654414"/>
                <w:citation/>
              </w:sdtPr>
              <w:sdtContent>
                <w:r w:rsidR="003A75BF" w:rsidRPr="008A5CDC">
                  <w:rPr>
                    <w:sz w:val="20"/>
                    <w:szCs w:val="20"/>
                  </w:rPr>
                  <w:fldChar w:fldCharType="begin"/>
                </w:r>
                <w:r w:rsidR="003A75BF" w:rsidRPr="008A5CDC">
                  <w:rPr>
                    <w:sz w:val="20"/>
                    <w:szCs w:val="20"/>
                  </w:rPr>
                  <w:instrText xml:space="preserve"> CITATION Nat16 \l 3081 </w:instrText>
                </w:r>
                <w:r w:rsidR="003A75BF" w:rsidRPr="008A5CDC">
                  <w:rPr>
                    <w:sz w:val="20"/>
                    <w:szCs w:val="20"/>
                  </w:rPr>
                  <w:fldChar w:fldCharType="separate"/>
                </w:r>
                <w:r w:rsidR="003A75BF" w:rsidRPr="008A5CDC">
                  <w:rPr>
                    <w:sz w:val="20"/>
                    <w:szCs w:val="20"/>
                  </w:rPr>
                  <w:t>(National Health &amp; Medical Research Council, 2016)</w:t>
                </w:r>
                <w:r w:rsidR="003A75BF" w:rsidRPr="008A5CDC">
                  <w:rPr>
                    <w:sz w:val="20"/>
                    <w:szCs w:val="20"/>
                  </w:rPr>
                  <w:fldChar w:fldCharType="end"/>
                </w:r>
              </w:sdtContent>
            </w:sdt>
          </w:p>
        </w:tc>
      </w:tr>
      <w:tr w:rsidR="003A75BF" w:rsidRPr="0030327D" w14:paraId="7B8B3631"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0A65B85F" w14:textId="1B262AF4" w:rsidR="003A75BF" w:rsidRPr="008A5CDC" w:rsidRDefault="003A75BF" w:rsidP="0030327D">
            <w:pPr>
              <w:rPr>
                <w:sz w:val="20"/>
                <w:szCs w:val="20"/>
              </w:rPr>
            </w:pPr>
            <w:r w:rsidRPr="008A5CDC">
              <w:rPr>
                <w:sz w:val="20"/>
                <w:szCs w:val="20"/>
              </w:rPr>
              <w:t>Consumer-or person- or patient- centred care</w:t>
            </w:r>
          </w:p>
        </w:tc>
        <w:tc>
          <w:tcPr>
            <w:tcW w:w="6673" w:type="dxa"/>
          </w:tcPr>
          <w:p w14:paraId="7B5ED060"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Patient or consumer centred care is health care that is respectful of, and responsive to, the preferences, needs and values of patients and consumers and identifies four key principles of patient centred approaches:</w:t>
            </w:r>
          </w:p>
          <w:p w14:paraId="7F6CF818"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Treating patients, consumers, carers and families with dignity and respect;</w:t>
            </w:r>
          </w:p>
          <w:p w14:paraId="1276AF6D"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Encouraging and supporting participation in decision making by patients, consumers, carers and families;</w:t>
            </w:r>
          </w:p>
          <w:p w14:paraId="6E34A211"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Communicating and sharing information with patients, consumers, carers and families;</w:t>
            </w:r>
          </w:p>
          <w:p w14:paraId="743A4C3A"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 xml:space="preserve">Fostering collaboration with patients, consumers, carers, families and health professionals in program and policy development, and in health service design, delivery and evaluation </w:t>
            </w:r>
            <w:sdt>
              <w:sdtPr>
                <w:rPr>
                  <w:sz w:val="20"/>
                  <w:szCs w:val="20"/>
                </w:rPr>
                <w:id w:val="1882043952"/>
                <w:citation/>
              </w:sdtPr>
              <w:sdtContent>
                <w:r w:rsidRPr="008A5CDC">
                  <w:rPr>
                    <w:sz w:val="20"/>
                    <w:szCs w:val="20"/>
                  </w:rPr>
                  <w:fldChar w:fldCharType="begin"/>
                </w:r>
                <w:r w:rsidRPr="008A5CDC">
                  <w:rPr>
                    <w:sz w:val="20"/>
                    <w:szCs w:val="20"/>
                  </w:rPr>
                  <w:instrText xml:space="preserve">CITATION Aus12 \l 3081 </w:instrText>
                </w:r>
                <w:r w:rsidRPr="008A5CDC">
                  <w:rPr>
                    <w:sz w:val="20"/>
                    <w:szCs w:val="20"/>
                  </w:rPr>
                  <w:fldChar w:fldCharType="separate"/>
                </w:r>
                <w:r w:rsidRPr="008A5CDC">
                  <w:rPr>
                    <w:sz w:val="20"/>
                    <w:szCs w:val="20"/>
                  </w:rPr>
                  <w:t>(Australian Commission on Safety &amp; Quality in Health Care, 2012)</w:t>
                </w:r>
                <w:r w:rsidRPr="008A5CDC">
                  <w:rPr>
                    <w:sz w:val="20"/>
                    <w:szCs w:val="20"/>
                  </w:rPr>
                  <w:fldChar w:fldCharType="end"/>
                </w:r>
              </w:sdtContent>
            </w:sdt>
            <w:r w:rsidRPr="008A5CDC">
              <w:rPr>
                <w:sz w:val="20"/>
                <w:szCs w:val="20"/>
              </w:rPr>
              <w:t>.</w:t>
            </w:r>
          </w:p>
        </w:tc>
      </w:tr>
      <w:tr w:rsidR="003A75BF" w:rsidRPr="0030327D" w14:paraId="036F3948"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26AAF003" w14:textId="77777777" w:rsidR="003A75BF" w:rsidRPr="008A5CDC" w:rsidRDefault="003A75BF" w:rsidP="0030327D">
            <w:pPr>
              <w:rPr>
                <w:sz w:val="20"/>
                <w:szCs w:val="20"/>
              </w:rPr>
            </w:pPr>
            <w:r w:rsidRPr="008A5CDC">
              <w:rPr>
                <w:sz w:val="20"/>
                <w:szCs w:val="20"/>
              </w:rPr>
              <w:t>Consumer representative</w:t>
            </w:r>
          </w:p>
        </w:tc>
        <w:tc>
          <w:tcPr>
            <w:tcW w:w="6673" w:type="dxa"/>
          </w:tcPr>
          <w:p w14:paraId="06C66076"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 xml:space="preserve">Someone who voices consumer perspectives and takes part in the decision-making process on behalf of consumers. This person may be nominated by, and may be accountable to, an organisation of consumers. This consumer representative however may have a narrower view as they are speaking on behalf of their organisation and not necessarily that of the wider community.  A consumer representative may be appropriately trained or may undergo training and be supported to advocate for consumer-centred health care </w:t>
            </w:r>
            <w:sdt>
              <w:sdtPr>
                <w:rPr>
                  <w:sz w:val="20"/>
                  <w:szCs w:val="20"/>
                </w:rPr>
                <w:id w:val="-754510695"/>
                <w:citation/>
              </w:sdtPr>
              <w:sdtContent>
                <w:r w:rsidRPr="008A5CDC">
                  <w:rPr>
                    <w:sz w:val="20"/>
                    <w:szCs w:val="20"/>
                  </w:rPr>
                  <w:fldChar w:fldCharType="begin"/>
                </w:r>
                <w:r w:rsidRPr="008A5CDC">
                  <w:rPr>
                    <w:sz w:val="20"/>
                    <w:szCs w:val="20"/>
                  </w:rPr>
                  <w:instrText xml:space="preserve"> CITATION Nat16 \l 3081 </w:instrText>
                </w:r>
                <w:r w:rsidRPr="008A5CDC">
                  <w:rPr>
                    <w:sz w:val="20"/>
                    <w:szCs w:val="20"/>
                  </w:rPr>
                  <w:fldChar w:fldCharType="separate"/>
                </w:r>
                <w:r w:rsidRPr="008A5CDC">
                  <w:rPr>
                    <w:sz w:val="20"/>
                    <w:szCs w:val="20"/>
                  </w:rPr>
                  <w:t>(National Health &amp; Medical Research Council, 2016)</w:t>
                </w:r>
                <w:r w:rsidRPr="008A5CDC">
                  <w:rPr>
                    <w:sz w:val="20"/>
                    <w:szCs w:val="20"/>
                  </w:rPr>
                  <w:fldChar w:fldCharType="end"/>
                </w:r>
              </w:sdtContent>
            </w:sdt>
            <w:r w:rsidRPr="008A5CDC">
              <w:rPr>
                <w:sz w:val="20"/>
                <w:szCs w:val="20"/>
              </w:rPr>
              <w:t>.</w:t>
            </w:r>
          </w:p>
        </w:tc>
      </w:tr>
      <w:tr w:rsidR="003A75BF" w:rsidRPr="0030327D" w14:paraId="12A45ECA"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5CF52B4A" w14:textId="77777777" w:rsidR="003A75BF" w:rsidRPr="008A5CDC" w:rsidRDefault="003A75BF" w:rsidP="0030327D">
            <w:pPr>
              <w:rPr>
                <w:sz w:val="20"/>
                <w:szCs w:val="20"/>
              </w:rPr>
            </w:pPr>
            <w:r w:rsidRPr="008A5CDC">
              <w:rPr>
                <w:sz w:val="20"/>
                <w:szCs w:val="20"/>
              </w:rPr>
              <w:t>CPD</w:t>
            </w:r>
          </w:p>
        </w:tc>
        <w:tc>
          <w:tcPr>
            <w:tcW w:w="6673" w:type="dxa"/>
          </w:tcPr>
          <w:p w14:paraId="448A8F33"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Continuing professional development</w:t>
            </w:r>
          </w:p>
        </w:tc>
      </w:tr>
      <w:tr w:rsidR="003A75BF" w:rsidRPr="0030327D" w14:paraId="52813026"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46D514E5" w14:textId="77777777" w:rsidR="003A75BF" w:rsidRPr="008A5CDC" w:rsidRDefault="003A75BF" w:rsidP="0030327D">
            <w:pPr>
              <w:rPr>
                <w:sz w:val="20"/>
                <w:szCs w:val="20"/>
              </w:rPr>
            </w:pPr>
            <w:r w:rsidRPr="008A5CDC">
              <w:rPr>
                <w:sz w:val="20"/>
                <w:szCs w:val="20"/>
              </w:rPr>
              <w:t>Delete</w:t>
            </w:r>
          </w:p>
        </w:tc>
        <w:tc>
          <w:tcPr>
            <w:tcW w:w="6673" w:type="dxa"/>
            <w:hideMark/>
          </w:tcPr>
          <w:p w14:paraId="778F60CA"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Describes when an item is recommended for removal from the MBS and its services will no longer be provided under the MBS.</w:t>
            </w:r>
          </w:p>
        </w:tc>
      </w:tr>
      <w:tr w:rsidR="003A75BF" w:rsidRPr="0030327D" w14:paraId="2BBA541F"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41210AEE" w14:textId="77777777" w:rsidR="003A75BF" w:rsidRPr="008A5CDC" w:rsidRDefault="003A75BF" w:rsidP="0030327D">
            <w:pPr>
              <w:rPr>
                <w:sz w:val="20"/>
                <w:szCs w:val="20"/>
              </w:rPr>
            </w:pPr>
            <w:r w:rsidRPr="008A5CDC">
              <w:rPr>
                <w:sz w:val="20"/>
                <w:szCs w:val="20"/>
              </w:rPr>
              <w:t>Department, The</w:t>
            </w:r>
          </w:p>
        </w:tc>
        <w:tc>
          <w:tcPr>
            <w:tcW w:w="6673" w:type="dxa"/>
            <w:hideMark/>
          </w:tcPr>
          <w:p w14:paraId="2BAD203B"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Australian Government Department of Health</w:t>
            </w:r>
          </w:p>
        </w:tc>
      </w:tr>
      <w:tr w:rsidR="003A75BF" w:rsidRPr="0030327D" w14:paraId="025569AD"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2639F730" w14:textId="77777777" w:rsidR="003A75BF" w:rsidRPr="008A5CDC" w:rsidRDefault="003A75BF" w:rsidP="0030327D">
            <w:pPr>
              <w:rPr>
                <w:sz w:val="20"/>
                <w:szCs w:val="20"/>
              </w:rPr>
            </w:pPr>
            <w:r w:rsidRPr="008A5CDC">
              <w:rPr>
                <w:sz w:val="20"/>
                <w:szCs w:val="20"/>
              </w:rPr>
              <w:t>DHS</w:t>
            </w:r>
          </w:p>
        </w:tc>
        <w:tc>
          <w:tcPr>
            <w:tcW w:w="6673" w:type="dxa"/>
            <w:hideMark/>
          </w:tcPr>
          <w:p w14:paraId="18CCC2AF"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Australian Government Department of Human Services</w:t>
            </w:r>
          </w:p>
        </w:tc>
      </w:tr>
      <w:tr w:rsidR="003A75BF" w:rsidRPr="0030327D" w14:paraId="198074F5"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21C3CADF" w14:textId="77777777" w:rsidR="003A75BF" w:rsidRPr="008A5CDC" w:rsidRDefault="003A75BF" w:rsidP="0030327D">
            <w:pPr>
              <w:rPr>
                <w:sz w:val="20"/>
                <w:szCs w:val="20"/>
              </w:rPr>
            </w:pPr>
            <w:r w:rsidRPr="008A5CDC">
              <w:rPr>
                <w:sz w:val="20"/>
                <w:szCs w:val="20"/>
              </w:rPr>
              <w:t>Discipline</w:t>
            </w:r>
          </w:p>
        </w:tc>
        <w:tc>
          <w:tcPr>
            <w:tcW w:w="6673" w:type="dxa"/>
          </w:tcPr>
          <w:p w14:paraId="6F4A8941"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A professional healthcare qualification or role, which contributes a unique domain of knowledge and clinical expertise to a multidisciplinary team, e.g. social worker, cardiologist, physiotherapist etc.</w:t>
            </w:r>
          </w:p>
        </w:tc>
      </w:tr>
      <w:tr w:rsidR="003A75BF" w:rsidRPr="0030327D" w14:paraId="548CF01A"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701395AC" w14:textId="77777777" w:rsidR="003A75BF" w:rsidRPr="008A5CDC" w:rsidRDefault="003A75BF" w:rsidP="0030327D">
            <w:pPr>
              <w:rPr>
                <w:sz w:val="20"/>
                <w:szCs w:val="20"/>
              </w:rPr>
            </w:pPr>
            <w:r w:rsidRPr="008A5CDC">
              <w:rPr>
                <w:sz w:val="20"/>
                <w:szCs w:val="20"/>
              </w:rPr>
              <w:t>FASD</w:t>
            </w:r>
          </w:p>
        </w:tc>
        <w:tc>
          <w:tcPr>
            <w:tcW w:w="6673" w:type="dxa"/>
          </w:tcPr>
          <w:p w14:paraId="3A61C9F1"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Fetal alcohol spectrum disorder</w:t>
            </w:r>
          </w:p>
        </w:tc>
      </w:tr>
      <w:tr w:rsidR="003A75BF" w:rsidRPr="0030327D" w14:paraId="3BA4E84D"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3DE3EF36" w14:textId="77777777" w:rsidR="003A75BF" w:rsidRPr="008A5CDC" w:rsidRDefault="003A75BF" w:rsidP="0030327D">
            <w:pPr>
              <w:rPr>
                <w:sz w:val="20"/>
                <w:szCs w:val="20"/>
              </w:rPr>
            </w:pPr>
            <w:r w:rsidRPr="008A5CDC">
              <w:rPr>
                <w:sz w:val="20"/>
                <w:szCs w:val="20"/>
              </w:rPr>
              <w:t>FTE</w:t>
            </w:r>
          </w:p>
        </w:tc>
        <w:tc>
          <w:tcPr>
            <w:tcW w:w="6673" w:type="dxa"/>
            <w:hideMark/>
          </w:tcPr>
          <w:p w14:paraId="6C5CB551"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Full-time Equivalent</w:t>
            </w:r>
          </w:p>
        </w:tc>
      </w:tr>
      <w:tr w:rsidR="003A75BF" w:rsidRPr="0030327D" w14:paraId="7151D4AD"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40709FD3" w14:textId="77777777" w:rsidR="003A75BF" w:rsidRPr="008A5CDC" w:rsidRDefault="003A75BF" w:rsidP="0030327D">
            <w:pPr>
              <w:rPr>
                <w:sz w:val="20"/>
                <w:szCs w:val="20"/>
              </w:rPr>
            </w:pPr>
            <w:r w:rsidRPr="008A5CDC">
              <w:rPr>
                <w:sz w:val="20"/>
                <w:szCs w:val="20"/>
              </w:rPr>
              <w:t>GP</w:t>
            </w:r>
          </w:p>
        </w:tc>
        <w:tc>
          <w:tcPr>
            <w:tcW w:w="6673" w:type="dxa"/>
          </w:tcPr>
          <w:p w14:paraId="3BB030ED"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General practitioner</w:t>
            </w:r>
          </w:p>
        </w:tc>
      </w:tr>
      <w:tr w:rsidR="003A75BF" w:rsidRPr="0030327D" w14:paraId="1B4DF39D"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6B58F638" w14:textId="77777777" w:rsidR="003A75BF" w:rsidRPr="008A5CDC" w:rsidRDefault="003A75BF" w:rsidP="0030327D">
            <w:pPr>
              <w:rPr>
                <w:sz w:val="20"/>
                <w:szCs w:val="20"/>
              </w:rPr>
            </w:pPr>
            <w:r w:rsidRPr="008A5CDC">
              <w:rPr>
                <w:sz w:val="20"/>
                <w:szCs w:val="20"/>
              </w:rPr>
              <w:t>GPPCCC</w:t>
            </w:r>
          </w:p>
        </w:tc>
        <w:tc>
          <w:tcPr>
            <w:tcW w:w="6673" w:type="dxa"/>
          </w:tcPr>
          <w:p w14:paraId="4EEAA878"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General Practice and Primary Care Clinical Committee</w:t>
            </w:r>
          </w:p>
        </w:tc>
      </w:tr>
      <w:tr w:rsidR="0078706C" w:rsidRPr="0030327D" w14:paraId="3A6B02CA"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188796B8" w14:textId="77777777" w:rsidR="0078706C" w:rsidRPr="008A5CDC" w:rsidRDefault="0078706C" w:rsidP="0030327D">
            <w:pPr>
              <w:rPr>
                <w:sz w:val="20"/>
                <w:szCs w:val="20"/>
              </w:rPr>
            </w:pPr>
            <w:r w:rsidRPr="008A5CDC">
              <w:rPr>
                <w:sz w:val="20"/>
                <w:szCs w:val="20"/>
              </w:rPr>
              <w:t>Health literacy</w:t>
            </w:r>
          </w:p>
        </w:tc>
        <w:tc>
          <w:tcPr>
            <w:tcW w:w="6673" w:type="dxa"/>
          </w:tcPr>
          <w:p w14:paraId="24ADCBAA" w14:textId="77777777" w:rsidR="0078706C" w:rsidRPr="008A5CDC" w:rsidRDefault="0078706C"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 xml:space="preserve">Individual health literacy is the knowledge, motivation, skills and capacity of a person to access, understand, appraise and apply information to make effective decisions about health and health care, and make appropriate decisions. The health literacy environment is the infrastructure, policies, processes, materials, people and relationships that have an impact on the way in which people access, understand, appraise and apply health-related information and service. </w:t>
            </w:r>
            <w:sdt>
              <w:sdtPr>
                <w:rPr>
                  <w:sz w:val="20"/>
                  <w:szCs w:val="20"/>
                </w:rPr>
                <w:id w:val="1113635866"/>
                <w:citation/>
              </w:sdtPr>
              <w:sdtContent>
                <w:r w:rsidRPr="008A5CDC">
                  <w:rPr>
                    <w:sz w:val="20"/>
                    <w:szCs w:val="20"/>
                  </w:rPr>
                  <w:fldChar w:fldCharType="begin"/>
                </w:r>
                <w:r w:rsidRPr="008A5CDC">
                  <w:rPr>
                    <w:sz w:val="20"/>
                    <w:szCs w:val="20"/>
                  </w:rPr>
                  <w:instrText xml:space="preserve">CITATION Aus12 \l 3081 </w:instrText>
                </w:r>
                <w:r w:rsidRPr="008A5CDC">
                  <w:rPr>
                    <w:sz w:val="20"/>
                    <w:szCs w:val="20"/>
                  </w:rPr>
                  <w:fldChar w:fldCharType="separate"/>
                </w:r>
                <w:r w:rsidRPr="008A5CDC">
                  <w:rPr>
                    <w:sz w:val="20"/>
                    <w:szCs w:val="20"/>
                  </w:rPr>
                  <w:t>(Australian Commission on Safety &amp; Quality in Health Care, 2012)</w:t>
                </w:r>
                <w:r w:rsidRPr="008A5CDC">
                  <w:rPr>
                    <w:sz w:val="20"/>
                    <w:szCs w:val="20"/>
                  </w:rPr>
                  <w:fldChar w:fldCharType="end"/>
                </w:r>
              </w:sdtContent>
            </w:sdt>
            <w:r w:rsidRPr="008A5CDC">
              <w:rPr>
                <w:sz w:val="20"/>
                <w:szCs w:val="20"/>
              </w:rPr>
              <w:t>.</w:t>
            </w:r>
          </w:p>
        </w:tc>
      </w:tr>
      <w:tr w:rsidR="003A75BF" w:rsidRPr="0030327D" w14:paraId="690105CD"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3656C48B" w14:textId="77777777" w:rsidR="003A75BF" w:rsidRPr="008A5CDC" w:rsidRDefault="003A75BF" w:rsidP="0030327D">
            <w:pPr>
              <w:rPr>
                <w:sz w:val="20"/>
                <w:szCs w:val="20"/>
              </w:rPr>
            </w:pPr>
            <w:r w:rsidRPr="008A5CDC">
              <w:rPr>
                <w:sz w:val="20"/>
                <w:szCs w:val="20"/>
              </w:rPr>
              <w:t>High-value care</w:t>
            </w:r>
          </w:p>
        </w:tc>
        <w:tc>
          <w:tcPr>
            <w:tcW w:w="6673" w:type="dxa"/>
            <w:hideMark/>
          </w:tcPr>
          <w:p w14:paraId="39BED513"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Services of proven efficacy reflecting current best medical practice, or for which the potential benefit to consumers exceeds the risk and costs.</w:t>
            </w:r>
          </w:p>
        </w:tc>
      </w:tr>
      <w:tr w:rsidR="003A75BF" w:rsidRPr="0030327D" w14:paraId="02C6C89A"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674889BF" w14:textId="77777777" w:rsidR="003A75BF" w:rsidRPr="008A5CDC" w:rsidRDefault="003A75BF" w:rsidP="0030327D">
            <w:pPr>
              <w:rPr>
                <w:sz w:val="20"/>
                <w:szCs w:val="20"/>
              </w:rPr>
            </w:pPr>
            <w:r w:rsidRPr="008A5CDC">
              <w:rPr>
                <w:sz w:val="20"/>
                <w:szCs w:val="20"/>
              </w:rPr>
              <w:t>Inappropriate use / misuse</w:t>
            </w:r>
          </w:p>
        </w:tc>
        <w:tc>
          <w:tcPr>
            <w:tcW w:w="6673" w:type="dxa"/>
            <w:hideMark/>
          </w:tcPr>
          <w:p w14:paraId="64D96363"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The use of MBS services for purposes other than those intended. This includes a range of behaviours, from failing to adhere to particular item descriptors or rules through to deliberate fraud.</w:t>
            </w:r>
          </w:p>
        </w:tc>
      </w:tr>
      <w:tr w:rsidR="003A75BF" w:rsidRPr="0030327D" w14:paraId="099AD014"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1F0A642F" w14:textId="77777777" w:rsidR="003A75BF" w:rsidRPr="008A5CDC" w:rsidRDefault="003A75BF" w:rsidP="0030327D">
            <w:pPr>
              <w:rPr>
                <w:sz w:val="20"/>
                <w:szCs w:val="20"/>
              </w:rPr>
            </w:pPr>
            <w:r w:rsidRPr="008A5CDC">
              <w:rPr>
                <w:sz w:val="20"/>
                <w:szCs w:val="20"/>
              </w:rPr>
              <w:t>Low-value care</w:t>
            </w:r>
          </w:p>
        </w:tc>
        <w:tc>
          <w:tcPr>
            <w:tcW w:w="6673" w:type="dxa"/>
            <w:hideMark/>
          </w:tcPr>
          <w:p w14:paraId="6CB2274E"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Services that evidence suggests provide little or no benefit to consumers; or for which the risk of harm exceeds the likely benefit; or, more broadly, where the added costs of services do not provide proportional added benefits.</w:t>
            </w:r>
          </w:p>
        </w:tc>
      </w:tr>
      <w:tr w:rsidR="003A75BF" w:rsidRPr="0030327D" w14:paraId="50663A0E"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132D42BF" w14:textId="77777777" w:rsidR="003A75BF" w:rsidRPr="008A5CDC" w:rsidRDefault="003A75BF" w:rsidP="0030327D">
            <w:pPr>
              <w:rPr>
                <w:sz w:val="20"/>
                <w:szCs w:val="20"/>
              </w:rPr>
            </w:pPr>
            <w:r w:rsidRPr="008A5CDC">
              <w:rPr>
                <w:sz w:val="20"/>
                <w:szCs w:val="20"/>
              </w:rPr>
              <w:t>MBS</w:t>
            </w:r>
          </w:p>
        </w:tc>
        <w:tc>
          <w:tcPr>
            <w:tcW w:w="6673" w:type="dxa"/>
            <w:hideMark/>
          </w:tcPr>
          <w:p w14:paraId="4A6644B2"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 xml:space="preserve">Medicare Benefits Schedule </w:t>
            </w:r>
          </w:p>
        </w:tc>
      </w:tr>
      <w:tr w:rsidR="003A75BF" w:rsidRPr="0030327D" w14:paraId="766A46FA"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7CCDF94F" w14:textId="77777777" w:rsidR="003A75BF" w:rsidRPr="008A5CDC" w:rsidRDefault="003A75BF" w:rsidP="0030327D">
            <w:pPr>
              <w:rPr>
                <w:sz w:val="20"/>
                <w:szCs w:val="20"/>
              </w:rPr>
            </w:pPr>
            <w:r w:rsidRPr="008A5CDC">
              <w:rPr>
                <w:sz w:val="20"/>
                <w:szCs w:val="20"/>
              </w:rPr>
              <w:t>MBS item</w:t>
            </w:r>
          </w:p>
        </w:tc>
        <w:tc>
          <w:tcPr>
            <w:tcW w:w="6673" w:type="dxa"/>
            <w:hideMark/>
          </w:tcPr>
          <w:p w14:paraId="04E23DD2"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An administrative object listed in the MBS and used for the purposes of claiming and paying Medicare benefits, consisting of an item number, service descriptor and supporting information, schedule fee and Medicare benefits.</w:t>
            </w:r>
          </w:p>
        </w:tc>
      </w:tr>
      <w:tr w:rsidR="003A75BF" w:rsidRPr="0030327D" w14:paraId="67321DDC"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6631CCAB" w14:textId="77777777" w:rsidR="003A75BF" w:rsidRPr="008A5CDC" w:rsidRDefault="003A75BF" w:rsidP="0030327D">
            <w:pPr>
              <w:rPr>
                <w:sz w:val="20"/>
                <w:szCs w:val="20"/>
              </w:rPr>
            </w:pPr>
            <w:r w:rsidRPr="008A5CDC">
              <w:rPr>
                <w:sz w:val="20"/>
                <w:szCs w:val="20"/>
              </w:rPr>
              <w:t>MBS service</w:t>
            </w:r>
          </w:p>
        </w:tc>
        <w:tc>
          <w:tcPr>
            <w:tcW w:w="6673" w:type="dxa"/>
            <w:hideMark/>
          </w:tcPr>
          <w:p w14:paraId="1F85B309"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The actual medical consultation, procedure or test to which the relevant MBS item refers.</w:t>
            </w:r>
          </w:p>
        </w:tc>
      </w:tr>
      <w:tr w:rsidR="003A75BF" w:rsidRPr="0030327D" w14:paraId="714021B4"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08B0669A" w14:textId="77777777" w:rsidR="003A75BF" w:rsidRPr="008A5CDC" w:rsidRDefault="003A75BF" w:rsidP="0030327D">
            <w:pPr>
              <w:rPr>
                <w:sz w:val="20"/>
                <w:szCs w:val="20"/>
              </w:rPr>
            </w:pPr>
            <w:r w:rsidRPr="008A5CDC">
              <w:rPr>
                <w:sz w:val="20"/>
                <w:szCs w:val="20"/>
              </w:rPr>
              <w:t>MDT</w:t>
            </w:r>
          </w:p>
        </w:tc>
        <w:tc>
          <w:tcPr>
            <w:tcW w:w="6673" w:type="dxa"/>
          </w:tcPr>
          <w:p w14:paraId="725CE813"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Multidisciplinary team</w:t>
            </w:r>
          </w:p>
        </w:tc>
      </w:tr>
      <w:tr w:rsidR="003A75BF" w:rsidRPr="0030327D" w14:paraId="3C37C483"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4459D985" w14:textId="77777777" w:rsidR="003A75BF" w:rsidRPr="008A5CDC" w:rsidRDefault="003A75BF" w:rsidP="0030327D">
            <w:pPr>
              <w:rPr>
                <w:sz w:val="20"/>
                <w:szCs w:val="20"/>
              </w:rPr>
            </w:pPr>
            <w:r w:rsidRPr="008A5CDC">
              <w:rPr>
                <w:sz w:val="20"/>
                <w:szCs w:val="20"/>
              </w:rPr>
              <w:t>MSAC</w:t>
            </w:r>
          </w:p>
        </w:tc>
        <w:tc>
          <w:tcPr>
            <w:tcW w:w="6673" w:type="dxa"/>
            <w:hideMark/>
          </w:tcPr>
          <w:p w14:paraId="45FAA925"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Medical Services Advisory Committee</w:t>
            </w:r>
          </w:p>
        </w:tc>
      </w:tr>
      <w:tr w:rsidR="003A75BF" w:rsidRPr="0030327D" w14:paraId="34B04F65"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427AA7C9" w14:textId="77777777" w:rsidR="003A75BF" w:rsidRPr="008A5CDC" w:rsidRDefault="003A75BF" w:rsidP="0030327D">
            <w:pPr>
              <w:rPr>
                <w:sz w:val="20"/>
                <w:szCs w:val="20"/>
              </w:rPr>
            </w:pPr>
            <w:r w:rsidRPr="008A5CDC">
              <w:rPr>
                <w:sz w:val="20"/>
                <w:szCs w:val="20"/>
              </w:rPr>
              <w:t xml:space="preserve">New service </w:t>
            </w:r>
          </w:p>
        </w:tc>
        <w:tc>
          <w:tcPr>
            <w:tcW w:w="6673" w:type="dxa"/>
            <w:hideMark/>
          </w:tcPr>
          <w:p w14:paraId="7683ADD2"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3A75BF" w:rsidRPr="0030327D" w14:paraId="4210E76D"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6AE2A424" w14:textId="77777777" w:rsidR="003A75BF" w:rsidRPr="008A5CDC" w:rsidRDefault="003A75BF" w:rsidP="0030327D">
            <w:pPr>
              <w:rPr>
                <w:sz w:val="20"/>
                <w:szCs w:val="20"/>
              </w:rPr>
            </w:pPr>
            <w:r w:rsidRPr="008A5CDC">
              <w:rPr>
                <w:sz w:val="20"/>
                <w:szCs w:val="20"/>
              </w:rPr>
              <w:t>No change or leave unchanged</w:t>
            </w:r>
          </w:p>
        </w:tc>
        <w:tc>
          <w:tcPr>
            <w:tcW w:w="6673" w:type="dxa"/>
            <w:hideMark/>
          </w:tcPr>
          <w:p w14:paraId="13BFD9BD"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3A75BF" w:rsidRPr="0030327D" w14:paraId="2A713C8A"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1D8B0A2E" w14:textId="77777777" w:rsidR="003A75BF" w:rsidRPr="008A5CDC" w:rsidRDefault="003A75BF" w:rsidP="0030327D">
            <w:pPr>
              <w:rPr>
                <w:sz w:val="20"/>
                <w:szCs w:val="20"/>
              </w:rPr>
            </w:pPr>
            <w:r w:rsidRPr="008A5CDC">
              <w:rPr>
                <w:sz w:val="20"/>
                <w:szCs w:val="20"/>
              </w:rPr>
              <w:t>Obsolete services / items</w:t>
            </w:r>
          </w:p>
        </w:tc>
        <w:tc>
          <w:tcPr>
            <w:tcW w:w="6673" w:type="dxa"/>
            <w:hideMark/>
          </w:tcPr>
          <w:p w14:paraId="7A12486B"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Services that should no longer be performed as they do not represent current clinical best practice and have been superseded by superior tests or procedures.</w:t>
            </w:r>
          </w:p>
        </w:tc>
      </w:tr>
      <w:tr w:rsidR="003A75BF" w:rsidRPr="0030327D" w14:paraId="3B7CBBAB"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552C43C9" w14:textId="77777777" w:rsidR="003A75BF" w:rsidRPr="008A5CDC" w:rsidRDefault="003A75BF" w:rsidP="0030327D">
            <w:pPr>
              <w:rPr>
                <w:sz w:val="20"/>
                <w:szCs w:val="20"/>
              </w:rPr>
            </w:pPr>
            <w:r w:rsidRPr="008A5CDC">
              <w:rPr>
                <w:sz w:val="20"/>
                <w:szCs w:val="20"/>
              </w:rPr>
              <w:t>Patient</w:t>
            </w:r>
          </w:p>
        </w:tc>
        <w:tc>
          <w:tcPr>
            <w:tcW w:w="6673" w:type="dxa"/>
          </w:tcPr>
          <w:p w14:paraId="1E316511"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A person receiving medical services because of a problem or a check-up.</w:t>
            </w:r>
          </w:p>
          <w:p w14:paraId="67FEF7FE" w14:textId="77777777" w:rsidR="003A75BF" w:rsidRPr="008A5CDC" w:rsidRDefault="00023621" w:rsidP="0030327D">
            <w:pP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701622690"/>
                <w:citation/>
              </w:sdtPr>
              <w:sdtContent>
                <w:r w:rsidR="003A75BF" w:rsidRPr="008A5CDC">
                  <w:rPr>
                    <w:sz w:val="20"/>
                    <w:szCs w:val="20"/>
                  </w:rPr>
                  <w:fldChar w:fldCharType="begin"/>
                </w:r>
                <w:r w:rsidR="003A75BF" w:rsidRPr="008A5CDC">
                  <w:rPr>
                    <w:sz w:val="20"/>
                    <w:szCs w:val="20"/>
                  </w:rPr>
                  <w:instrText xml:space="preserve"> CITATION Bro16 \l 3081 </w:instrText>
                </w:r>
                <w:r w:rsidR="003A75BF" w:rsidRPr="008A5CDC">
                  <w:rPr>
                    <w:sz w:val="20"/>
                    <w:szCs w:val="20"/>
                  </w:rPr>
                  <w:fldChar w:fldCharType="separate"/>
                </w:r>
                <w:r w:rsidR="003A75BF" w:rsidRPr="008A5CDC">
                  <w:rPr>
                    <w:sz w:val="20"/>
                    <w:szCs w:val="20"/>
                  </w:rPr>
                  <w:t>(Bronkart, 2016)</w:t>
                </w:r>
                <w:r w:rsidR="003A75BF" w:rsidRPr="008A5CDC">
                  <w:rPr>
                    <w:sz w:val="20"/>
                    <w:szCs w:val="20"/>
                  </w:rPr>
                  <w:fldChar w:fldCharType="end"/>
                </w:r>
              </w:sdtContent>
            </w:sdt>
          </w:p>
        </w:tc>
      </w:tr>
      <w:tr w:rsidR="003A75BF" w:rsidRPr="0030327D" w14:paraId="343C6A33"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3B385448" w14:textId="77777777" w:rsidR="003A75BF" w:rsidRPr="008A5CDC" w:rsidRDefault="003A75BF" w:rsidP="0030327D">
            <w:pPr>
              <w:rPr>
                <w:sz w:val="20"/>
                <w:szCs w:val="20"/>
              </w:rPr>
            </w:pPr>
            <w:r w:rsidRPr="008A5CDC">
              <w:rPr>
                <w:sz w:val="20"/>
                <w:szCs w:val="20"/>
              </w:rPr>
              <w:t>PBS</w:t>
            </w:r>
          </w:p>
        </w:tc>
        <w:tc>
          <w:tcPr>
            <w:tcW w:w="6673" w:type="dxa"/>
          </w:tcPr>
          <w:p w14:paraId="7B061ABB"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Pharmaceutical Benefits Scheme</w:t>
            </w:r>
          </w:p>
        </w:tc>
      </w:tr>
      <w:tr w:rsidR="003A75BF" w:rsidRPr="0030327D" w14:paraId="4AE41076"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0CC30085" w14:textId="77777777" w:rsidR="003A75BF" w:rsidRPr="008A5CDC" w:rsidRDefault="003A75BF" w:rsidP="0030327D">
            <w:pPr>
              <w:rPr>
                <w:sz w:val="20"/>
                <w:szCs w:val="20"/>
              </w:rPr>
            </w:pPr>
            <w:r w:rsidRPr="008A5CDC">
              <w:rPr>
                <w:sz w:val="20"/>
                <w:szCs w:val="20"/>
              </w:rPr>
              <w:t>PHN</w:t>
            </w:r>
          </w:p>
        </w:tc>
        <w:tc>
          <w:tcPr>
            <w:tcW w:w="6673" w:type="dxa"/>
          </w:tcPr>
          <w:p w14:paraId="2FF7A790"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Primary health network</w:t>
            </w:r>
          </w:p>
        </w:tc>
      </w:tr>
      <w:tr w:rsidR="003A75BF" w:rsidRPr="0030327D" w14:paraId="10D8D9D8"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2A584DD8" w14:textId="77777777" w:rsidR="003A75BF" w:rsidRPr="008A5CDC" w:rsidRDefault="003A75BF" w:rsidP="0030327D">
            <w:pPr>
              <w:rPr>
                <w:sz w:val="20"/>
                <w:szCs w:val="20"/>
              </w:rPr>
            </w:pPr>
            <w:r w:rsidRPr="008A5CDC">
              <w:rPr>
                <w:sz w:val="20"/>
                <w:szCs w:val="20"/>
              </w:rPr>
              <w:t>RVS</w:t>
            </w:r>
          </w:p>
        </w:tc>
        <w:tc>
          <w:tcPr>
            <w:tcW w:w="6673" w:type="dxa"/>
          </w:tcPr>
          <w:p w14:paraId="18AF1C2E"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Relative Value Study was a review of the services and fees in the General Medical Services Table of the Medicare Benefits Schedule (MBS).</w:t>
            </w:r>
          </w:p>
        </w:tc>
      </w:tr>
      <w:tr w:rsidR="003A75BF" w:rsidRPr="0030327D" w14:paraId="30651B23"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6A29F1BB" w14:textId="77777777" w:rsidR="003A75BF" w:rsidRPr="008A5CDC" w:rsidRDefault="003A75BF" w:rsidP="0030327D">
            <w:pPr>
              <w:rPr>
                <w:sz w:val="20"/>
                <w:szCs w:val="20"/>
              </w:rPr>
            </w:pPr>
            <w:r w:rsidRPr="008A5CDC">
              <w:rPr>
                <w:sz w:val="20"/>
                <w:szCs w:val="20"/>
              </w:rPr>
              <w:t>SCPCCC</w:t>
            </w:r>
          </w:p>
        </w:tc>
        <w:tc>
          <w:tcPr>
            <w:tcW w:w="6673" w:type="dxa"/>
          </w:tcPr>
          <w:p w14:paraId="662B90F6"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See: The Committee</w:t>
            </w:r>
          </w:p>
        </w:tc>
      </w:tr>
      <w:tr w:rsidR="003A75BF" w:rsidRPr="0030327D" w14:paraId="0FC21D93"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31CEEB87" w14:textId="77777777" w:rsidR="003A75BF" w:rsidRPr="008A5CDC" w:rsidRDefault="003A75BF" w:rsidP="0030327D">
            <w:pPr>
              <w:rPr>
                <w:sz w:val="20"/>
                <w:szCs w:val="20"/>
              </w:rPr>
            </w:pPr>
            <w:r w:rsidRPr="008A5CDC">
              <w:rPr>
                <w:sz w:val="20"/>
                <w:szCs w:val="20"/>
              </w:rPr>
              <w:t>Services average annual growth</w:t>
            </w:r>
          </w:p>
        </w:tc>
        <w:tc>
          <w:tcPr>
            <w:tcW w:w="6673" w:type="dxa"/>
            <w:hideMark/>
          </w:tcPr>
          <w:p w14:paraId="6A2E5D67"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The average growth per year, over five years to 2014/15, in utilisation of services. Also known as the compound annual growth rate (CAGR).</w:t>
            </w:r>
          </w:p>
        </w:tc>
      </w:tr>
      <w:tr w:rsidR="003A75BF" w:rsidRPr="0030327D" w14:paraId="59A47581"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24F54C1F" w14:textId="77777777" w:rsidR="003A75BF" w:rsidRPr="008A5CDC" w:rsidRDefault="003A75BF" w:rsidP="0030327D">
            <w:pPr>
              <w:rPr>
                <w:sz w:val="20"/>
                <w:szCs w:val="20"/>
              </w:rPr>
            </w:pPr>
            <w:r w:rsidRPr="008A5CDC">
              <w:rPr>
                <w:sz w:val="20"/>
                <w:szCs w:val="20"/>
              </w:rPr>
              <w:t xml:space="preserve">The Committee </w:t>
            </w:r>
          </w:p>
        </w:tc>
        <w:tc>
          <w:tcPr>
            <w:tcW w:w="6673" w:type="dxa"/>
            <w:hideMark/>
          </w:tcPr>
          <w:p w14:paraId="7176122E"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The Specialist and Consultant Physician Consultation Clinical Committee of the MBS Review</w:t>
            </w:r>
          </w:p>
        </w:tc>
      </w:tr>
      <w:tr w:rsidR="003A75BF" w:rsidRPr="0030327D" w14:paraId="006A31E9"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153CCD60" w14:textId="77777777" w:rsidR="003A75BF" w:rsidRPr="008A5CDC" w:rsidRDefault="003A75BF" w:rsidP="0030327D">
            <w:pPr>
              <w:rPr>
                <w:sz w:val="20"/>
                <w:szCs w:val="20"/>
              </w:rPr>
            </w:pPr>
            <w:r w:rsidRPr="008A5CDC">
              <w:rPr>
                <w:sz w:val="20"/>
                <w:szCs w:val="20"/>
              </w:rPr>
              <w:t>The Minister</w:t>
            </w:r>
          </w:p>
        </w:tc>
        <w:tc>
          <w:tcPr>
            <w:tcW w:w="6673" w:type="dxa"/>
          </w:tcPr>
          <w:p w14:paraId="589FAAD9"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Minister for Health</w:t>
            </w:r>
          </w:p>
        </w:tc>
      </w:tr>
      <w:tr w:rsidR="003A75BF" w:rsidRPr="0030327D" w14:paraId="361A5918" w14:textId="77777777" w:rsidTr="0030327D">
        <w:tc>
          <w:tcPr>
            <w:cnfStyle w:val="001000000000" w:firstRow="0" w:lastRow="0" w:firstColumn="1" w:lastColumn="0" w:oddVBand="0" w:evenVBand="0" w:oddHBand="0" w:evenHBand="0" w:firstRowFirstColumn="0" w:firstRowLastColumn="0" w:lastRowFirstColumn="0" w:lastRowLastColumn="0"/>
            <w:tcW w:w="1561" w:type="dxa"/>
            <w:hideMark/>
          </w:tcPr>
          <w:p w14:paraId="05095A6A" w14:textId="77777777" w:rsidR="003A75BF" w:rsidRPr="008A5CDC" w:rsidRDefault="003A75BF" w:rsidP="0030327D">
            <w:pPr>
              <w:rPr>
                <w:sz w:val="20"/>
                <w:szCs w:val="20"/>
              </w:rPr>
            </w:pPr>
            <w:r w:rsidRPr="008A5CDC">
              <w:rPr>
                <w:sz w:val="20"/>
                <w:szCs w:val="20"/>
              </w:rPr>
              <w:t xml:space="preserve">The Taskforce </w:t>
            </w:r>
          </w:p>
        </w:tc>
        <w:tc>
          <w:tcPr>
            <w:tcW w:w="6673" w:type="dxa"/>
            <w:hideMark/>
          </w:tcPr>
          <w:p w14:paraId="52DE52C6"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 xml:space="preserve">The MBS Review Taskforce </w:t>
            </w:r>
          </w:p>
        </w:tc>
      </w:tr>
      <w:tr w:rsidR="003A75BF" w:rsidRPr="0030327D" w14:paraId="033FEFC6" w14:textId="77777777" w:rsidTr="0030327D">
        <w:tc>
          <w:tcPr>
            <w:cnfStyle w:val="001000000000" w:firstRow="0" w:lastRow="0" w:firstColumn="1" w:lastColumn="0" w:oddVBand="0" w:evenVBand="0" w:oddHBand="0" w:evenHBand="0" w:firstRowFirstColumn="0" w:firstRowLastColumn="0" w:lastRowFirstColumn="0" w:lastRowLastColumn="0"/>
            <w:tcW w:w="1561" w:type="dxa"/>
          </w:tcPr>
          <w:p w14:paraId="2BD8BC2C" w14:textId="77777777" w:rsidR="003A75BF" w:rsidRPr="008A5CDC" w:rsidRDefault="003A75BF" w:rsidP="0030327D">
            <w:pPr>
              <w:rPr>
                <w:sz w:val="20"/>
                <w:szCs w:val="20"/>
              </w:rPr>
            </w:pPr>
            <w:r w:rsidRPr="008A5CDC">
              <w:rPr>
                <w:sz w:val="20"/>
                <w:szCs w:val="20"/>
              </w:rPr>
              <w:t>Total benefits</w:t>
            </w:r>
          </w:p>
        </w:tc>
        <w:tc>
          <w:tcPr>
            <w:tcW w:w="6673" w:type="dxa"/>
          </w:tcPr>
          <w:p w14:paraId="34B79E48" w14:textId="77777777" w:rsidR="003A75BF" w:rsidRPr="008A5CDC" w:rsidRDefault="003A75BF" w:rsidP="0030327D">
            <w:pPr>
              <w:cnfStyle w:val="000000000000" w:firstRow="0" w:lastRow="0" w:firstColumn="0" w:lastColumn="0" w:oddVBand="0" w:evenVBand="0" w:oddHBand="0" w:evenHBand="0" w:firstRowFirstColumn="0" w:firstRowLastColumn="0" w:lastRowFirstColumn="0" w:lastRowLastColumn="0"/>
              <w:rPr>
                <w:sz w:val="20"/>
                <w:szCs w:val="20"/>
              </w:rPr>
            </w:pPr>
            <w:r w:rsidRPr="008A5CDC">
              <w:rPr>
                <w:sz w:val="20"/>
                <w:szCs w:val="20"/>
              </w:rPr>
              <w:t>Total benefits paid in 2014/15 unless otherwise specified.</w:t>
            </w:r>
          </w:p>
        </w:tc>
      </w:tr>
    </w:tbl>
    <w:p w14:paraId="46DE3A93" w14:textId="77777777" w:rsidR="00C70F2D" w:rsidRDefault="00C70F2D" w:rsidP="00C70F2D">
      <w:pPr>
        <w:pStyle w:val="AppendixStyle1"/>
        <w:spacing w:before="360"/>
        <w:rPr>
          <w:lang w:val="en-GB"/>
        </w:rPr>
        <w:sectPr w:rsidR="00C70F2D" w:rsidSect="00246FD6">
          <w:endnotePr>
            <w:numFmt w:val="decimal"/>
          </w:endnotePr>
          <w:pgSz w:w="11906" w:h="16838" w:code="9"/>
          <w:pgMar w:top="1276" w:right="1797" w:bottom="1440" w:left="1797" w:header="720" w:footer="720" w:gutter="0"/>
          <w:cols w:space="720"/>
          <w:docGrid w:linePitch="326"/>
        </w:sectPr>
      </w:pPr>
    </w:p>
    <w:p w14:paraId="5679E35C" w14:textId="23FC043B" w:rsidR="00E76A74" w:rsidRPr="00C33C0B" w:rsidRDefault="00E76A74" w:rsidP="00E76A74">
      <w:pPr>
        <w:pStyle w:val="AppendixStyle1"/>
        <w:rPr>
          <w:lang w:val="en-GB"/>
        </w:rPr>
      </w:pPr>
      <w:bookmarkStart w:id="258" w:name="_Toc67952274"/>
      <w:r w:rsidRPr="00C33C0B">
        <w:rPr>
          <w:lang w:val="en-GB"/>
        </w:rPr>
        <w:t>Index of items</w:t>
      </w:r>
      <w:bookmarkEnd w:id="255"/>
      <w:bookmarkEnd w:id="254"/>
      <w:bookmarkEnd w:id="253"/>
      <w:bookmarkEnd w:id="252"/>
      <w:bookmarkEnd w:id="258"/>
    </w:p>
    <w:p w14:paraId="1D14159E" w14:textId="77777777" w:rsidR="00E76A74" w:rsidRPr="00C33C0B" w:rsidRDefault="00E76A74" w:rsidP="00C41DB8">
      <w:pPr>
        <w:pStyle w:val="Heading2"/>
        <w:keepNext w:val="0"/>
        <w:numPr>
          <w:ilvl w:val="0"/>
          <w:numId w:val="0"/>
        </w:numPr>
        <w:rPr>
          <w:lang w:val="en-GB"/>
        </w:rPr>
      </w:pPr>
      <w:bookmarkStart w:id="259" w:name="_A.1._Standard_attendance"/>
      <w:bookmarkStart w:id="260" w:name="_Toc521442214"/>
      <w:bookmarkStart w:id="261" w:name="_Toc67952275"/>
      <w:bookmarkEnd w:id="259"/>
      <w:r w:rsidRPr="00C33C0B">
        <w:rPr>
          <w:lang w:val="en-GB"/>
        </w:rPr>
        <w:t>A.1. Standard attendance items</w:t>
      </w:r>
      <w:bookmarkEnd w:id="260"/>
      <w:bookmarkEnd w:id="261"/>
    </w:p>
    <w:tbl>
      <w:tblPr>
        <w:tblStyle w:val="GridTable1Light"/>
        <w:tblW w:w="8500" w:type="dxa"/>
        <w:tblLayout w:type="fixed"/>
        <w:tblLook w:val="04A0" w:firstRow="1" w:lastRow="0" w:firstColumn="1" w:lastColumn="0" w:noHBand="0" w:noVBand="1"/>
        <w:tblDescription w:val="Appendix A - A.1 Standard attendance items. A.1 is a 7 column table. Column 1 is the item number. Column 2 is the item descriptor. Column 3 is the schedule fee. Column 4 is the benefits paid in financial year 2016/17. Column 5 is services provided in financial year 2016/17. Column 6 is the 5 yearly growth expressed as a percentage. Column 6 is the recommended change to the item. "/>
      </w:tblPr>
      <w:tblGrid>
        <w:gridCol w:w="562"/>
        <w:gridCol w:w="1985"/>
        <w:gridCol w:w="992"/>
        <w:gridCol w:w="1276"/>
        <w:gridCol w:w="992"/>
        <w:gridCol w:w="1276"/>
        <w:gridCol w:w="1417"/>
      </w:tblGrid>
      <w:tr w:rsidR="00AB34C1" w:rsidRPr="00C33C0B" w14:paraId="5F6C69EA"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hideMark/>
          </w:tcPr>
          <w:p w14:paraId="33EFFD42" w14:textId="5CF1563D" w:rsidR="006E7930" w:rsidRPr="00C33C0B" w:rsidRDefault="001E05F9" w:rsidP="00501544">
            <w:pPr>
              <w:spacing w:before="20" w:after="20"/>
              <w:rPr>
                <w:rFonts w:ascii="Calibri" w:hAnsi="Calibri" w:cs="Calibri"/>
                <w:b w:val="0"/>
                <w:sz w:val="17"/>
                <w:szCs w:val="17"/>
                <w:lang w:val="en-GB"/>
              </w:rPr>
            </w:pPr>
            <w:r w:rsidRPr="00C33C0B">
              <w:rPr>
                <w:rFonts w:ascii="Calibri" w:hAnsi="Calibri" w:cs="Calibri"/>
                <w:sz w:val="17"/>
                <w:szCs w:val="17"/>
                <w:lang w:val="en-GB"/>
              </w:rPr>
              <w:t xml:space="preserve">Item </w:t>
            </w:r>
            <w:r>
              <w:rPr>
                <w:rFonts w:ascii="Calibri" w:hAnsi="Calibri" w:cs="Calibri"/>
                <w:sz w:val="17"/>
                <w:szCs w:val="17"/>
                <w:lang w:val="en-GB"/>
              </w:rPr>
              <w:t>n</w:t>
            </w:r>
            <w:r w:rsidRPr="00C33C0B">
              <w:rPr>
                <w:rFonts w:ascii="Calibri" w:hAnsi="Calibri" w:cs="Calibri"/>
                <w:sz w:val="17"/>
                <w:szCs w:val="17"/>
                <w:lang w:val="en-GB"/>
              </w:rPr>
              <w:t>o.</w:t>
            </w:r>
          </w:p>
        </w:tc>
        <w:tc>
          <w:tcPr>
            <w:tcW w:w="1985" w:type="dxa"/>
            <w:hideMark/>
          </w:tcPr>
          <w:p w14:paraId="18D3AA57"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Item descriptor</w:t>
            </w:r>
          </w:p>
        </w:tc>
        <w:tc>
          <w:tcPr>
            <w:tcW w:w="0" w:type="dxa"/>
            <w:hideMark/>
          </w:tcPr>
          <w:p w14:paraId="0B3A8B86"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 xml:space="preserve">Schedule </w:t>
            </w:r>
            <w:r>
              <w:rPr>
                <w:rFonts w:ascii="Calibri" w:hAnsi="Calibri" w:cs="Calibri"/>
                <w:sz w:val="17"/>
                <w:szCs w:val="17"/>
                <w:lang w:val="en-GB"/>
              </w:rPr>
              <w:t>f</w:t>
            </w:r>
            <w:r w:rsidRPr="00C33C0B">
              <w:rPr>
                <w:rFonts w:ascii="Calibri" w:hAnsi="Calibri" w:cs="Calibri"/>
                <w:sz w:val="17"/>
                <w:szCs w:val="17"/>
                <w:lang w:val="en-GB"/>
              </w:rPr>
              <w:t xml:space="preserve">ee </w:t>
            </w:r>
          </w:p>
        </w:tc>
        <w:tc>
          <w:tcPr>
            <w:tcW w:w="0" w:type="dxa"/>
            <w:hideMark/>
          </w:tcPr>
          <w:p w14:paraId="600744D5"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Benefits 2016</w:t>
            </w:r>
            <w:r>
              <w:rPr>
                <w:rFonts w:ascii="Calibri" w:hAnsi="Calibri" w:cs="Calibri"/>
                <w:sz w:val="17"/>
                <w:szCs w:val="17"/>
                <w:lang w:val="en-GB"/>
              </w:rPr>
              <w:t>/</w:t>
            </w:r>
            <w:r w:rsidRPr="00C33C0B">
              <w:rPr>
                <w:rFonts w:ascii="Calibri" w:hAnsi="Calibri" w:cs="Calibri"/>
                <w:sz w:val="17"/>
                <w:szCs w:val="17"/>
                <w:lang w:val="en-GB"/>
              </w:rPr>
              <w:t>17</w:t>
            </w:r>
          </w:p>
        </w:tc>
        <w:tc>
          <w:tcPr>
            <w:tcW w:w="0" w:type="dxa"/>
            <w:hideMark/>
          </w:tcPr>
          <w:p w14:paraId="11E87F37"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Services 2016</w:t>
            </w:r>
            <w:r>
              <w:rPr>
                <w:rFonts w:ascii="Calibri" w:hAnsi="Calibri" w:cs="Calibri"/>
                <w:sz w:val="17"/>
                <w:szCs w:val="17"/>
                <w:lang w:val="en-GB"/>
              </w:rPr>
              <w:t>/</w:t>
            </w:r>
            <w:r w:rsidRPr="00C33C0B">
              <w:rPr>
                <w:rFonts w:ascii="Calibri" w:hAnsi="Calibri" w:cs="Calibri"/>
                <w:sz w:val="17"/>
                <w:szCs w:val="17"/>
                <w:lang w:val="en-GB"/>
              </w:rPr>
              <w:t>17</w:t>
            </w:r>
          </w:p>
        </w:tc>
        <w:tc>
          <w:tcPr>
            <w:tcW w:w="0" w:type="dxa"/>
            <w:hideMark/>
          </w:tcPr>
          <w:p w14:paraId="1F6520AC"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Services 5-year annual avg. growth</w:t>
            </w:r>
          </w:p>
        </w:tc>
        <w:tc>
          <w:tcPr>
            <w:tcW w:w="1417" w:type="dxa"/>
          </w:tcPr>
          <w:p w14:paraId="05A32919"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Recommended change</w:t>
            </w:r>
          </w:p>
        </w:tc>
      </w:tr>
      <w:tr w:rsidR="000B63BB" w:rsidRPr="00C33C0B" w14:paraId="6DAD69D3"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D281AEF"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104</w:t>
            </w:r>
          </w:p>
        </w:tc>
        <w:tc>
          <w:tcPr>
            <w:tcW w:w="1985" w:type="dxa"/>
            <w:noWrap/>
            <w:hideMark/>
          </w:tcPr>
          <w:p w14:paraId="669E365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in the practice of his or her specialty after referral of the patient to him or her—each attendance, other than a second or subsequent attendance, in a single course of treatment, other than a service to which item 106, 109 or 16401 applies</w:t>
            </w:r>
          </w:p>
        </w:tc>
        <w:tc>
          <w:tcPr>
            <w:tcW w:w="992" w:type="dxa"/>
            <w:noWrap/>
            <w:hideMark/>
          </w:tcPr>
          <w:p w14:paraId="5E986B1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$85.55 </w:t>
            </w:r>
          </w:p>
        </w:tc>
        <w:tc>
          <w:tcPr>
            <w:tcW w:w="1276" w:type="dxa"/>
            <w:noWrap/>
            <w:hideMark/>
          </w:tcPr>
          <w:p w14:paraId="185070D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$396,169,730 </w:t>
            </w:r>
          </w:p>
        </w:tc>
        <w:tc>
          <w:tcPr>
            <w:tcW w:w="992" w:type="dxa"/>
            <w:noWrap/>
            <w:hideMark/>
          </w:tcPr>
          <w:p w14:paraId="6106107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5,278,404 </w:t>
            </w:r>
          </w:p>
        </w:tc>
        <w:tc>
          <w:tcPr>
            <w:tcW w:w="1276" w:type="dxa"/>
            <w:noWrap/>
            <w:hideMark/>
          </w:tcPr>
          <w:p w14:paraId="40B2AB0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3.4%</w:t>
            </w:r>
          </w:p>
        </w:tc>
        <w:tc>
          <w:tcPr>
            <w:tcW w:w="1417" w:type="dxa"/>
          </w:tcPr>
          <w:p w14:paraId="2158FB4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02F95622"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0C1ADFA" w14:textId="77777777" w:rsidR="001E05F9" w:rsidRPr="00C33C0B" w:rsidRDefault="001E05F9" w:rsidP="00501544">
            <w:pPr>
              <w:spacing w:before="20" w:after="20"/>
              <w:rPr>
                <w:rFonts w:ascii="Calibri" w:hAnsi="Calibri" w:cs="Calibri"/>
                <w:bCs w:val="0"/>
                <w:color w:val="000000"/>
                <w:sz w:val="17"/>
                <w:szCs w:val="17"/>
                <w:lang w:val="en-GB"/>
              </w:rPr>
            </w:pPr>
            <w:r w:rsidRPr="00C33C0B">
              <w:rPr>
                <w:rFonts w:ascii="Calibri" w:hAnsi="Calibri" w:cs="Calibri"/>
                <w:bCs w:val="0"/>
                <w:color w:val="000000"/>
                <w:sz w:val="17"/>
                <w:szCs w:val="17"/>
                <w:lang w:val="en-GB"/>
              </w:rPr>
              <w:t>105</w:t>
            </w:r>
          </w:p>
        </w:tc>
        <w:tc>
          <w:tcPr>
            <w:tcW w:w="1985" w:type="dxa"/>
            <w:noWrap/>
            <w:hideMark/>
          </w:tcPr>
          <w:p w14:paraId="113C201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her—an attendance after the first in a single course of treatment, if that attendance is at consulting rooms or hospital</w:t>
            </w:r>
          </w:p>
        </w:tc>
        <w:tc>
          <w:tcPr>
            <w:tcW w:w="992" w:type="dxa"/>
            <w:noWrap/>
            <w:hideMark/>
          </w:tcPr>
          <w:p w14:paraId="4AA71A9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276" w:type="dxa"/>
            <w:noWrap/>
            <w:hideMark/>
          </w:tcPr>
          <w:p w14:paraId="07B5159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$271,057,335 </w:t>
            </w:r>
          </w:p>
        </w:tc>
        <w:tc>
          <w:tcPr>
            <w:tcW w:w="992" w:type="dxa"/>
            <w:noWrap/>
            <w:hideMark/>
          </w:tcPr>
          <w:p w14:paraId="4908F9F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6,815,886 </w:t>
            </w:r>
          </w:p>
        </w:tc>
        <w:tc>
          <w:tcPr>
            <w:tcW w:w="1276" w:type="dxa"/>
            <w:noWrap/>
            <w:hideMark/>
          </w:tcPr>
          <w:p w14:paraId="7869A17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3.6%</w:t>
            </w:r>
          </w:p>
        </w:tc>
        <w:tc>
          <w:tcPr>
            <w:tcW w:w="1417" w:type="dxa"/>
          </w:tcPr>
          <w:p w14:paraId="07632E7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1681DC14"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26A08DB"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106</w:t>
            </w:r>
          </w:p>
        </w:tc>
        <w:tc>
          <w:tcPr>
            <w:tcW w:w="1985" w:type="dxa"/>
            <w:noWrap/>
            <w:hideMark/>
          </w:tcPr>
          <w:p w14:paraId="28E27D5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of ophthalmology and following referral of the patient to him or her—an attendance (other than a second or subsequent attendance in a single course of treatment) at which the only service provided is refraction testing for the issue of a prescription for spectacles or contact lenses, if that attendance is at consulting rooms or hospital (other than a service to which any of items 104, 109 and 10801 to 10816 applies)</w:t>
            </w:r>
          </w:p>
        </w:tc>
        <w:tc>
          <w:tcPr>
            <w:tcW w:w="992" w:type="dxa"/>
            <w:noWrap/>
            <w:hideMark/>
          </w:tcPr>
          <w:p w14:paraId="13F07EC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$71.00 </w:t>
            </w:r>
          </w:p>
        </w:tc>
        <w:tc>
          <w:tcPr>
            <w:tcW w:w="1276" w:type="dxa"/>
            <w:noWrap/>
            <w:hideMark/>
          </w:tcPr>
          <w:p w14:paraId="0C3B726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$48,694 </w:t>
            </w:r>
          </w:p>
        </w:tc>
        <w:tc>
          <w:tcPr>
            <w:tcW w:w="992" w:type="dxa"/>
            <w:noWrap/>
            <w:hideMark/>
          </w:tcPr>
          <w:p w14:paraId="5FA0AD6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780 </w:t>
            </w:r>
          </w:p>
        </w:tc>
        <w:tc>
          <w:tcPr>
            <w:tcW w:w="1276" w:type="dxa"/>
            <w:noWrap/>
            <w:hideMark/>
          </w:tcPr>
          <w:p w14:paraId="322986B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-5.5%</w:t>
            </w:r>
          </w:p>
        </w:tc>
        <w:tc>
          <w:tcPr>
            <w:tcW w:w="1417" w:type="dxa"/>
          </w:tcPr>
          <w:p w14:paraId="7E22C23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74F06C5B"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0EE496F4"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107</w:t>
            </w:r>
          </w:p>
        </w:tc>
        <w:tc>
          <w:tcPr>
            <w:tcW w:w="1985" w:type="dxa"/>
            <w:noWrap/>
            <w:hideMark/>
          </w:tcPr>
          <w:p w14:paraId="727FBE2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her—an attendance (other than a second or subsequent attendance in a single course of treatment), if that attendance is at a place other than consulting rooms or hospital</w:t>
            </w:r>
          </w:p>
        </w:tc>
        <w:tc>
          <w:tcPr>
            <w:tcW w:w="992" w:type="dxa"/>
            <w:noWrap/>
            <w:hideMark/>
          </w:tcPr>
          <w:p w14:paraId="29AE716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$125.50 </w:t>
            </w:r>
          </w:p>
        </w:tc>
        <w:tc>
          <w:tcPr>
            <w:tcW w:w="1276" w:type="dxa"/>
            <w:noWrap/>
            <w:hideMark/>
          </w:tcPr>
          <w:p w14:paraId="2442304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$171,899 </w:t>
            </w:r>
          </w:p>
        </w:tc>
        <w:tc>
          <w:tcPr>
            <w:tcW w:w="992" w:type="dxa"/>
            <w:noWrap/>
            <w:hideMark/>
          </w:tcPr>
          <w:p w14:paraId="1A43BB5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1,599 </w:t>
            </w:r>
          </w:p>
        </w:tc>
        <w:tc>
          <w:tcPr>
            <w:tcW w:w="1276" w:type="dxa"/>
            <w:noWrap/>
            <w:hideMark/>
          </w:tcPr>
          <w:p w14:paraId="3375AE8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5.1%</w:t>
            </w:r>
          </w:p>
        </w:tc>
        <w:tc>
          <w:tcPr>
            <w:tcW w:w="1417" w:type="dxa"/>
          </w:tcPr>
          <w:p w14:paraId="44B528F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21AB91DF"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4679D1D9" w14:textId="77777777" w:rsidR="001E05F9" w:rsidRPr="00C33C0B" w:rsidRDefault="001E05F9" w:rsidP="00501544">
            <w:pPr>
              <w:spacing w:before="20" w:after="20"/>
              <w:rPr>
                <w:rFonts w:ascii="Calibri" w:hAnsi="Calibri" w:cs="Calibri"/>
                <w:bCs w:val="0"/>
                <w:color w:val="000000"/>
                <w:sz w:val="17"/>
                <w:szCs w:val="17"/>
                <w:lang w:val="en-GB"/>
              </w:rPr>
            </w:pPr>
            <w:r w:rsidRPr="00C33C0B">
              <w:rPr>
                <w:rFonts w:ascii="Calibri" w:hAnsi="Calibri" w:cs="Calibri"/>
                <w:bCs w:val="0"/>
                <w:color w:val="000000"/>
                <w:sz w:val="17"/>
                <w:szCs w:val="17"/>
                <w:lang w:val="en-GB"/>
              </w:rPr>
              <w:t>108</w:t>
            </w:r>
          </w:p>
        </w:tc>
        <w:tc>
          <w:tcPr>
            <w:tcW w:w="1985" w:type="dxa"/>
            <w:noWrap/>
            <w:hideMark/>
          </w:tcPr>
          <w:p w14:paraId="4A74562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her—each attendance after the first in a single course of treatment, if that attendance is at a place other than consulting rooms or hospital</w:t>
            </w:r>
          </w:p>
        </w:tc>
        <w:tc>
          <w:tcPr>
            <w:tcW w:w="992" w:type="dxa"/>
            <w:noWrap/>
            <w:hideMark/>
          </w:tcPr>
          <w:p w14:paraId="6C1A450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$79.45 </w:t>
            </w:r>
          </w:p>
        </w:tc>
        <w:tc>
          <w:tcPr>
            <w:tcW w:w="1276" w:type="dxa"/>
            <w:noWrap/>
            <w:hideMark/>
          </w:tcPr>
          <w:p w14:paraId="46D7DB9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$266,101 </w:t>
            </w:r>
          </w:p>
        </w:tc>
        <w:tc>
          <w:tcPr>
            <w:tcW w:w="992" w:type="dxa"/>
            <w:noWrap/>
            <w:hideMark/>
          </w:tcPr>
          <w:p w14:paraId="6210F26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3,906 </w:t>
            </w:r>
          </w:p>
        </w:tc>
        <w:tc>
          <w:tcPr>
            <w:tcW w:w="1276" w:type="dxa"/>
            <w:noWrap/>
            <w:hideMark/>
          </w:tcPr>
          <w:p w14:paraId="3F30F1A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23.6%</w:t>
            </w:r>
          </w:p>
        </w:tc>
        <w:tc>
          <w:tcPr>
            <w:tcW w:w="1417" w:type="dxa"/>
          </w:tcPr>
          <w:p w14:paraId="53B3540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44830BFE"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4E07DF1E"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109</w:t>
            </w:r>
          </w:p>
        </w:tc>
        <w:tc>
          <w:tcPr>
            <w:tcW w:w="1985" w:type="dxa"/>
            <w:noWrap/>
            <w:hideMark/>
          </w:tcPr>
          <w:p w14:paraId="1F076A3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of ophthalmology following referral of the patient to him or her—an attendance (other than a second or subsequent attendance in a single course of treatment) at which a comprehensive eye examination, including pupil dilation, is performed on: (a) a patient aged 9 years or younger; or (b) a patient aged 14 years or younger with developmental delay;(other than a service to which any of items 104, 106 and 10801 to 10816 applies)</w:t>
            </w:r>
          </w:p>
        </w:tc>
        <w:tc>
          <w:tcPr>
            <w:tcW w:w="992" w:type="dxa"/>
            <w:noWrap/>
            <w:hideMark/>
          </w:tcPr>
          <w:p w14:paraId="7A81FA5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$192.80 </w:t>
            </w:r>
          </w:p>
        </w:tc>
        <w:tc>
          <w:tcPr>
            <w:tcW w:w="1276" w:type="dxa"/>
            <w:noWrap/>
            <w:hideMark/>
          </w:tcPr>
          <w:p w14:paraId="676EF22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$6,158,378 </w:t>
            </w:r>
          </w:p>
        </w:tc>
        <w:tc>
          <w:tcPr>
            <w:tcW w:w="992" w:type="dxa"/>
            <w:noWrap/>
            <w:hideMark/>
          </w:tcPr>
          <w:p w14:paraId="264D259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36,565 </w:t>
            </w:r>
          </w:p>
        </w:tc>
        <w:tc>
          <w:tcPr>
            <w:tcW w:w="1276" w:type="dxa"/>
            <w:noWrap/>
            <w:hideMark/>
          </w:tcPr>
          <w:p w14:paraId="78A75CF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7.1%</w:t>
            </w:r>
          </w:p>
        </w:tc>
        <w:tc>
          <w:tcPr>
            <w:tcW w:w="1417" w:type="dxa"/>
          </w:tcPr>
          <w:p w14:paraId="47A5F3B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1996C0DA"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726FF3AD"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110</w:t>
            </w:r>
          </w:p>
        </w:tc>
        <w:tc>
          <w:tcPr>
            <w:tcW w:w="1985" w:type="dxa"/>
            <w:noWrap/>
            <w:hideMark/>
          </w:tcPr>
          <w:p w14:paraId="4BE41CF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practitioner—initial attendance in a single course of treatment</w:t>
            </w:r>
          </w:p>
        </w:tc>
        <w:tc>
          <w:tcPr>
            <w:tcW w:w="992" w:type="dxa"/>
            <w:noWrap/>
            <w:hideMark/>
          </w:tcPr>
          <w:p w14:paraId="0938504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$150.90 </w:t>
            </w:r>
          </w:p>
        </w:tc>
        <w:tc>
          <w:tcPr>
            <w:tcW w:w="1276" w:type="dxa"/>
            <w:noWrap/>
            <w:hideMark/>
          </w:tcPr>
          <w:p w14:paraId="506D7DA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$313,540,883 </w:t>
            </w:r>
          </w:p>
        </w:tc>
        <w:tc>
          <w:tcPr>
            <w:tcW w:w="992" w:type="dxa"/>
            <w:noWrap/>
            <w:hideMark/>
          </w:tcPr>
          <w:p w14:paraId="1379534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2,451,095 </w:t>
            </w:r>
          </w:p>
        </w:tc>
        <w:tc>
          <w:tcPr>
            <w:tcW w:w="1276" w:type="dxa"/>
            <w:noWrap/>
            <w:hideMark/>
          </w:tcPr>
          <w:p w14:paraId="307D3AD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4.0%</w:t>
            </w:r>
          </w:p>
        </w:tc>
        <w:tc>
          <w:tcPr>
            <w:tcW w:w="1417" w:type="dxa"/>
          </w:tcPr>
          <w:p w14:paraId="4F48093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2360B099"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47712950"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111</w:t>
            </w:r>
          </w:p>
        </w:tc>
        <w:tc>
          <w:tcPr>
            <w:tcW w:w="1985" w:type="dxa"/>
            <w:noWrap/>
            <w:hideMark/>
          </w:tcPr>
          <w:p w14:paraId="5B4AABC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specialist in the practice of his or her specialty following referral of the patient to him or her by a referring practitioner—an attendance after the first attendance in a single course of treatment, if: (a) during the attendance, the specialist determines the need to perform an operation on the patient that had not otherwise been scheduled; and (b) the specialist subsequently performs the operation on the patient, on the same day; and (c) the operation is a service to which an item in Group T8 applies; and (d) the amount specified in the item in Group T8 as the fee for a service to which that item applies is$300 or more For any particular patient, once only on the same day</w:t>
            </w:r>
          </w:p>
        </w:tc>
        <w:tc>
          <w:tcPr>
            <w:tcW w:w="992" w:type="dxa"/>
            <w:noWrap/>
            <w:hideMark/>
          </w:tcPr>
          <w:p w14:paraId="5AAD5A6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276" w:type="dxa"/>
            <w:noWrap/>
            <w:hideMark/>
          </w:tcPr>
          <w:p w14:paraId="4771B1C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992" w:type="dxa"/>
            <w:noWrap/>
            <w:hideMark/>
          </w:tcPr>
          <w:p w14:paraId="6FBD038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1276" w:type="dxa"/>
            <w:noWrap/>
            <w:hideMark/>
          </w:tcPr>
          <w:p w14:paraId="413CC6F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1417" w:type="dxa"/>
          </w:tcPr>
          <w:p w14:paraId="53A95CF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0EFD1DAB"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4F63A5E3"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116</w:t>
            </w:r>
          </w:p>
        </w:tc>
        <w:tc>
          <w:tcPr>
            <w:tcW w:w="1985" w:type="dxa"/>
            <w:noWrap/>
            <w:hideMark/>
          </w:tcPr>
          <w:p w14:paraId="3CDFDA2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practitioner—each attendance (other than a service to which item 119 applies) after the first in a single course of treatment</w:t>
            </w:r>
          </w:p>
        </w:tc>
        <w:tc>
          <w:tcPr>
            <w:tcW w:w="992" w:type="dxa"/>
            <w:noWrap/>
            <w:hideMark/>
          </w:tcPr>
          <w:p w14:paraId="72C1824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$75.50 </w:t>
            </w:r>
          </w:p>
        </w:tc>
        <w:tc>
          <w:tcPr>
            <w:tcW w:w="1276" w:type="dxa"/>
            <w:noWrap/>
            <w:hideMark/>
          </w:tcPr>
          <w:p w14:paraId="04AEE14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$553,213,691 </w:t>
            </w:r>
          </w:p>
        </w:tc>
        <w:tc>
          <w:tcPr>
            <w:tcW w:w="992" w:type="dxa"/>
            <w:noWrap/>
            <w:hideMark/>
          </w:tcPr>
          <w:p w14:paraId="4404A5A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8,751,583 </w:t>
            </w:r>
          </w:p>
        </w:tc>
        <w:tc>
          <w:tcPr>
            <w:tcW w:w="1276" w:type="dxa"/>
            <w:noWrap/>
            <w:hideMark/>
          </w:tcPr>
          <w:p w14:paraId="0154ABA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4.8%</w:t>
            </w:r>
          </w:p>
        </w:tc>
        <w:tc>
          <w:tcPr>
            <w:tcW w:w="1417" w:type="dxa"/>
          </w:tcPr>
          <w:p w14:paraId="2848E16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5B177AFD"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1F67ECE5"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117</w:t>
            </w:r>
          </w:p>
        </w:tc>
        <w:tc>
          <w:tcPr>
            <w:tcW w:w="1985" w:type="dxa"/>
            <w:noWrap/>
            <w:hideMark/>
          </w:tcPr>
          <w:p w14:paraId="70F7DF1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consultant physician in the practice of his or her specialty (other than psychiatry) following referral of the patient to him or her by a referring practitioner—an attendance after the first attendance in a single course of treatment, if: (a) the attendance is not a minor attendance; and (b) during the attendance, the consultant physician determines the need to perform an operation on the patient that had not otherwise been scheduled; and (c) the consultant physician subsequently performs the operation on the patient, on the same day; and (d) the operation is a service to which an item in Group T8 applies; and (e) the amount specified in the item in Group T8 as the fee for a service to which that item applies is$300 or more For any particular patient, once only on the same day</w:t>
            </w:r>
          </w:p>
        </w:tc>
        <w:tc>
          <w:tcPr>
            <w:tcW w:w="992" w:type="dxa"/>
            <w:noWrap/>
            <w:hideMark/>
          </w:tcPr>
          <w:p w14:paraId="7037AD3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$75.50 </w:t>
            </w:r>
          </w:p>
        </w:tc>
        <w:tc>
          <w:tcPr>
            <w:tcW w:w="1276" w:type="dxa"/>
            <w:noWrap/>
            <w:hideMark/>
          </w:tcPr>
          <w:p w14:paraId="22FD36C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992" w:type="dxa"/>
            <w:noWrap/>
            <w:hideMark/>
          </w:tcPr>
          <w:p w14:paraId="672C413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1276" w:type="dxa"/>
            <w:noWrap/>
            <w:hideMark/>
          </w:tcPr>
          <w:p w14:paraId="27CFE18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1417" w:type="dxa"/>
          </w:tcPr>
          <w:p w14:paraId="6D0B06F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76C86276"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ED6118E"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119</w:t>
            </w:r>
          </w:p>
        </w:tc>
        <w:tc>
          <w:tcPr>
            <w:tcW w:w="1985" w:type="dxa"/>
            <w:noWrap/>
            <w:hideMark/>
          </w:tcPr>
          <w:p w14:paraId="656C3FA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practitioner—each minor attendance after the first in a single course of treatment</w:t>
            </w:r>
          </w:p>
        </w:tc>
        <w:tc>
          <w:tcPr>
            <w:tcW w:w="992" w:type="dxa"/>
            <w:noWrap/>
            <w:hideMark/>
          </w:tcPr>
          <w:p w14:paraId="04D336C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276" w:type="dxa"/>
            <w:noWrap/>
            <w:hideMark/>
          </w:tcPr>
          <w:p w14:paraId="35E81CF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$3,260,213 </w:t>
            </w:r>
          </w:p>
        </w:tc>
        <w:tc>
          <w:tcPr>
            <w:tcW w:w="992" w:type="dxa"/>
            <w:noWrap/>
            <w:hideMark/>
          </w:tcPr>
          <w:p w14:paraId="24AD33C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93,852 </w:t>
            </w:r>
          </w:p>
        </w:tc>
        <w:tc>
          <w:tcPr>
            <w:tcW w:w="1276" w:type="dxa"/>
            <w:noWrap/>
            <w:hideMark/>
          </w:tcPr>
          <w:p w14:paraId="23A874F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-1.0%</w:t>
            </w:r>
          </w:p>
        </w:tc>
        <w:tc>
          <w:tcPr>
            <w:tcW w:w="1417" w:type="dxa"/>
          </w:tcPr>
          <w:p w14:paraId="109D1F5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59DD9DCA"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00762D80"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120</w:t>
            </w:r>
          </w:p>
        </w:tc>
        <w:tc>
          <w:tcPr>
            <w:tcW w:w="1985" w:type="dxa"/>
            <w:noWrap/>
            <w:hideMark/>
          </w:tcPr>
          <w:p w14:paraId="50BC38E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consultant physician in the practice of his or her specialty (other than psychiatry) following referral of the patient to him or her by a referring practitioner—an attendance after the first attendance in a single course of treatment, if: (a) the attendance is a minor attendance; and (b) during the attendance, the consultant physician determines the need to perform an operation on the patient that had not otherwise been scheduled; and (c) the consultant physician subsequently performs the operation on the patient, on the same day; and (d) the operation is a service to which an item in Group T8 applies; and (e) the amount specified in the item in Group T8 as the fee for a service to which that item applies is$300 or more For any particular patient, once only on the same day</w:t>
            </w:r>
          </w:p>
        </w:tc>
        <w:tc>
          <w:tcPr>
            <w:tcW w:w="992" w:type="dxa"/>
            <w:noWrap/>
            <w:hideMark/>
          </w:tcPr>
          <w:p w14:paraId="5FDEDE1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276" w:type="dxa"/>
            <w:noWrap/>
            <w:hideMark/>
          </w:tcPr>
          <w:p w14:paraId="03FBE3B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992" w:type="dxa"/>
            <w:noWrap/>
            <w:hideMark/>
          </w:tcPr>
          <w:p w14:paraId="715AB90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1276" w:type="dxa"/>
            <w:noWrap/>
            <w:hideMark/>
          </w:tcPr>
          <w:p w14:paraId="4078C5B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1417" w:type="dxa"/>
          </w:tcPr>
          <w:p w14:paraId="7446C41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235A7FDC"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5FB3CE7"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122</w:t>
            </w:r>
          </w:p>
        </w:tc>
        <w:tc>
          <w:tcPr>
            <w:tcW w:w="1985" w:type="dxa"/>
            <w:noWrap/>
            <w:hideMark/>
          </w:tcPr>
          <w:p w14:paraId="325C40B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practitioner—initial attendance in a single course of treatment</w:t>
            </w:r>
          </w:p>
        </w:tc>
        <w:tc>
          <w:tcPr>
            <w:tcW w:w="992" w:type="dxa"/>
            <w:noWrap/>
            <w:hideMark/>
          </w:tcPr>
          <w:p w14:paraId="182A607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$183.10 </w:t>
            </w:r>
          </w:p>
        </w:tc>
        <w:tc>
          <w:tcPr>
            <w:tcW w:w="1276" w:type="dxa"/>
            <w:noWrap/>
            <w:hideMark/>
          </w:tcPr>
          <w:p w14:paraId="2CC304A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$584,925 </w:t>
            </w:r>
          </w:p>
        </w:tc>
        <w:tc>
          <w:tcPr>
            <w:tcW w:w="992" w:type="dxa"/>
            <w:noWrap/>
            <w:hideMark/>
          </w:tcPr>
          <w:p w14:paraId="5097461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3,490 </w:t>
            </w:r>
          </w:p>
        </w:tc>
        <w:tc>
          <w:tcPr>
            <w:tcW w:w="1276" w:type="dxa"/>
            <w:noWrap/>
            <w:hideMark/>
          </w:tcPr>
          <w:p w14:paraId="56682FF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-17.8%</w:t>
            </w:r>
          </w:p>
        </w:tc>
        <w:tc>
          <w:tcPr>
            <w:tcW w:w="1417" w:type="dxa"/>
          </w:tcPr>
          <w:p w14:paraId="7604707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7CF4A702"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61E7E879"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128</w:t>
            </w:r>
          </w:p>
        </w:tc>
        <w:tc>
          <w:tcPr>
            <w:tcW w:w="1985" w:type="dxa"/>
            <w:noWrap/>
            <w:hideMark/>
          </w:tcPr>
          <w:p w14:paraId="18CE43B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practitioner—each attendance (other than a service to which item 131 applies) after the first in a single course of treatment</w:t>
            </w:r>
          </w:p>
        </w:tc>
        <w:tc>
          <w:tcPr>
            <w:tcW w:w="992" w:type="dxa"/>
            <w:noWrap/>
            <w:hideMark/>
          </w:tcPr>
          <w:p w14:paraId="3C08DAE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$110.75 </w:t>
            </w:r>
          </w:p>
        </w:tc>
        <w:tc>
          <w:tcPr>
            <w:tcW w:w="1276" w:type="dxa"/>
            <w:noWrap/>
            <w:hideMark/>
          </w:tcPr>
          <w:p w14:paraId="3AC2FA2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$1,235,542 </w:t>
            </w:r>
          </w:p>
        </w:tc>
        <w:tc>
          <w:tcPr>
            <w:tcW w:w="992" w:type="dxa"/>
            <w:noWrap/>
            <w:hideMark/>
          </w:tcPr>
          <w:p w14:paraId="65039E6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12,945 </w:t>
            </w:r>
          </w:p>
        </w:tc>
        <w:tc>
          <w:tcPr>
            <w:tcW w:w="1276" w:type="dxa"/>
            <w:noWrap/>
            <w:hideMark/>
          </w:tcPr>
          <w:p w14:paraId="56DFE4E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-5.6%</w:t>
            </w:r>
          </w:p>
        </w:tc>
        <w:tc>
          <w:tcPr>
            <w:tcW w:w="1417" w:type="dxa"/>
          </w:tcPr>
          <w:p w14:paraId="665C45F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 tiered standard attendances</w:t>
            </w:r>
          </w:p>
        </w:tc>
      </w:tr>
      <w:tr w:rsidR="000B63BB" w:rsidRPr="00C33C0B" w14:paraId="64A97D79"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0B80437"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131</w:t>
            </w:r>
          </w:p>
        </w:tc>
        <w:tc>
          <w:tcPr>
            <w:tcW w:w="1985" w:type="dxa"/>
            <w:noWrap/>
            <w:hideMark/>
          </w:tcPr>
          <w:p w14:paraId="3E86A20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practitioner—each minor attendance after the first in a single course of treatment</w:t>
            </w:r>
          </w:p>
        </w:tc>
        <w:tc>
          <w:tcPr>
            <w:tcW w:w="992" w:type="dxa"/>
            <w:noWrap/>
            <w:hideMark/>
          </w:tcPr>
          <w:p w14:paraId="4E01A2A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$79.75 </w:t>
            </w:r>
          </w:p>
        </w:tc>
        <w:tc>
          <w:tcPr>
            <w:tcW w:w="1276" w:type="dxa"/>
            <w:noWrap/>
            <w:hideMark/>
          </w:tcPr>
          <w:p w14:paraId="2FCACE6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$99,051 </w:t>
            </w:r>
          </w:p>
        </w:tc>
        <w:tc>
          <w:tcPr>
            <w:tcW w:w="992" w:type="dxa"/>
            <w:noWrap/>
            <w:hideMark/>
          </w:tcPr>
          <w:p w14:paraId="125CC2B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1,400 </w:t>
            </w:r>
          </w:p>
        </w:tc>
        <w:tc>
          <w:tcPr>
            <w:tcW w:w="1276" w:type="dxa"/>
            <w:noWrap/>
            <w:hideMark/>
          </w:tcPr>
          <w:p w14:paraId="0BA6F85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-4.6%</w:t>
            </w:r>
          </w:p>
        </w:tc>
        <w:tc>
          <w:tcPr>
            <w:tcW w:w="1417" w:type="dxa"/>
          </w:tcPr>
          <w:p w14:paraId="1F92FAB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528FC1CD"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53F64DF"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160</w:t>
            </w:r>
          </w:p>
        </w:tc>
        <w:tc>
          <w:tcPr>
            <w:tcW w:w="1985" w:type="dxa"/>
            <w:noWrap/>
            <w:hideMark/>
          </w:tcPr>
          <w:p w14:paraId="7C0D97A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1 hour but less than 2 hours (other than a service to which another item applies) on a patient in imminent danger of death</w:t>
            </w:r>
          </w:p>
        </w:tc>
        <w:tc>
          <w:tcPr>
            <w:tcW w:w="992" w:type="dxa"/>
            <w:noWrap/>
            <w:hideMark/>
          </w:tcPr>
          <w:p w14:paraId="307FB6F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$221.50 </w:t>
            </w:r>
          </w:p>
        </w:tc>
        <w:tc>
          <w:tcPr>
            <w:tcW w:w="1276" w:type="dxa"/>
            <w:noWrap/>
            <w:hideMark/>
          </w:tcPr>
          <w:p w14:paraId="2E99E3F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$3,617,787 </w:t>
            </w:r>
          </w:p>
        </w:tc>
        <w:tc>
          <w:tcPr>
            <w:tcW w:w="992" w:type="dxa"/>
            <w:noWrap/>
            <w:hideMark/>
          </w:tcPr>
          <w:p w14:paraId="60CA445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16,923 </w:t>
            </w:r>
          </w:p>
        </w:tc>
        <w:tc>
          <w:tcPr>
            <w:tcW w:w="1276" w:type="dxa"/>
            <w:noWrap/>
            <w:hideMark/>
          </w:tcPr>
          <w:p w14:paraId="4AAD2C8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16.6%</w:t>
            </w:r>
          </w:p>
        </w:tc>
        <w:tc>
          <w:tcPr>
            <w:tcW w:w="1417" w:type="dxa"/>
          </w:tcPr>
          <w:p w14:paraId="709300B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p>
        </w:tc>
      </w:tr>
      <w:tr w:rsidR="000B63BB" w:rsidRPr="00C33C0B" w14:paraId="3E271D71"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700AB467"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161</w:t>
            </w:r>
          </w:p>
        </w:tc>
        <w:tc>
          <w:tcPr>
            <w:tcW w:w="1985" w:type="dxa"/>
            <w:noWrap/>
            <w:hideMark/>
          </w:tcPr>
          <w:p w14:paraId="65B7D8F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2 hours but less than 3 hours (other than a service to which another item applies) on a patient in imminent danger of death</w:t>
            </w:r>
          </w:p>
        </w:tc>
        <w:tc>
          <w:tcPr>
            <w:tcW w:w="992" w:type="dxa"/>
            <w:noWrap/>
            <w:hideMark/>
          </w:tcPr>
          <w:p w14:paraId="590A636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$369.15 </w:t>
            </w:r>
          </w:p>
        </w:tc>
        <w:tc>
          <w:tcPr>
            <w:tcW w:w="1276" w:type="dxa"/>
            <w:noWrap/>
            <w:hideMark/>
          </w:tcPr>
          <w:p w14:paraId="7E9435B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$910,448 </w:t>
            </w:r>
          </w:p>
        </w:tc>
        <w:tc>
          <w:tcPr>
            <w:tcW w:w="992" w:type="dxa"/>
            <w:noWrap/>
            <w:hideMark/>
          </w:tcPr>
          <w:p w14:paraId="16DCA7E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2,730 </w:t>
            </w:r>
          </w:p>
        </w:tc>
        <w:tc>
          <w:tcPr>
            <w:tcW w:w="1276" w:type="dxa"/>
            <w:noWrap/>
            <w:hideMark/>
          </w:tcPr>
          <w:p w14:paraId="2A21683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8.1%</w:t>
            </w:r>
          </w:p>
        </w:tc>
        <w:tc>
          <w:tcPr>
            <w:tcW w:w="1417" w:type="dxa"/>
          </w:tcPr>
          <w:p w14:paraId="5EA6C02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p>
        </w:tc>
      </w:tr>
      <w:tr w:rsidR="000B63BB" w:rsidRPr="00C33C0B" w14:paraId="5BC83C05"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7DA1607F"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162</w:t>
            </w:r>
          </w:p>
        </w:tc>
        <w:tc>
          <w:tcPr>
            <w:tcW w:w="1985" w:type="dxa"/>
            <w:noWrap/>
            <w:hideMark/>
          </w:tcPr>
          <w:p w14:paraId="32FFF04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3 hours but less than 4 hours (other than a service to which another item applies) on a patient in imminent danger of death</w:t>
            </w:r>
          </w:p>
        </w:tc>
        <w:tc>
          <w:tcPr>
            <w:tcW w:w="992" w:type="dxa"/>
            <w:noWrap/>
            <w:hideMark/>
          </w:tcPr>
          <w:p w14:paraId="1FB1D5A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$516.65 </w:t>
            </w:r>
          </w:p>
        </w:tc>
        <w:tc>
          <w:tcPr>
            <w:tcW w:w="1276" w:type="dxa"/>
            <w:noWrap/>
            <w:hideMark/>
          </w:tcPr>
          <w:p w14:paraId="045DEC7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$495,928 </w:t>
            </w:r>
          </w:p>
        </w:tc>
        <w:tc>
          <w:tcPr>
            <w:tcW w:w="992" w:type="dxa"/>
            <w:noWrap/>
            <w:hideMark/>
          </w:tcPr>
          <w:p w14:paraId="22455CA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1,112 </w:t>
            </w:r>
          </w:p>
        </w:tc>
        <w:tc>
          <w:tcPr>
            <w:tcW w:w="1276" w:type="dxa"/>
            <w:noWrap/>
            <w:hideMark/>
          </w:tcPr>
          <w:p w14:paraId="5A017C0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7.3%</w:t>
            </w:r>
          </w:p>
        </w:tc>
        <w:tc>
          <w:tcPr>
            <w:tcW w:w="1417" w:type="dxa"/>
          </w:tcPr>
          <w:p w14:paraId="06007D0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p>
        </w:tc>
      </w:tr>
      <w:tr w:rsidR="000B63BB" w:rsidRPr="00C33C0B" w14:paraId="3C1B860A"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BB36F8C"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163</w:t>
            </w:r>
          </w:p>
        </w:tc>
        <w:tc>
          <w:tcPr>
            <w:tcW w:w="1985" w:type="dxa"/>
            <w:noWrap/>
            <w:hideMark/>
          </w:tcPr>
          <w:p w14:paraId="1DCB1EA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4 hours but less than 5 hours (other than a service to which another item applies) on a patient in imminent danger of death</w:t>
            </w:r>
          </w:p>
        </w:tc>
        <w:tc>
          <w:tcPr>
            <w:tcW w:w="992" w:type="dxa"/>
            <w:noWrap/>
            <w:hideMark/>
          </w:tcPr>
          <w:p w14:paraId="1462FF5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$664.55 </w:t>
            </w:r>
          </w:p>
        </w:tc>
        <w:tc>
          <w:tcPr>
            <w:tcW w:w="1276" w:type="dxa"/>
            <w:noWrap/>
            <w:hideMark/>
          </w:tcPr>
          <w:p w14:paraId="34EAD2A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$233,428 </w:t>
            </w:r>
          </w:p>
        </w:tc>
        <w:tc>
          <w:tcPr>
            <w:tcW w:w="992" w:type="dxa"/>
            <w:noWrap/>
            <w:hideMark/>
          </w:tcPr>
          <w:p w14:paraId="2F9FF19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386 </w:t>
            </w:r>
          </w:p>
        </w:tc>
        <w:tc>
          <w:tcPr>
            <w:tcW w:w="1276" w:type="dxa"/>
            <w:noWrap/>
            <w:hideMark/>
          </w:tcPr>
          <w:p w14:paraId="2602F13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11.3%</w:t>
            </w:r>
          </w:p>
        </w:tc>
        <w:tc>
          <w:tcPr>
            <w:tcW w:w="1417" w:type="dxa"/>
          </w:tcPr>
          <w:p w14:paraId="59EB8A0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p>
        </w:tc>
      </w:tr>
      <w:tr w:rsidR="000B63BB" w:rsidRPr="00C33C0B" w14:paraId="59037EE8"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06F1F066"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164</w:t>
            </w:r>
          </w:p>
        </w:tc>
        <w:tc>
          <w:tcPr>
            <w:tcW w:w="1985" w:type="dxa"/>
            <w:noWrap/>
            <w:hideMark/>
          </w:tcPr>
          <w:p w14:paraId="0AA0267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5 hours or more (other than a service to which another item applies) on a patient in imminent danger of death</w:t>
            </w:r>
          </w:p>
        </w:tc>
        <w:tc>
          <w:tcPr>
            <w:tcW w:w="992" w:type="dxa"/>
            <w:noWrap/>
            <w:hideMark/>
          </w:tcPr>
          <w:p w14:paraId="3CF0598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$738.40 </w:t>
            </w:r>
          </w:p>
        </w:tc>
        <w:tc>
          <w:tcPr>
            <w:tcW w:w="1276" w:type="dxa"/>
            <w:noWrap/>
            <w:hideMark/>
          </w:tcPr>
          <w:p w14:paraId="6BA86A8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$288,216 </w:t>
            </w:r>
          </w:p>
        </w:tc>
        <w:tc>
          <w:tcPr>
            <w:tcW w:w="992" w:type="dxa"/>
            <w:noWrap/>
            <w:hideMark/>
          </w:tcPr>
          <w:p w14:paraId="370AF9D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428 </w:t>
            </w:r>
          </w:p>
        </w:tc>
        <w:tc>
          <w:tcPr>
            <w:tcW w:w="1276" w:type="dxa"/>
            <w:noWrap/>
            <w:hideMark/>
          </w:tcPr>
          <w:p w14:paraId="3B1F3CE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16.2%</w:t>
            </w:r>
          </w:p>
        </w:tc>
        <w:tc>
          <w:tcPr>
            <w:tcW w:w="1417" w:type="dxa"/>
          </w:tcPr>
          <w:p w14:paraId="3870C35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p>
        </w:tc>
      </w:tr>
      <w:tr w:rsidR="000B63BB" w:rsidRPr="00C33C0B" w14:paraId="6A363822"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762865FE"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385</w:t>
            </w:r>
          </w:p>
        </w:tc>
        <w:tc>
          <w:tcPr>
            <w:tcW w:w="1985" w:type="dxa"/>
            <w:noWrap/>
            <w:hideMark/>
          </w:tcPr>
          <w:p w14:paraId="06DDA7B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occupational physician in the practice of his or her specialty of occupational medicine following referral of the patient to him or her by a referring practitioner--initial attendance in a single course of treatment</w:t>
            </w:r>
          </w:p>
        </w:tc>
        <w:tc>
          <w:tcPr>
            <w:tcW w:w="992" w:type="dxa"/>
            <w:noWrap/>
            <w:hideMark/>
          </w:tcPr>
          <w:p w14:paraId="0077638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$85.55 </w:t>
            </w:r>
          </w:p>
        </w:tc>
        <w:tc>
          <w:tcPr>
            <w:tcW w:w="1276" w:type="dxa"/>
            <w:noWrap/>
            <w:hideMark/>
          </w:tcPr>
          <w:p w14:paraId="7F331D2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$61,481 </w:t>
            </w:r>
          </w:p>
        </w:tc>
        <w:tc>
          <w:tcPr>
            <w:tcW w:w="992" w:type="dxa"/>
            <w:noWrap/>
            <w:hideMark/>
          </w:tcPr>
          <w:p w14:paraId="66F1F71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809 </w:t>
            </w:r>
          </w:p>
        </w:tc>
        <w:tc>
          <w:tcPr>
            <w:tcW w:w="1276" w:type="dxa"/>
            <w:noWrap/>
            <w:hideMark/>
          </w:tcPr>
          <w:p w14:paraId="6BA24E2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5.3%</w:t>
            </w:r>
          </w:p>
        </w:tc>
        <w:tc>
          <w:tcPr>
            <w:tcW w:w="1417" w:type="dxa"/>
          </w:tcPr>
          <w:p w14:paraId="4C9E267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4F3EC6BE"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D146431"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386</w:t>
            </w:r>
          </w:p>
        </w:tc>
        <w:tc>
          <w:tcPr>
            <w:tcW w:w="1985" w:type="dxa"/>
            <w:noWrap/>
            <w:hideMark/>
          </w:tcPr>
          <w:p w14:paraId="52547E9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occupational physician in the practice of his or her specialty of occupational medicine following referral of the patient to him or her by a referring practitioner--each attendance after the first in a single course of treatment</w:t>
            </w:r>
          </w:p>
        </w:tc>
        <w:tc>
          <w:tcPr>
            <w:tcW w:w="992" w:type="dxa"/>
            <w:noWrap/>
            <w:hideMark/>
          </w:tcPr>
          <w:p w14:paraId="0E89826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276" w:type="dxa"/>
            <w:noWrap/>
            <w:hideMark/>
          </w:tcPr>
          <w:p w14:paraId="4C5CACE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$19,948 </w:t>
            </w:r>
          </w:p>
        </w:tc>
        <w:tc>
          <w:tcPr>
            <w:tcW w:w="992" w:type="dxa"/>
            <w:noWrap/>
            <w:hideMark/>
          </w:tcPr>
          <w:p w14:paraId="1A6284B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466 </w:t>
            </w:r>
          </w:p>
        </w:tc>
        <w:tc>
          <w:tcPr>
            <w:tcW w:w="1276" w:type="dxa"/>
            <w:noWrap/>
            <w:hideMark/>
          </w:tcPr>
          <w:p w14:paraId="508B50E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-3.7%</w:t>
            </w:r>
          </w:p>
        </w:tc>
        <w:tc>
          <w:tcPr>
            <w:tcW w:w="1417" w:type="dxa"/>
          </w:tcPr>
          <w:p w14:paraId="0BAB8CA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2D1FB94E"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65B4117"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387</w:t>
            </w:r>
          </w:p>
        </w:tc>
        <w:tc>
          <w:tcPr>
            <w:tcW w:w="1985" w:type="dxa"/>
            <w:noWrap/>
            <w:hideMark/>
          </w:tcPr>
          <w:p w14:paraId="65DCCF9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occupational physician in the practice of his or her specialty of occupational medicine following referral of the patient to him or her by a referring practitioner--initial attendance in a single course of treatment</w:t>
            </w:r>
          </w:p>
        </w:tc>
        <w:tc>
          <w:tcPr>
            <w:tcW w:w="992" w:type="dxa"/>
            <w:noWrap/>
            <w:hideMark/>
          </w:tcPr>
          <w:p w14:paraId="6313E11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$125.50 </w:t>
            </w:r>
          </w:p>
        </w:tc>
        <w:tc>
          <w:tcPr>
            <w:tcW w:w="1276" w:type="dxa"/>
            <w:noWrap/>
            <w:hideMark/>
          </w:tcPr>
          <w:p w14:paraId="0CAE188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$1,067 </w:t>
            </w:r>
          </w:p>
        </w:tc>
        <w:tc>
          <w:tcPr>
            <w:tcW w:w="992" w:type="dxa"/>
            <w:noWrap/>
            <w:hideMark/>
          </w:tcPr>
          <w:p w14:paraId="0DEFB43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10 </w:t>
            </w:r>
          </w:p>
        </w:tc>
        <w:tc>
          <w:tcPr>
            <w:tcW w:w="1276" w:type="dxa"/>
            <w:noWrap/>
            <w:hideMark/>
          </w:tcPr>
          <w:p w14:paraId="3FE2165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-1.2%</w:t>
            </w:r>
          </w:p>
        </w:tc>
        <w:tc>
          <w:tcPr>
            <w:tcW w:w="1417" w:type="dxa"/>
          </w:tcPr>
          <w:p w14:paraId="5F7F2E4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7AEE54A1"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514B8CF"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388</w:t>
            </w:r>
          </w:p>
        </w:tc>
        <w:tc>
          <w:tcPr>
            <w:tcW w:w="1985" w:type="dxa"/>
            <w:noWrap/>
            <w:hideMark/>
          </w:tcPr>
          <w:p w14:paraId="77029E0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occupational physician in the practice of his or her specialty of occupational medicine following referral of the patient to him or her by a referring practitioner--each attendance after the first in a single course of treatment</w:t>
            </w:r>
          </w:p>
        </w:tc>
        <w:tc>
          <w:tcPr>
            <w:tcW w:w="992" w:type="dxa"/>
            <w:noWrap/>
            <w:hideMark/>
          </w:tcPr>
          <w:p w14:paraId="3A74B78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$79.45 </w:t>
            </w:r>
          </w:p>
        </w:tc>
        <w:tc>
          <w:tcPr>
            <w:tcW w:w="1276" w:type="dxa"/>
            <w:noWrap/>
            <w:hideMark/>
          </w:tcPr>
          <w:p w14:paraId="2AB07E3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$676 </w:t>
            </w:r>
          </w:p>
        </w:tc>
        <w:tc>
          <w:tcPr>
            <w:tcW w:w="992" w:type="dxa"/>
            <w:noWrap/>
            <w:hideMark/>
          </w:tcPr>
          <w:p w14:paraId="4FE7FB1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10 </w:t>
            </w:r>
          </w:p>
        </w:tc>
        <w:tc>
          <w:tcPr>
            <w:tcW w:w="1276" w:type="dxa"/>
            <w:noWrap/>
            <w:hideMark/>
          </w:tcPr>
          <w:p w14:paraId="1197C69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2.5%</w:t>
            </w:r>
          </w:p>
        </w:tc>
        <w:tc>
          <w:tcPr>
            <w:tcW w:w="1417" w:type="dxa"/>
          </w:tcPr>
          <w:p w14:paraId="06AB768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24E0300E"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431AAE9"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410</w:t>
            </w:r>
          </w:p>
        </w:tc>
        <w:tc>
          <w:tcPr>
            <w:tcW w:w="1985" w:type="dxa"/>
            <w:noWrap/>
            <w:hideMark/>
          </w:tcPr>
          <w:p w14:paraId="2076816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by a public health physician in the practice of his or her specialty of public health medicine--attendance for an obvious problem characterised by the straightforward nature of the task that requires a short patient history and, if required, limited examination and management.</w:t>
            </w:r>
          </w:p>
        </w:tc>
        <w:tc>
          <w:tcPr>
            <w:tcW w:w="992" w:type="dxa"/>
            <w:noWrap/>
            <w:hideMark/>
          </w:tcPr>
          <w:p w14:paraId="7D4E9D8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$19.55 </w:t>
            </w:r>
          </w:p>
        </w:tc>
        <w:tc>
          <w:tcPr>
            <w:tcW w:w="1276" w:type="dxa"/>
            <w:noWrap/>
            <w:hideMark/>
          </w:tcPr>
          <w:p w14:paraId="4BFD8FA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$1,382 </w:t>
            </w:r>
          </w:p>
        </w:tc>
        <w:tc>
          <w:tcPr>
            <w:tcW w:w="992" w:type="dxa"/>
            <w:noWrap/>
            <w:hideMark/>
          </w:tcPr>
          <w:p w14:paraId="597D6E4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83 </w:t>
            </w:r>
          </w:p>
        </w:tc>
        <w:tc>
          <w:tcPr>
            <w:tcW w:w="1276" w:type="dxa"/>
            <w:noWrap/>
            <w:hideMark/>
          </w:tcPr>
          <w:p w14:paraId="3BFDA8B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-26.7%</w:t>
            </w:r>
          </w:p>
        </w:tc>
        <w:tc>
          <w:tcPr>
            <w:tcW w:w="1417" w:type="dxa"/>
          </w:tcPr>
          <w:p w14:paraId="0D3E2A0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3C2663EE"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47A0622D"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411</w:t>
            </w:r>
          </w:p>
        </w:tc>
        <w:tc>
          <w:tcPr>
            <w:tcW w:w="1985" w:type="dxa"/>
            <w:noWrap/>
            <w:hideMark/>
          </w:tcPr>
          <w:p w14:paraId="6EE3310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less than 20 minutes and including any of the following that are clinically relevant: (a) taking a patient history; (b) performing a clinical examination; (c) arranging any necessary investigation; (d) implementing a management plan; (e) providing appropriate preventive health care; for one or more health-related issues, with appropriate documentation.</w:t>
            </w:r>
          </w:p>
        </w:tc>
        <w:tc>
          <w:tcPr>
            <w:tcW w:w="992" w:type="dxa"/>
            <w:noWrap/>
            <w:hideMark/>
          </w:tcPr>
          <w:p w14:paraId="1CDE0F0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$42.75 </w:t>
            </w:r>
          </w:p>
        </w:tc>
        <w:tc>
          <w:tcPr>
            <w:tcW w:w="1276" w:type="dxa"/>
            <w:noWrap/>
            <w:hideMark/>
          </w:tcPr>
          <w:p w14:paraId="0DF4304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$327,563 </w:t>
            </w:r>
          </w:p>
        </w:tc>
        <w:tc>
          <w:tcPr>
            <w:tcW w:w="992" w:type="dxa"/>
            <w:noWrap/>
            <w:hideMark/>
          </w:tcPr>
          <w:p w14:paraId="6BECE35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8,968 </w:t>
            </w:r>
          </w:p>
        </w:tc>
        <w:tc>
          <w:tcPr>
            <w:tcW w:w="1276" w:type="dxa"/>
            <w:noWrap/>
            <w:hideMark/>
          </w:tcPr>
          <w:p w14:paraId="79DB633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9.1%</w:t>
            </w:r>
          </w:p>
        </w:tc>
        <w:tc>
          <w:tcPr>
            <w:tcW w:w="1417" w:type="dxa"/>
          </w:tcPr>
          <w:p w14:paraId="707B101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7ADBAC91"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7D4863E"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412</w:t>
            </w:r>
          </w:p>
        </w:tc>
        <w:tc>
          <w:tcPr>
            <w:tcW w:w="1985" w:type="dxa"/>
            <w:noWrap/>
            <w:hideMark/>
          </w:tcPr>
          <w:p w14:paraId="1F2EB7C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at least 20 minutes and including any of the following that are clinically relevant: (a) taking a detailed patient history; (b) performing a clinical examination; (c) arranging any necessary investigation; (d) implementing a management plan; (e) providing appropriate preventive health care; for one or more health-related issues, with appropriate documentation</w:t>
            </w:r>
          </w:p>
        </w:tc>
        <w:tc>
          <w:tcPr>
            <w:tcW w:w="992" w:type="dxa"/>
            <w:noWrap/>
            <w:hideMark/>
          </w:tcPr>
          <w:p w14:paraId="5E4C995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$82.65 </w:t>
            </w:r>
          </w:p>
        </w:tc>
        <w:tc>
          <w:tcPr>
            <w:tcW w:w="1276" w:type="dxa"/>
            <w:noWrap/>
            <w:hideMark/>
          </w:tcPr>
          <w:p w14:paraId="3BA489B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$187,627 </w:t>
            </w:r>
          </w:p>
        </w:tc>
        <w:tc>
          <w:tcPr>
            <w:tcW w:w="992" w:type="dxa"/>
            <w:noWrap/>
            <w:hideMark/>
          </w:tcPr>
          <w:p w14:paraId="3243C77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2,661 </w:t>
            </w:r>
          </w:p>
        </w:tc>
        <w:tc>
          <w:tcPr>
            <w:tcW w:w="1276" w:type="dxa"/>
            <w:noWrap/>
            <w:hideMark/>
          </w:tcPr>
          <w:p w14:paraId="6D46CFA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5.8%</w:t>
            </w:r>
          </w:p>
        </w:tc>
        <w:tc>
          <w:tcPr>
            <w:tcW w:w="1417" w:type="dxa"/>
          </w:tcPr>
          <w:p w14:paraId="5098395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386494C7"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8783634"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413</w:t>
            </w:r>
          </w:p>
        </w:tc>
        <w:tc>
          <w:tcPr>
            <w:tcW w:w="1985" w:type="dxa"/>
            <w:noWrap/>
            <w:hideMark/>
          </w:tcPr>
          <w:p w14:paraId="16C448B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at least 40 minutes and including any of the following that are clinically relevant: (a) taking an extensive patient history; (b) performing a clinical examination; (c) arranging any necessary investigation; (d) implementing a management plan; (e) providing appropriate preventive health care; for one or more health-related issues, with appropriate documentation</w:t>
            </w:r>
          </w:p>
        </w:tc>
        <w:tc>
          <w:tcPr>
            <w:tcW w:w="992" w:type="dxa"/>
            <w:noWrap/>
            <w:hideMark/>
          </w:tcPr>
          <w:p w14:paraId="0326C74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$121.70 </w:t>
            </w:r>
          </w:p>
        </w:tc>
        <w:tc>
          <w:tcPr>
            <w:tcW w:w="1276" w:type="dxa"/>
            <w:noWrap/>
            <w:hideMark/>
          </w:tcPr>
          <w:p w14:paraId="01B717F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$30,413 </w:t>
            </w:r>
          </w:p>
        </w:tc>
        <w:tc>
          <w:tcPr>
            <w:tcW w:w="992" w:type="dxa"/>
            <w:noWrap/>
            <w:hideMark/>
          </w:tcPr>
          <w:p w14:paraId="681EB17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294 </w:t>
            </w:r>
          </w:p>
        </w:tc>
        <w:tc>
          <w:tcPr>
            <w:tcW w:w="1276" w:type="dxa"/>
            <w:noWrap/>
            <w:hideMark/>
          </w:tcPr>
          <w:p w14:paraId="7C8B6AE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12.6%</w:t>
            </w:r>
          </w:p>
        </w:tc>
        <w:tc>
          <w:tcPr>
            <w:tcW w:w="1417" w:type="dxa"/>
          </w:tcPr>
          <w:p w14:paraId="0B9042E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78717632"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05AC7ADA"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414</w:t>
            </w:r>
          </w:p>
        </w:tc>
        <w:tc>
          <w:tcPr>
            <w:tcW w:w="1985" w:type="dxa"/>
            <w:noWrap/>
            <w:hideMark/>
          </w:tcPr>
          <w:p w14:paraId="44F1A78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other than consulting rooms by a public health physician in the practice of his or her specialty of public health medicine--attendance for an obvious problem characterised by the straightforward nature of the task that requires a short patient history and, if required, limited examination and management</w:t>
            </w:r>
          </w:p>
        </w:tc>
        <w:tc>
          <w:tcPr>
            <w:tcW w:w="992" w:type="dxa"/>
            <w:noWrap/>
            <w:hideMark/>
          </w:tcPr>
          <w:p w14:paraId="05B4D7F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1276" w:type="dxa"/>
            <w:noWrap/>
            <w:hideMark/>
          </w:tcPr>
          <w:p w14:paraId="05CCC94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w:t>
            </w:r>
          </w:p>
        </w:tc>
        <w:tc>
          <w:tcPr>
            <w:tcW w:w="992" w:type="dxa"/>
            <w:noWrap/>
            <w:hideMark/>
          </w:tcPr>
          <w:p w14:paraId="1C51D63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 </w:t>
            </w:r>
          </w:p>
        </w:tc>
        <w:tc>
          <w:tcPr>
            <w:tcW w:w="1276" w:type="dxa"/>
            <w:noWrap/>
            <w:hideMark/>
          </w:tcPr>
          <w:p w14:paraId="0A941C1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p>
        </w:tc>
        <w:tc>
          <w:tcPr>
            <w:tcW w:w="1417" w:type="dxa"/>
          </w:tcPr>
          <w:p w14:paraId="6F06F1A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0237C0AF"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3D056F9"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415</w:t>
            </w:r>
          </w:p>
        </w:tc>
        <w:tc>
          <w:tcPr>
            <w:tcW w:w="1985" w:type="dxa"/>
            <w:noWrap/>
            <w:hideMark/>
          </w:tcPr>
          <w:p w14:paraId="5AA55D3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less than 20 minutes and including any of the following that are clinically relevant: (a) taking a patient history; (b) performing a clinical examination; (c) arranging any necessary investigation; (d) implementing a management plan; (e) providing appropriate preventive health care; for one or more health-related issues, with appropriate documentation</w:t>
            </w:r>
          </w:p>
        </w:tc>
        <w:tc>
          <w:tcPr>
            <w:tcW w:w="992" w:type="dxa"/>
            <w:noWrap/>
            <w:hideMark/>
          </w:tcPr>
          <w:p w14:paraId="14F5906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1276" w:type="dxa"/>
            <w:noWrap/>
            <w:hideMark/>
          </w:tcPr>
          <w:p w14:paraId="2BB254B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$50 </w:t>
            </w:r>
          </w:p>
        </w:tc>
        <w:tc>
          <w:tcPr>
            <w:tcW w:w="992" w:type="dxa"/>
            <w:noWrap/>
            <w:hideMark/>
          </w:tcPr>
          <w:p w14:paraId="7369471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 </w:t>
            </w:r>
          </w:p>
        </w:tc>
        <w:tc>
          <w:tcPr>
            <w:tcW w:w="1276" w:type="dxa"/>
            <w:noWrap/>
            <w:hideMark/>
          </w:tcPr>
          <w:p w14:paraId="28D8862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p>
        </w:tc>
        <w:tc>
          <w:tcPr>
            <w:tcW w:w="1417" w:type="dxa"/>
          </w:tcPr>
          <w:p w14:paraId="159EA54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348F3135"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FE7A0EA"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416</w:t>
            </w:r>
          </w:p>
        </w:tc>
        <w:tc>
          <w:tcPr>
            <w:tcW w:w="1985" w:type="dxa"/>
            <w:noWrap/>
            <w:hideMark/>
          </w:tcPr>
          <w:p w14:paraId="6414F25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at least 20 minutes and including any of the following that are clinically relevant: (a) taking a detailed patient history; (b) performing a clinical examination; (c) arranging any necessary investigation; (d) implementing a management plan; (e) providing appropriate preventive health care; for one or more health-related issues, with appropriate documentation</w:t>
            </w:r>
          </w:p>
        </w:tc>
        <w:tc>
          <w:tcPr>
            <w:tcW w:w="992" w:type="dxa"/>
            <w:noWrap/>
            <w:hideMark/>
          </w:tcPr>
          <w:p w14:paraId="12A219C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1276" w:type="dxa"/>
            <w:noWrap/>
            <w:hideMark/>
          </w:tcPr>
          <w:p w14:paraId="6FC47C4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$446 </w:t>
            </w:r>
          </w:p>
        </w:tc>
        <w:tc>
          <w:tcPr>
            <w:tcW w:w="992" w:type="dxa"/>
            <w:noWrap/>
            <w:hideMark/>
          </w:tcPr>
          <w:p w14:paraId="5FE183F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5 </w:t>
            </w:r>
          </w:p>
        </w:tc>
        <w:tc>
          <w:tcPr>
            <w:tcW w:w="1276" w:type="dxa"/>
            <w:noWrap/>
            <w:hideMark/>
          </w:tcPr>
          <w:p w14:paraId="69908D7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1.0%</w:t>
            </w:r>
          </w:p>
        </w:tc>
        <w:tc>
          <w:tcPr>
            <w:tcW w:w="1417" w:type="dxa"/>
          </w:tcPr>
          <w:p w14:paraId="698F2BC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7B3761A9"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745F95C4"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417</w:t>
            </w:r>
          </w:p>
        </w:tc>
        <w:tc>
          <w:tcPr>
            <w:tcW w:w="1985" w:type="dxa"/>
            <w:noWrap/>
            <w:hideMark/>
          </w:tcPr>
          <w:p w14:paraId="1201866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at least 40 minutes and including any of the following that are clinically relevant: (a) taking an extensive patient history; (b) performing a clinical examination; (c) arranging any necessary investigation; (d) implementing a management plan; (e) providing appropriate preventive health care; for one or more health-related issues, with appropriate documentation</w:t>
            </w:r>
          </w:p>
        </w:tc>
        <w:tc>
          <w:tcPr>
            <w:tcW w:w="992" w:type="dxa"/>
            <w:noWrap/>
            <w:hideMark/>
          </w:tcPr>
          <w:p w14:paraId="5F8DDD2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1276" w:type="dxa"/>
            <w:noWrap/>
            <w:hideMark/>
          </w:tcPr>
          <w:p w14:paraId="606B1DA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w:t>
            </w:r>
          </w:p>
        </w:tc>
        <w:tc>
          <w:tcPr>
            <w:tcW w:w="992" w:type="dxa"/>
            <w:noWrap/>
            <w:hideMark/>
          </w:tcPr>
          <w:p w14:paraId="085D77B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 </w:t>
            </w:r>
          </w:p>
        </w:tc>
        <w:tc>
          <w:tcPr>
            <w:tcW w:w="1276" w:type="dxa"/>
            <w:noWrap/>
            <w:hideMark/>
          </w:tcPr>
          <w:p w14:paraId="04C7995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p>
        </w:tc>
        <w:tc>
          <w:tcPr>
            <w:tcW w:w="1417" w:type="dxa"/>
          </w:tcPr>
          <w:p w14:paraId="7851F52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127A0BA4"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16AA9818"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2801</w:t>
            </w:r>
          </w:p>
        </w:tc>
        <w:tc>
          <w:tcPr>
            <w:tcW w:w="1985" w:type="dxa"/>
            <w:noWrap/>
            <w:hideMark/>
          </w:tcPr>
          <w:p w14:paraId="2999826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practitioner--initial attendance in a single course of treatment</w:t>
            </w:r>
          </w:p>
        </w:tc>
        <w:tc>
          <w:tcPr>
            <w:tcW w:w="992" w:type="dxa"/>
            <w:noWrap/>
            <w:hideMark/>
          </w:tcPr>
          <w:p w14:paraId="012C46F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$150.90 </w:t>
            </w:r>
          </w:p>
        </w:tc>
        <w:tc>
          <w:tcPr>
            <w:tcW w:w="1276" w:type="dxa"/>
            <w:noWrap/>
            <w:hideMark/>
          </w:tcPr>
          <w:p w14:paraId="1AAA54C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$4,437,672 </w:t>
            </w:r>
          </w:p>
        </w:tc>
        <w:tc>
          <w:tcPr>
            <w:tcW w:w="992" w:type="dxa"/>
            <w:noWrap/>
            <w:hideMark/>
          </w:tcPr>
          <w:p w14:paraId="13825BB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33,797 </w:t>
            </w:r>
          </w:p>
        </w:tc>
        <w:tc>
          <w:tcPr>
            <w:tcW w:w="1276" w:type="dxa"/>
            <w:noWrap/>
            <w:hideMark/>
          </w:tcPr>
          <w:p w14:paraId="0B05342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17.9%</w:t>
            </w:r>
          </w:p>
        </w:tc>
        <w:tc>
          <w:tcPr>
            <w:tcW w:w="1417" w:type="dxa"/>
          </w:tcPr>
          <w:p w14:paraId="61AF05B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242CDFB2"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6F1D5483"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2806</w:t>
            </w:r>
          </w:p>
        </w:tc>
        <w:tc>
          <w:tcPr>
            <w:tcW w:w="1985" w:type="dxa"/>
            <w:noWrap/>
            <w:hideMark/>
          </w:tcPr>
          <w:p w14:paraId="53401FC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practitioner--each attendance (other than a service to which item 2814 applies) after the first in a single course of treatment</w:t>
            </w:r>
          </w:p>
        </w:tc>
        <w:tc>
          <w:tcPr>
            <w:tcW w:w="992" w:type="dxa"/>
            <w:noWrap/>
            <w:hideMark/>
          </w:tcPr>
          <w:p w14:paraId="5E10B8D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$75.50 </w:t>
            </w:r>
          </w:p>
        </w:tc>
        <w:tc>
          <w:tcPr>
            <w:tcW w:w="1276" w:type="dxa"/>
            <w:noWrap/>
            <w:hideMark/>
          </w:tcPr>
          <w:p w14:paraId="428FE0E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$4,424,902 </w:t>
            </w:r>
          </w:p>
        </w:tc>
        <w:tc>
          <w:tcPr>
            <w:tcW w:w="992" w:type="dxa"/>
            <w:noWrap/>
            <w:hideMark/>
          </w:tcPr>
          <w:p w14:paraId="24B2EA3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66,798 </w:t>
            </w:r>
          </w:p>
        </w:tc>
        <w:tc>
          <w:tcPr>
            <w:tcW w:w="1276" w:type="dxa"/>
            <w:noWrap/>
            <w:hideMark/>
          </w:tcPr>
          <w:p w14:paraId="7ED0D91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17.7%</w:t>
            </w:r>
          </w:p>
        </w:tc>
        <w:tc>
          <w:tcPr>
            <w:tcW w:w="1417" w:type="dxa"/>
          </w:tcPr>
          <w:p w14:paraId="2D25F4C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65EC0EA6"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688E823C"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2814</w:t>
            </w:r>
          </w:p>
        </w:tc>
        <w:tc>
          <w:tcPr>
            <w:tcW w:w="1985" w:type="dxa"/>
            <w:noWrap/>
            <w:hideMark/>
          </w:tcPr>
          <w:p w14:paraId="3E27181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practitioner--each minor attendance after the first attendance in a single course of treatment</w:t>
            </w:r>
          </w:p>
        </w:tc>
        <w:tc>
          <w:tcPr>
            <w:tcW w:w="992" w:type="dxa"/>
            <w:noWrap/>
            <w:hideMark/>
          </w:tcPr>
          <w:p w14:paraId="7CD3A0C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276" w:type="dxa"/>
            <w:noWrap/>
            <w:hideMark/>
          </w:tcPr>
          <w:p w14:paraId="5DCB4F7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$38,597 </w:t>
            </w:r>
          </w:p>
        </w:tc>
        <w:tc>
          <w:tcPr>
            <w:tcW w:w="992" w:type="dxa"/>
            <w:noWrap/>
            <w:hideMark/>
          </w:tcPr>
          <w:p w14:paraId="5BB3DD4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1,117 </w:t>
            </w:r>
          </w:p>
        </w:tc>
        <w:tc>
          <w:tcPr>
            <w:tcW w:w="1276" w:type="dxa"/>
            <w:noWrap/>
            <w:hideMark/>
          </w:tcPr>
          <w:p w14:paraId="1E3D836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3.8%</w:t>
            </w:r>
          </w:p>
        </w:tc>
        <w:tc>
          <w:tcPr>
            <w:tcW w:w="1417" w:type="dxa"/>
          </w:tcPr>
          <w:p w14:paraId="38E5E0C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6C93177E"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BFADB89"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2824</w:t>
            </w:r>
          </w:p>
        </w:tc>
        <w:tc>
          <w:tcPr>
            <w:tcW w:w="1985" w:type="dxa"/>
            <w:noWrap/>
            <w:hideMark/>
          </w:tcPr>
          <w:p w14:paraId="51C4D97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practitioner--initial attendance in a single course of treatment</w:t>
            </w:r>
          </w:p>
        </w:tc>
        <w:tc>
          <w:tcPr>
            <w:tcW w:w="992" w:type="dxa"/>
            <w:noWrap/>
            <w:hideMark/>
          </w:tcPr>
          <w:p w14:paraId="07D72A4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$183.10 </w:t>
            </w:r>
          </w:p>
        </w:tc>
        <w:tc>
          <w:tcPr>
            <w:tcW w:w="1276" w:type="dxa"/>
            <w:noWrap/>
            <w:hideMark/>
          </w:tcPr>
          <w:p w14:paraId="647ED32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$1,712 </w:t>
            </w:r>
          </w:p>
        </w:tc>
        <w:tc>
          <w:tcPr>
            <w:tcW w:w="992" w:type="dxa"/>
            <w:noWrap/>
            <w:hideMark/>
          </w:tcPr>
          <w:p w14:paraId="7076FFF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11 </w:t>
            </w:r>
          </w:p>
        </w:tc>
        <w:tc>
          <w:tcPr>
            <w:tcW w:w="1276" w:type="dxa"/>
            <w:noWrap/>
            <w:hideMark/>
          </w:tcPr>
          <w:p w14:paraId="20478D0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62.1%</w:t>
            </w:r>
          </w:p>
        </w:tc>
        <w:tc>
          <w:tcPr>
            <w:tcW w:w="1417" w:type="dxa"/>
          </w:tcPr>
          <w:p w14:paraId="73FA837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3ADF0CAD"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61F928E5"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2832</w:t>
            </w:r>
          </w:p>
        </w:tc>
        <w:tc>
          <w:tcPr>
            <w:tcW w:w="1985" w:type="dxa"/>
            <w:noWrap/>
            <w:hideMark/>
          </w:tcPr>
          <w:p w14:paraId="2EA2B73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practitioner--each attendance (other than a service to which item 2840 applies) after the first in a single course of treatment</w:t>
            </w:r>
          </w:p>
        </w:tc>
        <w:tc>
          <w:tcPr>
            <w:tcW w:w="992" w:type="dxa"/>
            <w:noWrap/>
            <w:hideMark/>
          </w:tcPr>
          <w:p w14:paraId="335C045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$110.75 </w:t>
            </w:r>
          </w:p>
        </w:tc>
        <w:tc>
          <w:tcPr>
            <w:tcW w:w="1276" w:type="dxa"/>
            <w:noWrap/>
            <w:hideMark/>
          </w:tcPr>
          <w:p w14:paraId="6C1F300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$5,686 </w:t>
            </w:r>
          </w:p>
        </w:tc>
        <w:tc>
          <w:tcPr>
            <w:tcW w:w="992" w:type="dxa"/>
            <w:noWrap/>
            <w:hideMark/>
          </w:tcPr>
          <w:p w14:paraId="0382861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53 </w:t>
            </w:r>
          </w:p>
        </w:tc>
        <w:tc>
          <w:tcPr>
            <w:tcW w:w="1276" w:type="dxa"/>
            <w:noWrap/>
            <w:hideMark/>
          </w:tcPr>
          <w:p w14:paraId="415FCCE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55.0%</w:t>
            </w:r>
          </w:p>
        </w:tc>
        <w:tc>
          <w:tcPr>
            <w:tcW w:w="1417" w:type="dxa"/>
          </w:tcPr>
          <w:p w14:paraId="1344362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37CB0C9E"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19F628C2"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2840</w:t>
            </w:r>
          </w:p>
        </w:tc>
        <w:tc>
          <w:tcPr>
            <w:tcW w:w="1985" w:type="dxa"/>
            <w:noWrap/>
            <w:hideMark/>
          </w:tcPr>
          <w:p w14:paraId="1386612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practitioner--each minor attendance after the first attendance in a single course of treatment</w:t>
            </w:r>
          </w:p>
        </w:tc>
        <w:tc>
          <w:tcPr>
            <w:tcW w:w="992" w:type="dxa"/>
            <w:noWrap/>
            <w:hideMark/>
          </w:tcPr>
          <w:p w14:paraId="25493A3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$79.75 </w:t>
            </w:r>
          </w:p>
        </w:tc>
        <w:tc>
          <w:tcPr>
            <w:tcW w:w="1276" w:type="dxa"/>
            <w:noWrap/>
            <w:hideMark/>
          </w:tcPr>
          <w:p w14:paraId="054AC97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w:t>
            </w:r>
          </w:p>
        </w:tc>
        <w:tc>
          <w:tcPr>
            <w:tcW w:w="992" w:type="dxa"/>
            <w:noWrap/>
            <w:hideMark/>
          </w:tcPr>
          <w:p w14:paraId="211F954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 </w:t>
            </w:r>
          </w:p>
        </w:tc>
        <w:tc>
          <w:tcPr>
            <w:tcW w:w="1276" w:type="dxa"/>
            <w:noWrap/>
            <w:hideMark/>
          </w:tcPr>
          <w:p w14:paraId="53AE7D5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-100.0%</w:t>
            </w:r>
          </w:p>
        </w:tc>
        <w:tc>
          <w:tcPr>
            <w:tcW w:w="1417" w:type="dxa"/>
          </w:tcPr>
          <w:p w14:paraId="680C37F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744412C1"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03AFCABD"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3005</w:t>
            </w:r>
          </w:p>
        </w:tc>
        <w:tc>
          <w:tcPr>
            <w:tcW w:w="1985" w:type="dxa"/>
            <w:noWrap/>
            <w:hideMark/>
          </w:tcPr>
          <w:p w14:paraId="0A01772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practitioner--initial attendance in a single course of treatment</w:t>
            </w:r>
          </w:p>
        </w:tc>
        <w:tc>
          <w:tcPr>
            <w:tcW w:w="992" w:type="dxa"/>
            <w:noWrap/>
            <w:hideMark/>
          </w:tcPr>
          <w:p w14:paraId="7543BE8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$150.90 </w:t>
            </w:r>
          </w:p>
        </w:tc>
        <w:tc>
          <w:tcPr>
            <w:tcW w:w="1276" w:type="dxa"/>
            <w:noWrap/>
            <w:hideMark/>
          </w:tcPr>
          <w:p w14:paraId="42F0E17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$1,447,287 </w:t>
            </w:r>
          </w:p>
        </w:tc>
        <w:tc>
          <w:tcPr>
            <w:tcW w:w="992" w:type="dxa"/>
            <w:noWrap/>
            <w:hideMark/>
          </w:tcPr>
          <w:p w14:paraId="2E0744E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12,296 </w:t>
            </w:r>
          </w:p>
        </w:tc>
        <w:tc>
          <w:tcPr>
            <w:tcW w:w="1276" w:type="dxa"/>
            <w:noWrap/>
            <w:hideMark/>
          </w:tcPr>
          <w:p w14:paraId="67EB89F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10.4%</w:t>
            </w:r>
          </w:p>
        </w:tc>
        <w:tc>
          <w:tcPr>
            <w:tcW w:w="1417" w:type="dxa"/>
          </w:tcPr>
          <w:p w14:paraId="5217C09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2094565C"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72907544"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3010</w:t>
            </w:r>
          </w:p>
        </w:tc>
        <w:tc>
          <w:tcPr>
            <w:tcW w:w="1985" w:type="dxa"/>
            <w:noWrap/>
            <w:hideMark/>
          </w:tcPr>
          <w:p w14:paraId="2AEF94F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practitioner--each attendance (other than a service to which item 3014 applies) after the first in a single course of treatment</w:t>
            </w:r>
          </w:p>
        </w:tc>
        <w:tc>
          <w:tcPr>
            <w:tcW w:w="992" w:type="dxa"/>
            <w:noWrap/>
            <w:hideMark/>
          </w:tcPr>
          <w:p w14:paraId="443354F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$75.50 </w:t>
            </w:r>
          </w:p>
        </w:tc>
        <w:tc>
          <w:tcPr>
            <w:tcW w:w="1276" w:type="dxa"/>
            <w:noWrap/>
            <w:hideMark/>
          </w:tcPr>
          <w:p w14:paraId="004EBA1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$3,097,277 </w:t>
            </w:r>
          </w:p>
        </w:tc>
        <w:tc>
          <w:tcPr>
            <w:tcW w:w="992" w:type="dxa"/>
            <w:noWrap/>
            <w:hideMark/>
          </w:tcPr>
          <w:p w14:paraId="674670C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53,225 </w:t>
            </w:r>
          </w:p>
        </w:tc>
        <w:tc>
          <w:tcPr>
            <w:tcW w:w="1276" w:type="dxa"/>
            <w:noWrap/>
            <w:hideMark/>
          </w:tcPr>
          <w:p w14:paraId="146078E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10.0%</w:t>
            </w:r>
          </w:p>
        </w:tc>
        <w:tc>
          <w:tcPr>
            <w:tcW w:w="1417" w:type="dxa"/>
          </w:tcPr>
          <w:p w14:paraId="540A0CA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2B82B83F"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75C1CC47"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3014</w:t>
            </w:r>
          </w:p>
        </w:tc>
        <w:tc>
          <w:tcPr>
            <w:tcW w:w="1985" w:type="dxa"/>
            <w:noWrap/>
            <w:hideMark/>
          </w:tcPr>
          <w:p w14:paraId="26C6BD3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practitioner--each minor attendance after the first attendance in a single course of treatment</w:t>
            </w:r>
          </w:p>
        </w:tc>
        <w:tc>
          <w:tcPr>
            <w:tcW w:w="992" w:type="dxa"/>
            <w:noWrap/>
            <w:hideMark/>
          </w:tcPr>
          <w:p w14:paraId="3156103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276" w:type="dxa"/>
            <w:noWrap/>
            <w:hideMark/>
          </w:tcPr>
          <w:p w14:paraId="4DBA00E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$22,274 </w:t>
            </w:r>
          </w:p>
        </w:tc>
        <w:tc>
          <w:tcPr>
            <w:tcW w:w="992" w:type="dxa"/>
            <w:noWrap/>
            <w:hideMark/>
          </w:tcPr>
          <w:p w14:paraId="73C06FD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689 </w:t>
            </w:r>
          </w:p>
        </w:tc>
        <w:tc>
          <w:tcPr>
            <w:tcW w:w="1276" w:type="dxa"/>
            <w:noWrap/>
            <w:hideMark/>
          </w:tcPr>
          <w:p w14:paraId="389026A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-4.8%</w:t>
            </w:r>
          </w:p>
        </w:tc>
        <w:tc>
          <w:tcPr>
            <w:tcW w:w="1417" w:type="dxa"/>
          </w:tcPr>
          <w:p w14:paraId="0D26FB4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6F7328F8"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0E3207A"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3018</w:t>
            </w:r>
          </w:p>
        </w:tc>
        <w:tc>
          <w:tcPr>
            <w:tcW w:w="1985" w:type="dxa"/>
            <w:noWrap/>
            <w:hideMark/>
          </w:tcPr>
          <w:p w14:paraId="3461CF1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practitioner--initial attendance in a single course of treatment</w:t>
            </w:r>
          </w:p>
        </w:tc>
        <w:tc>
          <w:tcPr>
            <w:tcW w:w="992" w:type="dxa"/>
            <w:noWrap/>
            <w:hideMark/>
          </w:tcPr>
          <w:p w14:paraId="2753BA3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$183.10 </w:t>
            </w:r>
          </w:p>
        </w:tc>
        <w:tc>
          <w:tcPr>
            <w:tcW w:w="1276" w:type="dxa"/>
            <w:noWrap/>
            <w:hideMark/>
          </w:tcPr>
          <w:p w14:paraId="521AD32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$333,131 </w:t>
            </w:r>
          </w:p>
        </w:tc>
        <w:tc>
          <w:tcPr>
            <w:tcW w:w="992" w:type="dxa"/>
            <w:noWrap/>
            <w:hideMark/>
          </w:tcPr>
          <w:p w14:paraId="6A23417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2,136 </w:t>
            </w:r>
          </w:p>
        </w:tc>
        <w:tc>
          <w:tcPr>
            <w:tcW w:w="1276" w:type="dxa"/>
            <w:noWrap/>
            <w:hideMark/>
          </w:tcPr>
          <w:p w14:paraId="6593DC0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10.9%</w:t>
            </w:r>
          </w:p>
        </w:tc>
        <w:tc>
          <w:tcPr>
            <w:tcW w:w="1417" w:type="dxa"/>
          </w:tcPr>
          <w:p w14:paraId="746C07C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1CC1E339"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FF79D9E"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3023</w:t>
            </w:r>
          </w:p>
        </w:tc>
        <w:tc>
          <w:tcPr>
            <w:tcW w:w="1985" w:type="dxa"/>
            <w:noWrap/>
            <w:hideMark/>
          </w:tcPr>
          <w:p w14:paraId="4966830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practitioner--each attendance (other than a service to which item 3028 applies) after the first in a single course of treatment</w:t>
            </w:r>
          </w:p>
        </w:tc>
        <w:tc>
          <w:tcPr>
            <w:tcW w:w="992" w:type="dxa"/>
            <w:noWrap/>
            <w:hideMark/>
          </w:tcPr>
          <w:p w14:paraId="7CBE5C9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$110.75 </w:t>
            </w:r>
          </w:p>
        </w:tc>
        <w:tc>
          <w:tcPr>
            <w:tcW w:w="1276" w:type="dxa"/>
            <w:noWrap/>
            <w:hideMark/>
          </w:tcPr>
          <w:p w14:paraId="2DF3090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$281,552 </w:t>
            </w:r>
          </w:p>
        </w:tc>
        <w:tc>
          <w:tcPr>
            <w:tcW w:w="992" w:type="dxa"/>
            <w:noWrap/>
            <w:hideMark/>
          </w:tcPr>
          <w:p w14:paraId="5FAD912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2,968 </w:t>
            </w:r>
          </w:p>
        </w:tc>
        <w:tc>
          <w:tcPr>
            <w:tcW w:w="1276" w:type="dxa"/>
            <w:noWrap/>
            <w:hideMark/>
          </w:tcPr>
          <w:p w14:paraId="20A76A6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13.8%</w:t>
            </w:r>
          </w:p>
        </w:tc>
        <w:tc>
          <w:tcPr>
            <w:tcW w:w="1417" w:type="dxa"/>
          </w:tcPr>
          <w:p w14:paraId="51AAB3D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071B0795"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536CA50"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3028</w:t>
            </w:r>
          </w:p>
        </w:tc>
        <w:tc>
          <w:tcPr>
            <w:tcW w:w="1985" w:type="dxa"/>
            <w:noWrap/>
            <w:hideMark/>
          </w:tcPr>
          <w:p w14:paraId="31FC394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practitioner--each minor attendance after the first attendance in a single course of treatment</w:t>
            </w:r>
          </w:p>
        </w:tc>
        <w:tc>
          <w:tcPr>
            <w:tcW w:w="992" w:type="dxa"/>
            <w:noWrap/>
            <w:hideMark/>
          </w:tcPr>
          <w:p w14:paraId="342E26F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$79.75 </w:t>
            </w:r>
          </w:p>
        </w:tc>
        <w:tc>
          <w:tcPr>
            <w:tcW w:w="1276" w:type="dxa"/>
            <w:noWrap/>
            <w:hideMark/>
          </w:tcPr>
          <w:p w14:paraId="6998D6B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$68 </w:t>
            </w:r>
          </w:p>
        </w:tc>
        <w:tc>
          <w:tcPr>
            <w:tcW w:w="992" w:type="dxa"/>
            <w:noWrap/>
            <w:hideMark/>
          </w:tcPr>
          <w:p w14:paraId="2771612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 </w:t>
            </w:r>
          </w:p>
        </w:tc>
        <w:tc>
          <w:tcPr>
            <w:tcW w:w="1276" w:type="dxa"/>
            <w:noWrap/>
            <w:hideMark/>
          </w:tcPr>
          <w:p w14:paraId="43A7E92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-62.8%</w:t>
            </w:r>
          </w:p>
        </w:tc>
        <w:tc>
          <w:tcPr>
            <w:tcW w:w="1417" w:type="dxa"/>
          </w:tcPr>
          <w:p w14:paraId="1BA7956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0F3E7E16"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2FE81F9"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6007</w:t>
            </w:r>
          </w:p>
        </w:tc>
        <w:tc>
          <w:tcPr>
            <w:tcW w:w="1985" w:type="dxa"/>
            <w:noWrap/>
            <w:hideMark/>
          </w:tcPr>
          <w:p w14:paraId="68CCF2B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(other than a second or subsequent attendance in a single course of treatment) at consulting rooms or hospital</w:t>
            </w:r>
          </w:p>
        </w:tc>
        <w:tc>
          <w:tcPr>
            <w:tcW w:w="992" w:type="dxa"/>
            <w:noWrap/>
            <w:hideMark/>
          </w:tcPr>
          <w:p w14:paraId="198743D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$129.60 </w:t>
            </w:r>
          </w:p>
        </w:tc>
        <w:tc>
          <w:tcPr>
            <w:tcW w:w="1276" w:type="dxa"/>
            <w:noWrap/>
            <w:hideMark/>
          </w:tcPr>
          <w:p w14:paraId="7542A39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$10,783,437 </w:t>
            </w:r>
          </w:p>
        </w:tc>
        <w:tc>
          <w:tcPr>
            <w:tcW w:w="992" w:type="dxa"/>
            <w:noWrap/>
            <w:hideMark/>
          </w:tcPr>
          <w:p w14:paraId="188B985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91,467 </w:t>
            </w:r>
          </w:p>
        </w:tc>
        <w:tc>
          <w:tcPr>
            <w:tcW w:w="1276" w:type="dxa"/>
            <w:noWrap/>
            <w:hideMark/>
          </w:tcPr>
          <w:p w14:paraId="3E5F7D5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4.0%</w:t>
            </w:r>
          </w:p>
        </w:tc>
        <w:tc>
          <w:tcPr>
            <w:tcW w:w="1417" w:type="dxa"/>
          </w:tcPr>
          <w:p w14:paraId="705886F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45CFFA3D"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6B77C910"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6009</w:t>
            </w:r>
          </w:p>
        </w:tc>
        <w:tc>
          <w:tcPr>
            <w:tcW w:w="1985" w:type="dxa"/>
            <w:noWrap/>
            <w:hideMark/>
          </w:tcPr>
          <w:p w14:paraId="6D69580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 minor attendance after the first in a single course of treatment at consulting rooms or hospital</w:t>
            </w:r>
          </w:p>
        </w:tc>
        <w:tc>
          <w:tcPr>
            <w:tcW w:w="992" w:type="dxa"/>
            <w:noWrap/>
            <w:hideMark/>
          </w:tcPr>
          <w:p w14:paraId="7D640AF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276" w:type="dxa"/>
            <w:noWrap/>
            <w:hideMark/>
          </w:tcPr>
          <w:p w14:paraId="0206A07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$2,129,180 </w:t>
            </w:r>
          </w:p>
        </w:tc>
        <w:tc>
          <w:tcPr>
            <w:tcW w:w="992" w:type="dxa"/>
            <w:noWrap/>
            <w:hideMark/>
          </w:tcPr>
          <w:p w14:paraId="5347E31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54,283 </w:t>
            </w:r>
          </w:p>
        </w:tc>
        <w:tc>
          <w:tcPr>
            <w:tcW w:w="1276" w:type="dxa"/>
            <w:noWrap/>
            <w:hideMark/>
          </w:tcPr>
          <w:p w14:paraId="07E05AC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0.9%</w:t>
            </w:r>
          </w:p>
        </w:tc>
        <w:tc>
          <w:tcPr>
            <w:tcW w:w="1417" w:type="dxa"/>
          </w:tcPr>
          <w:p w14:paraId="4507583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5A501BD0"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6BFE235"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6011</w:t>
            </w:r>
          </w:p>
        </w:tc>
        <w:tc>
          <w:tcPr>
            <w:tcW w:w="1985" w:type="dxa"/>
            <w:noWrap/>
            <w:hideMark/>
          </w:tcPr>
          <w:p w14:paraId="1A55E24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an extensive and comprehensive examination, arranging any necessary investigations in relation to one or more complex problems and of more than 15 minutes in duration but not more than 30 minutes in duration at consulting rooms or hospital</w:t>
            </w:r>
          </w:p>
        </w:tc>
        <w:tc>
          <w:tcPr>
            <w:tcW w:w="992" w:type="dxa"/>
            <w:noWrap/>
            <w:hideMark/>
          </w:tcPr>
          <w:p w14:paraId="6BD5604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$85.55 </w:t>
            </w:r>
          </w:p>
        </w:tc>
        <w:tc>
          <w:tcPr>
            <w:tcW w:w="1276" w:type="dxa"/>
            <w:noWrap/>
            <w:hideMark/>
          </w:tcPr>
          <w:p w14:paraId="73DC6CD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$5,951,516 </w:t>
            </w:r>
          </w:p>
        </w:tc>
        <w:tc>
          <w:tcPr>
            <w:tcW w:w="992" w:type="dxa"/>
            <w:noWrap/>
            <w:hideMark/>
          </w:tcPr>
          <w:p w14:paraId="6A498D7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77,146 </w:t>
            </w:r>
          </w:p>
        </w:tc>
        <w:tc>
          <w:tcPr>
            <w:tcW w:w="1276" w:type="dxa"/>
            <w:noWrap/>
            <w:hideMark/>
          </w:tcPr>
          <w:p w14:paraId="22C3E73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3.9%</w:t>
            </w:r>
          </w:p>
        </w:tc>
        <w:tc>
          <w:tcPr>
            <w:tcW w:w="1417" w:type="dxa"/>
          </w:tcPr>
          <w:p w14:paraId="508A078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4818075E"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4E47DCDE"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6013</w:t>
            </w:r>
          </w:p>
        </w:tc>
        <w:tc>
          <w:tcPr>
            <w:tcW w:w="1985" w:type="dxa"/>
            <w:noWrap/>
            <w:hideMark/>
          </w:tcPr>
          <w:p w14:paraId="35F1167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 detailed and comprehensive examination, arranging any necessary investigations in relation to one or more complex problems and of more than 30 minutes in duration but not more than 45 minutes in duration at consulting rooms or hospital</w:t>
            </w:r>
          </w:p>
        </w:tc>
        <w:tc>
          <w:tcPr>
            <w:tcW w:w="992" w:type="dxa"/>
            <w:noWrap/>
            <w:hideMark/>
          </w:tcPr>
          <w:p w14:paraId="7CF81A6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$118.50 </w:t>
            </w:r>
          </w:p>
        </w:tc>
        <w:tc>
          <w:tcPr>
            <w:tcW w:w="1276" w:type="dxa"/>
            <w:noWrap/>
            <w:hideMark/>
          </w:tcPr>
          <w:p w14:paraId="5519408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$994,519 </w:t>
            </w:r>
          </w:p>
        </w:tc>
        <w:tc>
          <w:tcPr>
            <w:tcW w:w="992" w:type="dxa"/>
            <w:noWrap/>
            <w:hideMark/>
          </w:tcPr>
          <w:p w14:paraId="44CD388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9,841 </w:t>
            </w:r>
          </w:p>
        </w:tc>
        <w:tc>
          <w:tcPr>
            <w:tcW w:w="1276" w:type="dxa"/>
            <w:noWrap/>
            <w:hideMark/>
          </w:tcPr>
          <w:p w14:paraId="0FFFA4A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19.6%</w:t>
            </w:r>
          </w:p>
        </w:tc>
        <w:tc>
          <w:tcPr>
            <w:tcW w:w="1417" w:type="dxa"/>
          </w:tcPr>
          <w:p w14:paraId="5D5CB1A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4B222C16"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CDF87B9"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6015</w:t>
            </w:r>
          </w:p>
        </w:tc>
        <w:tc>
          <w:tcPr>
            <w:tcW w:w="1985" w:type="dxa"/>
            <w:noWrap/>
            <w:hideMark/>
          </w:tcPr>
          <w:p w14:paraId="0666B79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an exhaustive and comprehensive examination, arranging any necessary investigations in relation to one or more complex problems and of more than 45 minutes in duration at consulting rooms or hospital</w:t>
            </w:r>
          </w:p>
        </w:tc>
        <w:tc>
          <w:tcPr>
            <w:tcW w:w="992" w:type="dxa"/>
            <w:noWrap/>
            <w:hideMark/>
          </w:tcPr>
          <w:p w14:paraId="2D9E37E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$150.90 </w:t>
            </w:r>
          </w:p>
        </w:tc>
        <w:tc>
          <w:tcPr>
            <w:tcW w:w="1276" w:type="dxa"/>
            <w:noWrap/>
            <w:hideMark/>
          </w:tcPr>
          <w:p w14:paraId="29D48D0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$226,703 </w:t>
            </w:r>
          </w:p>
        </w:tc>
        <w:tc>
          <w:tcPr>
            <w:tcW w:w="992" w:type="dxa"/>
            <w:noWrap/>
            <w:hideMark/>
          </w:tcPr>
          <w:p w14:paraId="5A3286F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1,785 </w:t>
            </w:r>
          </w:p>
        </w:tc>
        <w:tc>
          <w:tcPr>
            <w:tcW w:w="1276" w:type="dxa"/>
            <w:noWrap/>
            <w:hideMark/>
          </w:tcPr>
          <w:p w14:paraId="5F710B5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11.7%</w:t>
            </w:r>
          </w:p>
        </w:tc>
        <w:tc>
          <w:tcPr>
            <w:tcW w:w="1417" w:type="dxa"/>
          </w:tcPr>
          <w:p w14:paraId="0ECC353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4F656443"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79022F2A" w14:textId="77777777" w:rsidR="001E05F9" w:rsidRPr="00C33C0B" w:rsidRDefault="001E05F9" w:rsidP="0050154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6018</w:t>
            </w:r>
          </w:p>
        </w:tc>
        <w:tc>
          <w:tcPr>
            <w:tcW w:w="1985" w:type="dxa"/>
            <w:noWrap/>
          </w:tcPr>
          <w:p w14:paraId="63D8630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following referral of the patient to him or her by a referring practitioner, if the attendance: (a) includes a comprehensive assessment; and (b) is the first or only time in a single course of treatment that a comprehensive assessment is provided</w:t>
            </w:r>
          </w:p>
        </w:tc>
        <w:tc>
          <w:tcPr>
            <w:tcW w:w="992" w:type="dxa"/>
            <w:noWrap/>
          </w:tcPr>
          <w:p w14:paraId="7FA4606B" w14:textId="00300C81" w:rsidR="001E05F9" w:rsidRPr="00C33C0B" w:rsidRDefault="001E05F9" w:rsidP="005626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$150.90 </w:t>
            </w:r>
          </w:p>
        </w:tc>
        <w:tc>
          <w:tcPr>
            <w:tcW w:w="1276" w:type="dxa"/>
            <w:noWrap/>
          </w:tcPr>
          <w:p w14:paraId="6013F84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$93,281</w:t>
            </w:r>
          </w:p>
        </w:tc>
        <w:tc>
          <w:tcPr>
            <w:tcW w:w="0" w:type="dxa"/>
            <w:noWrap/>
          </w:tcPr>
          <w:p w14:paraId="7928D57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731</w:t>
            </w:r>
          </w:p>
        </w:tc>
        <w:tc>
          <w:tcPr>
            <w:tcW w:w="1276" w:type="dxa"/>
            <w:noWrap/>
          </w:tcPr>
          <w:p w14:paraId="2E924B5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3D610E1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60BB9F53"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7FC4401E" w14:textId="77777777" w:rsidR="001E05F9" w:rsidRPr="00C33C0B" w:rsidRDefault="001E05F9" w:rsidP="00B276AB">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6019</w:t>
            </w:r>
          </w:p>
        </w:tc>
        <w:tc>
          <w:tcPr>
            <w:tcW w:w="1985" w:type="dxa"/>
            <w:noWrap/>
          </w:tcPr>
          <w:p w14:paraId="26DCC0AD"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following referral of the patient to him or her by a referring practitioner, if the attendance is a patient assessment: (a) before or after a comprehensive assessment under item 6018 in a single course of treatment; or (b) that follows an initial assessment under item 6023 in a single course of treatment; or (c) that follows a review under item 6024 in a single course of treatment</w:t>
            </w:r>
          </w:p>
        </w:tc>
        <w:tc>
          <w:tcPr>
            <w:tcW w:w="992" w:type="dxa"/>
            <w:noWrap/>
          </w:tcPr>
          <w:p w14:paraId="7DD87766"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$75.50</w:t>
            </w:r>
          </w:p>
        </w:tc>
        <w:tc>
          <w:tcPr>
            <w:tcW w:w="1276" w:type="dxa"/>
            <w:noWrap/>
          </w:tcPr>
          <w:p w14:paraId="746979FD"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$305,606</w:t>
            </w:r>
          </w:p>
        </w:tc>
        <w:tc>
          <w:tcPr>
            <w:tcW w:w="0" w:type="dxa"/>
            <w:noWrap/>
          </w:tcPr>
          <w:p w14:paraId="0D79DB85"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4,580</w:t>
            </w:r>
          </w:p>
        </w:tc>
        <w:tc>
          <w:tcPr>
            <w:tcW w:w="1276" w:type="dxa"/>
            <w:noWrap/>
          </w:tcPr>
          <w:p w14:paraId="16E7337E"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3EAF28C3"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4D878352"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18DC0EDE" w14:textId="77777777" w:rsidR="001E05F9" w:rsidRPr="00C33C0B" w:rsidRDefault="001E05F9" w:rsidP="00B276AB">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6051</w:t>
            </w:r>
          </w:p>
        </w:tc>
        <w:tc>
          <w:tcPr>
            <w:tcW w:w="1985" w:type="dxa"/>
            <w:noWrap/>
          </w:tcPr>
          <w:p w14:paraId="4D331AB6"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following referral of the patient to him or her by a referring practitioner, if the attendance: (a) includes a comprehensive assessment; and (b) is the first or only time in a single course of treatment that a comprehensive assessment is provided</w:t>
            </w:r>
          </w:p>
        </w:tc>
        <w:tc>
          <w:tcPr>
            <w:tcW w:w="992" w:type="dxa"/>
            <w:noWrap/>
          </w:tcPr>
          <w:p w14:paraId="3C949D92"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$150.90</w:t>
            </w:r>
          </w:p>
        </w:tc>
        <w:tc>
          <w:tcPr>
            <w:tcW w:w="1276" w:type="dxa"/>
            <w:noWrap/>
          </w:tcPr>
          <w:p w14:paraId="2C6DC1A2"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$172,474</w:t>
            </w:r>
          </w:p>
        </w:tc>
        <w:tc>
          <w:tcPr>
            <w:tcW w:w="0" w:type="dxa"/>
            <w:noWrap/>
          </w:tcPr>
          <w:p w14:paraId="09AA244B"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1,324</w:t>
            </w:r>
          </w:p>
        </w:tc>
        <w:tc>
          <w:tcPr>
            <w:tcW w:w="1276" w:type="dxa"/>
            <w:noWrap/>
          </w:tcPr>
          <w:p w14:paraId="5F3F0CD0"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10DB70EA"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55796261"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62C5B11C" w14:textId="77777777" w:rsidR="001E05F9" w:rsidRPr="00C33C0B" w:rsidRDefault="001E05F9" w:rsidP="00B276AB">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6052</w:t>
            </w:r>
          </w:p>
        </w:tc>
        <w:tc>
          <w:tcPr>
            <w:tcW w:w="1985" w:type="dxa"/>
            <w:noWrap/>
          </w:tcPr>
          <w:p w14:paraId="55287495"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following referral of the patient to him or her by a referring practitioner, if the attendance is a patient assessment: (a) before or after a comprehensive assessment under item 6051 in a single course of treatment; or (b) that follows an initial assessment under item 6057 in a single course of treatment; or (c) that follows a review under item 6058 in a single course of treatment</w:t>
            </w:r>
          </w:p>
        </w:tc>
        <w:tc>
          <w:tcPr>
            <w:tcW w:w="992" w:type="dxa"/>
            <w:noWrap/>
          </w:tcPr>
          <w:p w14:paraId="0C0D6A2C"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$75.50</w:t>
            </w:r>
          </w:p>
        </w:tc>
        <w:tc>
          <w:tcPr>
            <w:tcW w:w="1276" w:type="dxa"/>
            <w:noWrap/>
          </w:tcPr>
          <w:p w14:paraId="79AEDEFD"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$221,276</w:t>
            </w:r>
          </w:p>
        </w:tc>
        <w:tc>
          <w:tcPr>
            <w:tcW w:w="0" w:type="dxa"/>
            <w:noWrap/>
          </w:tcPr>
          <w:p w14:paraId="44AD9B47"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3,358</w:t>
            </w:r>
          </w:p>
        </w:tc>
        <w:tc>
          <w:tcPr>
            <w:tcW w:w="1276" w:type="dxa"/>
            <w:noWrap/>
          </w:tcPr>
          <w:p w14:paraId="532AC6F0"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2B1EBE5B"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446092D1"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2CBFFB5B" w14:textId="77777777" w:rsidR="001E05F9" w:rsidRPr="00C33C0B" w:rsidRDefault="001E05F9" w:rsidP="00B276AB">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6062</w:t>
            </w:r>
          </w:p>
        </w:tc>
        <w:tc>
          <w:tcPr>
            <w:tcW w:w="1985" w:type="dxa"/>
            <w:noWrap/>
          </w:tcPr>
          <w:p w14:paraId="5C1A9CE9"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a hospital by a sexual health medicine specialist in the practice of his or her specialty following referral of the patient to him or her by a referring practitioner--initial attendance in a single course of treatment</w:t>
            </w:r>
          </w:p>
        </w:tc>
        <w:tc>
          <w:tcPr>
            <w:tcW w:w="992" w:type="dxa"/>
            <w:noWrap/>
          </w:tcPr>
          <w:p w14:paraId="04028218"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$183.10</w:t>
            </w:r>
          </w:p>
        </w:tc>
        <w:tc>
          <w:tcPr>
            <w:tcW w:w="1276" w:type="dxa"/>
            <w:noWrap/>
          </w:tcPr>
          <w:p w14:paraId="6F459853"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$246</w:t>
            </w:r>
          </w:p>
        </w:tc>
        <w:tc>
          <w:tcPr>
            <w:tcW w:w="0" w:type="dxa"/>
            <w:noWrap/>
          </w:tcPr>
          <w:p w14:paraId="5BF19E8A"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w:t>
            </w:r>
          </w:p>
        </w:tc>
        <w:tc>
          <w:tcPr>
            <w:tcW w:w="1276" w:type="dxa"/>
            <w:noWrap/>
          </w:tcPr>
          <w:p w14:paraId="5F5BEDAC"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64B9BBA5"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0B63BB" w:rsidRPr="00C33C0B" w14:paraId="7AD3DBE1"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47ED28A7" w14:textId="77777777" w:rsidR="001E05F9" w:rsidRPr="00C33C0B" w:rsidRDefault="001E05F9" w:rsidP="00B276AB">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6063</w:t>
            </w:r>
          </w:p>
        </w:tc>
        <w:tc>
          <w:tcPr>
            <w:tcW w:w="1985" w:type="dxa"/>
            <w:noWrap/>
          </w:tcPr>
          <w:p w14:paraId="703D6881"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a hospital by a sexual health medicine specialist in the practice of his or her specialty following referral of the patient to him or her by a referring practitioner--each attendance after the attendance under item 6062 in a single course of treatment</w:t>
            </w:r>
          </w:p>
        </w:tc>
        <w:tc>
          <w:tcPr>
            <w:tcW w:w="992" w:type="dxa"/>
            <w:noWrap/>
          </w:tcPr>
          <w:p w14:paraId="7EDF14E5"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$110.75</w:t>
            </w:r>
          </w:p>
        </w:tc>
        <w:tc>
          <w:tcPr>
            <w:tcW w:w="1276" w:type="dxa"/>
            <w:noWrap/>
          </w:tcPr>
          <w:p w14:paraId="4F319518"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$188</w:t>
            </w:r>
          </w:p>
        </w:tc>
        <w:tc>
          <w:tcPr>
            <w:tcW w:w="0" w:type="dxa"/>
            <w:noWrap/>
          </w:tcPr>
          <w:p w14:paraId="3C3195F5"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w:t>
            </w:r>
          </w:p>
        </w:tc>
        <w:tc>
          <w:tcPr>
            <w:tcW w:w="1276" w:type="dxa"/>
            <w:noWrap/>
          </w:tcPr>
          <w:p w14:paraId="5552A27B"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5E3037A7" w14:textId="77777777" w:rsidR="001E05F9" w:rsidRPr="00C33C0B" w:rsidRDefault="001E05F9" w:rsidP="00B276A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bl>
    <w:p w14:paraId="2698F179" w14:textId="77777777" w:rsidR="0063055E" w:rsidRPr="00C33C0B" w:rsidRDefault="005E0DEC" w:rsidP="0063055E">
      <w:pPr>
        <w:pStyle w:val="Heading2"/>
        <w:numPr>
          <w:ilvl w:val="0"/>
          <w:numId w:val="0"/>
        </w:numPr>
        <w:rPr>
          <w:lang w:val="en-GB"/>
        </w:rPr>
      </w:pPr>
      <w:bookmarkStart w:id="262" w:name="_Toc521442217"/>
      <w:bookmarkStart w:id="263" w:name="_Toc67952276"/>
      <w:bookmarkStart w:id="264" w:name="_Toc521442216"/>
      <w:r>
        <w:rPr>
          <w:lang w:val="en-GB"/>
        </w:rPr>
        <w:t>A.2</w:t>
      </w:r>
      <w:r w:rsidR="0063055E" w:rsidRPr="00C33C0B">
        <w:rPr>
          <w:lang w:val="en-GB"/>
        </w:rPr>
        <w:t>. Complex management plans attendance items</w:t>
      </w:r>
      <w:bookmarkEnd w:id="262"/>
      <w:bookmarkEnd w:id="263"/>
    </w:p>
    <w:tbl>
      <w:tblPr>
        <w:tblStyle w:val="GridTable1Light"/>
        <w:tblW w:w="5127" w:type="pct"/>
        <w:tblLayout w:type="fixed"/>
        <w:tblLook w:val="04A0" w:firstRow="1" w:lastRow="0" w:firstColumn="1" w:lastColumn="0" w:noHBand="0" w:noVBand="1"/>
        <w:tblDescription w:val="Appendix - A.2 Complex Management plans attendance items. A.2 is a 7 column table. Column 1 is the item number. Column 2 is the item descriptor. Column 3 is the schedule fee. Column 4 is the benefits paid in financial year 2016/17. Column 5 is services provided in financial year 2016/17. Column 6 is the 5 yearly growth expressed as a percentage. Column 6 is the recommended change to the item. "/>
      </w:tblPr>
      <w:tblGrid>
        <w:gridCol w:w="644"/>
        <w:gridCol w:w="3320"/>
        <w:gridCol w:w="1134"/>
        <w:gridCol w:w="1251"/>
        <w:gridCol w:w="970"/>
        <w:gridCol w:w="1040"/>
        <w:gridCol w:w="1416"/>
      </w:tblGrid>
      <w:tr w:rsidR="008A5CDC" w:rsidRPr="00C33C0B" w14:paraId="76725BFB"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4" w:type="dxa"/>
            <w:hideMark/>
          </w:tcPr>
          <w:p w14:paraId="54748606" w14:textId="77777777" w:rsidR="001E05F9" w:rsidRPr="00C33C0B" w:rsidRDefault="001E05F9" w:rsidP="0063055E">
            <w:pPr>
              <w:spacing w:before="20" w:after="20"/>
              <w:rPr>
                <w:rFonts w:ascii="Calibri" w:hAnsi="Calibri" w:cs="Calibri"/>
                <w:b w:val="0"/>
                <w:sz w:val="17"/>
                <w:szCs w:val="17"/>
                <w:lang w:val="en-GB"/>
              </w:rPr>
            </w:pPr>
            <w:r w:rsidRPr="00C33C0B">
              <w:rPr>
                <w:rFonts w:ascii="Calibri" w:hAnsi="Calibri" w:cs="Calibri"/>
                <w:sz w:val="17"/>
                <w:szCs w:val="17"/>
                <w:lang w:val="en-GB"/>
              </w:rPr>
              <w:t xml:space="preserve">Item </w:t>
            </w:r>
            <w:r>
              <w:rPr>
                <w:rFonts w:ascii="Calibri" w:hAnsi="Calibri" w:cs="Calibri"/>
                <w:sz w:val="17"/>
                <w:szCs w:val="17"/>
                <w:lang w:val="en-GB"/>
              </w:rPr>
              <w:t>n</w:t>
            </w:r>
            <w:r w:rsidRPr="00C33C0B">
              <w:rPr>
                <w:rFonts w:ascii="Calibri" w:hAnsi="Calibri" w:cs="Calibri"/>
                <w:sz w:val="17"/>
                <w:szCs w:val="17"/>
                <w:lang w:val="en-GB"/>
              </w:rPr>
              <w:t>o.</w:t>
            </w:r>
          </w:p>
        </w:tc>
        <w:tc>
          <w:tcPr>
            <w:tcW w:w="3320" w:type="dxa"/>
            <w:hideMark/>
          </w:tcPr>
          <w:p w14:paraId="15467092" w14:textId="77777777" w:rsidR="001E05F9" w:rsidRPr="00C33C0B" w:rsidRDefault="001E05F9"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Item descriptor</w:t>
            </w:r>
          </w:p>
        </w:tc>
        <w:tc>
          <w:tcPr>
            <w:tcW w:w="1134" w:type="dxa"/>
            <w:hideMark/>
          </w:tcPr>
          <w:p w14:paraId="4A594317" w14:textId="77777777" w:rsidR="001E05F9" w:rsidRPr="00C33C0B" w:rsidRDefault="001E05F9"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 xml:space="preserve">Schedule </w:t>
            </w:r>
            <w:r>
              <w:rPr>
                <w:rFonts w:ascii="Calibri" w:hAnsi="Calibri" w:cs="Calibri"/>
                <w:sz w:val="17"/>
                <w:szCs w:val="17"/>
                <w:lang w:val="en-GB"/>
              </w:rPr>
              <w:t>f</w:t>
            </w:r>
            <w:r w:rsidRPr="00C33C0B">
              <w:rPr>
                <w:rFonts w:ascii="Calibri" w:hAnsi="Calibri" w:cs="Calibri"/>
                <w:sz w:val="17"/>
                <w:szCs w:val="17"/>
                <w:lang w:val="en-GB"/>
              </w:rPr>
              <w:t xml:space="preserve">ee </w:t>
            </w:r>
          </w:p>
        </w:tc>
        <w:tc>
          <w:tcPr>
            <w:tcW w:w="1251" w:type="dxa"/>
            <w:hideMark/>
          </w:tcPr>
          <w:p w14:paraId="5D6FB015" w14:textId="77777777" w:rsidR="001E05F9" w:rsidRPr="00C33C0B" w:rsidRDefault="001E05F9"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Benefits 2016</w:t>
            </w:r>
            <w:r>
              <w:rPr>
                <w:rFonts w:ascii="Calibri" w:hAnsi="Calibri" w:cs="Calibri"/>
                <w:sz w:val="17"/>
                <w:szCs w:val="17"/>
                <w:lang w:val="en-GB"/>
              </w:rPr>
              <w:t>/</w:t>
            </w:r>
            <w:r w:rsidRPr="00C33C0B">
              <w:rPr>
                <w:rFonts w:ascii="Calibri" w:hAnsi="Calibri" w:cs="Calibri"/>
                <w:sz w:val="17"/>
                <w:szCs w:val="17"/>
                <w:lang w:val="en-GB"/>
              </w:rPr>
              <w:t>17</w:t>
            </w:r>
          </w:p>
        </w:tc>
        <w:tc>
          <w:tcPr>
            <w:tcW w:w="970" w:type="dxa"/>
            <w:hideMark/>
          </w:tcPr>
          <w:p w14:paraId="20C2F098" w14:textId="77777777" w:rsidR="001E05F9" w:rsidRPr="00C33C0B" w:rsidRDefault="001E05F9"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Services 2016</w:t>
            </w:r>
            <w:r>
              <w:rPr>
                <w:rFonts w:ascii="Calibri" w:hAnsi="Calibri" w:cs="Calibri"/>
                <w:sz w:val="17"/>
                <w:szCs w:val="17"/>
                <w:lang w:val="en-GB"/>
              </w:rPr>
              <w:t>/</w:t>
            </w:r>
            <w:r w:rsidRPr="00C33C0B">
              <w:rPr>
                <w:rFonts w:ascii="Calibri" w:hAnsi="Calibri" w:cs="Calibri"/>
                <w:sz w:val="17"/>
                <w:szCs w:val="17"/>
                <w:lang w:val="en-GB"/>
              </w:rPr>
              <w:t>17</w:t>
            </w:r>
          </w:p>
        </w:tc>
        <w:tc>
          <w:tcPr>
            <w:tcW w:w="1040" w:type="dxa"/>
            <w:hideMark/>
          </w:tcPr>
          <w:p w14:paraId="7194BE53" w14:textId="77777777" w:rsidR="001E05F9" w:rsidRPr="00C33C0B" w:rsidRDefault="001E05F9"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Services 5-year annual avg. growth</w:t>
            </w:r>
          </w:p>
        </w:tc>
        <w:tc>
          <w:tcPr>
            <w:tcW w:w="1416" w:type="dxa"/>
          </w:tcPr>
          <w:p w14:paraId="72565E73" w14:textId="77777777" w:rsidR="001E05F9" w:rsidRPr="00C33C0B" w:rsidRDefault="001E05F9"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Recommended change</w:t>
            </w:r>
          </w:p>
        </w:tc>
      </w:tr>
      <w:tr w:rsidR="008A5CDC" w:rsidRPr="00C33C0B" w14:paraId="7E98829F" w14:textId="77777777" w:rsidTr="008A5CDC">
        <w:tc>
          <w:tcPr>
            <w:cnfStyle w:val="001000000000" w:firstRow="0" w:lastRow="0" w:firstColumn="1" w:lastColumn="0" w:oddVBand="0" w:evenVBand="0" w:oddHBand="0" w:evenHBand="0" w:firstRowFirstColumn="0" w:firstRowLastColumn="0" w:lastRowFirstColumn="0" w:lastRowLastColumn="0"/>
            <w:tcW w:w="644" w:type="dxa"/>
            <w:noWrap/>
            <w:hideMark/>
          </w:tcPr>
          <w:p w14:paraId="1C3FB647"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132</w:t>
            </w:r>
          </w:p>
        </w:tc>
        <w:tc>
          <w:tcPr>
            <w:tcW w:w="3320" w:type="dxa"/>
            <w:noWrap/>
            <w:hideMark/>
          </w:tcPr>
          <w:p w14:paraId="534092A4"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consultant physician in the practice of his or her specialty (other than psychiatry) of at least 45 minutes in duration for an initial assessment of a patient with at least 2 morbidities (which may include complex congenital, developmental and behavioural disorders) following referral of the patient to him or her by a referring practitioner, if: (a) an assessment is undertaken that covers: (i) a comprehensive history, including psychosocial history and medication review; and (ii) comprehensive multi or detailed single organ system assessment; and (iii) the formulation of differential diagnoses; and (b) a consultant physician treatment and management plan of significant complexity is prepared and provided to the referring practitioner, which involves: (i) an opinion on diagnosis and risk assessment; and (ii) treatment options and decisions; and (iii) medication recommendations; and (c) an attendance on the patient to which item 110, 116 or 119 applies did not take place on the same day by the same consultant physician; and (d) this item has not applied to an attendance on the patient in the preceding 12 months by the same consultant physician</w:t>
            </w:r>
          </w:p>
        </w:tc>
        <w:tc>
          <w:tcPr>
            <w:tcW w:w="1134" w:type="dxa"/>
            <w:noWrap/>
            <w:hideMark/>
          </w:tcPr>
          <w:p w14:paraId="6F46770A"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$263.90 </w:t>
            </w:r>
          </w:p>
        </w:tc>
        <w:tc>
          <w:tcPr>
            <w:tcW w:w="1251" w:type="dxa"/>
            <w:noWrap/>
            <w:hideMark/>
          </w:tcPr>
          <w:p w14:paraId="7D51B630"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$218,143,379 </w:t>
            </w:r>
          </w:p>
        </w:tc>
        <w:tc>
          <w:tcPr>
            <w:tcW w:w="970" w:type="dxa"/>
            <w:noWrap/>
            <w:hideMark/>
          </w:tcPr>
          <w:p w14:paraId="42C73D82"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972,726 </w:t>
            </w:r>
          </w:p>
        </w:tc>
        <w:tc>
          <w:tcPr>
            <w:tcW w:w="1040" w:type="dxa"/>
            <w:noWrap/>
            <w:hideMark/>
          </w:tcPr>
          <w:p w14:paraId="708F779E"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11.8%</w:t>
            </w:r>
          </w:p>
        </w:tc>
        <w:tc>
          <w:tcPr>
            <w:tcW w:w="1416" w:type="dxa"/>
          </w:tcPr>
          <w:p w14:paraId="4AECEEF8"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r w:rsidR="008A5CDC" w:rsidRPr="00C33C0B" w14:paraId="082C9C77" w14:textId="77777777" w:rsidTr="008A5CDC">
        <w:tc>
          <w:tcPr>
            <w:cnfStyle w:val="001000000000" w:firstRow="0" w:lastRow="0" w:firstColumn="1" w:lastColumn="0" w:oddVBand="0" w:evenVBand="0" w:oddHBand="0" w:evenHBand="0" w:firstRowFirstColumn="0" w:firstRowLastColumn="0" w:lastRowFirstColumn="0" w:lastRowLastColumn="0"/>
            <w:tcW w:w="644" w:type="dxa"/>
            <w:noWrap/>
            <w:hideMark/>
          </w:tcPr>
          <w:p w14:paraId="3BD8087F"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133</w:t>
            </w:r>
          </w:p>
        </w:tc>
        <w:tc>
          <w:tcPr>
            <w:tcW w:w="3320" w:type="dxa"/>
            <w:noWrap/>
            <w:hideMark/>
          </w:tcPr>
          <w:p w14:paraId="69CAB7FE"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at least 20 minutes duration subsequent to the first attendance in a single course of treatment for a review of a patient with at least two morbidities (this can include complex congenital, developmental and behavioural disorders), where</w:t>
            </w:r>
            <w:r>
              <w:rPr>
                <w:rFonts w:ascii="Calibri" w:hAnsi="Calibri" w:cs="Calibri"/>
                <w:color w:val="000000"/>
                <w:sz w:val="17"/>
                <w:szCs w:val="17"/>
                <w:lang w:val="en-GB"/>
              </w:rPr>
              <w:t xml:space="preserve"> </w:t>
            </w:r>
            <w:r w:rsidRPr="00C33C0B">
              <w:rPr>
                <w:rFonts w:ascii="Calibri" w:hAnsi="Calibri" w:cs="Calibri"/>
                <w:color w:val="000000"/>
                <w:sz w:val="17"/>
                <w:szCs w:val="17"/>
                <w:lang w:val="en-GB"/>
              </w:rPr>
              <w:t>a) a review is undertaken that covers:- review of initial presenting problem/s and results of diagnostic investigations- review of responses to treatment and medication plans initiated at time of initial consultation comprehensive multi or detailed single organ system assessment,- review of original and differential diagnoses; and b) a modified consultant physician treatment and management plan is provided to the referring practitioner that involves, where appropriate:- a revised opinion on the diagnosis and risk assessment - treatment options and decisions- revised medication recommendations not being an attendance on a patient in respect of whom, an attendance under item 110, 116 and 119 has been received on the same day by the same consultant physician or locum tenens. being an attendance on a patient in respect of whom, in the preceding 12 months, payment has been made under item 132. item 133 can be provided by either the same consultant physician or a locum tenens. payable no more than twice in any 12 month period.</w:t>
            </w:r>
          </w:p>
        </w:tc>
        <w:tc>
          <w:tcPr>
            <w:tcW w:w="1134" w:type="dxa"/>
            <w:noWrap/>
            <w:hideMark/>
          </w:tcPr>
          <w:p w14:paraId="21016C88"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$132.10 </w:t>
            </w:r>
          </w:p>
        </w:tc>
        <w:tc>
          <w:tcPr>
            <w:tcW w:w="1251" w:type="dxa"/>
            <w:noWrap/>
            <w:hideMark/>
          </w:tcPr>
          <w:p w14:paraId="4EAD6E67"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$76,504,490 </w:t>
            </w:r>
          </w:p>
        </w:tc>
        <w:tc>
          <w:tcPr>
            <w:tcW w:w="970" w:type="dxa"/>
            <w:noWrap/>
            <w:hideMark/>
          </w:tcPr>
          <w:p w14:paraId="6E714CD1" w14:textId="453C0BE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674,305 </w:t>
            </w:r>
          </w:p>
        </w:tc>
        <w:tc>
          <w:tcPr>
            <w:tcW w:w="1040" w:type="dxa"/>
            <w:noWrap/>
            <w:hideMark/>
          </w:tcPr>
          <w:p w14:paraId="0B9CE13E"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12.8%</w:t>
            </w:r>
          </w:p>
        </w:tc>
        <w:tc>
          <w:tcPr>
            <w:tcW w:w="1416" w:type="dxa"/>
          </w:tcPr>
          <w:p w14:paraId="1C79CFFB"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r w:rsidR="008A5CDC" w:rsidRPr="00C33C0B" w14:paraId="6496E932" w14:textId="77777777" w:rsidTr="008A5CDC">
        <w:tc>
          <w:tcPr>
            <w:cnfStyle w:val="001000000000" w:firstRow="0" w:lastRow="0" w:firstColumn="1" w:lastColumn="0" w:oddVBand="0" w:evenVBand="0" w:oddHBand="0" w:evenHBand="0" w:firstRowFirstColumn="0" w:firstRowLastColumn="0" w:lastRowFirstColumn="0" w:lastRowLastColumn="0"/>
            <w:tcW w:w="644" w:type="dxa"/>
            <w:noWrap/>
            <w:hideMark/>
          </w:tcPr>
          <w:p w14:paraId="327B3143"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135</w:t>
            </w:r>
          </w:p>
        </w:tc>
        <w:tc>
          <w:tcPr>
            <w:tcW w:w="3320" w:type="dxa"/>
            <w:noWrap/>
            <w:hideMark/>
          </w:tcPr>
          <w:p w14:paraId="3B1D9B60"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at least 45 minutes 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13 years with autism or another pervasive developmental disorder, if the consultant paediatrician does all of the following: (a) undertakes a comprehensive assessment and makes a diagnosis (if appropriate, using information provided by an eligible allied health provider); (b) develops a treatment and management plan, which must include the following: (i) an assessment and diagnosis of the patient's condition; (ii) a risk assessment; (iii) treatment options and decisions; (iv) if necessary—medical recommendations; (c) provides a copy of the treatment and management plan to: (i) the referring practitioner; and (ii) one or more allied health providers, if appropriate, for the treatment of the patient;(other than attendance on a patient for whom payment has previously been made under this item or item 137, 139 or 289)</w:t>
            </w:r>
          </w:p>
        </w:tc>
        <w:tc>
          <w:tcPr>
            <w:tcW w:w="1134" w:type="dxa"/>
            <w:noWrap/>
            <w:hideMark/>
          </w:tcPr>
          <w:p w14:paraId="79DE8903"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$263.90 </w:t>
            </w:r>
          </w:p>
        </w:tc>
        <w:tc>
          <w:tcPr>
            <w:tcW w:w="1251" w:type="dxa"/>
            <w:noWrap/>
            <w:hideMark/>
          </w:tcPr>
          <w:p w14:paraId="693B41CE"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$2,702,445 </w:t>
            </w:r>
          </w:p>
        </w:tc>
        <w:tc>
          <w:tcPr>
            <w:tcW w:w="970" w:type="dxa"/>
            <w:noWrap/>
            <w:hideMark/>
          </w:tcPr>
          <w:p w14:paraId="215876A5" w14:textId="5E729A45"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11,473 </w:t>
            </w:r>
          </w:p>
        </w:tc>
        <w:tc>
          <w:tcPr>
            <w:tcW w:w="1040" w:type="dxa"/>
            <w:noWrap/>
            <w:hideMark/>
          </w:tcPr>
          <w:p w14:paraId="59CC669D"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6.8%</w:t>
            </w:r>
          </w:p>
        </w:tc>
        <w:tc>
          <w:tcPr>
            <w:tcW w:w="1416" w:type="dxa"/>
          </w:tcPr>
          <w:p w14:paraId="11898A9A"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Change item descriptor</w:t>
            </w:r>
          </w:p>
        </w:tc>
      </w:tr>
      <w:tr w:rsidR="008A5CDC" w:rsidRPr="00C33C0B" w14:paraId="775BFFF3" w14:textId="77777777" w:rsidTr="008A5CDC">
        <w:tc>
          <w:tcPr>
            <w:cnfStyle w:val="001000000000" w:firstRow="0" w:lastRow="0" w:firstColumn="1" w:lastColumn="0" w:oddVBand="0" w:evenVBand="0" w:oddHBand="0" w:evenHBand="0" w:firstRowFirstColumn="0" w:firstRowLastColumn="0" w:lastRowFirstColumn="0" w:lastRowLastColumn="0"/>
            <w:tcW w:w="644" w:type="dxa"/>
            <w:noWrap/>
            <w:hideMark/>
          </w:tcPr>
          <w:p w14:paraId="0C7D064C"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137</w:t>
            </w:r>
          </w:p>
        </w:tc>
        <w:tc>
          <w:tcPr>
            <w:tcW w:w="3320" w:type="dxa"/>
            <w:noWrap/>
            <w:hideMark/>
          </w:tcPr>
          <w:p w14:paraId="33675100"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Specialist or consultant physician, referred consultation for assessment, diagnosis and development of a treatment and management plan for a child with an eligible disability - surgery or hospital professional attendance of at least 45 minutes duration, at consulting rooms or hospital, by a specialist or consultant physician, for assessment, diagnosis and the preparation of a treatment and management plan for a child aged under 13 years, with an eligible disability, who has been referred to the specialist or consultant physician by a referring practitioner, if the specialist or consultant physician does the following:(a) undertakes a comprehensive assessment of the child and forms a diagnosis (using the assistance of one or more allied health providers where appropriate)(b) develops a treatment and management plan which must include the following: (i) the outcomes of the assessment; (ii) the diagnosis or diagnoses; (iii) opinion on risk assessment; (iv) treatment options and decisions; (v) appropriate medication recommendations, where necessary.(c) provides a copy of the treatment and management plan to the: (i) referring practitioner; and (ii) relevant allied health providers (where appropriate).not being an attendance on a child in respect of whom payment has previously been made under this item or items 135, 139 or 289.</w:t>
            </w:r>
          </w:p>
        </w:tc>
        <w:tc>
          <w:tcPr>
            <w:tcW w:w="1134" w:type="dxa"/>
            <w:noWrap/>
            <w:hideMark/>
          </w:tcPr>
          <w:p w14:paraId="1D9B3A1B"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$263.90 </w:t>
            </w:r>
          </w:p>
        </w:tc>
        <w:tc>
          <w:tcPr>
            <w:tcW w:w="1251" w:type="dxa"/>
            <w:noWrap/>
            <w:hideMark/>
          </w:tcPr>
          <w:p w14:paraId="6710CDC3"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$95,585 </w:t>
            </w:r>
          </w:p>
        </w:tc>
        <w:tc>
          <w:tcPr>
            <w:tcW w:w="970" w:type="dxa"/>
            <w:noWrap/>
            <w:hideMark/>
          </w:tcPr>
          <w:p w14:paraId="0AB29546"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422 </w:t>
            </w:r>
          </w:p>
        </w:tc>
        <w:tc>
          <w:tcPr>
            <w:tcW w:w="1040" w:type="dxa"/>
            <w:noWrap/>
            <w:hideMark/>
          </w:tcPr>
          <w:p w14:paraId="00155355"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-15.4%</w:t>
            </w:r>
          </w:p>
        </w:tc>
        <w:tc>
          <w:tcPr>
            <w:tcW w:w="1416" w:type="dxa"/>
          </w:tcPr>
          <w:p w14:paraId="4D2AA07F"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Change item descriptor</w:t>
            </w:r>
          </w:p>
        </w:tc>
      </w:tr>
      <w:tr w:rsidR="008A5CDC" w:rsidRPr="00C33C0B" w14:paraId="6036B678" w14:textId="77777777" w:rsidTr="008A5CDC">
        <w:tc>
          <w:tcPr>
            <w:cnfStyle w:val="001000000000" w:firstRow="0" w:lastRow="0" w:firstColumn="1" w:lastColumn="0" w:oddVBand="0" w:evenVBand="0" w:oddHBand="0" w:evenHBand="0" w:firstRowFirstColumn="0" w:firstRowLastColumn="0" w:lastRowFirstColumn="0" w:lastRowLastColumn="0"/>
            <w:tcW w:w="644" w:type="dxa"/>
            <w:noWrap/>
            <w:hideMark/>
          </w:tcPr>
          <w:p w14:paraId="1F7716A0"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141</w:t>
            </w:r>
          </w:p>
        </w:tc>
        <w:tc>
          <w:tcPr>
            <w:tcW w:w="3320" w:type="dxa"/>
            <w:noWrap/>
            <w:hideMark/>
          </w:tcPr>
          <w:p w14:paraId="36ABA9A7"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60 minutes in duration at consulting rooms or hospital by a consultant physician or specialist in the practice of his or her specialty of geriatric medicine, if: (a) the patient is at least 65 years old and referred by a medical practitioner practising in general practice (including a general practitioner, but not including a specialist or consultant physician) or a participating nurse practitioner; and (b) the attendance is initiated by the referring practitioner for the provision of a comprehensive assessment and management plan; and (c) during the attendance: (i) the medical, physical, psychological and social aspects of the patient's health are evaluated in detail using appropriately validated assessment tools if indicated (the assessment); and (ii) the patient's various health problems and care needs are identified and prioritised (the formulation); and (iii) a detailed management plan is prepared (the management plan) setting out: (a) the prioritised list of health problems and care needs; and (b) short and longer term management goals; and (c) recommended actions or intervention strategies to be undertaken by the patient's general practitioner or another relevant health care provider that are likely to improve or maintain health status and are readily available and acceptable to the patient and the patient's family and carers; and (iv) the management plan is explained and discussed with the patient and, if appropriate, the patient's family and any carers; and (v) the management plan is communicated in writing to the referring practitioner; and (d) an attendance to which item 104, 105, 107, 108, 110, 116 or 119 applies has not been provided to the patient on the same day by the same practitioner; and (e) an attendance to which this item or item 145 applies has not been provided to the patient by the same practitioner in the preceding 12 months</w:t>
            </w:r>
          </w:p>
        </w:tc>
        <w:tc>
          <w:tcPr>
            <w:tcW w:w="1134" w:type="dxa"/>
            <w:noWrap/>
            <w:hideMark/>
          </w:tcPr>
          <w:p w14:paraId="729847FA"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$452.65 </w:t>
            </w:r>
          </w:p>
        </w:tc>
        <w:tc>
          <w:tcPr>
            <w:tcW w:w="1251" w:type="dxa"/>
            <w:noWrap/>
            <w:hideMark/>
          </w:tcPr>
          <w:p w14:paraId="570E39A1"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$10,917,413 </w:t>
            </w:r>
          </w:p>
        </w:tc>
        <w:tc>
          <w:tcPr>
            <w:tcW w:w="970" w:type="dxa"/>
            <w:noWrap/>
            <w:hideMark/>
          </w:tcPr>
          <w:p w14:paraId="57C5C069"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28,433 </w:t>
            </w:r>
          </w:p>
        </w:tc>
        <w:tc>
          <w:tcPr>
            <w:tcW w:w="1040" w:type="dxa"/>
            <w:noWrap/>
            <w:hideMark/>
          </w:tcPr>
          <w:p w14:paraId="58735DB3"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15.8%</w:t>
            </w:r>
          </w:p>
        </w:tc>
        <w:tc>
          <w:tcPr>
            <w:tcW w:w="1416" w:type="dxa"/>
          </w:tcPr>
          <w:p w14:paraId="5CDE88E6" w14:textId="77777777" w:rsidR="001E05F9" w:rsidRPr="00C33C0B" w:rsidRDefault="00FC671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p>
        </w:tc>
      </w:tr>
      <w:tr w:rsidR="008A5CDC" w:rsidRPr="00C33C0B" w14:paraId="467FAE13" w14:textId="77777777" w:rsidTr="008A5CDC">
        <w:tc>
          <w:tcPr>
            <w:cnfStyle w:val="001000000000" w:firstRow="0" w:lastRow="0" w:firstColumn="1" w:lastColumn="0" w:oddVBand="0" w:evenVBand="0" w:oddHBand="0" w:evenHBand="0" w:firstRowFirstColumn="0" w:firstRowLastColumn="0" w:lastRowFirstColumn="0" w:lastRowLastColumn="0"/>
            <w:tcW w:w="644" w:type="dxa"/>
            <w:noWrap/>
            <w:hideMark/>
          </w:tcPr>
          <w:p w14:paraId="2E030E69"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143</w:t>
            </w:r>
          </w:p>
        </w:tc>
        <w:tc>
          <w:tcPr>
            <w:tcW w:w="3320" w:type="dxa"/>
            <w:noWrap/>
            <w:hideMark/>
          </w:tcPr>
          <w:p w14:paraId="464C8C70"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30 minutes in duration at consulting rooms or hospital by a consultant physician or specialist in the practice of his or her specialty of geriatric medicine to review a management plan previously prepared by that consultant physician or specialist under item 141 or 145, if: (a) the review is initiated by the referring medical practitioner practising in general practice or a participating nurse practitioner; and (b) during the attendance: (i) the patient's health status is reassessed; and (ii) a management plan prepared under item 141 or 145 is reviewed and revised; and (iii) the revised management plan is explained to the patient and (if appropriate) the patient's family and any carers and communicated in writing to the referring practitioner; and (c) an attendance to which item 104, 105, 107, 108, 110, 116 or 119 applies was not provided to the patient on the same day by the same practitioner; and (d) an attendance to which item 141 or 145 applies has been provided to the patient by the same practitioner in the preceding 12 months; and (e) an attendance to which this item or item 147 applies has not been provided to the patient in the preceding 12 months, unless there has been a significant change in the patient's clinical condition or care circumstances that requires a further review</w:t>
            </w:r>
          </w:p>
        </w:tc>
        <w:tc>
          <w:tcPr>
            <w:tcW w:w="1134" w:type="dxa"/>
            <w:noWrap/>
            <w:hideMark/>
          </w:tcPr>
          <w:p w14:paraId="01B48AAB"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$282.95 </w:t>
            </w:r>
          </w:p>
        </w:tc>
        <w:tc>
          <w:tcPr>
            <w:tcW w:w="1251" w:type="dxa"/>
            <w:noWrap/>
            <w:hideMark/>
          </w:tcPr>
          <w:p w14:paraId="06387DC5"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$3,318,319 </w:t>
            </w:r>
          </w:p>
        </w:tc>
        <w:tc>
          <w:tcPr>
            <w:tcW w:w="970" w:type="dxa"/>
            <w:noWrap/>
            <w:hideMark/>
          </w:tcPr>
          <w:p w14:paraId="403D9229"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13,797 </w:t>
            </w:r>
          </w:p>
        </w:tc>
        <w:tc>
          <w:tcPr>
            <w:tcW w:w="1040" w:type="dxa"/>
            <w:noWrap/>
            <w:hideMark/>
          </w:tcPr>
          <w:p w14:paraId="151D0415"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13.9%</w:t>
            </w:r>
          </w:p>
        </w:tc>
        <w:tc>
          <w:tcPr>
            <w:tcW w:w="1416" w:type="dxa"/>
          </w:tcPr>
          <w:p w14:paraId="153251FA" w14:textId="77777777" w:rsidR="001E05F9" w:rsidRPr="00C33C0B" w:rsidRDefault="00FC671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p>
        </w:tc>
      </w:tr>
      <w:tr w:rsidR="008A5CDC" w:rsidRPr="00C33C0B" w14:paraId="27B0CDA2" w14:textId="77777777" w:rsidTr="008A5CDC">
        <w:tc>
          <w:tcPr>
            <w:cnfStyle w:val="001000000000" w:firstRow="0" w:lastRow="0" w:firstColumn="1" w:lastColumn="0" w:oddVBand="0" w:evenVBand="0" w:oddHBand="0" w:evenHBand="0" w:firstRowFirstColumn="0" w:firstRowLastColumn="0" w:lastRowFirstColumn="0" w:lastRowLastColumn="0"/>
            <w:tcW w:w="644" w:type="dxa"/>
            <w:noWrap/>
            <w:hideMark/>
          </w:tcPr>
          <w:p w14:paraId="2B45E8F8"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145</w:t>
            </w:r>
          </w:p>
        </w:tc>
        <w:tc>
          <w:tcPr>
            <w:tcW w:w="3320" w:type="dxa"/>
            <w:noWrap/>
            <w:hideMark/>
          </w:tcPr>
          <w:p w14:paraId="3407324F"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60 minutes in duration at a place other than consulting rooms or hospital by a consultant physician or specialist in the practice of his or her specialty of geriatric medicine, if: (a) the patient is at least 65 years old and referred by a medical practitioner practising in general practice (including a general practitioner, but not including a specialist or consultant physician) or a participating nurse practitioner; and (b) the attendance is initiated by the referring practitioner for the provision of a comprehensive assessment and management plan; and(c) during the attendance: (i) the medical, physical, psychological and social aspects of the patient's health are evaluated in detail utilising appropriately validated assessment tools if indicated (the assessment); and (ii) the patient's various health problems and care needs are identified and prioritised (the formulation); and (iii) a detailed management plan is prepared (the management plan) setting out: (a) the prioritised list of health problems and care needs; and (b) short and longer term management goals; and (c) recommended actions or intervention strategies, to be undertaken by the patient's general practitioner or another relevant health care provider that are likely to improve or maintain health status and are readily available and acceptable to the patient, the patient's family and any carers; and (iv) the management plan is explained and discussed with the patient and, if appropriate, the patient's family and any carers; and (v) the management plan is communicated in writing to the referring practitioner; and (d) an attendance to which item 104, 105, 107, 108, 110, 116 or 119 applies has not been provided to the patient on the same day by the same practitioner; and (e) an attendance to which this item or item 141 applies has not been provided to the patient by the same practitioner in the preceding 12 months</w:t>
            </w:r>
          </w:p>
        </w:tc>
        <w:tc>
          <w:tcPr>
            <w:tcW w:w="1134" w:type="dxa"/>
            <w:noWrap/>
            <w:hideMark/>
          </w:tcPr>
          <w:p w14:paraId="1321CDBB"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$548.85 </w:t>
            </w:r>
          </w:p>
        </w:tc>
        <w:tc>
          <w:tcPr>
            <w:tcW w:w="1251" w:type="dxa"/>
            <w:noWrap/>
            <w:hideMark/>
          </w:tcPr>
          <w:p w14:paraId="12DE27EC"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$4,938,495 </w:t>
            </w:r>
          </w:p>
        </w:tc>
        <w:tc>
          <w:tcPr>
            <w:tcW w:w="970" w:type="dxa"/>
            <w:noWrap/>
            <w:hideMark/>
          </w:tcPr>
          <w:p w14:paraId="6FAE49EB"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10,526 </w:t>
            </w:r>
          </w:p>
        </w:tc>
        <w:tc>
          <w:tcPr>
            <w:tcW w:w="1040" w:type="dxa"/>
            <w:noWrap/>
            <w:hideMark/>
          </w:tcPr>
          <w:p w14:paraId="0C56BDA0"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32.9%</w:t>
            </w:r>
          </w:p>
        </w:tc>
        <w:tc>
          <w:tcPr>
            <w:tcW w:w="1416" w:type="dxa"/>
          </w:tcPr>
          <w:p w14:paraId="76B56356" w14:textId="77777777" w:rsidR="001E05F9" w:rsidRPr="00C33C0B" w:rsidRDefault="00FC671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p>
        </w:tc>
      </w:tr>
      <w:tr w:rsidR="008A5CDC" w:rsidRPr="00C33C0B" w14:paraId="046F4096" w14:textId="77777777" w:rsidTr="008A5CDC">
        <w:tc>
          <w:tcPr>
            <w:cnfStyle w:val="001000000000" w:firstRow="0" w:lastRow="0" w:firstColumn="1" w:lastColumn="0" w:oddVBand="0" w:evenVBand="0" w:oddHBand="0" w:evenHBand="0" w:firstRowFirstColumn="0" w:firstRowLastColumn="0" w:lastRowFirstColumn="0" w:lastRowLastColumn="0"/>
            <w:tcW w:w="644" w:type="dxa"/>
            <w:noWrap/>
            <w:hideMark/>
          </w:tcPr>
          <w:p w14:paraId="44CD8F33"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147</w:t>
            </w:r>
          </w:p>
        </w:tc>
        <w:tc>
          <w:tcPr>
            <w:tcW w:w="3320" w:type="dxa"/>
            <w:noWrap/>
            <w:hideMark/>
          </w:tcPr>
          <w:p w14:paraId="1CFB7F15"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30 minutes in duration at a place other than consulting rooms or hospital by a consultant physician or specialist in the practice of his or her specialty of geriatric medicine to review a management plan previously prepared by that consultant physician or specialist under items 141 or 145, if: (a) the review is initiated by the referring medical practitioner practising in general practice or a participating nurse practitioner; and (b) during the attendance: (i) the patient's health status is reassessed; and (ii) a management plan that was prepared under item 141 or 145 is reviewed and revised; and (iii) the revised management plan is explained to the patient and (if appropriate) the patient's family and any carers and communicated in writing to the referring practitioner; and (c) an attendance to which item 104, 105, 107, 108, 110, 116 or 119 applies has not been provided to the patient on the same day by the same practitioner; and (d) an attendance to which item 141 or 145 applies has been provided to the patient by the same practitioner in the preceding 12 months; and (e) an attendance to which this item or 143 applies has not been provided by the same practitioner in the preceding 12 months, unless there has been a significant change in the patient's clinical condition or care circumstances that requires a further review</w:t>
            </w:r>
          </w:p>
        </w:tc>
        <w:tc>
          <w:tcPr>
            <w:tcW w:w="1134" w:type="dxa"/>
            <w:noWrap/>
            <w:hideMark/>
          </w:tcPr>
          <w:p w14:paraId="7746FD27"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$343.10 </w:t>
            </w:r>
          </w:p>
        </w:tc>
        <w:tc>
          <w:tcPr>
            <w:tcW w:w="1251" w:type="dxa"/>
            <w:noWrap/>
            <w:hideMark/>
          </w:tcPr>
          <w:p w14:paraId="796AA7AB"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$1,410,833 </w:t>
            </w:r>
          </w:p>
        </w:tc>
        <w:tc>
          <w:tcPr>
            <w:tcW w:w="970" w:type="dxa"/>
            <w:noWrap/>
            <w:hideMark/>
          </w:tcPr>
          <w:p w14:paraId="0BAF378C"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4,835 </w:t>
            </w:r>
          </w:p>
        </w:tc>
        <w:tc>
          <w:tcPr>
            <w:tcW w:w="1040" w:type="dxa"/>
            <w:noWrap/>
            <w:hideMark/>
          </w:tcPr>
          <w:p w14:paraId="5BF2A30A"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37.2%</w:t>
            </w:r>
          </w:p>
        </w:tc>
        <w:tc>
          <w:tcPr>
            <w:tcW w:w="1416" w:type="dxa"/>
          </w:tcPr>
          <w:p w14:paraId="0665A4C8" w14:textId="77777777" w:rsidR="001E05F9" w:rsidRPr="00C33C0B" w:rsidRDefault="00FC671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p>
        </w:tc>
      </w:tr>
      <w:tr w:rsidR="008A5CDC" w:rsidRPr="00C33C0B" w14:paraId="121E2C99" w14:textId="77777777" w:rsidTr="008A5CDC">
        <w:tc>
          <w:tcPr>
            <w:cnfStyle w:val="001000000000" w:firstRow="0" w:lastRow="0" w:firstColumn="1" w:lastColumn="0" w:oddVBand="0" w:evenVBand="0" w:oddHBand="0" w:evenHBand="0" w:firstRowFirstColumn="0" w:firstRowLastColumn="0" w:lastRowFirstColumn="0" w:lastRowLastColumn="0"/>
            <w:tcW w:w="644" w:type="dxa"/>
            <w:noWrap/>
          </w:tcPr>
          <w:p w14:paraId="3B0D6940"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6023</w:t>
            </w:r>
          </w:p>
        </w:tc>
        <w:tc>
          <w:tcPr>
            <w:tcW w:w="3320" w:type="dxa"/>
            <w:noWrap/>
          </w:tcPr>
          <w:p w14:paraId="0C8B7CEB"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of at least 45 minutes for an initial assessment of a patient with at least 2 morbidities, following referral of the patient to him or her by a referring practitioner, if: (a) an assessment is undertaken that covers: (i) a comprehensive history, including psychosocial history and medication review; and (ii) a comprehensive multi or detailed single organ system assessment; and (iii) the formulation of differential diagnoses; and (b) an addiction medicine specialist treatment and management plan of significant complexity that includes the following is prepared and provided to the referring practitioner: (i) an opinion on diagnosis and risk assessment; (ii) treatment options and decisions; (iii) medication recommendations; and (c) an attendance on the patient to which item 104, 105, 110, 116, 119, 132, 133, 6018 or 6019 applies did not take place on the same day by the same addiction medicine specialist; and (d) neither this item nor item 132 has applied to an attendance on the patient in the preceding 12 months by the same addiction medicine specialist</w:t>
            </w:r>
          </w:p>
        </w:tc>
        <w:tc>
          <w:tcPr>
            <w:tcW w:w="1134" w:type="dxa"/>
            <w:noWrap/>
          </w:tcPr>
          <w:p w14:paraId="5E43ED7B"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$263.90</w:t>
            </w:r>
          </w:p>
        </w:tc>
        <w:tc>
          <w:tcPr>
            <w:tcW w:w="1251" w:type="dxa"/>
            <w:noWrap/>
          </w:tcPr>
          <w:p w14:paraId="6EFA64AB"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$130,001</w:t>
            </w:r>
          </w:p>
        </w:tc>
        <w:tc>
          <w:tcPr>
            <w:tcW w:w="970" w:type="dxa"/>
            <w:noWrap/>
          </w:tcPr>
          <w:p w14:paraId="16F4DDEC"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595</w:t>
            </w:r>
          </w:p>
        </w:tc>
        <w:tc>
          <w:tcPr>
            <w:tcW w:w="1040" w:type="dxa"/>
            <w:noWrap/>
          </w:tcPr>
          <w:p w14:paraId="4AF26C7E"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6" w:type="dxa"/>
          </w:tcPr>
          <w:p w14:paraId="5138FBBC"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r w:rsidR="008A5CDC" w:rsidRPr="00C33C0B" w14:paraId="2CAC627C" w14:textId="77777777" w:rsidTr="008A5CDC">
        <w:tc>
          <w:tcPr>
            <w:cnfStyle w:val="001000000000" w:firstRow="0" w:lastRow="0" w:firstColumn="1" w:lastColumn="0" w:oddVBand="0" w:evenVBand="0" w:oddHBand="0" w:evenHBand="0" w:firstRowFirstColumn="0" w:firstRowLastColumn="0" w:lastRowFirstColumn="0" w:lastRowLastColumn="0"/>
            <w:tcW w:w="644" w:type="dxa"/>
            <w:noWrap/>
          </w:tcPr>
          <w:p w14:paraId="2AA1A022"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6024</w:t>
            </w:r>
          </w:p>
        </w:tc>
        <w:tc>
          <w:tcPr>
            <w:tcW w:w="3320" w:type="dxa"/>
            <w:noWrap/>
          </w:tcPr>
          <w:p w14:paraId="1588F4D2"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of at least 20 minutes, after the first attendance in a single course of treatment, for a review of a patient with at least 2 morbidities if: (a) a review is undertaken that covers: (i) review of initial presenting problems and results of diagnostic investigations; and (ii) review of responses to treatment and medication plans initiated at time of initial consultation; and (iii) comprehensive multi or detailed single organ system assessment; and (iv) review of original and differential diagnoses; and (b) the modified addiction medicine specialist treatment and management plan is provided to the referring practitioner, which involves, if appropriate: (i) a revised opinion on diagnosis and risk assessment; and (ii) treatment options and decisions; and (iii) revised medication recommendations; and (c) an attendance on the patient to which item 104, 105, 110, 116, 119, 132, 133, 6018 or 6019 applies did not take place on the same day by the same addiction medicine specialist; and (d) item 6023 applied to an attendance claimed in the preceding 12 months; and (e) the attendance under this item is claimed by the same addiction medicine specialist who claimed item 6023 or by a locum tenens; and (f) this item has not applied more than twice in any 12 month period</w:t>
            </w:r>
          </w:p>
        </w:tc>
        <w:tc>
          <w:tcPr>
            <w:tcW w:w="1134" w:type="dxa"/>
            <w:noWrap/>
          </w:tcPr>
          <w:p w14:paraId="4224E62B"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$132.10</w:t>
            </w:r>
          </w:p>
        </w:tc>
        <w:tc>
          <w:tcPr>
            <w:tcW w:w="1251" w:type="dxa"/>
            <w:noWrap/>
          </w:tcPr>
          <w:p w14:paraId="1C9EDD36"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$25,065</w:t>
            </w:r>
          </w:p>
        </w:tc>
        <w:tc>
          <w:tcPr>
            <w:tcW w:w="970" w:type="dxa"/>
            <w:noWrap/>
          </w:tcPr>
          <w:p w14:paraId="15990F13"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242</w:t>
            </w:r>
          </w:p>
        </w:tc>
        <w:tc>
          <w:tcPr>
            <w:tcW w:w="1040" w:type="dxa"/>
            <w:noWrap/>
          </w:tcPr>
          <w:p w14:paraId="2BE4170F"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6" w:type="dxa"/>
          </w:tcPr>
          <w:p w14:paraId="6855550A"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r w:rsidR="008A5CDC" w:rsidRPr="00C33C0B" w14:paraId="2B6139E7" w14:textId="77777777" w:rsidTr="008A5CDC">
        <w:tc>
          <w:tcPr>
            <w:cnfStyle w:val="001000000000" w:firstRow="0" w:lastRow="0" w:firstColumn="1" w:lastColumn="0" w:oddVBand="0" w:evenVBand="0" w:oddHBand="0" w:evenHBand="0" w:firstRowFirstColumn="0" w:firstRowLastColumn="0" w:lastRowFirstColumn="0" w:lastRowLastColumn="0"/>
            <w:tcW w:w="644" w:type="dxa"/>
            <w:noWrap/>
          </w:tcPr>
          <w:p w14:paraId="6C4B0091"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6057</w:t>
            </w:r>
          </w:p>
        </w:tc>
        <w:tc>
          <w:tcPr>
            <w:tcW w:w="3320" w:type="dxa"/>
            <w:noWrap/>
          </w:tcPr>
          <w:p w14:paraId="1461AC7F"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of at least 45 minutes for an initial assessment of a patient with at least 2 morbidities, following referral of the patient to him or her by a referring practitioner, if: (a) an assessment is undertaken that covers: (i) a comprehensive history, including psychosocial history and medication review; and (ii) a comprehensive multi or detailed single organ system assessment; and (iii) the formulation of differential diagnoses; and (b) a sexual health medicine specialist treatment and management plan of significant complexity that includes the following is prepared and provided to the referring practitioner: (i) an opinion on diagnosis and risk assessment; (ii) treatment options and decisions; (iii) medication recommendations; and (c) an attendance on the patient to which item 104, 105, 110, 116, 119, 132, 133, 6051 or 6052 applies did not take place on the same day by the same sexual health medicine specialist; and (d) neither this item nor item 132 has applied to an attendance on the patient in the preceding 12 months by the same sexual health medicine specialist</w:t>
            </w:r>
          </w:p>
        </w:tc>
        <w:tc>
          <w:tcPr>
            <w:tcW w:w="1134" w:type="dxa"/>
            <w:noWrap/>
          </w:tcPr>
          <w:p w14:paraId="02233452"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$263.90</w:t>
            </w:r>
          </w:p>
        </w:tc>
        <w:tc>
          <w:tcPr>
            <w:tcW w:w="1251" w:type="dxa"/>
            <w:noWrap/>
          </w:tcPr>
          <w:p w14:paraId="1B9AD966"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$147,985</w:t>
            </w:r>
          </w:p>
        </w:tc>
        <w:tc>
          <w:tcPr>
            <w:tcW w:w="970" w:type="dxa"/>
            <w:noWrap/>
          </w:tcPr>
          <w:p w14:paraId="1E92ECF5"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657</w:t>
            </w:r>
          </w:p>
        </w:tc>
        <w:tc>
          <w:tcPr>
            <w:tcW w:w="1040" w:type="dxa"/>
            <w:noWrap/>
          </w:tcPr>
          <w:p w14:paraId="059947C0"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6" w:type="dxa"/>
          </w:tcPr>
          <w:p w14:paraId="646254EF"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r w:rsidR="008A5CDC" w:rsidRPr="00C33C0B" w14:paraId="4E5D8337" w14:textId="77777777" w:rsidTr="008A5CDC">
        <w:tc>
          <w:tcPr>
            <w:cnfStyle w:val="001000000000" w:firstRow="0" w:lastRow="0" w:firstColumn="1" w:lastColumn="0" w:oddVBand="0" w:evenVBand="0" w:oddHBand="0" w:evenHBand="0" w:firstRowFirstColumn="0" w:firstRowLastColumn="0" w:lastRowFirstColumn="0" w:lastRowLastColumn="0"/>
            <w:tcW w:w="644" w:type="dxa"/>
            <w:noWrap/>
          </w:tcPr>
          <w:p w14:paraId="4BF72E08" w14:textId="77777777" w:rsidR="001E05F9" w:rsidRPr="00C33C0B" w:rsidRDefault="001E05F9" w:rsidP="0063055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6058</w:t>
            </w:r>
          </w:p>
        </w:tc>
        <w:tc>
          <w:tcPr>
            <w:tcW w:w="3320" w:type="dxa"/>
            <w:noWrap/>
          </w:tcPr>
          <w:p w14:paraId="64ADBDF3"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of at least 20 minutes, after the first attendance in a single course of treatment, for a review of a patient with at least 2 morbidities if: (a) a review is undertaken that covers: (i) review of initial presenting problems and results of diagnostic investigations; and (ii) review of responses to treatment and medication plans initiated at time of initial consultation; and (iii) comprehensive multi or detailed single organ system assessment; and (iv) review of original and differential diagnoses; and (b) the modified sexual health medicine specialist treatment and management plan is provided to the referring practitioner, which involves, if appropriate: (i) a revised opinion on diagnosis and risk assessment; and (ii) treatment options and decisions; and (iii) revised medication recommendations; and (c) an attendance on the patient, being an attendance to which item 104, 105, 110, 116, 119, 132, 133, 6051 or 6052 applies did not take place on the same day by the same sexual health medicine specialist; and (d) item 6057 applied to an attendance claimed in the preceding 12 months; and (e) the attendance under this item is claimed by the same sexual health medicine specialist who claimed item 6057 or by a locum tenens; and (f) this item has not applied more than twice in any 12 month period</w:t>
            </w:r>
          </w:p>
        </w:tc>
        <w:tc>
          <w:tcPr>
            <w:tcW w:w="1134" w:type="dxa"/>
            <w:noWrap/>
          </w:tcPr>
          <w:p w14:paraId="785CF355"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$132.10</w:t>
            </w:r>
          </w:p>
        </w:tc>
        <w:tc>
          <w:tcPr>
            <w:tcW w:w="1251" w:type="dxa"/>
            <w:noWrap/>
          </w:tcPr>
          <w:p w14:paraId="20EFFED7"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$29,857</w:t>
            </w:r>
          </w:p>
        </w:tc>
        <w:tc>
          <w:tcPr>
            <w:tcW w:w="970" w:type="dxa"/>
            <w:noWrap/>
          </w:tcPr>
          <w:p w14:paraId="3210346E"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263</w:t>
            </w:r>
          </w:p>
        </w:tc>
        <w:tc>
          <w:tcPr>
            <w:tcW w:w="1040" w:type="dxa"/>
            <w:noWrap/>
          </w:tcPr>
          <w:p w14:paraId="32B82DE3"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6" w:type="dxa"/>
          </w:tcPr>
          <w:p w14:paraId="5EC533B5" w14:textId="77777777" w:rsidR="001E05F9" w:rsidRPr="00C33C0B" w:rsidRDefault="001E05F9"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bl>
    <w:p w14:paraId="747FB45C" w14:textId="4436F38E" w:rsidR="00E76A74" w:rsidRPr="00C33C0B" w:rsidRDefault="00E76A74" w:rsidP="00C41DB8">
      <w:pPr>
        <w:pStyle w:val="Heading2"/>
        <w:pageBreakBefore/>
        <w:numPr>
          <w:ilvl w:val="0"/>
          <w:numId w:val="0"/>
        </w:numPr>
        <w:rPr>
          <w:lang w:val="en-GB"/>
        </w:rPr>
      </w:pPr>
      <w:bookmarkStart w:id="265" w:name="_Toc67952277"/>
      <w:r w:rsidRPr="00C33C0B">
        <w:rPr>
          <w:lang w:val="en-GB"/>
        </w:rPr>
        <w:t>A.3. Telehealth attendance items</w:t>
      </w:r>
      <w:bookmarkEnd w:id="264"/>
      <w:r w:rsidR="00F17DD4">
        <w:rPr>
          <w:lang w:val="en-GB"/>
        </w:rPr>
        <w:t xml:space="preserve"> (r</w:t>
      </w:r>
      <w:r w:rsidR="00CC4A5B">
        <w:rPr>
          <w:lang w:val="en-GB"/>
        </w:rPr>
        <w:t>eferred</w:t>
      </w:r>
      <w:r w:rsidR="006D43A0">
        <w:rPr>
          <w:lang w:val="en-GB"/>
        </w:rPr>
        <w:t xml:space="preserve"> </w:t>
      </w:r>
      <w:r w:rsidR="00F17DD4">
        <w:rPr>
          <w:lang w:val="en-GB"/>
        </w:rPr>
        <w:t>to the Taskforce’s Telehealth Working Group for consideration</w:t>
      </w:r>
      <w:r w:rsidR="00CC4A5B">
        <w:rPr>
          <w:lang w:val="en-GB"/>
        </w:rPr>
        <w:t>)</w:t>
      </w:r>
      <w:bookmarkEnd w:id="265"/>
    </w:p>
    <w:tbl>
      <w:tblPr>
        <w:tblStyle w:val="GridTable1Light"/>
        <w:tblW w:w="9634" w:type="dxa"/>
        <w:tblLayout w:type="fixed"/>
        <w:tblLook w:val="04A0" w:firstRow="1" w:lastRow="0" w:firstColumn="1" w:lastColumn="0" w:noHBand="0" w:noVBand="1"/>
        <w:tblDescription w:val="Appendix - A.3 Telehealth attendance items. A.3 is a 7 column table. Column 1 is the item number. Column 2 is the item descriptor. Column 3 is the schedule fee. Column 4 is the benefits paid in financial year 2016/17. Column 5 is services provided in financial year 2016/17. Column 6 is the 5 yearly growth expressed as a percentage. Column 6 is the recommended change to the item. "/>
      </w:tblPr>
      <w:tblGrid>
        <w:gridCol w:w="562"/>
        <w:gridCol w:w="3402"/>
        <w:gridCol w:w="1276"/>
        <w:gridCol w:w="992"/>
        <w:gridCol w:w="851"/>
        <w:gridCol w:w="1134"/>
        <w:gridCol w:w="1417"/>
      </w:tblGrid>
      <w:tr w:rsidR="008A5CDC" w:rsidRPr="00C33C0B" w14:paraId="1783D60E"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hideMark/>
          </w:tcPr>
          <w:p w14:paraId="62373664" w14:textId="77777777" w:rsidR="001E05F9" w:rsidRPr="00C33C0B" w:rsidRDefault="001E05F9" w:rsidP="001C7211">
            <w:pPr>
              <w:spacing w:beforeLines="20" w:before="48" w:afterLines="20" w:after="48" w:line="20" w:lineRule="atLeast"/>
              <w:rPr>
                <w:rFonts w:ascii="Calibri" w:hAnsi="Calibri" w:cs="Calibri"/>
                <w:b w:val="0"/>
                <w:sz w:val="17"/>
                <w:szCs w:val="17"/>
                <w:lang w:val="en-GB"/>
              </w:rPr>
            </w:pPr>
            <w:r w:rsidRPr="00C33C0B">
              <w:rPr>
                <w:rFonts w:ascii="Calibri" w:hAnsi="Calibri" w:cs="Calibri"/>
                <w:sz w:val="17"/>
                <w:szCs w:val="17"/>
                <w:lang w:val="en-GB"/>
              </w:rPr>
              <w:t xml:space="preserve">Item </w:t>
            </w:r>
            <w:r>
              <w:rPr>
                <w:rFonts w:ascii="Calibri" w:hAnsi="Calibri" w:cs="Calibri"/>
                <w:sz w:val="17"/>
                <w:szCs w:val="17"/>
                <w:lang w:val="en-GB"/>
              </w:rPr>
              <w:t>n</w:t>
            </w:r>
            <w:r w:rsidRPr="00C33C0B">
              <w:rPr>
                <w:rFonts w:ascii="Calibri" w:hAnsi="Calibri" w:cs="Calibri"/>
                <w:sz w:val="17"/>
                <w:szCs w:val="17"/>
                <w:lang w:val="en-GB"/>
              </w:rPr>
              <w:t>o.</w:t>
            </w:r>
          </w:p>
        </w:tc>
        <w:tc>
          <w:tcPr>
            <w:tcW w:w="3402" w:type="dxa"/>
            <w:hideMark/>
          </w:tcPr>
          <w:p w14:paraId="7B2E75AA" w14:textId="77777777" w:rsidR="001E05F9" w:rsidRPr="00C33C0B" w:rsidRDefault="001E05F9" w:rsidP="001C7211">
            <w:pPr>
              <w:spacing w:beforeLines="20" w:before="48" w:afterLines="20" w:after="48" w:line="2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Item descriptor</w:t>
            </w:r>
          </w:p>
        </w:tc>
        <w:tc>
          <w:tcPr>
            <w:tcW w:w="1276" w:type="dxa"/>
            <w:hideMark/>
          </w:tcPr>
          <w:p w14:paraId="4064E4B5" w14:textId="77777777" w:rsidR="001E05F9" w:rsidRPr="00C33C0B" w:rsidRDefault="001E05F9" w:rsidP="001C7211">
            <w:pPr>
              <w:spacing w:beforeLines="20" w:before="48" w:afterLines="20" w:after="48" w:line="2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 xml:space="preserve">Schedule </w:t>
            </w:r>
            <w:r>
              <w:rPr>
                <w:rFonts w:ascii="Calibri" w:hAnsi="Calibri" w:cs="Calibri"/>
                <w:sz w:val="17"/>
                <w:szCs w:val="17"/>
                <w:lang w:val="en-GB"/>
              </w:rPr>
              <w:t>f</w:t>
            </w:r>
            <w:r w:rsidRPr="00C33C0B">
              <w:rPr>
                <w:rFonts w:ascii="Calibri" w:hAnsi="Calibri" w:cs="Calibri"/>
                <w:sz w:val="17"/>
                <w:szCs w:val="17"/>
                <w:lang w:val="en-GB"/>
              </w:rPr>
              <w:t xml:space="preserve">ee </w:t>
            </w:r>
          </w:p>
        </w:tc>
        <w:tc>
          <w:tcPr>
            <w:tcW w:w="992" w:type="dxa"/>
            <w:hideMark/>
          </w:tcPr>
          <w:p w14:paraId="79A6C798" w14:textId="77777777" w:rsidR="001E05F9" w:rsidRPr="00C33C0B" w:rsidRDefault="001E05F9" w:rsidP="001C7211">
            <w:pPr>
              <w:spacing w:beforeLines="20" w:before="48" w:afterLines="20" w:after="48" w:line="2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Benefits 2016</w:t>
            </w:r>
            <w:r>
              <w:rPr>
                <w:rFonts w:ascii="Calibri" w:hAnsi="Calibri" w:cs="Calibri"/>
                <w:sz w:val="17"/>
                <w:szCs w:val="17"/>
                <w:lang w:val="en-GB"/>
              </w:rPr>
              <w:t>/</w:t>
            </w:r>
            <w:r w:rsidRPr="00C33C0B">
              <w:rPr>
                <w:rFonts w:ascii="Calibri" w:hAnsi="Calibri" w:cs="Calibri"/>
                <w:sz w:val="17"/>
                <w:szCs w:val="17"/>
                <w:lang w:val="en-GB"/>
              </w:rPr>
              <w:t>17</w:t>
            </w:r>
          </w:p>
        </w:tc>
        <w:tc>
          <w:tcPr>
            <w:tcW w:w="851" w:type="dxa"/>
            <w:hideMark/>
          </w:tcPr>
          <w:p w14:paraId="0E441C3D" w14:textId="77777777" w:rsidR="001E05F9" w:rsidRPr="00C33C0B" w:rsidRDefault="001E05F9" w:rsidP="001C7211">
            <w:pPr>
              <w:spacing w:beforeLines="20" w:before="48" w:afterLines="20" w:after="48" w:line="2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Services 2016</w:t>
            </w:r>
            <w:r>
              <w:rPr>
                <w:rFonts w:ascii="Calibri" w:hAnsi="Calibri" w:cs="Calibri"/>
                <w:sz w:val="17"/>
                <w:szCs w:val="17"/>
                <w:lang w:val="en-GB"/>
              </w:rPr>
              <w:t>/</w:t>
            </w:r>
            <w:r w:rsidRPr="00C33C0B">
              <w:rPr>
                <w:rFonts w:ascii="Calibri" w:hAnsi="Calibri" w:cs="Calibri"/>
                <w:sz w:val="17"/>
                <w:szCs w:val="17"/>
                <w:lang w:val="en-GB"/>
              </w:rPr>
              <w:t>17</w:t>
            </w:r>
          </w:p>
        </w:tc>
        <w:tc>
          <w:tcPr>
            <w:tcW w:w="1134" w:type="dxa"/>
            <w:hideMark/>
          </w:tcPr>
          <w:p w14:paraId="65FC1A1D" w14:textId="77777777" w:rsidR="001E05F9" w:rsidRPr="00C33C0B" w:rsidRDefault="001E05F9" w:rsidP="001C7211">
            <w:pPr>
              <w:spacing w:beforeLines="20" w:before="48" w:afterLines="20" w:after="48" w:line="2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Services 5-year annual avg. growth</w:t>
            </w:r>
          </w:p>
        </w:tc>
        <w:tc>
          <w:tcPr>
            <w:tcW w:w="1417" w:type="dxa"/>
          </w:tcPr>
          <w:p w14:paraId="1382AF18" w14:textId="77777777" w:rsidR="001E05F9" w:rsidRPr="00C33C0B" w:rsidRDefault="001E05F9" w:rsidP="001C7211">
            <w:pPr>
              <w:spacing w:beforeLines="20" w:before="48" w:afterLines="20" w:after="48" w:line="2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sz w:val="17"/>
                <w:szCs w:val="17"/>
                <w:lang w:val="en-GB"/>
              </w:rPr>
            </w:pPr>
            <w:r w:rsidRPr="00C33C0B">
              <w:rPr>
                <w:rFonts w:ascii="Calibri" w:hAnsi="Calibri" w:cs="Calibri"/>
                <w:sz w:val="17"/>
                <w:szCs w:val="17"/>
                <w:lang w:val="en-GB"/>
              </w:rPr>
              <w:t>Recommended change</w:t>
            </w:r>
          </w:p>
        </w:tc>
      </w:tr>
      <w:tr w:rsidR="008A5CDC" w:rsidRPr="00C33C0B" w14:paraId="0668CF8A"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7B7A29D"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99</w:t>
            </w:r>
          </w:p>
        </w:tc>
        <w:tc>
          <w:tcPr>
            <w:tcW w:w="3402" w:type="dxa"/>
            <w:noWrap/>
            <w:hideMark/>
          </w:tcPr>
          <w:p w14:paraId="1AE63E79"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practising in his or her specialty if: (a) the attendance is by video conference; and (b) the attendance is for a service: (i) provided with item 104 lasting more than 10 minutes; or (ii) provided with item 105; and (c) the patient is not an admitted patient; and (d)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w:t>
            </w:r>
          </w:p>
        </w:tc>
        <w:tc>
          <w:tcPr>
            <w:tcW w:w="1276" w:type="dxa"/>
            <w:noWrap/>
            <w:hideMark/>
          </w:tcPr>
          <w:p w14:paraId="0DF76ED8"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Derived Fee </w:t>
            </w:r>
          </w:p>
        </w:tc>
        <w:tc>
          <w:tcPr>
            <w:tcW w:w="992" w:type="dxa"/>
            <w:noWrap/>
            <w:hideMark/>
          </w:tcPr>
          <w:p w14:paraId="68640180"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$726,446 </w:t>
            </w:r>
          </w:p>
        </w:tc>
        <w:tc>
          <w:tcPr>
            <w:tcW w:w="851" w:type="dxa"/>
            <w:noWrap/>
            <w:hideMark/>
          </w:tcPr>
          <w:p w14:paraId="5F9A6BB5"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10,137 </w:t>
            </w:r>
          </w:p>
        </w:tc>
        <w:tc>
          <w:tcPr>
            <w:tcW w:w="1134" w:type="dxa"/>
            <w:noWrap/>
            <w:hideMark/>
          </w:tcPr>
          <w:p w14:paraId="4222E149"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22.3%</w:t>
            </w:r>
          </w:p>
        </w:tc>
        <w:tc>
          <w:tcPr>
            <w:tcW w:w="1417" w:type="dxa"/>
          </w:tcPr>
          <w:p w14:paraId="4F2981E3" w14:textId="6996896E"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Step-wise reduction in loading followed by introduction of time-tiered telehealth attendance items</w:t>
            </w:r>
            <w:r w:rsidR="006D43A0" w:rsidRPr="007225AE">
              <w:rPr>
                <w:rFonts w:ascii="Calibri" w:hAnsi="Calibri" w:cs="Calibri"/>
                <w:color w:val="000000"/>
                <w:sz w:val="17"/>
                <w:szCs w:val="17"/>
                <w:lang w:val="en-GB"/>
              </w:rPr>
              <w:t>.</w:t>
            </w:r>
          </w:p>
        </w:tc>
      </w:tr>
      <w:tr w:rsidR="008A5CDC" w:rsidRPr="00C33C0B" w14:paraId="5E7100CC"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7DEE8E16"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112</w:t>
            </w:r>
          </w:p>
        </w:tc>
        <w:tc>
          <w:tcPr>
            <w:tcW w:w="3402" w:type="dxa"/>
            <w:noWrap/>
          </w:tcPr>
          <w:p w14:paraId="43CDE198"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physician practising in his or her specialty if: (a) the attendance is by video conference; and (b) the attendance is for a service: (i) provided with item 110 lasting more than 10 minutes; or (ii) provided with item 116, 119, 132 or 133; and (c) the patient is not an admitted patient; and (d)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w:t>
            </w:r>
          </w:p>
        </w:tc>
        <w:tc>
          <w:tcPr>
            <w:tcW w:w="1276" w:type="dxa"/>
            <w:noWrap/>
          </w:tcPr>
          <w:p w14:paraId="4C546AF2"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992" w:type="dxa"/>
            <w:noWrap/>
          </w:tcPr>
          <w:p w14:paraId="5D97A0E0"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$7,954,688 </w:t>
            </w:r>
          </w:p>
        </w:tc>
        <w:tc>
          <w:tcPr>
            <w:tcW w:w="851" w:type="dxa"/>
            <w:noWrap/>
          </w:tcPr>
          <w:p w14:paraId="1D039ED9"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55,445 </w:t>
            </w:r>
          </w:p>
        </w:tc>
        <w:tc>
          <w:tcPr>
            <w:tcW w:w="1134" w:type="dxa"/>
            <w:noWrap/>
          </w:tcPr>
          <w:p w14:paraId="2EF1ACC5"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43.6%</w:t>
            </w:r>
          </w:p>
        </w:tc>
        <w:tc>
          <w:tcPr>
            <w:tcW w:w="1417" w:type="dxa"/>
          </w:tcPr>
          <w:p w14:paraId="087DD56A"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Step-wise reduction in loading followed by introduction of time-tiered telehealth attendance items</w:t>
            </w:r>
          </w:p>
        </w:tc>
      </w:tr>
      <w:tr w:rsidR="008A5CDC" w:rsidRPr="00C33C0B" w14:paraId="709C5A07"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0388247"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113</w:t>
            </w:r>
          </w:p>
        </w:tc>
        <w:tc>
          <w:tcPr>
            <w:tcW w:w="3402" w:type="dxa"/>
            <w:noWrap/>
            <w:hideMark/>
          </w:tcPr>
          <w:p w14:paraId="02EAB46A"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in the practice of his or her speciality if: (a) the attendance is by video conference; and (b) the patient is not an admitted patient; and (c)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276" w:type="dxa"/>
            <w:noWrap/>
            <w:hideMark/>
          </w:tcPr>
          <w:p w14:paraId="0117F917"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$64.20 </w:t>
            </w:r>
          </w:p>
        </w:tc>
        <w:tc>
          <w:tcPr>
            <w:tcW w:w="992" w:type="dxa"/>
            <w:noWrap/>
            <w:hideMark/>
          </w:tcPr>
          <w:p w14:paraId="0FBB8BC7"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$1,937 </w:t>
            </w:r>
          </w:p>
        </w:tc>
        <w:tc>
          <w:tcPr>
            <w:tcW w:w="851" w:type="dxa"/>
            <w:noWrap/>
            <w:hideMark/>
          </w:tcPr>
          <w:p w14:paraId="28EE000B"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31 </w:t>
            </w:r>
          </w:p>
        </w:tc>
        <w:tc>
          <w:tcPr>
            <w:tcW w:w="1134" w:type="dxa"/>
            <w:noWrap/>
            <w:hideMark/>
          </w:tcPr>
          <w:p w14:paraId="4D8479E6"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6E4538AE"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Remove from MBS</w:t>
            </w:r>
          </w:p>
        </w:tc>
      </w:tr>
      <w:tr w:rsidR="008A5CDC" w:rsidRPr="00C33C0B" w14:paraId="1115E889"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936B142"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114</w:t>
            </w:r>
          </w:p>
        </w:tc>
        <w:tc>
          <w:tcPr>
            <w:tcW w:w="3402" w:type="dxa"/>
            <w:noWrap/>
            <w:hideMark/>
          </w:tcPr>
          <w:p w14:paraId="023B0E6B"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consultant physician practising in his or her specialty if: (a) the attendance is by video conference; and (b) the patient is not an admitted patient; and (c)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276" w:type="dxa"/>
            <w:noWrap/>
            <w:hideMark/>
          </w:tcPr>
          <w:p w14:paraId="2EA4BF64"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$113.20 </w:t>
            </w:r>
          </w:p>
        </w:tc>
        <w:tc>
          <w:tcPr>
            <w:tcW w:w="992" w:type="dxa"/>
            <w:noWrap/>
            <w:hideMark/>
          </w:tcPr>
          <w:p w14:paraId="014F32BB"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$11,032 </w:t>
            </w:r>
          </w:p>
        </w:tc>
        <w:tc>
          <w:tcPr>
            <w:tcW w:w="851" w:type="dxa"/>
            <w:noWrap/>
            <w:hideMark/>
          </w:tcPr>
          <w:p w14:paraId="5659DA6B"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117 </w:t>
            </w:r>
          </w:p>
        </w:tc>
        <w:tc>
          <w:tcPr>
            <w:tcW w:w="1134" w:type="dxa"/>
            <w:noWrap/>
            <w:hideMark/>
          </w:tcPr>
          <w:p w14:paraId="501D1456"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06A207E7"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Remove from MBS</w:t>
            </w:r>
          </w:p>
        </w:tc>
      </w:tr>
      <w:tr w:rsidR="008A5CDC" w:rsidRPr="00C33C0B" w14:paraId="63A8E323"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10868B6A"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149</w:t>
            </w:r>
          </w:p>
        </w:tc>
        <w:tc>
          <w:tcPr>
            <w:tcW w:w="3402" w:type="dxa"/>
            <w:noWrap/>
            <w:hideMark/>
          </w:tcPr>
          <w:p w14:paraId="149F2B77"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physician or specialist practising in his or her specialty of geriatric medicine if: (a) the attendance is by video conference; and (b) item 141 or 143 applies to the attendance; and (c) the patient is not an admitted patient; and (d) the patient: (i) is located both: (a) within a telehealth eligible area; and (b) at the time of the attendance--at least 15 kms by road from the physician or specialist; or (ii) is a care recipient in a residential care service; or (iii) is a patient of: (a) an aboriginal medical service; or (b) an aboriginal community controlled health service: for which a direction made under subsection 19(2) of the act applies</w:t>
            </w:r>
          </w:p>
        </w:tc>
        <w:tc>
          <w:tcPr>
            <w:tcW w:w="1276" w:type="dxa"/>
            <w:noWrap/>
            <w:hideMark/>
          </w:tcPr>
          <w:p w14:paraId="3953326C"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992" w:type="dxa"/>
            <w:noWrap/>
            <w:hideMark/>
          </w:tcPr>
          <w:p w14:paraId="47C229EF"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$251,984 </w:t>
            </w:r>
          </w:p>
        </w:tc>
        <w:tc>
          <w:tcPr>
            <w:tcW w:w="851" w:type="dxa"/>
            <w:noWrap/>
            <w:hideMark/>
          </w:tcPr>
          <w:p w14:paraId="7ECF8159"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462 </w:t>
            </w:r>
          </w:p>
        </w:tc>
        <w:tc>
          <w:tcPr>
            <w:tcW w:w="1134" w:type="dxa"/>
            <w:noWrap/>
            <w:hideMark/>
          </w:tcPr>
          <w:p w14:paraId="79A23721"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43.4%</w:t>
            </w:r>
          </w:p>
        </w:tc>
        <w:tc>
          <w:tcPr>
            <w:tcW w:w="1417" w:type="dxa"/>
          </w:tcPr>
          <w:p w14:paraId="5F29DA4F"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Step-wise reduction in loading followed by introduction of time-tiered telehealth attendance items</w:t>
            </w:r>
          </w:p>
        </w:tc>
      </w:tr>
      <w:tr w:rsidR="008A5CDC" w:rsidRPr="00C33C0B" w14:paraId="5549BB77"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611E98C5"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384</w:t>
            </w:r>
          </w:p>
        </w:tc>
        <w:tc>
          <w:tcPr>
            <w:tcW w:w="3402" w:type="dxa"/>
            <w:noWrap/>
            <w:hideMark/>
          </w:tcPr>
          <w:p w14:paraId="6DD79C59"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consultant occupational physician practising in his or her specialty of occupational medicine if: (a) the attendance is by video conference; and (b) the patient is not an admitted patient; and (c)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276" w:type="dxa"/>
            <w:noWrap/>
            <w:hideMark/>
          </w:tcPr>
          <w:p w14:paraId="0395F9EC"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$64.20 </w:t>
            </w:r>
          </w:p>
        </w:tc>
        <w:tc>
          <w:tcPr>
            <w:tcW w:w="992" w:type="dxa"/>
            <w:noWrap/>
            <w:hideMark/>
          </w:tcPr>
          <w:p w14:paraId="2BA18251"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$164 </w:t>
            </w:r>
          </w:p>
        </w:tc>
        <w:tc>
          <w:tcPr>
            <w:tcW w:w="851" w:type="dxa"/>
            <w:noWrap/>
            <w:hideMark/>
          </w:tcPr>
          <w:p w14:paraId="6E111E03"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3 </w:t>
            </w:r>
          </w:p>
        </w:tc>
        <w:tc>
          <w:tcPr>
            <w:tcW w:w="1134" w:type="dxa"/>
            <w:noWrap/>
            <w:hideMark/>
          </w:tcPr>
          <w:p w14:paraId="21B948F6"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5C30C02F"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Remove from MBS</w:t>
            </w:r>
          </w:p>
        </w:tc>
      </w:tr>
      <w:tr w:rsidR="008A5CDC" w:rsidRPr="00C33C0B" w14:paraId="0BB5F41B"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08A9AFC2"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389</w:t>
            </w:r>
          </w:p>
        </w:tc>
        <w:tc>
          <w:tcPr>
            <w:tcW w:w="3402" w:type="dxa"/>
            <w:noWrap/>
            <w:hideMark/>
          </w:tcPr>
          <w:p w14:paraId="70C84BB0"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occupational physician practising in his or her specialty of occupational medicine if: (a) the attendance is by video conference; and (b) the attendance is for a service: (i) provided with item 385 lasting more than 10 minutes; or (ii) provided with item 386; and (c) the patient is not an admitted patient; and (d)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w:t>
            </w:r>
          </w:p>
        </w:tc>
        <w:tc>
          <w:tcPr>
            <w:tcW w:w="1276" w:type="dxa"/>
            <w:noWrap/>
            <w:hideMark/>
          </w:tcPr>
          <w:p w14:paraId="4F0C9134"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992" w:type="dxa"/>
            <w:noWrap/>
            <w:hideMark/>
          </w:tcPr>
          <w:p w14:paraId="302B51E1"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w:t>
            </w:r>
          </w:p>
        </w:tc>
        <w:tc>
          <w:tcPr>
            <w:tcW w:w="851" w:type="dxa"/>
            <w:noWrap/>
            <w:hideMark/>
          </w:tcPr>
          <w:p w14:paraId="08F1045A"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 </w:t>
            </w:r>
          </w:p>
        </w:tc>
        <w:tc>
          <w:tcPr>
            <w:tcW w:w="1134" w:type="dxa"/>
            <w:noWrap/>
            <w:hideMark/>
          </w:tcPr>
          <w:p w14:paraId="21409B7B"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-100.0%</w:t>
            </w:r>
          </w:p>
        </w:tc>
        <w:tc>
          <w:tcPr>
            <w:tcW w:w="1417" w:type="dxa"/>
          </w:tcPr>
          <w:p w14:paraId="46998CA8"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Step-wise reduction in loading followed by introduction of time-tiered telehealth attendance items</w:t>
            </w:r>
          </w:p>
        </w:tc>
      </w:tr>
      <w:tr w:rsidR="008A5CDC" w:rsidRPr="00C33C0B" w14:paraId="7B5C3E6B"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E6278F0"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2799</w:t>
            </w:r>
          </w:p>
        </w:tc>
        <w:tc>
          <w:tcPr>
            <w:tcW w:w="3402" w:type="dxa"/>
            <w:noWrap/>
            <w:hideMark/>
          </w:tcPr>
          <w:p w14:paraId="02C673D2"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or consultant physician practising in his or her specialty of pain medicine if: (a) the attendance is by video conference; and (b) the patient is not an admitted patient; and (c)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276" w:type="dxa"/>
            <w:noWrap/>
            <w:hideMark/>
          </w:tcPr>
          <w:p w14:paraId="1255F098"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$113.20 </w:t>
            </w:r>
          </w:p>
        </w:tc>
        <w:tc>
          <w:tcPr>
            <w:tcW w:w="992" w:type="dxa"/>
            <w:noWrap/>
            <w:hideMark/>
          </w:tcPr>
          <w:p w14:paraId="05FBBEA2"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$96 </w:t>
            </w:r>
          </w:p>
        </w:tc>
        <w:tc>
          <w:tcPr>
            <w:tcW w:w="851" w:type="dxa"/>
            <w:noWrap/>
            <w:hideMark/>
          </w:tcPr>
          <w:p w14:paraId="25CCF4F1"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 </w:t>
            </w:r>
          </w:p>
        </w:tc>
        <w:tc>
          <w:tcPr>
            <w:tcW w:w="1134" w:type="dxa"/>
            <w:noWrap/>
            <w:hideMark/>
          </w:tcPr>
          <w:p w14:paraId="42DD7BD8"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N/A</w:t>
            </w:r>
          </w:p>
        </w:tc>
        <w:tc>
          <w:tcPr>
            <w:tcW w:w="1417" w:type="dxa"/>
          </w:tcPr>
          <w:p w14:paraId="45E4F372"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Remove from MBS</w:t>
            </w:r>
          </w:p>
        </w:tc>
      </w:tr>
      <w:tr w:rsidR="008A5CDC" w:rsidRPr="00C33C0B" w14:paraId="77995DD3"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1CD37F31"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2820</w:t>
            </w:r>
          </w:p>
        </w:tc>
        <w:tc>
          <w:tcPr>
            <w:tcW w:w="3402" w:type="dxa"/>
            <w:noWrap/>
            <w:hideMark/>
          </w:tcPr>
          <w:p w14:paraId="78C33910"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or consultant physician practising in his or her specialty of pain medicine if: (a) the attendance is by video conference; and (b) the attendance is for a service: (i) provided with item 2801 lasting more than 10 minutes; or (ii) provided with item 2806 or 2814; and (c) the patient is not an admitted patient; and (d)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w:t>
            </w:r>
          </w:p>
        </w:tc>
        <w:tc>
          <w:tcPr>
            <w:tcW w:w="1276" w:type="dxa"/>
            <w:noWrap/>
            <w:hideMark/>
          </w:tcPr>
          <w:p w14:paraId="747118D7"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992" w:type="dxa"/>
            <w:noWrap/>
            <w:hideMark/>
          </w:tcPr>
          <w:p w14:paraId="31D2DE07"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$47,548 </w:t>
            </w:r>
          </w:p>
        </w:tc>
        <w:tc>
          <w:tcPr>
            <w:tcW w:w="851" w:type="dxa"/>
            <w:noWrap/>
            <w:hideMark/>
          </w:tcPr>
          <w:p w14:paraId="019C7801"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374 </w:t>
            </w:r>
          </w:p>
        </w:tc>
        <w:tc>
          <w:tcPr>
            <w:tcW w:w="1134" w:type="dxa"/>
            <w:noWrap/>
            <w:hideMark/>
          </w:tcPr>
          <w:p w14:paraId="6AB48073"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44.5%</w:t>
            </w:r>
          </w:p>
        </w:tc>
        <w:tc>
          <w:tcPr>
            <w:tcW w:w="1417" w:type="dxa"/>
          </w:tcPr>
          <w:p w14:paraId="29B09D90"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Step-wise reduction in loading followed by introduction of time-tiered telehealth attendance items</w:t>
            </w:r>
          </w:p>
        </w:tc>
      </w:tr>
      <w:tr w:rsidR="008A5CDC" w:rsidRPr="00C33C0B" w14:paraId="1CFF344A"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1B1508D"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3003</w:t>
            </w:r>
          </w:p>
        </w:tc>
        <w:tc>
          <w:tcPr>
            <w:tcW w:w="3402" w:type="dxa"/>
            <w:noWrap/>
            <w:hideMark/>
          </w:tcPr>
          <w:p w14:paraId="1A6C1674"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or consultant physician practising in his or her specialty of palliative medicine if: (a) the attendance is by video conference; and (b) the patient is not an admitted patient; and (c)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276" w:type="dxa"/>
            <w:noWrap/>
            <w:hideMark/>
          </w:tcPr>
          <w:p w14:paraId="3FA622D4"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$113.20 </w:t>
            </w:r>
          </w:p>
        </w:tc>
        <w:tc>
          <w:tcPr>
            <w:tcW w:w="992" w:type="dxa"/>
            <w:noWrap/>
            <w:hideMark/>
          </w:tcPr>
          <w:p w14:paraId="6392EBD1"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$193 </w:t>
            </w:r>
          </w:p>
        </w:tc>
        <w:tc>
          <w:tcPr>
            <w:tcW w:w="851" w:type="dxa"/>
            <w:noWrap/>
            <w:hideMark/>
          </w:tcPr>
          <w:p w14:paraId="166D91BC"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2 </w:t>
            </w:r>
          </w:p>
        </w:tc>
        <w:tc>
          <w:tcPr>
            <w:tcW w:w="1134" w:type="dxa"/>
            <w:noWrap/>
            <w:hideMark/>
          </w:tcPr>
          <w:p w14:paraId="047CA6DA"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3D19AC99"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Remove from MBS</w:t>
            </w:r>
          </w:p>
        </w:tc>
      </w:tr>
      <w:tr w:rsidR="008A5CDC" w:rsidRPr="00C33C0B" w14:paraId="63F7A6EC"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0585B20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3015</w:t>
            </w:r>
          </w:p>
        </w:tc>
        <w:tc>
          <w:tcPr>
            <w:tcW w:w="3402" w:type="dxa"/>
            <w:noWrap/>
            <w:hideMark/>
          </w:tcPr>
          <w:p w14:paraId="750BAAC1"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or consultant physician practising in his or her specialty of palliative medicine if: (a) the attendance is by video conference; and (b) the attendance is for a service: (i) provided with item 3005 lasting more than 10 minutes; or (ii) provided with item 3010 or 3014; and (c) the patient is not an admitted patient; and (d)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w:t>
            </w:r>
          </w:p>
        </w:tc>
        <w:tc>
          <w:tcPr>
            <w:tcW w:w="1276" w:type="dxa"/>
            <w:noWrap/>
            <w:hideMark/>
          </w:tcPr>
          <w:p w14:paraId="5BA2A3C0"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992" w:type="dxa"/>
            <w:noWrap/>
            <w:hideMark/>
          </w:tcPr>
          <w:p w14:paraId="0970DD7C"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$20,217 </w:t>
            </w:r>
          </w:p>
        </w:tc>
        <w:tc>
          <w:tcPr>
            <w:tcW w:w="851" w:type="dxa"/>
            <w:noWrap/>
            <w:hideMark/>
          </w:tcPr>
          <w:p w14:paraId="49EDA4A1"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181 </w:t>
            </w:r>
          </w:p>
        </w:tc>
        <w:tc>
          <w:tcPr>
            <w:tcW w:w="1134" w:type="dxa"/>
            <w:noWrap/>
            <w:hideMark/>
          </w:tcPr>
          <w:p w14:paraId="3CD19260"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121.9%</w:t>
            </w:r>
          </w:p>
        </w:tc>
        <w:tc>
          <w:tcPr>
            <w:tcW w:w="1417" w:type="dxa"/>
          </w:tcPr>
          <w:p w14:paraId="4EE93734"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Step-wise reduction in loading followed by introduction of time-tiered telehealth attendance items</w:t>
            </w:r>
          </w:p>
        </w:tc>
      </w:tr>
      <w:tr w:rsidR="008A5CDC" w:rsidRPr="00C33C0B" w14:paraId="0B680D7F"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ECB8E31"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6004</w:t>
            </w:r>
          </w:p>
        </w:tc>
        <w:tc>
          <w:tcPr>
            <w:tcW w:w="3402" w:type="dxa"/>
            <w:noWrap/>
            <w:hideMark/>
          </w:tcPr>
          <w:p w14:paraId="521ABB33"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practising in his or her specialty of neurosurgery if: (a) the attendance is by video conference; and (b) the patient is not an admitted patient; and (c)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276" w:type="dxa"/>
            <w:noWrap/>
            <w:hideMark/>
          </w:tcPr>
          <w:p w14:paraId="668C85B7"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$97.20 </w:t>
            </w:r>
          </w:p>
        </w:tc>
        <w:tc>
          <w:tcPr>
            <w:tcW w:w="992" w:type="dxa"/>
            <w:noWrap/>
            <w:hideMark/>
          </w:tcPr>
          <w:p w14:paraId="37F2B6CA"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$413 </w:t>
            </w:r>
          </w:p>
        </w:tc>
        <w:tc>
          <w:tcPr>
            <w:tcW w:w="851" w:type="dxa"/>
            <w:noWrap/>
            <w:hideMark/>
          </w:tcPr>
          <w:p w14:paraId="755B4024"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5 </w:t>
            </w:r>
          </w:p>
        </w:tc>
        <w:tc>
          <w:tcPr>
            <w:tcW w:w="1134" w:type="dxa"/>
            <w:noWrap/>
            <w:hideMark/>
          </w:tcPr>
          <w:p w14:paraId="48B8A056"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6DEBD570"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Remove from MBS</w:t>
            </w:r>
          </w:p>
        </w:tc>
      </w:tr>
      <w:tr w:rsidR="008A5CDC" w:rsidRPr="00C33C0B" w14:paraId="18A14771"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1DA7284"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6016</w:t>
            </w:r>
          </w:p>
        </w:tc>
        <w:tc>
          <w:tcPr>
            <w:tcW w:w="3402" w:type="dxa"/>
            <w:noWrap/>
            <w:hideMark/>
          </w:tcPr>
          <w:p w14:paraId="24680055"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practising in his or her specialty of neurosurgery if: (a) the attendance is by video conference; and (b) the attendance is for a service: (i) provided with item 6007 lasting more than 10 minutes; or (ii) provided with item 6009, 6011, 6013 or 6015; and (c) the patient is not an admitted patient; and (d)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w:t>
            </w:r>
          </w:p>
        </w:tc>
        <w:tc>
          <w:tcPr>
            <w:tcW w:w="1276" w:type="dxa"/>
            <w:noWrap/>
            <w:hideMark/>
          </w:tcPr>
          <w:p w14:paraId="44E17034"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992" w:type="dxa"/>
            <w:noWrap/>
            <w:hideMark/>
          </w:tcPr>
          <w:p w14:paraId="179A64FE"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$79,387 </w:t>
            </w:r>
          </w:p>
        </w:tc>
        <w:tc>
          <w:tcPr>
            <w:tcW w:w="851" w:type="dxa"/>
            <w:noWrap/>
            <w:hideMark/>
          </w:tcPr>
          <w:p w14:paraId="19211F8B"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 xml:space="preserve"> 703 </w:t>
            </w:r>
          </w:p>
        </w:tc>
        <w:tc>
          <w:tcPr>
            <w:tcW w:w="1134" w:type="dxa"/>
            <w:noWrap/>
            <w:hideMark/>
          </w:tcPr>
          <w:p w14:paraId="26C3E4F9"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32.8%</w:t>
            </w:r>
          </w:p>
        </w:tc>
        <w:tc>
          <w:tcPr>
            <w:tcW w:w="1417" w:type="dxa"/>
          </w:tcPr>
          <w:p w14:paraId="4433F741"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Step-wise reduction in loading followed by introduction of time-tiered telehealth attendance items</w:t>
            </w:r>
          </w:p>
        </w:tc>
      </w:tr>
      <w:tr w:rsidR="008A5CDC" w:rsidRPr="00C33C0B" w14:paraId="52DA10E9"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7E3E70D2"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6025</w:t>
            </w:r>
          </w:p>
        </w:tc>
        <w:tc>
          <w:tcPr>
            <w:tcW w:w="3402" w:type="dxa"/>
            <w:noWrap/>
          </w:tcPr>
          <w:p w14:paraId="3C7B2006"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on a patient by an addiction medicine specialist in the practice of his or her specialty, if: (a) the attendance is by video conference; and (b) the patient is not an admitted patient; and (c) the patient: (i) is located both: (a) within a telehealth eligible area; and (b) at the time of the attendance--at least 15 km by road from the addiction medicine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276" w:type="dxa"/>
            <w:noWrap/>
          </w:tcPr>
          <w:p w14:paraId="5A886A35"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$113.20</w:t>
            </w:r>
          </w:p>
        </w:tc>
        <w:tc>
          <w:tcPr>
            <w:tcW w:w="992" w:type="dxa"/>
            <w:noWrap/>
          </w:tcPr>
          <w:p w14:paraId="3E5F5FE6"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$3,080</w:t>
            </w:r>
          </w:p>
        </w:tc>
        <w:tc>
          <w:tcPr>
            <w:tcW w:w="851" w:type="dxa"/>
            <w:noWrap/>
          </w:tcPr>
          <w:p w14:paraId="6BEEE2ED"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32</w:t>
            </w:r>
          </w:p>
        </w:tc>
        <w:tc>
          <w:tcPr>
            <w:tcW w:w="1134" w:type="dxa"/>
            <w:noWrap/>
          </w:tcPr>
          <w:p w14:paraId="46849F46"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68DF1FF6"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Remove from MBS</w:t>
            </w:r>
          </w:p>
        </w:tc>
      </w:tr>
      <w:tr w:rsidR="008A5CDC" w:rsidRPr="00C33C0B" w14:paraId="319ED480"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12C78DBE"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6026</w:t>
            </w:r>
          </w:p>
        </w:tc>
        <w:tc>
          <w:tcPr>
            <w:tcW w:w="3402" w:type="dxa"/>
            <w:noWrap/>
          </w:tcPr>
          <w:p w14:paraId="0C95765D"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an addiction medicine specialist in the practice of his or her specialty, if: (a) the attendance is by video conference; and (b) the attendance is for a service: (i) provided with item 6018 or 6019 and lasting more than 10 minutes; or (ii) provided with item 6023 or 6024; and (c) the patient is not an admitted patient; and (d) the patient: (i) is located both: (a) within a telehealth eligible area; and (b) at the time of the attendance--at least 15 km by road from the addiction medicine specialist; or (ii) is a care recipient in a residential care service; or (iii) is a patient of: (a) an aboriginal medical service; or (b) an aboriginal community controlled health service; for which a direction made under subsection 19 (2) of the act applies</w:t>
            </w:r>
          </w:p>
        </w:tc>
        <w:tc>
          <w:tcPr>
            <w:tcW w:w="1276" w:type="dxa"/>
            <w:noWrap/>
          </w:tcPr>
          <w:p w14:paraId="5CEA7412"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Derived Fee</w:t>
            </w:r>
          </w:p>
        </w:tc>
        <w:tc>
          <w:tcPr>
            <w:tcW w:w="992" w:type="dxa"/>
            <w:noWrap/>
          </w:tcPr>
          <w:p w14:paraId="2973CFC6"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$481</w:t>
            </w:r>
          </w:p>
        </w:tc>
        <w:tc>
          <w:tcPr>
            <w:tcW w:w="851" w:type="dxa"/>
            <w:noWrap/>
          </w:tcPr>
          <w:p w14:paraId="5AF6B4B9"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3</w:t>
            </w:r>
          </w:p>
        </w:tc>
        <w:tc>
          <w:tcPr>
            <w:tcW w:w="1134" w:type="dxa"/>
            <w:noWrap/>
          </w:tcPr>
          <w:p w14:paraId="457FF639"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5915BA74" w14:textId="77777777" w:rsidR="001E05F9" w:rsidRPr="00F66D4C"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highlight w:val="yellow"/>
                <w:lang w:val="en-GB"/>
              </w:rPr>
            </w:pPr>
            <w:r w:rsidRPr="007225AE">
              <w:rPr>
                <w:rFonts w:ascii="Calibri" w:hAnsi="Calibri" w:cs="Calibri"/>
                <w:color w:val="000000"/>
                <w:sz w:val="17"/>
                <w:szCs w:val="17"/>
                <w:lang w:val="en-GB"/>
              </w:rPr>
              <w:t>Step-wise reduction in loading followed by introduction of time-tiered telehealth attendance items</w:t>
            </w:r>
          </w:p>
        </w:tc>
      </w:tr>
      <w:tr w:rsidR="008A5CDC" w:rsidRPr="00C33C0B" w14:paraId="698B2FB0"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354AFC9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6059</w:t>
            </w:r>
          </w:p>
        </w:tc>
        <w:tc>
          <w:tcPr>
            <w:tcW w:w="3402" w:type="dxa"/>
            <w:noWrap/>
          </w:tcPr>
          <w:p w14:paraId="18C99270"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on a patient by a sexual health medicine specialist in the practice of his or her specialty, if: (a) the attendance is by video conference; and (b) the patient is not an admitted patient; and (c) the patient: (i) is located both: (a) within a telehealth eligible area; and (b) at the time of the attendance--at least 15 km by road from the sexual health medicine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276" w:type="dxa"/>
            <w:noWrap/>
          </w:tcPr>
          <w:p w14:paraId="08039B26"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$113.20</w:t>
            </w:r>
          </w:p>
        </w:tc>
        <w:tc>
          <w:tcPr>
            <w:tcW w:w="992" w:type="dxa"/>
            <w:noWrap/>
          </w:tcPr>
          <w:p w14:paraId="0D63A6B9"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$1,251</w:t>
            </w:r>
          </w:p>
        </w:tc>
        <w:tc>
          <w:tcPr>
            <w:tcW w:w="851" w:type="dxa"/>
            <w:noWrap/>
          </w:tcPr>
          <w:p w14:paraId="42FFB73C"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13</w:t>
            </w:r>
          </w:p>
        </w:tc>
        <w:tc>
          <w:tcPr>
            <w:tcW w:w="1134" w:type="dxa"/>
            <w:noWrap/>
          </w:tcPr>
          <w:p w14:paraId="67256331"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205B4C4F"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Remove from MBS</w:t>
            </w:r>
          </w:p>
        </w:tc>
      </w:tr>
      <w:tr w:rsidR="008A5CDC" w:rsidRPr="00C33C0B" w14:paraId="7E1AAE12"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1BB16D9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6060</w:t>
            </w:r>
          </w:p>
        </w:tc>
        <w:tc>
          <w:tcPr>
            <w:tcW w:w="3402" w:type="dxa"/>
            <w:noWrap/>
          </w:tcPr>
          <w:p w14:paraId="00C64753"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sexual health medicine specialist in the practice of his or her specialty if: (a) the attendance is by video conference; and (b) the attendance is for a service: (i) provided with item 6051 or 6052 and lasting more than 10 minutes; or (ii) provided with item 6057 or 6058; and (c) the patient is not an admitted patient; and (d) the patient: (i) is located both: (a) within a telehealth eligible area; and (b) at the time of the attendance--at least 15 km by road from the sexual health medicine specialist; or (ii) is a care recipient in a residential care service; or (iii) is a patient of: (a) an aboriginal medical service; or (b) an aboriginal community controlled health service; for which a direction made under subsection 19 (2) of the act applies</w:t>
            </w:r>
          </w:p>
        </w:tc>
        <w:tc>
          <w:tcPr>
            <w:tcW w:w="1276" w:type="dxa"/>
            <w:noWrap/>
          </w:tcPr>
          <w:p w14:paraId="51AAEC3B"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Derived Fee</w:t>
            </w:r>
          </w:p>
        </w:tc>
        <w:tc>
          <w:tcPr>
            <w:tcW w:w="992" w:type="dxa"/>
            <w:noWrap/>
          </w:tcPr>
          <w:p w14:paraId="25356C4D"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$96</w:t>
            </w:r>
          </w:p>
        </w:tc>
        <w:tc>
          <w:tcPr>
            <w:tcW w:w="851" w:type="dxa"/>
            <w:noWrap/>
          </w:tcPr>
          <w:p w14:paraId="0D889540"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1</w:t>
            </w:r>
          </w:p>
        </w:tc>
        <w:tc>
          <w:tcPr>
            <w:tcW w:w="1134" w:type="dxa"/>
            <w:noWrap/>
          </w:tcPr>
          <w:p w14:paraId="4BD27278" w14:textId="77777777" w:rsidR="001E05F9" w:rsidRPr="00C33C0B"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417" w:type="dxa"/>
          </w:tcPr>
          <w:p w14:paraId="637E449A" w14:textId="77777777" w:rsidR="001E05F9" w:rsidRPr="007225AE" w:rsidRDefault="001E05F9" w:rsidP="001C7211">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7225AE">
              <w:rPr>
                <w:rFonts w:ascii="Calibri" w:hAnsi="Calibri" w:cs="Calibri"/>
                <w:color w:val="000000"/>
                <w:sz w:val="17"/>
                <w:szCs w:val="17"/>
                <w:lang w:val="en-GB"/>
              </w:rPr>
              <w:t>Step-wise reduction in loading followed by introduction of time-tiered telehealth attendance items</w:t>
            </w:r>
          </w:p>
        </w:tc>
      </w:tr>
    </w:tbl>
    <w:p w14:paraId="6094D87B" w14:textId="0A9D6096" w:rsidR="00E76A74" w:rsidRPr="00C33C0B" w:rsidRDefault="005E0DEC" w:rsidP="00875408">
      <w:pPr>
        <w:pStyle w:val="Heading2"/>
        <w:pageBreakBefore/>
        <w:numPr>
          <w:ilvl w:val="0"/>
          <w:numId w:val="0"/>
        </w:numPr>
        <w:rPr>
          <w:lang w:val="en-GB"/>
        </w:rPr>
      </w:pPr>
      <w:bookmarkStart w:id="266" w:name="_Toc521442218"/>
      <w:bookmarkStart w:id="267" w:name="_Toc67952278"/>
      <w:r>
        <w:rPr>
          <w:lang w:val="en-GB"/>
        </w:rPr>
        <w:t>A.4</w:t>
      </w:r>
      <w:r w:rsidR="00E76A74" w:rsidRPr="00C33C0B">
        <w:rPr>
          <w:lang w:val="en-GB"/>
        </w:rPr>
        <w:t>. Case conference attendance items</w:t>
      </w:r>
      <w:bookmarkEnd w:id="266"/>
      <w:bookmarkEnd w:id="267"/>
    </w:p>
    <w:tbl>
      <w:tblPr>
        <w:tblStyle w:val="GridTable1Light"/>
        <w:tblW w:w="5119" w:type="pct"/>
        <w:tblLayout w:type="fixed"/>
        <w:tblLook w:val="04A0" w:firstRow="1" w:lastRow="0" w:firstColumn="1" w:lastColumn="0" w:noHBand="0" w:noVBand="1"/>
        <w:tblDescription w:val="Appendix - A.4 Case conference attendance items. A.4 is a 7 column table. Column 1 is the item number. Column 2 is the item descriptor. Column 3 is the schedule fee. Column 4 is the benefits paid in financial year 2016/17. Column 5 is services provided in financial year 2016/17. Column 6 is the 5 yearly growth expressed as a percentage. Column 6 is the recommended change to the item. "/>
      </w:tblPr>
      <w:tblGrid>
        <w:gridCol w:w="794"/>
        <w:gridCol w:w="3893"/>
        <w:gridCol w:w="978"/>
        <w:gridCol w:w="993"/>
        <w:gridCol w:w="850"/>
        <w:gridCol w:w="851"/>
        <w:gridCol w:w="1401"/>
      </w:tblGrid>
      <w:tr w:rsidR="008A5CDC" w:rsidRPr="00C33C0B" w14:paraId="3220DB01" w14:textId="77777777" w:rsidTr="00875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hideMark/>
          </w:tcPr>
          <w:p w14:paraId="4941CEE9" w14:textId="77777777" w:rsidR="001E05F9" w:rsidRPr="00C33C0B" w:rsidRDefault="001E05F9" w:rsidP="00501544">
            <w:pPr>
              <w:spacing w:before="20" w:after="20"/>
              <w:rPr>
                <w:rFonts w:cstheme="minorHAnsi"/>
                <w:b w:val="0"/>
                <w:sz w:val="17"/>
                <w:szCs w:val="17"/>
                <w:lang w:val="en-GB"/>
              </w:rPr>
            </w:pPr>
            <w:r w:rsidRPr="00C33C0B">
              <w:rPr>
                <w:rFonts w:cstheme="minorHAnsi"/>
                <w:sz w:val="17"/>
                <w:szCs w:val="17"/>
                <w:lang w:val="en-GB"/>
              </w:rPr>
              <w:t xml:space="preserve">Item </w:t>
            </w:r>
            <w:r>
              <w:rPr>
                <w:rFonts w:cstheme="minorHAnsi"/>
                <w:sz w:val="17"/>
                <w:szCs w:val="17"/>
                <w:lang w:val="en-GB"/>
              </w:rPr>
              <w:t>n</w:t>
            </w:r>
            <w:r w:rsidRPr="00C33C0B">
              <w:rPr>
                <w:rFonts w:cstheme="minorHAnsi"/>
                <w:sz w:val="17"/>
                <w:szCs w:val="17"/>
                <w:lang w:val="en-GB"/>
              </w:rPr>
              <w:t>o.</w:t>
            </w:r>
          </w:p>
        </w:tc>
        <w:tc>
          <w:tcPr>
            <w:tcW w:w="3893" w:type="dxa"/>
            <w:hideMark/>
          </w:tcPr>
          <w:p w14:paraId="7CAB8D85"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cstheme="minorHAnsi"/>
                <w:b w:val="0"/>
                <w:sz w:val="17"/>
                <w:szCs w:val="17"/>
                <w:lang w:val="en-GB"/>
              </w:rPr>
            </w:pPr>
            <w:r w:rsidRPr="00C33C0B">
              <w:rPr>
                <w:rFonts w:cstheme="minorHAnsi"/>
                <w:sz w:val="17"/>
                <w:szCs w:val="17"/>
                <w:lang w:val="en-GB"/>
              </w:rPr>
              <w:t>Item descriptor</w:t>
            </w:r>
          </w:p>
        </w:tc>
        <w:tc>
          <w:tcPr>
            <w:tcW w:w="978" w:type="dxa"/>
            <w:hideMark/>
          </w:tcPr>
          <w:p w14:paraId="5C610F17"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cstheme="minorHAnsi"/>
                <w:b w:val="0"/>
                <w:sz w:val="17"/>
                <w:szCs w:val="17"/>
                <w:lang w:val="en-GB"/>
              </w:rPr>
            </w:pPr>
            <w:r w:rsidRPr="00C33C0B">
              <w:rPr>
                <w:rFonts w:cstheme="minorHAnsi"/>
                <w:sz w:val="17"/>
                <w:szCs w:val="17"/>
                <w:lang w:val="en-GB"/>
              </w:rPr>
              <w:t xml:space="preserve">Schedule </w:t>
            </w:r>
            <w:r>
              <w:rPr>
                <w:rFonts w:cstheme="minorHAnsi"/>
                <w:sz w:val="17"/>
                <w:szCs w:val="17"/>
                <w:lang w:val="en-GB"/>
              </w:rPr>
              <w:t>f</w:t>
            </w:r>
            <w:r w:rsidRPr="00C33C0B">
              <w:rPr>
                <w:rFonts w:cstheme="minorHAnsi"/>
                <w:sz w:val="17"/>
                <w:szCs w:val="17"/>
                <w:lang w:val="en-GB"/>
              </w:rPr>
              <w:t xml:space="preserve">ee </w:t>
            </w:r>
          </w:p>
        </w:tc>
        <w:tc>
          <w:tcPr>
            <w:tcW w:w="993" w:type="dxa"/>
            <w:hideMark/>
          </w:tcPr>
          <w:p w14:paraId="128CD53A"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cstheme="minorHAnsi"/>
                <w:b w:val="0"/>
                <w:sz w:val="17"/>
                <w:szCs w:val="17"/>
                <w:lang w:val="en-GB"/>
              </w:rPr>
            </w:pPr>
            <w:r w:rsidRPr="00C33C0B">
              <w:rPr>
                <w:rFonts w:cstheme="minorHAnsi"/>
                <w:sz w:val="17"/>
                <w:szCs w:val="17"/>
                <w:lang w:val="en-GB"/>
              </w:rPr>
              <w:t>Benefits 2016</w:t>
            </w:r>
            <w:r>
              <w:rPr>
                <w:rFonts w:cstheme="minorHAnsi"/>
                <w:sz w:val="17"/>
                <w:szCs w:val="17"/>
                <w:lang w:val="en-GB"/>
              </w:rPr>
              <w:t>/</w:t>
            </w:r>
            <w:r w:rsidRPr="00C33C0B">
              <w:rPr>
                <w:rFonts w:cstheme="minorHAnsi"/>
                <w:sz w:val="17"/>
                <w:szCs w:val="17"/>
                <w:lang w:val="en-GB"/>
              </w:rPr>
              <w:t>17</w:t>
            </w:r>
          </w:p>
        </w:tc>
        <w:tc>
          <w:tcPr>
            <w:tcW w:w="850" w:type="dxa"/>
            <w:hideMark/>
          </w:tcPr>
          <w:p w14:paraId="3FDCCCD0"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cstheme="minorHAnsi"/>
                <w:b w:val="0"/>
                <w:sz w:val="17"/>
                <w:szCs w:val="17"/>
                <w:lang w:val="en-GB"/>
              </w:rPr>
            </w:pPr>
            <w:r w:rsidRPr="00C33C0B">
              <w:rPr>
                <w:rFonts w:cstheme="minorHAnsi"/>
                <w:sz w:val="17"/>
                <w:szCs w:val="17"/>
                <w:lang w:val="en-GB"/>
              </w:rPr>
              <w:t>Services 2016</w:t>
            </w:r>
            <w:r>
              <w:rPr>
                <w:rFonts w:cstheme="minorHAnsi"/>
                <w:sz w:val="17"/>
                <w:szCs w:val="17"/>
                <w:lang w:val="en-GB"/>
              </w:rPr>
              <w:t>/</w:t>
            </w:r>
            <w:r w:rsidRPr="00C33C0B">
              <w:rPr>
                <w:rFonts w:cstheme="minorHAnsi"/>
                <w:sz w:val="17"/>
                <w:szCs w:val="17"/>
                <w:lang w:val="en-GB"/>
              </w:rPr>
              <w:t>17</w:t>
            </w:r>
          </w:p>
        </w:tc>
        <w:tc>
          <w:tcPr>
            <w:tcW w:w="851" w:type="dxa"/>
            <w:hideMark/>
          </w:tcPr>
          <w:p w14:paraId="14AA30FD"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cstheme="minorHAnsi"/>
                <w:b w:val="0"/>
                <w:sz w:val="17"/>
                <w:szCs w:val="17"/>
                <w:lang w:val="en-GB"/>
              </w:rPr>
            </w:pPr>
            <w:r w:rsidRPr="00C33C0B">
              <w:rPr>
                <w:rFonts w:cstheme="minorHAnsi"/>
                <w:sz w:val="17"/>
                <w:szCs w:val="17"/>
                <w:lang w:val="en-GB"/>
              </w:rPr>
              <w:t>Services 5-year annual avg. growth</w:t>
            </w:r>
          </w:p>
        </w:tc>
        <w:tc>
          <w:tcPr>
            <w:tcW w:w="1401" w:type="dxa"/>
          </w:tcPr>
          <w:p w14:paraId="60262330" w14:textId="77777777" w:rsidR="001E05F9" w:rsidRPr="00C33C0B" w:rsidRDefault="001E05F9" w:rsidP="00501544">
            <w:pPr>
              <w:spacing w:before="20" w:after="20"/>
              <w:cnfStyle w:val="100000000000" w:firstRow="1" w:lastRow="0" w:firstColumn="0" w:lastColumn="0" w:oddVBand="0" w:evenVBand="0" w:oddHBand="0" w:evenHBand="0" w:firstRowFirstColumn="0" w:firstRowLastColumn="0" w:lastRowFirstColumn="0" w:lastRowLastColumn="0"/>
              <w:rPr>
                <w:rFonts w:cstheme="minorHAnsi"/>
                <w:b w:val="0"/>
                <w:sz w:val="17"/>
                <w:szCs w:val="17"/>
                <w:lang w:val="en-GB"/>
              </w:rPr>
            </w:pPr>
            <w:r w:rsidRPr="00C33C0B">
              <w:rPr>
                <w:rFonts w:cstheme="minorHAnsi"/>
                <w:sz w:val="17"/>
                <w:szCs w:val="17"/>
                <w:lang w:val="en-GB"/>
              </w:rPr>
              <w:t>Recommended change</w:t>
            </w:r>
          </w:p>
        </w:tc>
      </w:tr>
      <w:tr w:rsidR="008A5CDC" w:rsidRPr="00C33C0B" w14:paraId="2400145D"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317E84CA"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820</w:t>
            </w:r>
          </w:p>
        </w:tc>
        <w:tc>
          <w:tcPr>
            <w:tcW w:w="3893" w:type="dxa"/>
            <w:noWrap/>
            <w:hideMark/>
          </w:tcPr>
          <w:p w14:paraId="5DB9018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15 minutes but less than 30 minutes, with a multidisciplinary team of at least 3 other formal care providers of different disciplines</w:t>
            </w:r>
          </w:p>
        </w:tc>
        <w:tc>
          <w:tcPr>
            <w:tcW w:w="978" w:type="dxa"/>
            <w:noWrap/>
            <w:hideMark/>
          </w:tcPr>
          <w:p w14:paraId="1D7CE1E7" w14:textId="77777777" w:rsidR="001E05F9" w:rsidRPr="00A84B03"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bCs/>
                <w:color w:val="000000"/>
                <w:sz w:val="17"/>
                <w:szCs w:val="17"/>
                <w:lang w:val="en-GB"/>
              </w:rPr>
            </w:pPr>
            <w:r w:rsidRPr="00A84B03">
              <w:rPr>
                <w:rFonts w:cstheme="minorHAnsi"/>
                <w:bCs/>
                <w:color w:val="000000"/>
                <w:sz w:val="17"/>
                <w:szCs w:val="17"/>
                <w:lang w:val="en-GB"/>
              </w:rPr>
              <w:t xml:space="preserve">$139.10 </w:t>
            </w:r>
          </w:p>
        </w:tc>
        <w:tc>
          <w:tcPr>
            <w:tcW w:w="993" w:type="dxa"/>
            <w:noWrap/>
            <w:hideMark/>
          </w:tcPr>
          <w:p w14:paraId="5AF31B6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$2,411,730 </w:t>
            </w:r>
          </w:p>
        </w:tc>
        <w:tc>
          <w:tcPr>
            <w:tcW w:w="850" w:type="dxa"/>
            <w:noWrap/>
            <w:hideMark/>
          </w:tcPr>
          <w:p w14:paraId="3B7033D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20,395 </w:t>
            </w:r>
          </w:p>
        </w:tc>
        <w:tc>
          <w:tcPr>
            <w:tcW w:w="851" w:type="dxa"/>
            <w:noWrap/>
            <w:hideMark/>
          </w:tcPr>
          <w:p w14:paraId="5A82642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18.2%</w:t>
            </w:r>
          </w:p>
        </w:tc>
        <w:tc>
          <w:tcPr>
            <w:tcW w:w="1401" w:type="dxa"/>
          </w:tcPr>
          <w:p w14:paraId="5748EED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17C78BEC"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3219EE3B"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822</w:t>
            </w:r>
          </w:p>
        </w:tc>
        <w:tc>
          <w:tcPr>
            <w:tcW w:w="3893" w:type="dxa"/>
            <w:noWrap/>
            <w:hideMark/>
          </w:tcPr>
          <w:p w14:paraId="27D51AF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30 minutes but less than 45 minutes, with a multidisciplinary team of at least 3 other formal care providers of different disciplines</w:t>
            </w:r>
          </w:p>
        </w:tc>
        <w:tc>
          <w:tcPr>
            <w:tcW w:w="978" w:type="dxa"/>
            <w:noWrap/>
            <w:hideMark/>
          </w:tcPr>
          <w:p w14:paraId="35790F5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$208.70 </w:t>
            </w:r>
          </w:p>
        </w:tc>
        <w:tc>
          <w:tcPr>
            <w:tcW w:w="993" w:type="dxa"/>
            <w:noWrap/>
            <w:hideMark/>
          </w:tcPr>
          <w:p w14:paraId="004D3AC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$205,818 </w:t>
            </w:r>
          </w:p>
        </w:tc>
        <w:tc>
          <w:tcPr>
            <w:tcW w:w="850" w:type="dxa"/>
            <w:noWrap/>
            <w:hideMark/>
          </w:tcPr>
          <w:p w14:paraId="2DD44EB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1,158 </w:t>
            </w:r>
          </w:p>
        </w:tc>
        <w:tc>
          <w:tcPr>
            <w:tcW w:w="851" w:type="dxa"/>
            <w:noWrap/>
            <w:hideMark/>
          </w:tcPr>
          <w:p w14:paraId="44DC905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12.8%</w:t>
            </w:r>
          </w:p>
        </w:tc>
        <w:tc>
          <w:tcPr>
            <w:tcW w:w="1401" w:type="dxa"/>
          </w:tcPr>
          <w:p w14:paraId="5C99EA8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5A3F48F8"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5D4FA3C4"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823</w:t>
            </w:r>
          </w:p>
        </w:tc>
        <w:tc>
          <w:tcPr>
            <w:tcW w:w="3893" w:type="dxa"/>
            <w:noWrap/>
            <w:hideMark/>
          </w:tcPr>
          <w:p w14:paraId="534A778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45 minutes, with a multidisciplinary team of at least 3 other formal care providers of different disciplines</w:t>
            </w:r>
          </w:p>
        </w:tc>
        <w:tc>
          <w:tcPr>
            <w:tcW w:w="978" w:type="dxa"/>
            <w:noWrap/>
            <w:hideMark/>
          </w:tcPr>
          <w:p w14:paraId="6AD89AB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$278.15 </w:t>
            </w:r>
          </w:p>
        </w:tc>
        <w:tc>
          <w:tcPr>
            <w:tcW w:w="993" w:type="dxa"/>
            <w:noWrap/>
            <w:hideMark/>
          </w:tcPr>
          <w:p w14:paraId="12B5019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$1,039,317 </w:t>
            </w:r>
          </w:p>
        </w:tc>
        <w:tc>
          <w:tcPr>
            <w:tcW w:w="850" w:type="dxa"/>
            <w:noWrap/>
            <w:hideMark/>
          </w:tcPr>
          <w:p w14:paraId="450A582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4,379 </w:t>
            </w:r>
          </w:p>
        </w:tc>
        <w:tc>
          <w:tcPr>
            <w:tcW w:w="851" w:type="dxa"/>
            <w:noWrap/>
            <w:hideMark/>
          </w:tcPr>
          <w:p w14:paraId="38E5357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3.6%</w:t>
            </w:r>
          </w:p>
        </w:tc>
        <w:tc>
          <w:tcPr>
            <w:tcW w:w="1401" w:type="dxa"/>
          </w:tcPr>
          <w:p w14:paraId="4C404FB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1742F417"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48DF26FD"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825</w:t>
            </w:r>
          </w:p>
        </w:tc>
        <w:tc>
          <w:tcPr>
            <w:tcW w:w="3893" w:type="dxa"/>
            <w:noWrap/>
            <w:hideMark/>
          </w:tcPr>
          <w:p w14:paraId="33E78A0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978" w:type="dxa"/>
            <w:noWrap/>
            <w:hideMark/>
          </w:tcPr>
          <w:p w14:paraId="54A731BE" w14:textId="77777777" w:rsidR="001E05F9" w:rsidRPr="00A84B03"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bCs/>
                <w:color w:val="000000"/>
                <w:sz w:val="17"/>
                <w:szCs w:val="17"/>
                <w:lang w:val="en-GB"/>
              </w:rPr>
            </w:pPr>
            <w:r w:rsidRPr="00A84B03">
              <w:rPr>
                <w:rFonts w:cstheme="minorHAnsi"/>
                <w:bCs/>
                <w:color w:val="000000"/>
                <w:sz w:val="17"/>
                <w:szCs w:val="17"/>
                <w:lang w:val="en-GB"/>
              </w:rPr>
              <w:t xml:space="preserve">$99.90 </w:t>
            </w:r>
          </w:p>
        </w:tc>
        <w:tc>
          <w:tcPr>
            <w:tcW w:w="993" w:type="dxa"/>
            <w:noWrap/>
            <w:hideMark/>
          </w:tcPr>
          <w:p w14:paraId="2D2C21E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$1,370,265 </w:t>
            </w:r>
          </w:p>
        </w:tc>
        <w:tc>
          <w:tcPr>
            <w:tcW w:w="850" w:type="dxa"/>
            <w:noWrap/>
            <w:hideMark/>
          </w:tcPr>
          <w:p w14:paraId="111CCF7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16,129 </w:t>
            </w:r>
          </w:p>
        </w:tc>
        <w:tc>
          <w:tcPr>
            <w:tcW w:w="851" w:type="dxa"/>
            <w:noWrap/>
            <w:hideMark/>
          </w:tcPr>
          <w:p w14:paraId="194FE57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27.6%</w:t>
            </w:r>
          </w:p>
        </w:tc>
        <w:tc>
          <w:tcPr>
            <w:tcW w:w="1401" w:type="dxa"/>
          </w:tcPr>
          <w:p w14:paraId="2921F86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7CFB2962"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7E9ACF13"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826</w:t>
            </w:r>
          </w:p>
        </w:tc>
        <w:tc>
          <w:tcPr>
            <w:tcW w:w="3893" w:type="dxa"/>
            <w:noWrap/>
            <w:hideMark/>
          </w:tcPr>
          <w:p w14:paraId="1406F90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978" w:type="dxa"/>
            <w:noWrap/>
            <w:hideMark/>
          </w:tcPr>
          <w:p w14:paraId="6A8B3A7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$159.30 </w:t>
            </w:r>
          </w:p>
        </w:tc>
        <w:tc>
          <w:tcPr>
            <w:tcW w:w="993" w:type="dxa"/>
            <w:noWrap/>
            <w:hideMark/>
          </w:tcPr>
          <w:p w14:paraId="7A4E82F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$568,784 </w:t>
            </w:r>
          </w:p>
        </w:tc>
        <w:tc>
          <w:tcPr>
            <w:tcW w:w="850" w:type="dxa"/>
            <w:noWrap/>
            <w:hideMark/>
          </w:tcPr>
          <w:p w14:paraId="3102AC6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4,200 </w:t>
            </w:r>
          </w:p>
        </w:tc>
        <w:tc>
          <w:tcPr>
            <w:tcW w:w="851" w:type="dxa"/>
            <w:noWrap/>
            <w:hideMark/>
          </w:tcPr>
          <w:p w14:paraId="4E9D86B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10.6%</w:t>
            </w:r>
          </w:p>
        </w:tc>
        <w:tc>
          <w:tcPr>
            <w:tcW w:w="1401" w:type="dxa"/>
          </w:tcPr>
          <w:p w14:paraId="0C4638B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0D6DEF06"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4A6F916F"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828</w:t>
            </w:r>
          </w:p>
        </w:tc>
        <w:tc>
          <w:tcPr>
            <w:tcW w:w="3893" w:type="dxa"/>
            <w:noWrap/>
            <w:hideMark/>
          </w:tcPr>
          <w:p w14:paraId="352B1A7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978" w:type="dxa"/>
            <w:noWrap/>
            <w:hideMark/>
          </w:tcPr>
          <w:p w14:paraId="51A39B4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$218.75 </w:t>
            </w:r>
          </w:p>
        </w:tc>
        <w:tc>
          <w:tcPr>
            <w:tcW w:w="993" w:type="dxa"/>
            <w:noWrap/>
            <w:hideMark/>
          </w:tcPr>
          <w:p w14:paraId="0C88CE4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$387,502 </w:t>
            </w:r>
          </w:p>
        </w:tc>
        <w:tc>
          <w:tcPr>
            <w:tcW w:w="850" w:type="dxa"/>
            <w:noWrap/>
            <w:hideMark/>
          </w:tcPr>
          <w:p w14:paraId="775E71A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2,076 </w:t>
            </w:r>
          </w:p>
        </w:tc>
        <w:tc>
          <w:tcPr>
            <w:tcW w:w="851" w:type="dxa"/>
            <w:noWrap/>
            <w:hideMark/>
          </w:tcPr>
          <w:p w14:paraId="7D3BEBA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-3.7%</w:t>
            </w:r>
          </w:p>
        </w:tc>
        <w:tc>
          <w:tcPr>
            <w:tcW w:w="1401" w:type="dxa"/>
          </w:tcPr>
          <w:p w14:paraId="7ECCAF4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12B5A68F"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4D7768C2"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830</w:t>
            </w:r>
          </w:p>
        </w:tc>
        <w:tc>
          <w:tcPr>
            <w:tcW w:w="3893" w:type="dxa"/>
            <w:noWrap/>
            <w:hideMark/>
          </w:tcPr>
          <w:p w14:paraId="78FAC16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15 minutes but less than 30 minutes, with a multidisciplinary team of at least 3 other formal care providers of different disciplines</w:t>
            </w:r>
          </w:p>
        </w:tc>
        <w:tc>
          <w:tcPr>
            <w:tcW w:w="978" w:type="dxa"/>
            <w:noWrap/>
            <w:hideMark/>
          </w:tcPr>
          <w:p w14:paraId="46DB627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$139.10 </w:t>
            </w:r>
          </w:p>
        </w:tc>
        <w:tc>
          <w:tcPr>
            <w:tcW w:w="993" w:type="dxa"/>
            <w:noWrap/>
            <w:hideMark/>
          </w:tcPr>
          <w:p w14:paraId="695D506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$2,677,611 </w:t>
            </w:r>
          </w:p>
        </w:tc>
        <w:tc>
          <w:tcPr>
            <w:tcW w:w="850" w:type="dxa"/>
            <w:noWrap/>
            <w:hideMark/>
          </w:tcPr>
          <w:p w14:paraId="3BE2BC8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25,650 </w:t>
            </w:r>
          </w:p>
        </w:tc>
        <w:tc>
          <w:tcPr>
            <w:tcW w:w="851" w:type="dxa"/>
            <w:noWrap/>
            <w:hideMark/>
          </w:tcPr>
          <w:p w14:paraId="0467BF4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7.6%</w:t>
            </w:r>
          </w:p>
        </w:tc>
        <w:tc>
          <w:tcPr>
            <w:tcW w:w="1401" w:type="dxa"/>
          </w:tcPr>
          <w:p w14:paraId="1B226CD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5436F179"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5DC36F80"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832</w:t>
            </w:r>
          </w:p>
        </w:tc>
        <w:tc>
          <w:tcPr>
            <w:tcW w:w="3893" w:type="dxa"/>
            <w:noWrap/>
            <w:hideMark/>
          </w:tcPr>
          <w:p w14:paraId="2D995A2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30 minutes but less than 45 minutes, with a multidisciplinary team of at least 3 other formal care providers of different disciplines</w:t>
            </w:r>
          </w:p>
        </w:tc>
        <w:tc>
          <w:tcPr>
            <w:tcW w:w="978" w:type="dxa"/>
            <w:noWrap/>
            <w:hideMark/>
          </w:tcPr>
          <w:p w14:paraId="6F23EC5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$208.70 </w:t>
            </w:r>
          </w:p>
        </w:tc>
        <w:tc>
          <w:tcPr>
            <w:tcW w:w="993" w:type="dxa"/>
            <w:noWrap/>
            <w:hideMark/>
          </w:tcPr>
          <w:p w14:paraId="502EE0E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$352,998 </w:t>
            </w:r>
          </w:p>
        </w:tc>
        <w:tc>
          <w:tcPr>
            <w:tcW w:w="850" w:type="dxa"/>
            <w:noWrap/>
            <w:hideMark/>
          </w:tcPr>
          <w:p w14:paraId="3177F92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2,249 </w:t>
            </w:r>
          </w:p>
        </w:tc>
        <w:tc>
          <w:tcPr>
            <w:tcW w:w="851" w:type="dxa"/>
            <w:noWrap/>
            <w:hideMark/>
          </w:tcPr>
          <w:p w14:paraId="629D4BB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4.9%</w:t>
            </w:r>
          </w:p>
        </w:tc>
        <w:tc>
          <w:tcPr>
            <w:tcW w:w="1401" w:type="dxa"/>
          </w:tcPr>
          <w:p w14:paraId="476DA3E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51A187AE"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5ADA8D24"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834</w:t>
            </w:r>
          </w:p>
        </w:tc>
        <w:tc>
          <w:tcPr>
            <w:tcW w:w="3893" w:type="dxa"/>
            <w:noWrap/>
            <w:hideMark/>
          </w:tcPr>
          <w:p w14:paraId="0D65844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45 minutes, with a multidisciplinary team of at least 3 other formal care providers of different disciplines</w:t>
            </w:r>
          </w:p>
        </w:tc>
        <w:tc>
          <w:tcPr>
            <w:tcW w:w="978" w:type="dxa"/>
            <w:noWrap/>
            <w:hideMark/>
          </w:tcPr>
          <w:p w14:paraId="0A908EB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$278.15 </w:t>
            </w:r>
          </w:p>
        </w:tc>
        <w:tc>
          <w:tcPr>
            <w:tcW w:w="993" w:type="dxa"/>
            <w:noWrap/>
            <w:hideMark/>
          </w:tcPr>
          <w:p w14:paraId="66BF735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$827,074 </w:t>
            </w:r>
          </w:p>
        </w:tc>
        <w:tc>
          <w:tcPr>
            <w:tcW w:w="850" w:type="dxa"/>
            <w:noWrap/>
            <w:hideMark/>
          </w:tcPr>
          <w:p w14:paraId="59B8DCA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3,959 </w:t>
            </w:r>
          </w:p>
        </w:tc>
        <w:tc>
          <w:tcPr>
            <w:tcW w:w="851" w:type="dxa"/>
            <w:noWrap/>
            <w:hideMark/>
          </w:tcPr>
          <w:p w14:paraId="23F5927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13.4%</w:t>
            </w:r>
          </w:p>
        </w:tc>
        <w:tc>
          <w:tcPr>
            <w:tcW w:w="1401" w:type="dxa"/>
          </w:tcPr>
          <w:p w14:paraId="1EFFAD2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22EF7E8C"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3CDEFCFF"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835</w:t>
            </w:r>
          </w:p>
        </w:tc>
        <w:tc>
          <w:tcPr>
            <w:tcW w:w="3893" w:type="dxa"/>
            <w:noWrap/>
            <w:hideMark/>
          </w:tcPr>
          <w:p w14:paraId="519C93D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15 minutes but less than 30 minutes, with a multidisciplinary team of at least 2 other formal care providers of different disciplines</w:t>
            </w:r>
          </w:p>
        </w:tc>
        <w:tc>
          <w:tcPr>
            <w:tcW w:w="978" w:type="dxa"/>
            <w:noWrap/>
            <w:hideMark/>
          </w:tcPr>
          <w:p w14:paraId="7EE134D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$99.90 </w:t>
            </w:r>
          </w:p>
        </w:tc>
        <w:tc>
          <w:tcPr>
            <w:tcW w:w="993" w:type="dxa"/>
            <w:noWrap/>
            <w:hideMark/>
          </w:tcPr>
          <w:p w14:paraId="20B5E93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$74,442 </w:t>
            </w:r>
          </w:p>
        </w:tc>
        <w:tc>
          <w:tcPr>
            <w:tcW w:w="850" w:type="dxa"/>
            <w:noWrap/>
            <w:hideMark/>
          </w:tcPr>
          <w:p w14:paraId="7DC192D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968 </w:t>
            </w:r>
          </w:p>
        </w:tc>
        <w:tc>
          <w:tcPr>
            <w:tcW w:w="851" w:type="dxa"/>
            <w:noWrap/>
            <w:hideMark/>
          </w:tcPr>
          <w:p w14:paraId="062A249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10.7%</w:t>
            </w:r>
          </w:p>
        </w:tc>
        <w:tc>
          <w:tcPr>
            <w:tcW w:w="1401" w:type="dxa"/>
          </w:tcPr>
          <w:p w14:paraId="19CB2FA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34255EC6"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58D67DC6"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837</w:t>
            </w:r>
          </w:p>
        </w:tc>
        <w:tc>
          <w:tcPr>
            <w:tcW w:w="3893" w:type="dxa"/>
            <w:noWrap/>
            <w:hideMark/>
          </w:tcPr>
          <w:p w14:paraId="37A4089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30 minutes but less than 45 minutes, with a multidisciplinary team of at least 2 other formal care providers of different disciplines</w:t>
            </w:r>
          </w:p>
        </w:tc>
        <w:tc>
          <w:tcPr>
            <w:tcW w:w="978" w:type="dxa"/>
            <w:noWrap/>
            <w:hideMark/>
          </w:tcPr>
          <w:p w14:paraId="2AEB809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$159.30 </w:t>
            </w:r>
          </w:p>
        </w:tc>
        <w:tc>
          <w:tcPr>
            <w:tcW w:w="993" w:type="dxa"/>
            <w:noWrap/>
            <w:hideMark/>
          </w:tcPr>
          <w:p w14:paraId="27B22AD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$10,803 </w:t>
            </w:r>
          </w:p>
        </w:tc>
        <w:tc>
          <w:tcPr>
            <w:tcW w:w="850" w:type="dxa"/>
            <w:noWrap/>
            <w:hideMark/>
          </w:tcPr>
          <w:p w14:paraId="7921E36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88 </w:t>
            </w:r>
          </w:p>
        </w:tc>
        <w:tc>
          <w:tcPr>
            <w:tcW w:w="851" w:type="dxa"/>
            <w:noWrap/>
            <w:hideMark/>
          </w:tcPr>
          <w:p w14:paraId="241DBED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15.4%</w:t>
            </w:r>
          </w:p>
        </w:tc>
        <w:tc>
          <w:tcPr>
            <w:tcW w:w="1401" w:type="dxa"/>
          </w:tcPr>
          <w:p w14:paraId="242ED81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5D570828"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18B1990A"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838</w:t>
            </w:r>
          </w:p>
        </w:tc>
        <w:tc>
          <w:tcPr>
            <w:tcW w:w="3893" w:type="dxa"/>
            <w:noWrap/>
            <w:hideMark/>
          </w:tcPr>
          <w:p w14:paraId="7048D69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45 minutes, with a multidisciplinary team of at least 2 other formal care providers of different disciplines</w:t>
            </w:r>
          </w:p>
        </w:tc>
        <w:tc>
          <w:tcPr>
            <w:tcW w:w="978" w:type="dxa"/>
            <w:noWrap/>
            <w:hideMark/>
          </w:tcPr>
          <w:p w14:paraId="355C72E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$218.75 </w:t>
            </w:r>
          </w:p>
        </w:tc>
        <w:tc>
          <w:tcPr>
            <w:tcW w:w="993" w:type="dxa"/>
            <w:noWrap/>
            <w:hideMark/>
          </w:tcPr>
          <w:p w14:paraId="36B02BD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$20,468 </w:t>
            </w:r>
          </w:p>
        </w:tc>
        <w:tc>
          <w:tcPr>
            <w:tcW w:w="850" w:type="dxa"/>
            <w:noWrap/>
            <w:hideMark/>
          </w:tcPr>
          <w:p w14:paraId="1F8E5B2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123 </w:t>
            </w:r>
          </w:p>
        </w:tc>
        <w:tc>
          <w:tcPr>
            <w:tcW w:w="851" w:type="dxa"/>
            <w:noWrap/>
            <w:hideMark/>
          </w:tcPr>
          <w:p w14:paraId="334BB9A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59.3%</w:t>
            </w:r>
          </w:p>
        </w:tc>
        <w:tc>
          <w:tcPr>
            <w:tcW w:w="1401" w:type="dxa"/>
          </w:tcPr>
          <w:p w14:paraId="7B1E881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8A5CDC" w:rsidRPr="00C33C0B" w14:paraId="1E94E4AF"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6EE0DCD7"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871</w:t>
            </w:r>
          </w:p>
        </w:tc>
        <w:tc>
          <w:tcPr>
            <w:tcW w:w="3893" w:type="dxa"/>
            <w:noWrap/>
            <w:hideMark/>
          </w:tcPr>
          <w:p w14:paraId="43851D0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medical practitioner (including a specialist or consultant physician in the practice of his or her specialty or a general practitioner), as a member of a case conference team, to lead and coordinate a multidisciplinary case conference on a patient with cancer to develop a multidisciplinary treatment plan, if the case conference is of at least 10 minutes, with a multidisciplinary team of at least 3 other medical practitioners from different areas of medical practice (which may include general practice), and, in addition, allied health providers</w:t>
            </w:r>
          </w:p>
        </w:tc>
        <w:tc>
          <w:tcPr>
            <w:tcW w:w="978" w:type="dxa"/>
            <w:noWrap/>
            <w:hideMark/>
          </w:tcPr>
          <w:p w14:paraId="64B7E91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$80.30 </w:t>
            </w:r>
          </w:p>
        </w:tc>
        <w:tc>
          <w:tcPr>
            <w:tcW w:w="993" w:type="dxa"/>
            <w:noWrap/>
            <w:hideMark/>
          </w:tcPr>
          <w:p w14:paraId="7E75023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$2,853,474 </w:t>
            </w:r>
          </w:p>
        </w:tc>
        <w:tc>
          <w:tcPr>
            <w:tcW w:w="850" w:type="dxa"/>
            <w:noWrap/>
            <w:hideMark/>
          </w:tcPr>
          <w:p w14:paraId="69E4194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41,923 </w:t>
            </w:r>
          </w:p>
        </w:tc>
        <w:tc>
          <w:tcPr>
            <w:tcW w:w="851" w:type="dxa"/>
            <w:noWrap/>
            <w:hideMark/>
          </w:tcPr>
          <w:p w14:paraId="6EA9C1E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21.1%</w:t>
            </w:r>
          </w:p>
        </w:tc>
        <w:tc>
          <w:tcPr>
            <w:tcW w:w="1401" w:type="dxa"/>
          </w:tcPr>
          <w:p w14:paraId="017FCAD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 Replace with new treatment planning case conferences</w:t>
            </w:r>
          </w:p>
        </w:tc>
      </w:tr>
      <w:tr w:rsidR="008A5CDC" w:rsidRPr="00C33C0B" w14:paraId="4DE1A56D"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5115D3DB"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872</w:t>
            </w:r>
          </w:p>
        </w:tc>
        <w:tc>
          <w:tcPr>
            <w:tcW w:w="3893" w:type="dxa"/>
            <w:noWrap/>
            <w:hideMark/>
          </w:tcPr>
          <w:p w14:paraId="4D6D6C6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medical practitioner (including a specialist or consultant physician in the practice of his or her specialty or a general practitioner), as a member of a case conference team, to participate in a multidisciplinary case conference on a patient with cancer to develop a multidisciplinary treatment plan, if the case conference is of at least 10 minutes, with a multidisciplinary team of at least 4 medical practitioners from different areas of medical practice (which may include general practice), and, in addition, allied health providers</w:t>
            </w:r>
          </w:p>
        </w:tc>
        <w:tc>
          <w:tcPr>
            <w:tcW w:w="978" w:type="dxa"/>
            <w:noWrap/>
            <w:hideMark/>
          </w:tcPr>
          <w:p w14:paraId="79E5C7D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$37.40 </w:t>
            </w:r>
          </w:p>
        </w:tc>
        <w:tc>
          <w:tcPr>
            <w:tcW w:w="993" w:type="dxa"/>
            <w:noWrap/>
            <w:hideMark/>
          </w:tcPr>
          <w:p w14:paraId="7F2FB9E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$3,281,342 </w:t>
            </w:r>
          </w:p>
        </w:tc>
        <w:tc>
          <w:tcPr>
            <w:tcW w:w="850" w:type="dxa"/>
            <w:noWrap/>
            <w:hideMark/>
          </w:tcPr>
          <w:p w14:paraId="64FB9B1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103,423 </w:t>
            </w:r>
          </w:p>
        </w:tc>
        <w:tc>
          <w:tcPr>
            <w:tcW w:w="851" w:type="dxa"/>
            <w:noWrap/>
            <w:hideMark/>
          </w:tcPr>
          <w:p w14:paraId="2378FEB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36.7%</w:t>
            </w:r>
          </w:p>
        </w:tc>
        <w:tc>
          <w:tcPr>
            <w:tcW w:w="1401" w:type="dxa"/>
          </w:tcPr>
          <w:p w14:paraId="73D1ACD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 Replace with new treatment planning case conferences</w:t>
            </w:r>
          </w:p>
        </w:tc>
      </w:tr>
      <w:tr w:rsidR="008A5CDC" w:rsidRPr="00C33C0B" w14:paraId="4BC62085"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64942C46"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880</w:t>
            </w:r>
          </w:p>
        </w:tc>
        <w:tc>
          <w:tcPr>
            <w:tcW w:w="3893" w:type="dxa"/>
            <w:noWrap/>
            <w:hideMark/>
          </w:tcPr>
          <w:p w14:paraId="237365E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geriatric or rehabilitation medicine, as a member of a case conference team, to coordinate a case conference of at least 10 minutes but less than 30 minutes--for any particular patient, one attendance only in a 7 day period (other than attendance on the same day as an attendance for which item 832, 834, 835, 837 or 838 was applicable in relation to the patient) (H)</w:t>
            </w:r>
          </w:p>
        </w:tc>
        <w:tc>
          <w:tcPr>
            <w:tcW w:w="978" w:type="dxa"/>
            <w:noWrap/>
            <w:hideMark/>
          </w:tcPr>
          <w:p w14:paraId="1D1A0F8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$48.65 </w:t>
            </w:r>
          </w:p>
        </w:tc>
        <w:tc>
          <w:tcPr>
            <w:tcW w:w="993" w:type="dxa"/>
            <w:noWrap/>
            <w:hideMark/>
          </w:tcPr>
          <w:p w14:paraId="0BD2DDD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$4,249,249 </w:t>
            </w:r>
          </w:p>
        </w:tc>
        <w:tc>
          <w:tcPr>
            <w:tcW w:w="850" w:type="dxa"/>
            <w:noWrap/>
            <w:hideMark/>
          </w:tcPr>
          <w:p w14:paraId="3394C67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116,440 </w:t>
            </w:r>
          </w:p>
        </w:tc>
        <w:tc>
          <w:tcPr>
            <w:tcW w:w="851" w:type="dxa"/>
            <w:noWrap/>
            <w:hideMark/>
          </w:tcPr>
          <w:p w14:paraId="6D8D87E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11.8%</w:t>
            </w:r>
          </w:p>
        </w:tc>
        <w:tc>
          <w:tcPr>
            <w:tcW w:w="1401" w:type="dxa"/>
          </w:tcPr>
          <w:p w14:paraId="69A3CB9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No change</w:t>
            </w:r>
          </w:p>
        </w:tc>
      </w:tr>
      <w:tr w:rsidR="008A5CDC" w:rsidRPr="00C33C0B" w14:paraId="795A812B"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0ADA5ECB"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2946</w:t>
            </w:r>
          </w:p>
        </w:tc>
        <w:tc>
          <w:tcPr>
            <w:tcW w:w="3893" w:type="dxa"/>
            <w:noWrap/>
            <w:hideMark/>
          </w:tcPr>
          <w:p w14:paraId="7673485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15 minutes but less than 30 minutes</w:t>
            </w:r>
          </w:p>
        </w:tc>
        <w:tc>
          <w:tcPr>
            <w:tcW w:w="978" w:type="dxa"/>
            <w:noWrap/>
            <w:hideMark/>
          </w:tcPr>
          <w:p w14:paraId="3FAC27F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$139.10 </w:t>
            </w:r>
          </w:p>
        </w:tc>
        <w:tc>
          <w:tcPr>
            <w:tcW w:w="993" w:type="dxa"/>
            <w:noWrap/>
            <w:hideMark/>
          </w:tcPr>
          <w:p w14:paraId="4A855B0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$119,742 </w:t>
            </w:r>
          </w:p>
        </w:tc>
        <w:tc>
          <w:tcPr>
            <w:tcW w:w="850" w:type="dxa"/>
            <w:noWrap/>
            <w:hideMark/>
          </w:tcPr>
          <w:p w14:paraId="7902463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1,046 </w:t>
            </w:r>
          </w:p>
        </w:tc>
        <w:tc>
          <w:tcPr>
            <w:tcW w:w="851" w:type="dxa"/>
            <w:noWrap/>
            <w:hideMark/>
          </w:tcPr>
          <w:p w14:paraId="674D16B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1.4%</w:t>
            </w:r>
          </w:p>
        </w:tc>
        <w:tc>
          <w:tcPr>
            <w:tcW w:w="1401" w:type="dxa"/>
          </w:tcPr>
          <w:p w14:paraId="136DE0E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38E3CAAE"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201A3ABF"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2949</w:t>
            </w:r>
          </w:p>
        </w:tc>
        <w:tc>
          <w:tcPr>
            <w:tcW w:w="3893" w:type="dxa"/>
            <w:noWrap/>
            <w:hideMark/>
          </w:tcPr>
          <w:p w14:paraId="294C690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30 minutes but less than 45 minutes</w:t>
            </w:r>
          </w:p>
        </w:tc>
        <w:tc>
          <w:tcPr>
            <w:tcW w:w="978" w:type="dxa"/>
            <w:noWrap/>
            <w:hideMark/>
          </w:tcPr>
          <w:p w14:paraId="73673CB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$208.70 </w:t>
            </w:r>
          </w:p>
        </w:tc>
        <w:tc>
          <w:tcPr>
            <w:tcW w:w="993" w:type="dxa"/>
            <w:noWrap/>
            <w:hideMark/>
          </w:tcPr>
          <w:p w14:paraId="5A91114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$22,686 </w:t>
            </w:r>
          </w:p>
        </w:tc>
        <w:tc>
          <w:tcPr>
            <w:tcW w:w="850" w:type="dxa"/>
            <w:noWrap/>
            <w:hideMark/>
          </w:tcPr>
          <w:p w14:paraId="0A50675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128 </w:t>
            </w:r>
          </w:p>
        </w:tc>
        <w:tc>
          <w:tcPr>
            <w:tcW w:w="851" w:type="dxa"/>
            <w:noWrap/>
            <w:hideMark/>
          </w:tcPr>
          <w:p w14:paraId="49998EA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18.8%</w:t>
            </w:r>
          </w:p>
        </w:tc>
        <w:tc>
          <w:tcPr>
            <w:tcW w:w="1401" w:type="dxa"/>
          </w:tcPr>
          <w:p w14:paraId="2302AE4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5E8FA3DB"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15E3519A"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2954</w:t>
            </w:r>
          </w:p>
        </w:tc>
        <w:tc>
          <w:tcPr>
            <w:tcW w:w="3893" w:type="dxa"/>
            <w:noWrap/>
            <w:hideMark/>
          </w:tcPr>
          <w:p w14:paraId="4CBE32F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45 minutes</w:t>
            </w:r>
          </w:p>
        </w:tc>
        <w:tc>
          <w:tcPr>
            <w:tcW w:w="978" w:type="dxa"/>
            <w:noWrap/>
            <w:hideMark/>
          </w:tcPr>
          <w:p w14:paraId="37B7475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$278.15 </w:t>
            </w:r>
          </w:p>
        </w:tc>
        <w:tc>
          <w:tcPr>
            <w:tcW w:w="993" w:type="dxa"/>
            <w:noWrap/>
            <w:hideMark/>
          </w:tcPr>
          <w:p w14:paraId="0D3995C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$18,986 </w:t>
            </w:r>
          </w:p>
        </w:tc>
        <w:tc>
          <w:tcPr>
            <w:tcW w:w="850" w:type="dxa"/>
            <w:noWrap/>
            <w:hideMark/>
          </w:tcPr>
          <w:p w14:paraId="7532ADD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81 </w:t>
            </w:r>
          </w:p>
        </w:tc>
        <w:tc>
          <w:tcPr>
            <w:tcW w:w="851" w:type="dxa"/>
            <w:noWrap/>
            <w:hideMark/>
          </w:tcPr>
          <w:p w14:paraId="344492D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140.8%</w:t>
            </w:r>
          </w:p>
        </w:tc>
        <w:tc>
          <w:tcPr>
            <w:tcW w:w="1401" w:type="dxa"/>
          </w:tcPr>
          <w:p w14:paraId="45C2D5C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6AB084DB"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478DF8BA"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2958</w:t>
            </w:r>
          </w:p>
        </w:tc>
        <w:tc>
          <w:tcPr>
            <w:tcW w:w="3893" w:type="dxa"/>
            <w:noWrap/>
            <w:hideMark/>
          </w:tcPr>
          <w:p w14:paraId="2C8BCE3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15 minutes but less than 30 minutes</w:t>
            </w:r>
          </w:p>
        </w:tc>
        <w:tc>
          <w:tcPr>
            <w:tcW w:w="978" w:type="dxa"/>
            <w:noWrap/>
            <w:hideMark/>
          </w:tcPr>
          <w:p w14:paraId="0A71E06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$99.90 </w:t>
            </w:r>
          </w:p>
        </w:tc>
        <w:tc>
          <w:tcPr>
            <w:tcW w:w="993" w:type="dxa"/>
            <w:noWrap/>
            <w:hideMark/>
          </w:tcPr>
          <w:p w14:paraId="4DB9B40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$77,858 </w:t>
            </w:r>
          </w:p>
        </w:tc>
        <w:tc>
          <w:tcPr>
            <w:tcW w:w="850" w:type="dxa"/>
            <w:noWrap/>
            <w:hideMark/>
          </w:tcPr>
          <w:p w14:paraId="683BE1E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920 </w:t>
            </w:r>
          </w:p>
        </w:tc>
        <w:tc>
          <w:tcPr>
            <w:tcW w:w="851" w:type="dxa"/>
            <w:noWrap/>
            <w:hideMark/>
          </w:tcPr>
          <w:p w14:paraId="5C57578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59.9%</w:t>
            </w:r>
          </w:p>
        </w:tc>
        <w:tc>
          <w:tcPr>
            <w:tcW w:w="1401" w:type="dxa"/>
          </w:tcPr>
          <w:p w14:paraId="1DC6B23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5AB36D3E"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10E5B654"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2972</w:t>
            </w:r>
          </w:p>
        </w:tc>
        <w:tc>
          <w:tcPr>
            <w:tcW w:w="3893" w:type="dxa"/>
            <w:noWrap/>
            <w:hideMark/>
          </w:tcPr>
          <w:p w14:paraId="5790762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30 minutes but less than 45 minutes</w:t>
            </w:r>
          </w:p>
        </w:tc>
        <w:tc>
          <w:tcPr>
            <w:tcW w:w="978" w:type="dxa"/>
            <w:noWrap/>
            <w:hideMark/>
          </w:tcPr>
          <w:p w14:paraId="5C11948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$159.30 </w:t>
            </w:r>
          </w:p>
        </w:tc>
        <w:tc>
          <w:tcPr>
            <w:tcW w:w="993" w:type="dxa"/>
            <w:noWrap/>
            <w:hideMark/>
          </w:tcPr>
          <w:p w14:paraId="297AE6A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$14,493 </w:t>
            </w:r>
          </w:p>
        </w:tc>
        <w:tc>
          <w:tcPr>
            <w:tcW w:w="850" w:type="dxa"/>
            <w:noWrap/>
            <w:hideMark/>
          </w:tcPr>
          <w:p w14:paraId="6AEEE9E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107 </w:t>
            </w:r>
          </w:p>
        </w:tc>
        <w:tc>
          <w:tcPr>
            <w:tcW w:w="851" w:type="dxa"/>
            <w:noWrap/>
            <w:hideMark/>
          </w:tcPr>
          <w:p w14:paraId="6A8F67C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-6.8%</w:t>
            </w:r>
          </w:p>
        </w:tc>
        <w:tc>
          <w:tcPr>
            <w:tcW w:w="1401" w:type="dxa"/>
          </w:tcPr>
          <w:p w14:paraId="1A8E287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50D69693"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3072C1B6"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2974</w:t>
            </w:r>
          </w:p>
        </w:tc>
        <w:tc>
          <w:tcPr>
            <w:tcW w:w="3893" w:type="dxa"/>
            <w:noWrap/>
            <w:hideMark/>
          </w:tcPr>
          <w:p w14:paraId="3D7E22F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45 minutes</w:t>
            </w:r>
          </w:p>
        </w:tc>
        <w:tc>
          <w:tcPr>
            <w:tcW w:w="978" w:type="dxa"/>
            <w:noWrap/>
            <w:hideMark/>
          </w:tcPr>
          <w:p w14:paraId="2B0FE18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$218.75 </w:t>
            </w:r>
          </w:p>
        </w:tc>
        <w:tc>
          <w:tcPr>
            <w:tcW w:w="993" w:type="dxa"/>
            <w:noWrap/>
            <w:hideMark/>
          </w:tcPr>
          <w:p w14:paraId="1B4CC22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$20,619 </w:t>
            </w:r>
          </w:p>
        </w:tc>
        <w:tc>
          <w:tcPr>
            <w:tcW w:w="850" w:type="dxa"/>
            <w:noWrap/>
            <w:hideMark/>
          </w:tcPr>
          <w:p w14:paraId="6AC21E0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111 </w:t>
            </w:r>
          </w:p>
        </w:tc>
        <w:tc>
          <w:tcPr>
            <w:tcW w:w="851" w:type="dxa"/>
            <w:noWrap/>
            <w:hideMark/>
          </w:tcPr>
          <w:p w14:paraId="3406B8A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45.5%</w:t>
            </w:r>
          </w:p>
        </w:tc>
        <w:tc>
          <w:tcPr>
            <w:tcW w:w="1401" w:type="dxa"/>
          </w:tcPr>
          <w:p w14:paraId="00E79F4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6006346B"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535B6430"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2978</w:t>
            </w:r>
          </w:p>
        </w:tc>
        <w:tc>
          <w:tcPr>
            <w:tcW w:w="3893" w:type="dxa"/>
            <w:noWrap/>
            <w:hideMark/>
          </w:tcPr>
          <w:p w14:paraId="741F621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15 minutes but less than 30 minutes, before the patient is discharged from a hospital (H)</w:t>
            </w:r>
          </w:p>
        </w:tc>
        <w:tc>
          <w:tcPr>
            <w:tcW w:w="978" w:type="dxa"/>
            <w:noWrap/>
            <w:hideMark/>
          </w:tcPr>
          <w:p w14:paraId="7304338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$139.10 </w:t>
            </w:r>
          </w:p>
        </w:tc>
        <w:tc>
          <w:tcPr>
            <w:tcW w:w="993" w:type="dxa"/>
            <w:noWrap/>
            <w:hideMark/>
          </w:tcPr>
          <w:p w14:paraId="033A7E7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$3,548 </w:t>
            </w:r>
          </w:p>
        </w:tc>
        <w:tc>
          <w:tcPr>
            <w:tcW w:w="850" w:type="dxa"/>
            <w:noWrap/>
            <w:hideMark/>
          </w:tcPr>
          <w:p w14:paraId="761277C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34 </w:t>
            </w:r>
          </w:p>
        </w:tc>
        <w:tc>
          <w:tcPr>
            <w:tcW w:w="851" w:type="dxa"/>
            <w:noWrap/>
            <w:hideMark/>
          </w:tcPr>
          <w:p w14:paraId="3D89808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-15.1%</w:t>
            </w:r>
          </w:p>
        </w:tc>
        <w:tc>
          <w:tcPr>
            <w:tcW w:w="1401" w:type="dxa"/>
          </w:tcPr>
          <w:p w14:paraId="5F15BD2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0DA366E1"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6915D000"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2984</w:t>
            </w:r>
          </w:p>
        </w:tc>
        <w:tc>
          <w:tcPr>
            <w:tcW w:w="3893" w:type="dxa"/>
            <w:noWrap/>
            <w:hideMark/>
          </w:tcPr>
          <w:p w14:paraId="04D975C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30 minutes but less than 45 minutes, before the patient is discharged from a hospital (H)</w:t>
            </w:r>
          </w:p>
        </w:tc>
        <w:tc>
          <w:tcPr>
            <w:tcW w:w="978" w:type="dxa"/>
            <w:noWrap/>
            <w:hideMark/>
          </w:tcPr>
          <w:p w14:paraId="25873A3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$208.70 </w:t>
            </w:r>
          </w:p>
        </w:tc>
        <w:tc>
          <w:tcPr>
            <w:tcW w:w="993" w:type="dxa"/>
            <w:noWrap/>
            <w:hideMark/>
          </w:tcPr>
          <w:p w14:paraId="4FD1264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w:t>
            </w:r>
          </w:p>
        </w:tc>
        <w:tc>
          <w:tcPr>
            <w:tcW w:w="850" w:type="dxa"/>
            <w:noWrap/>
            <w:hideMark/>
          </w:tcPr>
          <w:p w14:paraId="25B7150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 </w:t>
            </w:r>
          </w:p>
        </w:tc>
        <w:tc>
          <w:tcPr>
            <w:tcW w:w="851" w:type="dxa"/>
            <w:noWrap/>
            <w:hideMark/>
          </w:tcPr>
          <w:p w14:paraId="7BAEFBE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p>
        </w:tc>
        <w:tc>
          <w:tcPr>
            <w:tcW w:w="1401" w:type="dxa"/>
          </w:tcPr>
          <w:p w14:paraId="0302632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0115918B"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50AE7BB0"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2988</w:t>
            </w:r>
          </w:p>
        </w:tc>
        <w:tc>
          <w:tcPr>
            <w:tcW w:w="3893" w:type="dxa"/>
            <w:noWrap/>
            <w:hideMark/>
          </w:tcPr>
          <w:p w14:paraId="50CBF76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45 minutes, before the patient is discharged from a hospital (H)</w:t>
            </w:r>
          </w:p>
        </w:tc>
        <w:tc>
          <w:tcPr>
            <w:tcW w:w="978" w:type="dxa"/>
            <w:noWrap/>
            <w:hideMark/>
          </w:tcPr>
          <w:p w14:paraId="3BDE72B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$278.15 </w:t>
            </w:r>
          </w:p>
        </w:tc>
        <w:tc>
          <w:tcPr>
            <w:tcW w:w="993" w:type="dxa"/>
            <w:noWrap/>
            <w:hideMark/>
          </w:tcPr>
          <w:p w14:paraId="5FE4E4C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$209 </w:t>
            </w:r>
          </w:p>
        </w:tc>
        <w:tc>
          <w:tcPr>
            <w:tcW w:w="850" w:type="dxa"/>
            <w:noWrap/>
            <w:hideMark/>
          </w:tcPr>
          <w:p w14:paraId="6B2A570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 </w:t>
            </w:r>
          </w:p>
        </w:tc>
        <w:tc>
          <w:tcPr>
            <w:tcW w:w="851" w:type="dxa"/>
            <w:noWrap/>
            <w:hideMark/>
          </w:tcPr>
          <w:p w14:paraId="5259771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0.0%</w:t>
            </w:r>
          </w:p>
        </w:tc>
        <w:tc>
          <w:tcPr>
            <w:tcW w:w="1401" w:type="dxa"/>
          </w:tcPr>
          <w:p w14:paraId="4D3B902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2816ED43"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337D3A85"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2992</w:t>
            </w:r>
          </w:p>
        </w:tc>
        <w:tc>
          <w:tcPr>
            <w:tcW w:w="3893" w:type="dxa"/>
            <w:noWrap/>
            <w:hideMark/>
          </w:tcPr>
          <w:p w14:paraId="663ABC8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15 minutes but less than 30 minutes, before the patient is discharged from a hospital (H)</w:t>
            </w:r>
          </w:p>
        </w:tc>
        <w:tc>
          <w:tcPr>
            <w:tcW w:w="978" w:type="dxa"/>
            <w:noWrap/>
            <w:hideMark/>
          </w:tcPr>
          <w:p w14:paraId="7660A0C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$99.90 </w:t>
            </w:r>
          </w:p>
        </w:tc>
        <w:tc>
          <w:tcPr>
            <w:tcW w:w="993" w:type="dxa"/>
            <w:noWrap/>
            <w:hideMark/>
          </w:tcPr>
          <w:p w14:paraId="740537A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$2,024 </w:t>
            </w:r>
          </w:p>
        </w:tc>
        <w:tc>
          <w:tcPr>
            <w:tcW w:w="850" w:type="dxa"/>
            <w:noWrap/>
            <w:hideMark/>
          </w:tcPr>
          <w:p w14:paraId="0734EC9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27 </w:t>
            </w:r>
          </w:p>
        </w:tc>
        <w:tc>
          <w:tcPr>
            <w:tcW w:w="851" w:type="dxa"/>
            <w:noWrap/>
            <w:hideMark/>
          </w:tcPr>
          <w:p w14:paraId="14653E7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p>
        </w:tc>
        <w:tc>
          <w:tcPr>
            <w:tcW w:w="1401" w:type="dxa"/>
          </w:tcPr>
          <w:p w14:paraId="0B1B0EE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719DD87B"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1298F22B"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2996</w:t>
            </w:r>
          </w:p>
        </w:tc>
        <w:tc>
          <w:tcPr>
            <w:tcW w:w="3893" w:type="dxa"/>
            <w:noWrap/>
            <w:hideMark/>
          </w:tcPr>
          <w:p w14:paraId="108F126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30 minutes but less than 45 minutes, before the patient is discharged from a hospital (H)</w:t>
            </w:r>
          </w:p>
        </w:tc>
        <w:tc>
          <w:tcPr>
            <w:tcW w:w="978" w:type="dxa"/>
            <w:noWrap/>
            <w:hideMark/>
          </w:tcPr>
          <w:p w14:paraId="5BC17E1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$159.30 </w:t>
            </w:r>
          </w:p>
        </w:tc>
        <w:tc>
          <w:tcPr>
            <w:tcW w:w="993" w:type="dxa"/>
            <w:noWrap/>
            <w:hideMark/>
          </w:tcPr>
          <w:p w14:paraId="290E0FB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$120 </w:t>
            </w:r>
          </w:p>
        </w:tc>
        <w:tc>
          <w:tcPr>
            <w:tcW w:w="850" w:type="dxa"/>
            <w:noWrap/>
            <w:hideMark/>
          </w:tcPr>
          <w:p w14:paraId="1B7CD80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 </w:t>
            </w:r>
          </w:p>
        </w:tc>
        <w:tc>
          <w:tcPr>
            <w:tcW w:w="851" w:type="dxa"/>
            <w:noWrap/>
            <w:hideMark/>
          </w:tcPr>
          <w:p w14:paraId="1F77B55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p>
        </w:tc>
        <w:tc>
          <w:tcPr>
            <w:tcW w:w="1401" w:type="dxa"/>
          </w:tcPr>
          <w:p w14:paraId="4E74CB0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2A4B890C"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4F86DA13"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3000</w:t>
            </w:r>
          </w:p>
        </w:tc>
        <w:tc>
          <w:tcPr>
            <w:tcW w:w="3893" w:type="dxa"/>
            <w:noWrap/>
            <w:hideMark/>
          </w:tcPr>
          <w:p w14:paraId="0368DA4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45 minutes, before the patient is discharged from a hospital (H)</w:t>
            </w:r>
          </w:p>
        </w:tc>
        <w:tc>
          <w:tcPr>
            <w:tcW w:w="978" w:type="dxa"/>
            <w:noWrap/>
            <w:hideMark/>
          </w:tcPr>
          <w:p w14:paraId="6889B0C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$218.75 </w:t>
            </w:r>
          </w:p>
        </w:tc>
        <w:tc>
          <w:tcPr>
            <w:tcW w:w="993" w:type="dxa"/>
            <w:noWrap/>
            <w:hideMark/>
          </w:tcPr>
          <w:p w14:paraId="0550835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w:t>
            </w:r>
          </w:p>
        </w:tc>
        <w:tc>
          <w:tcPr>
            <w:tcW w:w="850" w:type="dxa"/>
            <w:noWrap/>
            <w:hideMark/>
          </w:tcPr>
          <w:p w14:paraId="7CCC46E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 </w:t>
            </w:r>
          </w:p>
        </w:tc>
        <w:tc>
          <w:tcPr>
            <w:tcW w:w="851" w:type="dxa"/>
            <w:noWrap/>
            <w:hideMark/>
          </w:tcPr>
          <w:p w14:paraId="43C9B82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p>
        </w:tc>
        <w:tc>
          <w:tcPr>
            <w:tcW w:w="1401" w:type="dxa"/>
          </w:tcPr>
          <w:p w14:paraId="2CAAAA1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1464C335"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2ED56BA6"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3032</w:t>
            </w:r>
          </w:p>
        </w:tc>
        <w:tc>
          <w:tcPr>
            <w:tcW w:w="3893" w:type="dxa"/>
            <w:noWrap/>
            <w:hideMark/>
          </w:tcPr>
          <w:p w14:paraId="4C8F946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15 minutes but less than 30 minutes</w:t>
            </w:r>
          </w:p>
        </w:tc>
        <w:tc>
          <w:tcPr>
            <w:tcW w:w="978" w:type="dxa"/>
            <w:noWrap/>
            <w:hideMark/>
          </w:tcPr>
          <w:p w14:paraId="3B3DDA4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$139.10 </w:t>
            </w:r>
          </w:p>
        </w:tc>
        <w:tc>
          <w:tcPr>
            <w:tcW w:w="993" w:type="dxa"/>
            <w:noWrap/>
            <w:hideMark/>
          </w:tcPr>
          <w:p w14:paraId="4EEB0CD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$314,851 </w:t>
            </w:r>
          </w:p>
        </w:tc>
        <w:tc>
          <w:tcPr>
            <w:tcW w:w="850" w:type="dxa"/>
            <w:noWrap/>
            <w:hideMark/>
          </w:tcPr>
          <w:p w14:paraId="2A57648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2,771 </w:t>
            </w:r>
          </w:p>
        </w:tc>
        <w:tc>
          <w:tcPr>
            <w:tcW w:w="851" w:type="dxa"/>
            <w:noWrap/>
            <w:hideMark/>
          </w:tcPr>
          <w:p w14:paraId="75B938A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10.2%</w:t>
            </w:r>
          </w:p>
        </w:tc>
        <w:tc>
          <w:tcPr>
            <w:tcW w:w="1401" w:type="dxa"/>
          </w:tcPr>
          <w:p w14:paraId="5DBF712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04FB1C45"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78A17A27"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3040</w:t>
            </w:r>
          </w:p>
        </w:tc>
        <w:tc>
          <w:tcPr>
            <w:tcW w:w="3893" w:type="dxa"/>
            <w:noWrap/>
            <w:hideMark/>
          </w:tcPr>
          <w:p w14:paraId="65D8295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30 minutes but less than 45 minutes</w:t>
            </w:r>
          </w:p>
        </w:tc>
        <w:tc>
          <w:tcPr>
            <w:tcW w:w="978" w:type="dxa"/>
            <w:noWrap/>
            <w:hideMark/>
          </w:tcPr>
          <w:p w14:paraId="30B6121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$208.70 </w:t>
            </w:r>
          </w:p>
        </w:tc>
        <w:tc>
          <w:tcPr>
            <w:tcW w:w="993" w:type="dxa"/>
            <w:noWrap/>
            <w:hideMark/>
          </w:tcPr>
          <w:p w14:paraId="53E009D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$33,845 </w:t>
            </w:r>
          </w:p>
        </w:tc>
        <w:tc>
          <w:tcPr>
            <w:tcW w:w="850" w:type="dxa"/>
            <w:noWrap/>
            <w:hideMark/>
          </w:tcPr>
          <w:p w14:paraId="54E74E8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192 </w:t>
            </w:r>
          </w:p>
        </w:tc>
        <w:tc>
          <w:tcPr>
            <w:tcW w:w="851" w:type="dxa"/>
            <w:noWrap/>
            <w:hideMark/>
          </w:tcPr>
          <w:p w14:paraId="48BBA84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93.9%</w:t>
            </w:r>
          </w:p>
        </w:tc>
        <w:tc>
          <w:tcPr>
            <w:tcW w:w="1401" w:type="dxa"/>
          </w:tcPr>
          <w:p w14:paraId="623421A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63A9BA95"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3078436E"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3044</w:t>
            </w:r>
          </w:p>
        </w:tc>
        <w:tc>
          <w:tcPr>
            <w:tcW w:w="3893" w:type="dxa"/>
            <w:noWrap/>
            <w:hideMark/>
          </w:tcPr>
          <w:p w14:paraId="10BFADE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45 minutes</w:t>
            </w:r>
          </w:p>
        </w:tc>
        <w:tc>
          <w:tcPr>
            <w:tcW w:w="978" w:type="dxa"/>
            <w:noWrap/>
            <w:hideMark/>
          </w:tcPr>
          <w:p w14:paraId="2480243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$278.15 </w:t>
            </w:r>
          </w:p>
        </w:tc>
        <w:tc>
          <w:tcPr>
            <w:tcW w:w="993" w:type="dxa"/>
            <w:noWrap/>
            <w:hideMark/>
          </w:tcPr>
          <w:p w14:paraId="62F9C73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$19,570 </w:t>
            </w:r>
          </w:p>
        </w:tc>
        <w:tc>
          <w:tcPr>
            <w:tcW w:w="850" w:type="dxa"/>
            <w:noWrap/>
            <w:hideMark/>
          </w:tcPr>
          <w:p w14:paraId="235B76A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83 </w:t>
            </w:r>
          </w:p>
        </w:tc>
        <w:tc>
          <w:tcPr>
            <w:tcW w:w="851" w:type="dxa"/>
            <w:noWrap/>
            <w:hideMark/>
          </w:tcPr>
          <w:p w14:paraId="06E37B9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69.1%</w:t>
            </w:r>
          </w:p>
        </w:tc>
        <w:tc>
          <w:tcPr>
            <w:tcW w:w="1401" w:type="dxa"/>
          </w:tcPr>
          <w:p w14:paraId="6009666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7D03486A"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0167BF13"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3051</w:t>
            </w:r>
          </w:p>
        </w:tc>
        <w:tc>
          <w:tcPr>
            <w:tcW w:w="3893" w:type="dxa"/>
            <w:noWrap/>
            <w:hideMark/>
          </w:tcPr>
          <w:p w14:paraId="0419E05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15 minutes but less than 30 minutes</w:t>
            </w:r>
          </w:p>
        </w:tc>
        <w:tc>
          <w:tcPr>
            <w:tcW w:w="978" w:type="dxa"/>
            <w:noWrap/>
            <w:hideMark/>
          </w:tcPr>
          <w:p w14:paraId="6FBF67E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$99.90 </w:t>
            </w:r>
          </w:p>
        </w:tc>
        <w:tc>
          <w:tcPr>
            <w:tcW w:w="993" w:type="dxa"/>
            <w:noWrap/>
            <w:hideMark/>
          </w:tcPr>
          <w:p w14:paraId="1D02048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$183,835 </w:t>
            </w:r>
          </w:p>
        </w:tc>
        <w:tc>
          <w:tcPr>
            <w:tcW w:w="850" w:type="dxa"/>
            <w:noWrap/>
            <w:hideMark/>
          </w:tcPr>
          <w:p w14:paraId="7173C5E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2,298 </w:t>
            </w:r>
          </w:p>
        </w:tc>
        <w:tc>
          <w:tcPr>
            <w:tcW w:w="851" w:type="dxa"/>
            <w:noWrap/>
            <w:hideMark/>
          </w:tcPr>
          <w:p w14:paraId="017CA84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15.3%</w:t>
            </w:r>
          </w:p>
        </w:tc>
        <w:tc>
          <w:tcPr>
            <w:tcW w:w="1401" w:type="dxa"/>
          </w:tcPr>
          <w:p w14:paraId="265098D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33611BB2"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01FE0296"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3055</w:t>
            </w:r>
          </w:p>
        </w:tc>
        <w:tc>
          <w:tcPr>
            <w:tcW w:w="3893" w:type="dxa"/>
            <w:noWrap/>
            <w:hideMark/>
          </w:tcPr>
          <w:p w14:paraId="08B5D7F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30 minutes but less than 45 minutes, with a multidisciplinary team of at least 2 other formal care providers of different disciplines</w:t>
            </w:r>
          </w:p>
        </w:tc>
        <w:tc>
          <w:tcPr>
            <w:tcW w:w="978" w:type="dxa"/>
            <w:noWrap/>
            <w:hideMark/>
          </w:tcPr>
          <w:p w14:paraId="4329C27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$159.30 </w:t>
            </w:r>
          </w:p>
        </w:tc>
        <w:tc>
          <w:tcPr>
            <w:tcW w:w="993" w:type="dxa"/>
            <w:noWrap/>
            <w:hideMark/>
          </w:tcPr>
          <w:p w14:paraId="341558F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$3,362 </w:t>
            </w:r>
          </w:p>
        </w:tc>
        <w:tc>
          <w:tcPr>
            <w:tcW w:w="850" w:type="dxa"/>
            <w:noWrap/>
            <w:hideMark/>
          </w:tcPr>
          <w:p w14:paraId="3203945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28 </w:t>
            </w:r>
          </w:p>
        </w:tc>
        <w:tc>
          <w:tcPr>
            <w:tcW w:w="851" w:type="dxa"/>
            <w:noWrap/>
            <w:hideMark/>
          </w:tcPr>
          <w:p w14:paraId="4E5E8A7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22.9%</w:t>
            </w:r>
          </w:p>
        </w:tc>
        <w:tc>
          <w:tcPr>
            <w:tcW w:w="1401" w:type="dxa"/>
          </w:tcPr>
          <w:p w14:paraId="1BF2242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77B95B6B"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2F70525C" w14:textId="77777777" w:rsidR="001E05F9" w:rsidRPr="00C33C0B" w:rsidRDefault="001E05F9" w:rsidP="00501544">
            <w:pPr>
              <w:spacing w:before="20" w:after="20"/>
              <w:rPr>
                <w:rFonts w:cstheme="minorHAnsi"/>
                <w:bCs w:val="0"/>
                <w:color w:val="000000"/>
                <w:sz w:val="17"/>
                <w:szCs w:val="17"/>
                <w:lang w:val="en-GB"/>
              </w:rPr>
            </w:pPr>
            <w:r w:rsidRPr="00C33C0B">
              <w:rPr>
                <w:rFonts w:cstheme="minorHAnsi"/>
                <w:bCs w:val="0"/>
                <w:color w:val="000000"/>
                <w:sz w:val="17"/>
                <w:szCs w:val="17"/>
                <w:lang w:val="en-GB"/>
              </w:rPr>
              <w:t>3062</w:t>
            </w:r>
          </w:p>
        </w:tc>
        <w:tc>
          <w:tcPr>
            <w:tcW w:w="3893" w:type="dxa"/>
            <w:noWrap/>
            <w:hideMark/>
          </w:tcPr>
          <w:p w14:paraId="03144CF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45 minutes</w:t>
            </w:r>
          </w:p>
        </w:tc>
        <w:tc>
          <w:tcPr>
            <w:tcW w:w="978" w:type="dxa"/>
            <w:noWrap/>
            <w:hideMark/>
          </w:tcPr>
          <w:p w14:paraId="3CD98CC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$218.75 </w:t>
            </w:r>
          </w:p>
        </w:tc>
        <w:tc>
          <w:tcPr>
            <w:tcW w:w="993" w:type="dxa"/>
            <w:noWrap/>
            <w:hideMark/>
          </w:tcPr>
          <w:p w14:paraId="00F9869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$700 </w:t>
            </w:r>
          </w:p>
        </w:tc>
        <w:tc>
          <w:tcPr>
            <w:tcW w:w="850" w:type="dxa"/>
            <w:noWrap/>
            <w:hideMark/>
          </w:tcPr>
          <w:p w14:paraId="7FADC58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4 </w:t>
            </w:r>
          </w:p>
        </w:tc>
        <w:tc>
          <w:tcPr>
            <w:tcW w:w="851" w:type="dxa"/>
            <w:noWrap/>
            <w:hideMark/>
          </w:tcPr>
          <w:p w14:paraId="487F57A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-4.4%</w:t>
            </w:r>
          </w:p>
        </w:tc>
        <w:tc>
          <w:tcPr>
            <w:tcW w:w="1401" w:type="dxa"/>
          </w:tcPr>
          <w:p w14:paraId="5852B36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5DA9F506"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1CF51262"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3069</w:t>
            </w:r>
          </w:p>
        </w:tc>
        <w:tc>
          <w:tcPr>
            <w:tcW w:w="3893" w:type="dxa"/>
            <w:noWrap/>
            <w:hideMark/>
          </w:tcPr>
          <w:p w14:paraId="00CEEC7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discharge case conference of at least 15 minutes but less than 30 minutes, before the patient is discharged from a hospital (H)</w:t>
            </w:r>
          </w:p>
        </w:tc>
        <w:tc>
          <w:tcPr>
            <w:tcW w:w="978" w:type="dxa"/>
            <w:noWrap/>
            <w:hideMark/>
          </w:tcPr>
          <w:p w14:paraId="1D52EAF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$139.10 </w:t>
            </w:r>
          </w:p>
        </w:tc>
        <w:tc>
          <w:tcPr>
            <w:tcW w:w="993" w:type="dxa"/>
            <w:noWrap/>
            <w:hideMark/>
          </w:tcPr>
          <w:p w14:paraId="110D267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$257,640 </w:t>
            </w:r>
          </w:p>
        </w:tc>
        <w:tc>
          <w:tcPr>
            <w:tcW w:w="850" w:type="dxa"/>
            <w:noWrap/>
            <w:hideMark/>
          </w:tcPr>
          <w:p w14:paraId="408906D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2,469 </w:t>
            </w:r>
          </w:p>
        </w:tc>
        <w:tc>
          <w:tcPr>
            <w:tcW w:w="851" w:type="dxa"/>
            <w:noWrap/>
            <w:hideMark/>
          </w:tcPr>
          <w:p w14:paraId="63D9693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36.7%</w:t>
            </w:r>
          </w:p>
        </w:tc>
        <w:tc>
          <w:tcPr>
            <w:tcW w:w="1401" w:type="dxa"/>
          </w:tcPr>
          <w:p w14:paraId="26A6878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64F00D32"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5C29BCBF"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3074</w:t>
            </w:r>
          </w:p>
        </w:tc>
        <w:tc>
          <w:tcPr>
            <w:tcW w:w="3893" w:type="dxa"/>
            <w:noWrap/>
            <w:hideMark/>
          </w:tcPr>
          <w:p w14:paraId="483AD5D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case conference team, to organise and coordinate a discharge case conference of at least 30 minutes but less than 45 minutes, before the patient is discharged from a hospital (H)</w:t>
            </w:r>
          </w:p>
        </w:tc>
        <w:tc>
          <w:tcPr>
            <w:tcW w:w="978" w:type="dxa"/>
            <w:noWrap/>
            <w:hideMark/>
          </w:tcPr>
          <w:p w14:paraId="142B370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$208.70 </w:t>
            </w:r>
          </w:p>
        </w:tc>
        <w:tc>
          <w:tcPr>
            <w:tcW w:w="993" w:type="dxa"/>
            <w:noWrap/>
            <w:hideMark/>
          </w:tcPr>
          <w:p w14:paraId="58EB0D2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$16,438 </w:t>
            </w:r>
          </w:p>
        </w:tc>
        <w:tc>
          <w:tcPr>
            <w:tcW w:w="850" w:type="dxa"/>
            <w:noWrap/>
            <w:hideMark/>
          </w:tcPr>
          <w:p w14:paraId="4C63F2B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105 </w:t>
            </w:r>
          </w:p>
        </w:tc>
        <w:tc>
          <w:tcPr>
            <w:tcW w:w="851" w:type="dxa"/>
            <w:noWrap/>
            <w:hideMark/>
          </w:tcPr>
          <w:p w14:paraId="31646CF8"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29.3%</w:t>
            </w:r>
          </w:p>
        </w:tc>
        <w:tc>
          <w:tcPr>
            <w:tcW w:w="1401" w:type="dxa"/>
          </w:tcPr>
          <w:p w14:paraId="74B528E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7C98AB16"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6837362A"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3078</w:t>
            </w:r>
          </w:p>
        </w:tc>
        <w:tc>
          <w:tcPr>
            <w:tcW w:w="3893" w:type="dxa"/>
            <w:noWrap/>
            <w:hideMark/>
          </w:tcPr>
          <w:p w14:paraId="2925E4E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discharge case conference of at least 45 minutes, before the patient is discharged from a hospital (H)</w:t>
            </w:r>
          </w:p>
        </w:tc>
        <w:tc>
          <w:tcPr>
            <w:tcW w:w="978" w:type="dxa"/>
            <w:noWrap/>
            <w:hideMark/>
          </w:tcPr>
          <w:p w14:paraId="2DCACD6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$278.15 </w:t>
            </w:r>
          </w:p>
        </w:tc>
        <w:tc>
          <w:tcPr>
            <w:tcW w:w="993" w:type="dxa"/>
            <w:noWrap/>
            <w:hideMark/>
          </w:tcPr>
          <w:p w14:paraId="5837BD3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$51,537 </w:t>
            </w:r>
          </w:p>
        </w:tc>
        <w:tc>
          <w:tcPr>
            <w:tcW w:w="850" w:type="dxa"/>
            <w:noWrap/>
            <w:hideMark/>
          </w:tcPr>
          <w:p w14:paraId="6D61DE8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247 </w:t>
            </w:r>
          </w:p>
        </w:tc>
        <w:tc>
          <w:tcPr>
            <w:tcW w:w="851" w:type="dxa"/>
            <w:noWrap/>
            <w:hideMark/>
          </w:tcPr>
          <w:p w14:paraId="5EA3108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7.6%</w:t>
            </w:r>
          </w:p>
        </w:tc>
        <w:tc>
          <w:tcPr>
            <w:tcW w:w="1401" w:type="dxa"/>
          </w:tcPr>
          <w:p w14:paraId="30BDCE1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720536A8"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07E85D90"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3083</w:t>
            </w:r>
          </w:p>
        </w:tc>
        <w:tc>
          <w:tcPr>
            <w:tcW w:w="3893" w:type="dxa"/>
            <w:noWrap/>
            <w:hideMark/>
          </w:tcPr>
          <w:p w14:paraId="785A067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case conference team, to participate in a discharge case conference (other than to organise and coordinate the conference) of at least 15 minutes but less than 30 minutes, before the patient is discharged from a hospital (H)</w:t>
            </w:r>
          </w:p>
        </w:tc>
        <w:tc>
          <w:tcPr>
            <w:tcW w:w="978" w:type="dxa"/>
            <w:noWrap/>
            <w:hideMark/>
          </w:tcPr>
          <w:p w14:paraId="30B638E7"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$99.90 </w:t>
            </w:r>
          </w:p>
        </w:tc>
        <w:tc>
          <w:tcPr>
            <w:tcW w:w="993" w:type="dxa"/>
            <w:noWrap/>
            <w:hideMark/>
          </w:tcPr>
          <w:p w14:paraId="59B1C89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$53,749 </w:t>
            </w:r>
          </w:p>
        </w:tc>
        <w:tc>
          <w:tcPr>
            <w:tcW w:w="850" w:type="dxa"/>
            <w:noWrap/>
            <w:hideMark/>
          </w:tcPr>
          <w:p w14:paraId="1468239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717 </w:t>
            </w:r>
          </w:p>
        </w:tc>
        <w:tc>
          <w:tcPr>
            <w:tcW w:w="851" w:type="dxa"/>
            <w:noWrap/>
            <w:hideMark/>
          </w:tcPr>
          <w:p w14:paraId="7A2930B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111.4%</w:t>
            </w:r>
          </w:p>
        </w:tc>
        <w:tc>
          <w:tcPr>
            <w:tcW w:w="1401" w:type="dxa"/>
          </w:tcPr>
          <w:p w14:paraId="193DC6E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00FC9817"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4D0EAC96"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3088</w:t>
            </w:r>
          </w:p>
        </w:tc>
        <w:tc>
          <w:tcPr>
            <w:tcW w:w="3893" w:type="dxa"/>
            <w:noWrap/>
            <w:hideMark/>
          </w:tcPr>
          <w:p w14:paraId="46FFE38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discharge case conference (other than to organise and coordinate the conference) of at least 30 minutes but less than 45 minutes, before the patient is discharged from a hospital (H)</w:t>
            </w:r>
          </w:p>
        </w:tc>
        <w:tc>
          <w:tcPr>
            <w:tcW w:w="978" w:type="dxa"/>
            <w:noWrap/>
            <w:hideMark/>
          </w:tcPr>
          <w:p w14:paraId="61C7FD7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$159.30 </w:t>
            </w:r>
          </w:p>
        </w:tc>
        <w:tc>
          <w:tcPr>
            <w:tcW w:w="993" w:type="dxa"/>
            <w:noWrap/>
            <w:hideMark/>
          </w:tcPr>
          <w:p w14:paraId="5052C49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$478 </w:t>
            </w:r>
          </w:p>
        </w:tc>
        <w:tc>
          <w:tcPr>
            <w:tcW w:w="850" w:type="dxa"/>
            <w:noWrap/>
            <w:hideMark/>
          </w:tcPr>
          <w:p w14:paraId="124DE92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4 </w:t>
            </w:r>
          </w:p>
        </w:tc>
        <w:tc>
          <w:tcPr>
            <w:tcW w:w="851" w:type="dxa"/>
            <w:noWrap/>
            <w:hideMark/>
          </w:tcPr>
          <w:p w14:paraId="51F6F58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-23.2%</w:t>
            </w:r>
          </w:p>
        </w:tc>
        <w:tc>
          <w:tcPr>
            <w:tcW w:w="1401" w:type="dxa"/>
          </w:tcPr>
          <w:p w14:paraId="0A3727C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11DB162F" w14:textId="77777777" w:rsidTr="00875408">
        <w:tc>
          <w:tcPr>
            <w:cnfStyle w:val="001000000000" w:firstRow="0" w:lastRow="0" w:firstColumn="1" w:lastColumn="0" w:oddVBand="0" w:evenVBand="0" w:oddHBand="0" w:evenHBand="0" w:firstRowFirstColumn="0" w:firstRowLastColumn="0" w:lastRowFirstColumn="0" w:lastRowLastColumn="0"/>
            <w:tcW w:w="794" w:type="dxa"/>
            <w:noWrap/>
            <w:hideMark/>
          </w:tcPr>
          <w:p w14:paraId="75636BB1"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3093</w:t>
            </w:r>
          </w:p>
        </w:tc>
        <w:tc>
          <w:tcPr>
            <w:tcW w:w="3893" w:type="dxa"/>
            <w:noWrap/>
            <w:hideMark/>
          </w:tcPr>
          <w:p w14:paraId="02274E2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discharge case conference (other than to organise and coordinate the conference) of at least 45 minutes, before the patient is discharged from a hospital (H)</w:t>
            </w:r>
          </w:p>
        </w:tc>
        <w:tc>
          <w:tcPr>
            <w:tcW w:w="978" w:type="dxa"/>
            <w:noWrap/>
            <w:hideMark/>
          </w:tcPr>
          <w:p w14:paraId="38ED0B8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$218.75 </w:t>
            </w:r>
          </w:p>
        </w:tc>
        <w:tc>
          <w:tcPr>
            <w:tcW w:w="993" w:type="dxa"/>
            <w:noWrap/>
            <w:hideMark/>
          </w:tcPr>
          <w:p w14:paraId="78DEFA3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$1,827 </w:t>
            </w:r>
          </w:p>
        </w:tc>
        <w:tc>
          <w:tcPr>
            <w:tcW w:w="850" w:type="dxa"/>
            <w:noWrap/>
            <w:hideMark/>
          </w:tcPr>
          <w:p w14:paraId="1D3273E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 xml:space="preserve"> 11 </w:t>
            </w:r>
          </w:p>
        </w:tc>
        <w:tc>
          <w:tcPr>
            <w:tcW w:w="851" w:type="dxa"/>
            <w:noWrap/>
            <w:hideMark/>
          </w:tcPr>
          <w:p w14:paraId="3395A0C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-3.3%</w:t>
            </w:r>
          </w:p>
        </w:tc>
        <w:tc>
          <w:tcPr>
            <w:tcW w:w="1401" w:type="dxa"/>
          </w:tcPr>
          <w:p w14:paraId="0E4540F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6AF6F270"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1CEECE9C"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6029</w:t>
            </w:r>
          </w:p>
        </w:tc>
        <w:tc>
          <w:tcPr>
            <w:tcW w:w="3893" w:type="dxa"/>
            <w:noWrap/>
          </w:tcPr>
          <w:p w14:paraId="1078FFB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less than 15 minutes, with the multidisciplinary case conference team</w:t>
            </w:r>
          </w:p>
        </w:tc>
        <w:tc>
          <w:tcPr>
            <w:tcW w:w="978" w:type="dxa"/>
            <w:noWrap/>
          </w:tcPr>
          <w:p w14:paraId="0CF7603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$42.70</w:t>
            </w:r>
          </w:p>
        </w:tc>
        <w:tc>
          <w:tcPr>
            <w:tcW w:w="993" w:type="dxa"/>
            <w:noWrap/>
          </w:tcPr>
          <w:p w14:paraId="0933933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$2,088</w:t>
            </w:r>
          </w:p>
        </w:tc>
        <w:tc>
          <w:tcPr>
            <w:tcW w:w="850" w:type="dxa"/>
            <w:noWrap/>
          </w:tcPr>
          <w:p w14:paraId="1AA3B8B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65</w:t>
            </w:r>
          </w:p>
        </w:tc>
        <w:tc>
          <w:tcPr>
            <w:tcW w:w="851" w:type="dxa"/>
            <w:noWrap/>
          </w:tcPr>
          <w:p w14:paraId="15F30BF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281FE73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09F0B828"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1EBFA661"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6031</w:t>
            </w:r>
          </w:p>
        </w:tc>
        <w:tc>
          <w:tcPr>
            <w:tcW w:w="3893" w:type="dxa"/>
            <w:noWrap/>
          </w:tcPr>
          <w:p w14:paraId="395E9C1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at least 15 minutes but less than 30 minutes, with the multidisciplinary case conference team</w:t>
            </w:r>
          </w:p>
        </w:tc>
        <w:tc>
          <w:tcPr>
            <w:tcW w:w="978" w:type="dxa"/>
            <w:noWrap/>
          </w:tcPr>
          <w:p w14:paraId="7D97422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$75.50</w:t>
            </w:r>
          </w:p>
        </w:tc>
        <w:tc>
          <w:tcPr>
            <w:tcW w:w="993" w:type="dxa"/>
            <w:noWrap/>
          </w:tcPr>
          <w:p w14:paraId="2ED1883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0" w:type="dxa"/>
            <w:noWrap/>
          </w:tcPr>
          <w:p w14:paraId="3762984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1" w:type="dxa"/>
            <w:noWrap/>
          </w:tcPr>
          <w:p w14:paraId="5C793C9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3215D09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4CFBBC58"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72D594F2"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6032</w:t>
            </w:r>
          </w:p>
        </w:tc>
        <w:tc>
          <w:tcPr>
            <w:tcW w:w="3893" w:type="dxa"/>
            <w:noWrap/>
          </w:tcPr>
          <w:p w14:paraId="06BFED8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at least 30 minutes but less than 45 minutes, with the multidisciplinary case conference team</w:t>
            </w:r>
          </w:p>
        </w:tc>
        <w:tc>
          <w:tcPr>
            <w:tcW w:w="978" w:type="dxa"/>
            <w:noWrap/>
          </w:tcPr>
          <w:p w14:paraId="0C07C67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$113.30</w:t>
            </w:r>
          </w:p>
        </w:tc>
        <w:tc>
          <w:tcPr>
            <w:tcW w:w="993" w:type="dxa"/>
            <w:noWrap/>
          </w:tcPr>
          <w:p w14:paraId="21563B3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0" w:type="dxa"/>
            <w:noWrap/>
          </w:tcPr>
          <w:p w14:paraId="042B9C3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1" w:type="dxa"/>
            <w:noWrap/>
          </w:tcPr>
          <w:p w14:paraId="1814593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5FAEB8F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6F4C323A"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70754E2A"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6034</w:t>
            </w:r>
          </w:p>
        </w:tc>
        <w:tc>
          <w:tcPr>
            <w:tcW w:w="3893" w:type="dxa"/>
            <w:noWrap/>
          </w:tcPr>
          <w:p w14:paraId="5F44851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the multidisciplinary case conference of at least 45 minutes, with the multidisciplinary case conference team</w:t>
            </w:r>
          </w:p>
        </w:tc>
        <w:tc>
          <w:tcPr>
            <w:tcW w:w="978" w:type="dxa"/>
            <w:noWrap/>
          </w:tcPr>
          <w:p w14:paraId="62B18E8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$150.90</w:t>
            </w:r>
          </w:p>
        </w:tc>
        <w:tc>
          <w:tcPr>
            <w:tcW w:w="993" w:type="dxa"/>
            <w:noWrap/>
          </w:tcPr>
          <w:p w14:paraId="50B6ABF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0" w:type="dxa"/>
            <w:noWrap/>
          </w:tcPr>
          <w:p w14:paraId="0AEFD60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1" w:type="dxa"/>
            <w:noWrap/>
          </w:tcPr>
          <w:p w14:paraId="2DF3C130"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7B4709B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49FD3F3F"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592FD461"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6035</w:t>
            </w:r>
          </w:p>
        </w:tc>
        <w:tc>
          <w:tcPr>
            <w:tcW w:w="3893" w:type="dxa"/>
            <w:noWrap/>
          </w:tcPr>
          <w:p w14:paraId="1AF36A1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less than 15 minutes, with the multidisciplinary case conference team</w:t>
            </w:r>
          </w:p>
        </w:tc>
        <w:tc>
          <w:tcPr>
            <w:tcW w:w="978" w:type="dxa"/>
            <w:noWrap/>
          </w:tcPr>
          <w:p w14:paraId="073936C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$34.15</w:t>
            </w:r>
          </w:p>
        </w:tc>
        <w:tc>
          <w:tcPr>
            <w:tcW w:w="993" w:type="dxa"/>
            <w:noWrap/>
          </w:tcPr>
          <w:p w14:paraId="38F6CB3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$8,753</w:t>
            </w:r>
          </w:p>
        </w:tc>
        <w:tc>
          <w:tcPr>
            <w:tcW w:w="850" w:type="dxa"/>
            <w:noWrap/>
          </w:tcPr>
          <w:p w14:paraId="6EDE671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339</w:t>
            </w:r>
          </w:p>
        </w:tc>
        <w:tc>
          <w:tcPr>
            <w:tcW w:w="851" w:type="dxa"/>
            <w:noWrap/>
          </w:tcPr>
          <w:p w14:paraId="652628C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03F786D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719EC621"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13703CDD"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6037</w:t>
            </w:r>
          </w:p>
        </w:tc>
        <w:tc>
          <w:tcPr>
            <w:tcW w:w="3893" w:type="dxa"/>
            <w:noWrap/>
          </w:tcPr>
          <w:p w14:paraId="53DBB01E"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978" w:type="dxa"/>
            <w:noWrap/>
          </w:tcPr>
          <w:p w14:paraId="2E0053D4"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$60.40</w:t>
            </w:r>
          </w:p>
        </w:tc>
        <w:tc>
          <w:tcPr>
            <w:tcW w:w="993" w:type="dxa"/>
            <w:noWrap/>
          </w:tcPr>
          <w:p w14:paraId="5D9CB931"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0" w:type="dxa"/>
            <w:noWrap/>
          </w:tcPr>
          <w:p w14:paraId="60796A16"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1" w:type="dxa"/>
            <w:noWrap/>
          </w:tcPr>
          <w:p w14:paraId="2CE7AD4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4EF03E9C"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068DB4B6"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7323C98F"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6038</w:t>
            </w:r>
          </w:p>
        </w:tc>
        <w:tc>
          <w:tcPr>
            <w:tcW w:w="3893" w:type="dxa"/>
            <w:noWrap/>
          </w:tcPr>
          <w:p w14:paraId="3EF8709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978" w:type="dxa"/>
            <w:noWrap/>
          </w:tcPr>
          <w:p w14:paraId="5C04B54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$90.65</w:t>
            </w:r>
          </w:p>
        </w:tc>
        <w:tc>
          <w:tcPr>
            <w:tcW w:w="993" w:type="dxa"/>
            <w:noWrap/>
          </w:tcPr>
          <w:p w14:paraId="3BAC911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$154</w:t>
            </w:r>
          </w:p>
        </w:tc>
        <w:tc>
          <w:tcPr>
            <w:tcW w:w="850" w:type="dxa"/>
            <w:noWrap/>
          </w:tcPr>
          <w:p w14:paraId="6646B65B"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2</w:t>
            </w:r>
          </w:p>
        </w:tc>
        <w:tc>
          <w:tcPr>
            <w:tcW w:w="851" w:type="dxa"/>
            <w:noWrap/>
          </w:tcPr>
          <w:p w14:paraId="41CEB832"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327D28A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4009CDE4"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055A7161" w14:textId="77777777" w:rsidR="001E05F9" w:rsidRPr="00C33C0B" w:rsidRDefault="001E05F9" w:rsidP="00501544">
            <w:pPr>
              <w:spacing w:before="20" w:after="20"/>
              <w:rPr>
                <w:rFonts w:cstheme="minorHAnsi"/>
                <w:color w:val="000000"/>
                <w:sz w:val="17"/>
                <w:szCs w:val="17"/>
                <w:lang w:val="en-GB"/>
              </w:rPr>
            </w:pPr>
            <w:r w:rsidRPr="00C33C0B">
              <w:rPr>
                <w:rFonts w:cstheme="minorHAnsi"/>
                <w:color w:val="000000"/>
                <w:sz w:val="17"/>
                <w:szCs w:val="17"/>
                <w:lang w:val="en-GB"/>
              </w:rPr>
              <w:t>6042</w:t>
            </w:r>
          </w:p>
        </w:tc>
        <w:tc>
          <w:tcPr>
            <w:tcW w:w="3893" w:type="dxa"/>
            <w:noWrap/>
          </w:tcPr>
          <w:p w14:paraId="79BC3FBF"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978" w:type="dxa"/>
            <w:noWrap/>
          </w:tcPr>
          <w:p w14:paraId="45E6745A"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$120.75</w:t>
            </w:r>
          </w:p>
        </w:tc>
        <w:tc>
          <w:tcPr>
            <w:tcW w:w="993" w:type="dxa"/>
            <w:noWrap/>
          </w:tcPr>
          <w:p w14:paraId="350A852D"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$205</w:t>
            </w:r>
          </w:p>
        </w:tc>
        <w:tc>
          <w:tcPr>
            <w:tcW w:w="850" w:type="dxa"/>
            <w:noWrap/>
          </w:tcPr>
          <w:p w14:paraId="6FA3D913"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2</w:t>
            </w:r>
          </w:p>
        </w:tc>
        <w:tc>
          <w:tcPr>
            <w:tcW w:w="851" w:type="dxa"/>
            <w:noWrap/>
          </w:tcPr>
          <w:p w14:paraId="7BCBA3E9"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4E5C2525" w14:textId="77777777" w:rsidR="001E05F9" w:rsidRPr="00C33C0B" w:rsidRDefault="001E05F9" w:rsidP="0050154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0F6ABE5A"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532C6850" w14:textId="77777777" w:rsidR="001E05F9" w:rsidRPr="00C33C0B" w:rsidRDefault="001E05F9" w:rsidP="00277050">
            <w:pPr>
              <w:spacing w:before="20" w:after="20"/>
              <w:rPr>
                <w:rFonts w:cstheme="minorHAnsi"/>
                <w:color w:val="000000"/>
                <w:sz w:val="17"/>
                <w:szCs w:val="17"/>
                <w:lang w:val="en-GB"/>
              </w:rPr>
            </w:pPr>
            <w:r w:rsidRPr="00C33C0B">
              <w:rPr>
                <w:rFonts w:cstheme="minorHAnsi"/>
                <w:color w:val="000000"/>
                <w:sz w:val="17"/>
                <w:szCs w:val="17"/>
                <w:lang w:val="en-GB"/>
              </w:rPr>
              <w:t>6064</w:t>
            </w:r>
          </w:p>
        </w:tc>
        <w:tc>
          <w:tcPr>
            <w:tcW w:w="3893" w:type="dxa"/>
            <w:noWrap/>
          </w:tcPr>
          <w:p w14:paraId="69AA9FA6"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less than 15 minutes, with the multidisciplinary case conference team</w:t>
            </w:r>
          </w:p>
        </w:tc>
        <w:tc>
          <w:tcPr>
            <w:tcW w:w="978" w:type="dxa"/>
            <w:noWrap/>
          </w:tcPr>
          <w:p w14:paraId="51BB944C"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$42.70</w:t>
            </w:r>
          </w:p>
        </w:tc>
        <w:tc>
          <w:tcPr>
            <w:tcW w:w="993" w:type="dxa"/>
            <w:noWrap/>
          </w:tcPr>
          <w:p w14:paraId="2434FE27"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0" w:type="dxa"/>
            <w:noWrap/>
          </w:tcPr>
          <w:p w14:paraId="2006F024"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1" w:type="dxa"/>
            <w:noWrap/>
          </w:tcPr>
          <w:p w14:paraId="453763FA"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790351EC"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26FD83FE"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0D1540AA" w14:textId="77777777" w:rsidR="001E05F9" w:rsidRPr="00C33C0B" w:rsidRDefault="001E05F9" w:rsidP="00277050">
            <w:pPr>
              <w:spacing w:before="20" w:after="20"/>
              <w:rPr>
                <w:rFonts w:cstheme="minorHAnsi"/>
                <w:color w:val="000000"/>
                <w:sz w:val="17"/>
                <w:szCs w:val="17"/>
                <w:lang w:val="en-GB"/>
              </w:rPr>
            </w:pPr>
            <w:r w:rsidRPr="00C33C0B">
              <w:rPr>
                <w:rFonts w:cstheme="minorHAnsi"/>
                <w:color w:val="000000"/>
                <w:sz w:val="17"/>
                <w:szCs w:val="17"/>
                <w:lang w:val="en-GB"/>
              </w:rPr>
              <w:t>6065</w:t>
            </w:r>
          </w:p>
        </w:tc>
        <w:tc>
          <w:tcPr>
            <w:tcW w:w="3893" w:type="dxa"/>
            <w:noWrap/>
          </w:tcPr>
          <w:p w14:paraId="035E758E"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15 minutes but less than 30 minutes, with the multidisciplinary case conference team</w:t>
            </w:r>
          </w:p>
        </w:tc>
        <w:tc>
          <w:tcPr>
            <w:tcW w:w="978" w:type="dxa"/>
            <w:noWrap/>
          </w:tcPr>
          <w:p w14:paraId="59D07A1D"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$75.50</w:t>
            </w:r>
          </w:p>
        </w:tc>
        <w:tc>
          <w:tcPr>
            <w:tcW w:w="993" w:type="dxa"/>
            <w:noWrap/>
          </w:tcPr>
          <w:p w14:paraId="2DE986D9"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0" w:type="dxa"/>
            <w:noWrap/>
          </w:tcPr>
          <w:p w14:paraId="72E70447"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1" w:type="dxa"/>
            <w:noWrap/>
          </w:tcPr>
          <w:p w14:paraId="239C02A5"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331E2851"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54FE5208"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66BD7592" w14:textId="77777777" w:rsidR="001E05F9" w:rsidRPr="00C33C0B" w:rsidRDefault="001E05F9" w:rsidP="00277050">
            <w:pPr>
              <w:spacing w:before="20" w:after="20"/>
              <w:rPr>
                <w:rFonts w:cstheme="minorHAnsi"/>
                <w:color w:val="000000"/>
                <w:sz w:val="17"/>
                <w:szCs w:val="17"/>
                <w:lang w:val="en-GB"/>
              </w:rPr>
            </w:pPr>
            <w:r w:rsidRPr="00C33C0B">
              <w:rPr>
                <w:rFonts w:cstheme="minorHAnsi"/>
                <w:color w:val="000000"/>
                <w:sz w:val="17"/>
                <w:szCs w:val="17"/>
                <w:lang w:val="en-GB"/>
              </w:rPr>
              <w:t>6067</w:t>
            </w:r>
          </w:p>
        </w:tc>
        <w:tc>
          <w:tcPr>
            <w:tcW w:w="3893" w:type="dxa"/>
            <w:noWrap/>
          </w:tcPr>
          <w:p w14:paraId="0D545B20"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30 minutes but less than 45 minutes, with the multidisciplinary case conference team</w:t>
            </w:r>
          </w:p>
        </w:tc>
        <w:tc>
          <w:tcPr>
            <w:tcW w:w="978" w:type="dxa"/>
            <w:noWrap/>
          </w:tcPr>
          <w:p w14:paraId="7838A27A"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$113.30</w:t>
            </w:r>
          </w:p>
        </w:tc>
        <w:tc>
          <w:tcPr>
            <w:tcW w:w="993" w:type="dxa"/>
            <w:noWrap/>
          </w:tcPr>
          <w:p w14:paraId="2FBE29F1"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$96</w:t>
            </w:r>
          </w:p>
        </w:tc>
        <w:tc>
          <w:tcPr>
            <w:tcW w:w="850" w:type="dxa"/>
            <w:noWrap/>
          </w:tcPr>
          <w:p w14:paraId="2D5BD3B3"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w:t>
            </w:r>
          </w:p>
        </w:tc>
        <w:tc>
          <w:tcPr>
            <w:tcW w:w="851" w:type="dxa"/>
            <w:noWrap/>
          </w:tcPr>
          <w:p w14:paraId="36D54901"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2F5E7013"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22790101"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3B9DE189" w14:textId="77777777" w:rsidR="001E05F9" w:rsidRPr="00C33C0B" w:rsidRDefault="001E05F9" w:rsidP="00277050">
            <w:pPr>
              <w:spacing w:before="20" w:after="20"/>
              <w:rPr>
                <w:rFonts w:cstheme="minorHAnsi"/>
                <w:color w:val="000000"/>
                <w:sz w:val="17"/>
                <w:szCs w:val="17"/>
                <w:lang w:val="en-GB"/>
              </w:rPr>
            </w:pPr>
            <w:r w:rsidRPr="00C33C0B">
              <w:rPr>
                <w:rFonts w:cstheme="minorHAnsi"/>
                <w:color w:val="000000"/>
                <w:sz w:val="17"/>
                <w:szCs w:val="17"/>
                <w:lang w:val="en-GB"/>
              </w:rPr>
              <w:t>6068</w:t>
            </w:r>
          </w:p>
        </w:tc>
        <w:tc>
          <w:tcPr>
            <w:tcW w:w="3893" w:type="dxa"/>
            <w:noWrap/>
          </w:tcPr>
          <w:p w14:paraId="32E21C70"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45 minutes, with the multidisciplinary case conference team</w:t>
            </w:r>
          </w:p>
        </w:tc>
        <w:tc>
          <w:tcPr>
            <w:tcW w:w="978" w:type="dxa"/>
            <w:noWrap/>
          </w:tcPr>
          <w:p w14:paraId="2769BC19"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$150.90</w:t>
            </w:r>
          </w:p>
        </w:tc>
        <w:tc>
          <w:tcPr>
            <w:tcW w:w="993" w:type="dxa"/>
            <w:noWrap/>
          </w:tcPr>
          <w:p w14:paraId="1E61C288"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0" w:type="dxa"/>
            <w:noWrap/>
          </w:tcPr>
          <w:p w14:paraId="27709EC5"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0</w:t>
            </w:r>
          </w:p>
        </w:tc>
        <w:tc>
          <w:tcPr>
            <w:tcW w:w="851" w:type="dxa"/>
            <w:noWrap/>
          </w:tcPr>
          <w:p w14:paraId="2687AA5C"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3D9F4724"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57B02E84"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17283D6F" w14:textId="77777777" w:rsidR="001E05F9" w:rsidRPr="00C33C0B" w:rsidRDefault="001E05F9" w:rsidP="00277050">
            <w:pPr>
              <w:spacing w:before="20" w:after="20"/>
              <w:rPr>
                <w:rFonts w:cstheme="minorHAnsi"/>
                <w:color w:val="000000"/>
                <w:sz w:val="17"/>
                <w:szCs w:val="17"/>
                <w:lang w:val="en-GB"/>
              </w:rPr>
            </w:pPr>
            <w:r w:rsidRPr="00C33C0B">
              <w:rPr>
                <w:rFonts w:cstheme="minorHAnsi"/>
                <w:color w:val="000000"/>
                <w:sz w:val="17"/>
                <w:szCs w:val="17"/>
                <w:lang w:val="en-GB"/>
              </w:rPr>
              <w:t>6071</w:t>
            </w:r>
          </w:p>
        </w:tc>
        <w:tc>
          <w:tcPr>
            <w:tcW w:w="3893" w:type="dxa"/>
            <w:noWrap/>
          </w:tcPr>
          <w:p w14:paraId="7DC99C65"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less than 15 minutes, with the multidisciplinary case conference team</w:t>
            </w:r>
          </w:p>
        </w:tc>
        <w:tc>
          <w:tcPr>
            <w:tcW w:w="978" w:type="dxa"/>
            <w:noWrap/>
          </w:tcPr>
          <w:p w14:paraId="3A81BD10"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$34.15</w:t>
            </w:r>
          </w:p>
        </w:tc>
        <w:tc>
          <w:tcPr>
            <w:tcW w:w="993" w:type="dxa"/>
            <w:noWrap/>
          </w:tcPr>
          <w:p w14:paraId="1E3ED7B8"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$58</w:t>
            </w:r>
          </w:p>
        </w:tc>
        <w:tc>
          <w:tcPr>
            <w:tcW w:w="850" w:type="dxa"/>
            <w:noWrap/>
          </w:tcPr>
          <w:p w14:paraId="6BE67D91"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2</w:t>
            </w:r>
          </w:p>
        </w:tc>
        <w:tc>
          <w:tcPr>
            <w:tcW w:w="851" w:type="dxa"/>
            <w:noWrap/>
          </w:tcPr>
          <w:p w14:paraId="046C07B6"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3F70711D"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0815A74B"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1CF554A6" w14:textId="77777777" w:rsidR="001E05F9" w:rsidRPr="00C33C0B" w:rsidRDefault="001E05F9" w:rsidP="00277050">
            <w:pPr>
              <w:spacing w:before="20" w:after="20"/>
              <w:rPr>
                <w:rFonts w:cstheme="minorHAnsi"/>
                <w:color w:val="000000"/>
                <w:sz w:val="17"/>
                <w:szCs w:val="17"/>
                <w:lang w:val="en-GB"/>
              </w:rPr>
            </w:pPr>
            <w:r w:rsidRPr="00C33C0B">
              <w:rPr>
                <w:rFonts w:cstheme="minorHAnsi"/>
                <w:color w:val="000000"/>
                <w:sz w:val="17"/>
                <w:szCs w:val="17"/>
                <w:lang w:val="en-GB"/>
              </w:rPr>
              <w:t>6072</w:t>
            </w:r>
          </w:p>
        </w:tc>
        <w:tc>
          <w:tcPr>
            <w:tcW w:w="3893" w:type="dxa"/>
            <w:noWrap/>
          </w:tcPr>
          <w:p w14:paraId="0ABD1DDA"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978" w:type="dxa"/>
            <w:noWrap/>
          </w:tcPr>
          <w:p w14:paraId="142EFADB"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$60.40</w:t>
            </w:r>
          </w:p>
        </w:tc>
        <w:tc>
          <w:tcPr>
            <w:tcW w:w="993" w:type="dxa"/>
            <w:noWrap/>
          </w:tcPr>
          <w:p w14:paraId="695A620C"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$154</w:t>
            </w:r>
          </w:p>
        </w:tc>
        <w:tc>
          <w:tcPr>
            <w:tcW w:w="850" w:type="dxa"/>
            <w:noWrap/>
          </w:tcPr>
          <w:p w14:paraId="4B7052EE"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3</w:t>
            </w:r>
          </w:p>
        </w:tc>
        <w:tc>
          <w:tcPr>
            <w:tcW w:w="851" w:type="dxa"/>
            <w:noWrap/>
          </w:tcPr>
          <w:p w14:paraId="2F2A55DE"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062D0496"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6737C49C"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41BF8F95" w14:textId="77777777" w:rsidR="001E05F9" w:rsidRPr="00C33C0B" w:rsidRDefault="001E05F9" w:rsidP="00277050">
            <w:pPr>
              <w:spacing w:before="20" w:after="20"/>
              <w:rPr>
                <w:rFonts w:cstheme="minorHAnsi"/>
                <w:color w:val="000000"/>
                <w:sz w:val="17"/>
                <w:szCs w:val="17"/>
                <w:lang w:val="en-GB"/>
              </w:rPr>
            </w:pPr>
            <w:r w:rsidRPr="00C33C0B">
              <w:rPr>
                <w:rFonts w:cstheme="minorHAnsi"/>
                <w:color w:val="000000"/>
                <w:sz w:val="17"/>
                <w:szCs w:val="17"/>
                <w:lang w:val="en-GB"/>
              </w:rPr>
              <w:t>6074</w:t>
            </w:r>
          </w:p>
        </w:tc>
        <w:tc>
          <w:tcPr>
            <w:tcW w:w="3893" w:type="dxa"/>
            <w:noWrap/>
          </w:tcPr>
          <w:p w14:paraId="6CF42ED4"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978" w:type="dxa"/>
            <w:noWrap/>
          </w:tcPr>
          <w:p w14:paraId="6EB563D6"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$90.65</w:t>
            </w:r>
          </w:p>
        </w:tc>
        <w:tc>
          <w:tcPr>
            <w:tcW w:w="993" w:type="dxa"/>
            <w:noWrap/>
          </w:tcPr>
          <w:p w14:paraId="3FC40D71"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$308</w:t>
            </w:r>
          </w:p>
        </w:tc>
        <w:tc>
          <w:tcPr>
            <w:tcW w:w="850" w:type="dxa"/>
            <w:noWrap/>
          </w:tcPr>
          <w:p w14:paraId="5F4475E6"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4</w:t>
            </w:r>
          </w:p>
        </w:tc>
        <w:tc>
          <w:tcPr>
            <w:tcW w:w="851" w:type="dxa"/>
            <w:noWrap/>
          </w:tcPr>
          <w:p w14:paraId="606BEE31"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279DAE63"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r w:rsidR="008A5CDC" w:rsidRPr="00C33C0B" w14:paraId="2FF4728B" w14:textId="77777777" w:rsidTr="00875408">
        <w:tc>
          <w:tcPr>
            <w:cnfStyle w:val="001000000000" w:firstRow="0" w:lastRow="0" w:firstColumn="1" w:lastColumn="0" w:oddVBand="0" w:evenVBand="0" w:oddHBand="0" w:evenHBand="0" w:firstRowFirstColumn="0" w:firstRowLastColumn="0" w:lastRowFirstColumn="0" w:lastRowLastColumn="0"/>
            <w:tcW w:w="794" w:type="dxa"/>
            <w:noWrap/>
          </w:tcPr>
          <w:p w14:paraId="617E7ACC" w14:textId="77777777" w:rsidR="001E05F9" w:rsidRPr="00C33C0B" w:rsidRDefault="001E05F9" w:rsidP="00277050">
            <w:pPr>
              <w:spacing w:before="20" w:after="20"/>
              <w:rPr>
                <w:rFonts w:cstheme="minorHAnsi"/>
                <w:color w:val="000000"/>
                <w:sz w:val="17"/>
                <w:szCs w:val="17"/>
                <w:lang w:val="en-GB"/>
              </w:rPr>
            </w:pPr>
            <w:r w:rsidRPr="00C33C0B">
              <w:rPr>
                <w:rFonts w:cstheme="minorHAnsi"/>
                <w:color w:val="000000"/>
                <w:sz w:val="17"/>
                <w:szCs w:val="17"/>
                <w:lang w:val="en-GB"/>
              </w:rPr>
              <w:t>6075</w:t>
            </w:r>
          </w:p>
        </w:tc>
        <w:tc>
          <w:tcPr>
            <w:tcW w:w="3893" w:type="dxa"/>
            <w:noWrap/>
          </w:tcPr>
          <w:p w14:paraId="4C39D40D"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978" w:type="dxa"/>
            <w:noWrap/>
          </w:tcPr>
          <w:p w14:paraId="6188DECC"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$120.75</w:t>
            </w:r>
          </w:p>
        </w:tc>
        <w:tc>
          <w:tcPr>
            <w:tcW w:w="993" w:type="dxa"/>
            <w:noWrap/>
          </w:tcPr>
          <w:p w14:paraId="5AD81D69"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$411</w:t>
            </w:r>
          </w:p>
        </w:tc>
        <w:tc>
          <w:tcPr>
            <w:tcW w:w="850" w:type="dxa"/>
            <w:noWrap/>
          </w:tcPr>
          <w:p w14:paraId="2FED352A"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4</w:t>
            </w:r>
          </w:p>
        </w:tc>
        <w:tc>
          <w:tcPr>
            <w:tcW w:w="851" w:type="dxa"/>
            <w:noWrap/>
          </w:tcPr>
          <w:p w14:paraId="3A1D54F0"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N/A</w:t>
            </w:r>
          </w:p>
        </w:tc>
        <w:tc>
          <w:tcPr>
            <w:tcW w:w="1401" w:type="dxa"/>
          </w:tcPr>
          <w:p w14:paraId="12505C5F" w14:textId="77777777" w:rsidR="001E05F9" w:rsidRPr="00C33C0B" w:rsidRDefault="001E05F9" w:rsidP="00277050">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r>
    </w:tbl>
    <w:p w14:paraId="2028109C" w14:textId="15DF2DFC" w:rsidR="000B2CCD" w:rsidRPr="00C33C0B" w:rsidRDefault="000B2CCD" w:rsidP="0093198A">
      <w:pPr>
        <w:spacing w:before="0" w:after="0"/>
        <w:rPr>
          <w:lang w:val="en-GB"/>
        </w:rPr>
      </w:pPr>
    </w:p>
    <w:p w14:paraId="3C11FC93" w14:textId="77777777" w:rsidR="0063055E" w:rsidRPr="00C33C0B" w:rsidRDefault="005E0DEC" w:rsidP="0063055E">
      <w:pPr>
        <w:pStyle w:val="Heading2"/>
        <w:numPr>
          <w:ilvl w:val="0"/>
          <w:numId w:val="0"/>
        </w:numPr>
        <w:rPr>
          <w:lang w:val="en-GB"/>
        </w:rPr>
      </w:pPr>
      <w:bookmarkStart w:id="268" w:name="_Toc521442215"/>
      <w:bookmarkStart w:id="269" w:name="_Toc67952279"/>
      <w:bookmarkStart w:id="270" w:name="_Toc456045468"/>
      <w:bookmarkStart w:id="271" w:name="_Toc468831610"/>
      <w:bookmarkStart w:id="272" w:name="_Toc521442220"/>
      <w:r>
        <w:rPr>
          <w:lang w:val="en-GB"/>
        </w:rPr>
        <w:t>A.5</w:t>
      </w:r>
      <w:r w:rsidR="0063055E" w:rsidRPr="00C33C0B">
        <w:rPr>
          <w:lang w:val="en-GB"/>
        </w:rPr>
        <w:t>. Group therapy attendance items</w:t>
      </w:r>
      <w:bookmarkEnd w:id="268"/>
      <w:bookmarkEnd w:id="269"/>
    </w:p>
    <w:tbl>
      <w:tblPr>
        <w:tblStyle w:val="GridTable1Light"/>
        <w:tblW w:w="9634" w:type="dxa"/>
        <w:tblLayout w:type="fixed"/>
        <w:tblLook w:val="04A0" w:firstRow="1" w:lastRow="0" w:firstColumn="1" w:lastColumn="0" w:noHBand="0" w:noVBand="1"/>
        <w:tblDescription w:val="Appendix - A.5 Group therapy attendance items. A.5 is a 7 column table. Column 1 is the item number. Column 2 is the item descriptor. Column 3 is the schedule fee. Column 4 is the benefits paid in financial year 2016/17. Column 5 is services provided in financial year 2016/17. Column 6 is the 5 yearly growth expressed as a percentage. Column 6 is the recommended change to the item. "/>
      </w:tblPr>
      <w:tblGrid>
        <w:gridCol w:w="704"/>
        <w:gridCol w:w="3119"/>
        <w:gridCol w:w="1275"/>
        <w:gridCol w:w="993"/>
        <w:gridCol w:w="992"/>
        <w:gridCol w:w="1134"/>
        <w:gridCol w:w="1417"/>
      </w:tblGrid>
      <w:tr w:rsidR="008A5CDC" w:rsidRPr="00C33C0B" w14:paraId="6C0558BD" w14:textId="77777777" w:rsidTr="008A5CDC">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704" w:type="dxa"/>
            <w:hideMark/>
          </w:tcPr>
          <w:p w14:paraId="19136D52" w14:textId="77777777" w:rsidR="001B4414" w:rsidRPr="00C33C0B" w:rsidRDefault="001B4414" w:rsidP="0063055E">
            <w:pPr>
              <w:spacing w:before="20" w:after="20"/>
              <w:rPr>
                <w:rFonts w:ascii="Calibri" w:hAnsi="Calibri"/>
                <w:b w:val="0"/>
                <w:sz w:val="17"/>
                <w:szCs w:val="17"/>
                <w:lang w:val="en-GB"/>
              </w:rPr>
            </w:pPr>
            <w:r w:rsidRPr="00C33C0B">
              <w:rPr>
                <w:sz w:val="17"/>
                <w:szCs w:val="17"/>
                <w:lang w:val="en-GB"/>
              </w:rPr>
              <w:t xml:space="preserve">Item </w:t>
            </w:r>
            <w:r>
              <w:rPr>
                <w:sz w:val="17"/>
                <w:szCs w:val="17"/>
                <w:lang w:val="en-GB"/>
              </w:rPr>
              <w:t>n</w:t>
            </w:r>
            <w:r w:rsidRPr="00C33C0B">
              <w:rPr>
                <w:sz w:val="17"/>
                <w:szCs w:val="17"/>
                <w:lang w:val="en-GB"/>
              </w:rPr>
              <w:t>o.</w:t>
            </w:r>
          </w:p>
        </w:tc>
        <w:tc>
          <w:tcPr>
            <w:tcW w:w="3119" w:type="dxa"/>
            <w:hideMark/>
          </w:tcPr>
          <w:p w14:paraId="19559512" w14:textId="77777777" w:rsidR="001B4414" w:rsidRPr="00C33C0B" w:rsidRDefault="001B4414"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sz w:val="17"/>
                <w:szCs w:val="17"/>
                <w:lang w:val="en-GB"/>
              </w:rPr>
            </w:pPr>
            <w:r w:rsidRPr="00C33C0B">
              <w:rPr>
                <w:sz w:val="17"/>
                <w:szCs w:val="17"/>
                <w:lang w:val="en-GB"/>
              </w:rPr>
              <w:t xml:space="preserve">Item </w:t>
            </w:r>
            <w:r>
              <w:rPr>
                <w:sz w:val="17"/>
                <w:szCs w:val="17"/>
                <w:lang w:val="en-GB"/>
              </w:rPr>
              <w:t>d</w:t>
            </w:r>
            <w:r w:rsidRPr="00C33C0B">
              <w:rPr>
                <w:sz w:val="17"/>
                <w:szCs w:val="17"/>
                <w:lang w:val="en-GB"/>
              </w:rPr>
              <w:t>escriptor</w:t>
            </w:r>
          </w:p>
        </w:tc>
        <w:tc>
          <w:tcPr>
            <w:tcW w:w="1275" w:type="dxa"/>
            <w:hideMark/>
          </w:tcPr>
          <w:p w14:paraId="03448273" w14:textId="77777777" w:rsidR="001B4414" w:rsidRPr="00C33C0B" w:rsidRDefault="001B4414"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sz w:val="17"/>
                <w:szCs w:val="17"/>
                <w:lang w:val="en-GB"/>
              </w:rPr>
            </w:pPr>
            <w:r w:rsidRPr="00C33C0B">
              <w:rPr>
                <w:sz w:val="17"/>
                <w:szCs w:val="17"/>
                <w:lang w:val="en-GB"/>
              </w:rPr>
              <w:t>Schedule fee</w:t>
            </w:r>
          </w:p>
        </w:tc>
        <w:tc>
          <w:tcPr>
            <w:tcW w:w="993" w:type="dxa"/>
            <w:hideMark/>
          </w:tcPr>
          <w:p w14:paraId="764D1E03" w14:textId="77777777" w:rsidR="001B4414" w:rsidRPr="00C33C0B" w:rsidRDefault="001B4414"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sz w:val="17"/>
                <w:szCs w:val="17"/>
                <w:lang w:val="en-GB"/>
              </w:rPr>
            </w:pPr>
            <w:r w:rsidRPr="00C33C0B">
              <w:rPr>
                <w:sz w:val="17"/>
                <w:szCs w:val="17"/>
                <w:lang w:val="en-GB"/>
              </w:rPr>
              <w:t>Benefits FY2016/17</w:t>
            </w:r>
          </w:p>
        </w:tc>
        <w:tc>
          <w:tcPr>
            <w:tcW w:w="992" w:type="dxa"/>
            <w:hideMark/>
          </w:tcPr>
          <w:p w14:paraId="078547B1" w14:textId="77777777" w:rsidR="001B4414" w:rsidRPr="00C33C0B" w:rsidRDefault="001B4414"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sz w:val="17"/>
                <w:szCs w:val="17"/>
                <w:lang w:val="en-GB"/>
              </w:rPr>
            </w:pPr>
            <w:r w:rsidRPr="00C33C0B">
              <w:rPr>
                <w:sz w:val="17"/>
                <w:szCs w:val="17"/>
                <w:lang w:val="en-GB"/>
              </w:rPr>
              <w:t>Services FY2016/17</w:t>
            </w:r>
          </w:p>
        </w:tc>
        <w:tc>
          <w:tcPr>
            <w:tcW w:w="1134" w:type="dxa"/>
            <w:hideMark/>
          </w:tcPr>
          <w:p w14:paraId="1F1BF964" w14:textId="77777777" w:rsidR="001B4414" w:rsidRPr="00C33C0B" w:rsidRDefault="001B4414"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sz w:val="17"/>
                <w:szCs w:val="17"/>
                <w:lang w:val="en-GB"/>
              </w:rPr>
            </w:pPr>
            <w:r w:rsidRPr="00C33C0B">
              <w:rPr>
                <w:sz w:val="17"/>
                <w:szCs w:val="17"/>
                <w:lang w:val="en-GB"/>
              </w:rPr>
              <w:t>Services 5-year annual avg. growth</w:t>
            </w:r>
          </w:p>
        </w:tc>
        <w:tc>
          <w:tcPr>
            <w:tcW w:w="1417" w:type="dxa"/>
          </w:tcPr>
          <w:p w14:paraId="0F3B2BA0" w14:textId="77777777" w:rsidR="001B4414" w:rsidRPr="00C33C0B" w:rsidRDefault="001B4414" w:rsidP="0063055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sz w:val="17"/>
                <w:szCs w:val="17"/>
                <w:lang w:val="en-GB"/>
              </w:rPr>
            </w:pPr>
            <w:r w:rsidRPr="00C33C0B">
              <w:rPr>
                <w:sz w:val="17"/>
                <w:szCs w:val="17"/>
                <w:lang w:val="en-GB"/>
              </w:rPr>
              <w:t>Recommended change</w:t>
            </w:r>
          </w:p>
        </w:tc>
      </w:tr>
      <w:tr w:rsidR="001B4414" w:rsidRPr="00E50976" w14:paraId="79BA98BE" w14:textId="77777777" w:rsidTr="008A5CDC">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42A2CAB" w14:textId="77777777" w:rsidR="001B4414" w:rsidRPr="008A5CDC" w:rsidRDefault="001B4414" w:rsidP="0063055E">
            <w:pPr>
              <w:spacing w:before="20" w:after="20"/>
              <w:rPr>
                <w:rFonts w:ascii="Calibri" w:hAnsi="Calibri"/>
                <w:color w:val="000000"/>
                <w:sz w:val="17"/>
                <w:szCs w:val="17"/>
                <w:lang w:val="en-GB"/>
              </w:rPr>
            </w:pPr>
            <w:r w:rsidRPr="00E50976">
              <w:rPr>
                <w:rFonts w:ascii="Calibri" w:hAnsi="Calibri"/>
                <w:color w:val="000000"/>
                <w:sz w:val="17"/>
                <w:szCs w:val="17"/>
                <w:lang w:val="en-GB"/>
              </w:rPr>
              <w:t>170</w:t>
            </w:r>
          </w:p>
        </w:tc>
        <w:tc>
          <w:tcPr>
            <w:tcW w:w="3119" w:type="dxa"/>
            <w:noWrap/>
            <w:hideMark/>
          </w:tcPr>
          <w:p w14:paraId="01006614"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 xml:space="preserve">Professional attendance for the purpose of group therapy of not less than 1 hour in </w:t>
            </w:r>
            <w:r w:rsidRPr="008A5CDC">
              <w:rPr>
                <w:rFonts w:ascii="Calibri" w:hAnsi="Calibri"/>
                <w:color w:val="000000"/>
                <w:sz w:val="17"/>
                <w:szCs w:val="17"/>
                <w:lang w:val="en-GB"/>
              </w:rPr>
              <w:t>duration given under the direct continuous supervision of a medical practitioner (other than a consultant physician in the practice of his or her specialty of psychiatry) involving members of a family and persons with close personal relationships with that family--each group of 2 patients</w:t>
            </w:r>
          </w:p>
        </w:tc>
        <w:tc>
          <w:tcPr>
            <w:tcW w:w="1275" w:type="dxa"/>
            <w:noWrap/>
            <w:hideMark/>
          </w:tcPr>
          <w:p w14:paraId="0758CB76"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 xml:space="preserve">$117.55 </w:t>
            </w:r>
          </w:p>
        </w:tc>
        <w:tc>
          <w:tcPr>
            <w:tcW w:w="993" w:type="dxa"/>
            <w:noWrap/>
            <w:hideMark/>
          </w:tcPr>
          <w:p w14:paraId="74821833"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$1,186,406</w:t>
            </w:r>
          </w:p>
        </w:tc>
        <w:tc>
          <w:tcPr>
            <w:tcW w:w="992" w:type="dxa"/>
            <w:noWrap/>
            <w:hideMark/>
          </w:tcPr>
          <w:p w14:paraId="3DE759EC"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 xml:space="preserve"> 9,010 </w:t>
            </w:r>
          </w:p>
        </w:tc>
        <w:tc>
          <w:tcPr>
            <w:tcW w:w="1134" w:type="dxa"/>
            <w:noWrap/>
            <w:hideMark/>
          </w:tcPr>
          <w:p w14:paraId="6F71787D"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2.3%</w:t>
            </w:r>
          </w:p>
        </w:tc>
        <w:tc>
          <w:tcPr>
            <w:tcW w:w="1417" w:type="dxa"/>
          </w:tcPr>
          <w:p w14:paraId="6F2857BB"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No change</w:t>
            </w:r>
          </w:p>
        </w:tc>
      </w:tr>
      <w:tr w:rsidR="001B4414" w:rsidRPr="00E50976" w14:paraId="5756D75C" w14:textId="77777777" w:rsidTr="008A5CDC">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6829BF3" w14:textId="77777777" w:rsidR="001B4414" w:rsidRPr="008A5CDC" w:rsidRDefault="001B4414" w:rsidP="0063055E">
            <w:pPr>
              <w:spacing w:before="20" w:after="20"/>
              <w:rPr>
                <w:rFonts w:ascii="Calibri" w:hAnsi="Calibri"/>
                <w:color w:val="000000"/>
                <w:sz w:val="17"/>
                <w:szCs w:val="17"/>
                <w:lang w:val="en-GB"/>
              </w:rPr>
            </w:pPr>
            <w:r w:rsidRPr="00E50976">
              <w:rPr>
                <w:rFonts w:ascii="Calibri" w:hAnsi="Calibri"/>
                <w:color w:val="000000"/>
                <w:sz w:val="17"/>
                <w:szCs w:val="17"/>
                <w:lang w:val="en-GB"/>
              </w:rPr>
              <w:t>171</w:t>
            </w:r>
          </w:p>
        </w:tc>
        <w:tc>
          <w:tcPr>
            <w:tcW w:w="3119" w:type="dxa"/>
            <w:noWrap/>
            <w:hideMark/>
          </w:tcPr>
          <w:p w14:paraId="5BA5748B"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Professional attendance for the purpose of group therapy of not less than 1 hour in duration given under the direct continuous supervision of a medical practitioner (other th</w:t>
            </w:r>
            <w:r w:rsidRPr="008A5CDC">
              <w:rPr>
                <w:rFonts w:ascii="Calibri" w:hAnsi="Calibri"/>
                <w:color w:val="000000"/>
                <w:sz w:val="17"/>
                <w:szCs w:val="17"/>
                <w:lang w:val="en-GB"/>
              </w:rPr>
              <w:t>an a consultant physician in the practice of his or her specialty of psychiatry) involving members of a family and persons with close personal relationships with that family--each group of 3 patients</w:t>
            </w:r>
          </w:p>
        </w:tc>
        <w:tc>
          <w:tcPr>
            <w:tcW w:w="1275" w:type="dxa"/>
            <w:noWrap/>
            <w:hideMark/>
          </w:tcPr>
          <w:p w14:paraId="7574EC55"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 xml:space="preserve">$123.85 </w:t>
            </w:r>
          </w:p>
        </w:tc>
        <w:tc>
          <w:tcPr>
            <w:tcW w:w="993" w:type="dxa"/>
            <w:noWrap/>
            <w:hideMark/>
          </w:tcPr>
          <w:p w14:paraId="219B720A"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 xml:space="preserve">$204,109 </w:t>
            </w:r>
          </w:p>
        </w:tc>
        <w:tc>
          <w:tcPr>
            <w:tcW w:w="992" w:type="dxa"/>
            <w:noWrap/>
            <w:hideMark/>
          </w:tcPr>
          <w:p w14:paraId="6372B888"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 xml:space="preserve"> 1,542 </w:t>
            </w:r>
          </w:p>
        </w:tc>
        <w:tc>
          <w:tcPr>
            <w:tcW w:w="1134" w:type="dxa"/>
            <w:noWrap/>
            <w:hideMark/>
          </w:tcPr>
          <w:p w14:paraId="431E1D83"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-4.9%</w:t>
            </w:r>
          </w:p>
        </w:tc>
        <w:tc>
          <w:tcPr>
            <w:tcW w:w="1417" w:type="dxa"/>
          </w:tcPr>
          <w:p w14:paraId="755EF7D7"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No change</w:t>
            </w:r>
          </w:p>
        </w:tc>
      </w:tr>
      <w:tr w:rsidR="001B4414" w:rsidRPr="00E50976" w14:paraId="6FDBE789" w14:textId="77777777" w:rsidTr="008A5CDC">
        <w:trPr>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990BFC3" w14:textId="77777777" w:rsidR="001B4414" w:rsidRPr="008A5CDC" w:rsidRDefault="001B4414" w:rsidP="0063055E">
            <w:pPr>
              <w:spacing w:before="20" w:after="20"/>
              <w:rPr>
                <w:rFonts w:ascii="Calibri" w:hAnsi="Calibri"/>
                <w:color w:val="000000"/>
                <w:sz w:val="17"/>
                <w:szCs w:val="17"/>
                <w:lang w:val="en-GB"/>
              </w:rPr>
            </w:pPr>
            <w:r w:rsidRPr="00E50976">
              <w:rPr>
                <w:rFonts w:ascii="Calibri" w:hAnsi="Calibri"/>
                <w:color w:val="000000"/>
                <w:sz w:val="17"/>
                <w:szCs w:val="17"/>
                <w:lang w:val="en-GB"/>
              </w:rPr>
              <w:t>172</w:t>
            </w:r>
          </w:p>
        </w:tc>
        <w:tc>
          <w:tcPr>
            <w:tcW w:w="3119" w:type="dxa"/>
            <w:noWrap/>
            <w:hideMark/>
          </w:tcPr>
          <w:p w14:paraId="01195F6E"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Professional attendance for the purpose of group therapy of not less than 1 hour in duration given under the direct continuous supervision of a medical practitioner (other than a consultant physician in the practice of his or her specialty of psychiatry) i</w:t>
            </w:r>
            <w:r w:rsidRPr="008A5CDC">
              <w:rPr>
                <w:rFonts w:ascii="Calibri" w:hAnsi="Calibri"/>
                <w:color w:val="000000"/>
                <w:sz w:val="17"/>
                <w:szCs w:val="17"/>
                <w:lang w:val="en-GB"/>
              </w:rPr>
              <w:t>nvolving members of a family and persons with close personal relationships with that family--each group of 4 or more patients</w:t>
            </w:r>
          </w:p>
        </w:tc>
        <w:tc>
          <w:tcPr>
            <w:tcW w:w="1275" w:type="dxa"/>
            <w:noWrap/>
            <w:hideMark/>
          </w:tcPr>
          <w:p w14:paraId="456EAC4B"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 xml:space="preserve">$150.70 </w:t>
            </w:r>
          </w:p>
        </w:tc>
        <w:tc>
          <w:tcPr>
            <w:tcW w:w="993" w:type="dxa"/>
            <w:noWrap/>
            <w:hideMark/>
          </w:tcPr>
          <w:p w14:paraId="41D48EF7"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 xml:space="preserve">$70,080 </w:t>
            </w:r>
          </w:p>
        </w:tc>
        <w:tc>
          <w:tcPr>
            <w:tcW w:w="992" w:type="dxa"/>
            <w:noWrap/>
            <w:hideMark/>
          </w:tcPr>
          <w:p w14:paraId="127D773E"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 xml:space="preserve"> 471 </w:t>
            </w:r>
          </w:p>
        </w:tc>
        <w:tc>
          <w:tcPr>
            <w:tcW w:w="1134" w:type="dxa"/>
            <w:noWrap/>
            <w:hideMark/>
          </w:tcPr>
          <w:p w14:paraId="7254535F"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1.6%</w:t>
            </w:r>
          </w:p>
        </w:tc>
        <w:tc>
          <w:tcPr>
            <w:tcW w:w="1417" w:type="dxa"/>
          </w:tcPr>
          <w:p w14:paraId="280F5927"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No change</w:t>
            </w:r>
          </w:p>
        </w:tc>
      </w:tr>
      <w:tr w:rsidR="001B4414" w:rsidRPr="00E50976" w14:paraId="439D58A4" w14:textId="77777777" w:rsidTr="008A5CDC">
        <w:trPr>
          <w:trHeight w:val="300"/>
        </w:trPr>
        <w:tc>
          <w:tcPr>
            <w:cnfStyle w:val="001000000000" w:firstRow="0" w:lastRow="0" w:firstColumn="1" w:lastColumn="0" w:oddVBand="0" w:evenVBand="0" w:oddHBand="0" w:evenHBand="0" w:firstRowFirstColumn="0" w:firstRowLastColumn="0" w:lastRowFirstColumn="0" w:lastRowLastColumn="0"/>
            <w:tcW w:w="704" w:type="dxa"/>
            <w:noWrap/>
          </w:tcPr>
          <w:p w14:paraId="624E5FB7" w14:textId="77777777" w:rsidR="001B4414" w:rsidRPr="008A5CDC" w:rsidRDefault="001B4414" w:rsidP="0063055E">
            <w:pPr>
              <w:spacing w:before="20" w:after="20"/>
              <w:rPr>
                <w:rFonts w:ascii="Calibri" w:hAnsi="Calibri"/>
                <w:color w:val="000000"/>
                <w:sz w:val="17"/>
                <w:szCs w:val="17"/>
                <w:lang w:val="en-GB"/>
              </w:rPr>
            </w:pPr>
            <w:r w:rsidRPr="00E50976">
              <w:rPr>
                <w:rFonts w:ascii="Calibri" w:hAnsi="Calibri"/>
                <w:color w:val="000000"/>
                <w:sz w:val="17"/>
                <w:szCs w:val="17"/>
                <w:lang w:val="en-GB"/>
              </w:rPr>
              <w:t>6028</w:t>
            </w:r>
          </w:p>
        </w:tc>
        <w:tc>
          <w:tcPr>
            <w:tcW w:w="3119" w:type="dxa"/>
            <w:noWrap/>
          </w:tcPr>
          <w:p w14:paraId="73BACD83"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 xml:space="preserve">Group therapy (including any associated consultation with a patient taking place on </w:t>
            </w:r>
            <w:r w:rsidRPr="008A5CDC">
              <w:rPr>
                <w:rFonts w:ascii="Calibri" w:hAnsi="Calibri"/>
                <w:color w:val="000000"/>
                <w:sz w:val="17"/>
                <w:szCs w:val="17"/>
                <w:lang w:val="en-GB"/>
              </w:rPr>
              <w:t>the same occasion and relating to the condition for which group therapy is conducted) of not less than 1 hour, given under the continuous direct supervision of an addiction medicine specialist in the practice of his or her specialty for a group of 2 to 9 unrelated patients, or a family group of more than 2 patients, each of whom is referred to the addiction medicine specialist by a referring practitioner--for each patient</w:t>
            </w:r>
          </w:p>
        </w:tc>
        <w:tc>
          <w:tcPr>
            <w:tcW w:w="1275" w:type="dxa"/>
            <w:noWrap/>
          </w:tcPr>
          <w:p w14:paraId="606B1938"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$49.30</w:t>
            </w:r>
          </w:p>
        </w:tc>
        <w:tc>
          <w:tcPr>
            <w:tcW w:w="993" w:type="dxa"/>
            <w:noWrap/>
          </w:tcPr>
          <w:p w14:paraId="07B3524A"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$1,887</w:t>
            </w:r>
          </w:p>
        </w:tc>
        <w:tc>
          <w:tcPr>
            <w:tcW w:w="992" w:type="dxa"/>
            <w:noWrap/>
          </w:tcPr>
          <w:p w14:paraId="0568854D"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51</w:t>
            </w:r>
          </w:p>
          <w:p w14:paraId="15CE9917"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p>
        </w:tc>
        <w:tc>
          <w:tcPr>
            <w:tcW w:w="1134" w:type="dxa"/>
            <w:noWrap/>
          </w:tcPr>
          <w:p w14:paraId="31D3D116"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N/A</w:t>
            </w:r>
          </w:p>
        </w:tc>
        <w:tc>
          <w:tcPr>
            <w:tcW w:w="1417" w:type="dxa"/>
          </w:tcPr>
          <w:p w14:paraId="260908A5" w14:textId="77777777" w:rsidR="001B4414" w:rsidRPr="008A5CDC" w:rsidRDefault="001B4414" w:rsidP="0063055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E50976">
              <w:rPr>
                <w:rFonts w:ascii="Calibri" w:hAnsi="Calibri"/>
                <w:color w:val="000000"/>
                <w:sz w:val="17"/>
                <w:szCs w:val="17"/>
                <w:lang w:val="en-GB"/>
              </w:rPr>
              <w:t>No change</w:t>
            </w:r>
          </w:p>
        </w:tc>
      </w:tr>
    </w:tbl>
    <w:p w14:paraId="065E55FC" w14:textId="77777777" w:rsidR="00C70F2D" w:rsidRDefault="00C70F2D" w:rsidP="006620C7">
      <w:pPr>
        <w:pStyle w:val="AppendixStyle1"/>
        <w:spacing w:before="360"/>
        <w:rPr>
          <w:lang w:val="en-GB"/>
        </w:rPr>
        <w:sectPr w:rsidR="00C70F2D" w:rsidSect="008A5CDC">
          <w:endnotePr>
            <w:numFmt w:val="decimal"/>
          </w:endnotePr>
          <w:pgSz w:w="11906" w:h="16838" w:code="9"/>
          <w:pgMar w:top="1440" w:right="566" w:bottom="1440" w:left="1797" w:header="720" w:footer="720" w:gutter="0"/>
          <w:cols w:space="720"/>
          <w:docGrid w:linePitch="326"/>
        </w:sectPr>
      </w:pPr>
      <w:bookmarkStart w:id="273" w:name="_Toc521442221"/>
      <w:bookmarkEnd w:id="270"/>
      <w:bookmarkEnd w:id="271"/>
      <w:bookmarkEnd w:id="272"/>
    </w:p>
    <w:p w14:paraId="6C15662F" w14:textId="360EAC77" w:rsidR="00940D6E" w:rsidRDefault="00940D6E" w:rsidP="006620C7">
      <w:pPr>
        <w:pStyle w:val="AppendixStyle1"/>
        <w:spacing w:before="360"/>
        <w:rPr>
          <w:lang w:val="en-GB"/>
        </w:rPr>
      </w:pPr>
      <w:bookmarkStart w:id="274" w:name="_Toc67952280"/>
      <w:r>
        <w:rPr>
          <w:lang w:val="en-GB"/>
        </w:rPr>
        <w:t>List of Recommendations</w:t>
      </w:r>
      <w:bookmarkEnd w:id="274"/>
    </w:p>
    <w:p w14:paraId="0BFDF76A" w14:textId="77777777" w:rsidR="000740B5" w:rsidRPr="000740B5" w:rsidRDefault="000740B5" w:rsidP="000740B5">
      <w:pPr>
        <w:rPr>
          <w:b/>
          <w:bCs/>
          <w:iCs/>
          <w:lang w:val="en-US" w:eastAsia="en-US"/>
        </w:rPr>
      </w:pPr>
      <w:r w:rsidRPr="000740B5">
        <w:rPr>
          <w:b/>
          <w:bCs/>
          <w:iCs/>
          <w:lang w:val="en-US" w:eastAsia="en-US"/>
        </w:rPr>
        <w:t>Recommendation 1 - Introduce attendance items</w:t>
      </w:r>
      <w:r w:rsidR="00FC6719">
        <w:rPr>
          <w:b/>
          <w:bCs/>
          <w:iCs/>
          <w:lang w:val="en-US" w:eastAsia="en-US"/>
        </w:rPr>
        <w:t xml:space="preserve"> based on attendance duration and patient complexity factors</w:t>
      </w:r>
    </w:p>
    <w:p w14:paraId="290944FF" w14:textId="77777777" w:rsidR="000740B5" w:rsidRDefault="000740B5" w:rsidP="000740B5">
      <w:pPr>
        <w:pStyle w:val="Bullet-green"/>
        <w:numPr>
          <w:ilvl w:val="0"/>
          <w:numId w:val="0"/>
        </w:numPr>
        <w:rPr>
          <w:lang w:val="en-GB"/>
        </w:rPr>
      </w:pPr>
      <w:r>
        <w:rPr>
          <w:lang w:val="en-GB"/>
        </w:rPr>
        <w:t>The Committee recommends:</w:t>
      </w:r>
    </w:p>
    <w:p w14:paraId="63A8B9E9" w14:textId="77777777" w:rsidR="000740B5" w:rsidRPr="00C33C0B" w:rsidRDefault="000740B5" w:rsidP="000831A1">
      <w:pPr>
        <w:pStyle w:val="Bullet-green"/>
        <w:numPr>
          <w:ilvl w:val="0"/>
          <w:numId w:val="77"/>
        </w:numPr>
        <w:rPr>
          <w:lang w:val="en-GB"/>
        </w:rPr>
      </w:pPr>
      <w:r>
        <w:rPr>
          <w:lang w:val="en-GB"/>
        </w:rPr>
        <w:t>introducing time-tiered attendance items to</w:t>
      </w:r>
      <w:r w:rsidRPr="00C33C0B">
        <w:rPr>
          <w:lang w:val="en-GB"/>
        </w:rPr>
        <w:t xml:space="preserve"> replace most of the current </w:t>
      </w:r>
      <w:r>
        <w:rPr>
          <w:lang w:val="en-GB"/>
        </w:rPr>
        <w:t xml:space="preserve">standard </w:t>
      </w:r>
      <w:r w:rsidRPr="00C33C0B">
        <w:rPr>
          <w:lang w:val="en-GB"/>
        </w:rPr>
        <w:t>attendance items</w:t>
      </w:r>
      <w:r w:rsidR="00B85435">
        <w:rPr>
          <w:lang w:val="en-GB"/>
        </w:rPr>
        <w:t>;</w:t>
      </w:r>
    </w:p>
    <w:p w14:paraId="5AF1003A" w14:textId="77777777" w:rsidR="000740B5" w:rsidRDefault="000740B5" w:rsidP="000831A1">
      <w:pPr>
        <w:pStyle w:val="Bullet-green"/>
        <w:numPr>
          <w:ilvl w:val="0"/>
          <w:numId w:val="77"/>
        </w:numPr>
        <w:rPr>
          <w:lang w:val="en-GB"/>
        </w:rPr>
      </w:pPr>
      <w:r>
        <w:rPr>
          <w:lang w:val="en-GB"/>
        </w:rPr>
        <w:t>r</w:t>
      </w:r>
      <w:r w:rsidRPr="00607BDA">
        <w:rPr>
          <w:lang w:val="en-GB"/>
        </w:rPr>
        <w:t>emov</w:t>
      </w:r>
      <w:r>
        <w:rPr>
          <w:lang w:val="en-GB"/>
        </w:rPr>
        <w:t>ing</w:t>
      </w:r>
      <w:r w:rsidRPr="00607BDA">
        <w:rPr>
          <w:lang w:val="en-GB"/>
        </w:rPr>
        <w:t xml:space="preserve"> standard attendance items from Groups A3, A4, A12, A24, A26, A31 and A32</w:t>
      </w:r>
      <w:r w:rsidR="00B85435">
        <w:rPr>
          <w:lang w:val="en-GB"/>
        </w:rPr>
        <w:t>;</w:t>
      </w:r>
      <w:r w:rsidRPr="00607BDA">
        <w:rPr>
          <w:lang w:val="en-GB"/>
        </w:rPr>
        <w:t xml:space="preserve"> </w:t>
      </w:r>
    </w:p>
    <w:p w14:paraId="6AA29014" w14:textId="3CDB5415" w:rsidR="000740B5" w:rsidRDefault="000740B5" w:rsidP="000740B5">
      <w:pPr>
        <w:pStyle w:val="Bullet-green"/>
        <w:numPr>
          <w:ilvl w:val="0"/>
          <w:numId w:val="0"/>
        </w:numPr>
        <w:ind w:left="720"/>
        <w:rPr>
          <w:i/>
        </w:rPr>
      </w:pPr>
      <w:r w:rsidRPr="00607BDA">
        <w:rPr>
          <w:i/>
          <w:lang w:val="en-GB"/>
        </w:rPr>
        <w:t xml:space="preserve">Note: </w:t>
      </w:r>
      <w:r w:rsidR="00406293">
        <w:rPr>
          <w:i/>
        </w:rPr>
        <w:t>See Appendix A.1</w:t>
      </w:r>
      <w:r w:rsidRPr="00607BDA">
        <w:rPr>
          <w:i/>
        </w:rPr>
        <w:t xml:space="preserve"> for a full list of attendance items that are recommended for removal.</w:t>
      </w:r>
    </w:p>
    <w:p w14:paraId="797E3564" w14:textId="77777777" w:rsidR="000740B5" w:rsidRPr="00607BDA" w:rsidRDefault="000740B5" w:rsidP="000831A1">
      <w:pPr>
        <w:pStyle w:val="Bullet-green"/>
        <w:numPr>
          <w:ilvl w:val="0"/>
          <w:numId w:val="77"/>
        </w:numPr>
        <w:rPr>
          <w:lang w:val="en-GB"/>
        </w:rPr>
      </w:pPr>
      <w:r>
        <w:t>a</w:t>
      </w:r>
      <w:r w:rsidRPr="005A1EEC">
        <w:t>dd</w:t>
      </w:r>
      <w:r>
        <w:t>ing</w:t>
      </w:r>
      <w:r w:rsidRPr="005A1EEC">
        <w:t xml:space="preserve"> 10 new time-tiered attendance items with the following characteristics (</w:t>
      </w:r>
      <w:r w:rsidR="009C2492">
        <w:t>see Table B.1</w:t>
      </w:r>
      <w:r w:rsidRPr="005A1EEC">
        <w:t>):</w:t>
      </w:r>
    </w:p>
    <w:p w14:paraId="79D32D45" w14:textId="77777777" w:rsidR="000740B5" w:rsidRPr="0046418D" w:rsidRDefault="002654D7" w:rsidP="000831A1">
      <w:pPr>
        <w:pStyle w:val="BulletStyle3"/>
        <w:numPr>
          <w:ilvl w:val="0"/>
          <w:numId w:val="78"/>
        </w:numPr>
        <w:rPr>
          <w:lang w:val="en-GB"/>
        </w:rPr>
      </w:pPr>
      <w:r>
        <w:rPr>
          <w:lang w:val="en-GB"/>
        </w:rPr>
        <w:t>i</w:t>
      </w:r>
      <w:r w:rsidR="000740B5" w:rsidRPr="0046418D">
        <w:rPr>
          <w:lang w:val="en-GB"/>
        </w:rPr>
        <w:t xml:space="preserve">tem descriptors should specify </w:t>
      </w:r>
      <w:r w:rsidR="000740B5">
        <w:rPr>
          <w:lang w:val="en-GB"/>
        </w:rPr>
        <w:t xml:space="preserve">required </w:t>
      </w:r>
      <w:r w:rsidR="000740B5" w:rsidRPr="0046418D">
        <w:rPr>
          <w:lang w:val="en-GB"/>
        </w:rPr>
        <w:t>attendance time, and standard activities performed (to indicate complexity)</w:t>
      </w:r>
      <w:r>
        <w:rPr>
          <w:lang w:val="en-GB"/>
        </w:rPr>
        <w:t>;</w:t>
      </w:r>
    </w:p>
    <w:p w14:paraId="357C984B" w14:textId="77777777" w:rsidR="000740B5" w:rsidRPr="0046418D" w:rsidRDefault="002654D7" w:rsidP="000831A1">
      <w:pPr>
        <w:pStyle w:val="BulletStyle3"/>
        <w:numPr>
          <w:ilvl w:val="0"/>
          <w:numId w:val="78"/>
        </w:numPr>
        <w:rPr>
          <w:lang w:val="en-GB"/>
        </w:rPr>
      </w:pPr>
      <w:r>
        <w:rPr>
          <w:lang w:val="en-GB"/>
        </w:rPr>
        <w:t>t</w:t>
      </w:r>
      <w:r w:rsidR="000740B5" w:rsidRPr="0046418D">
        <w:rPr>
          <w:lang w:val="en-GB"/>
        </w:rPr>
        <w:t>he duration of the time tiers should be the same as those recommended by the</w:t>
      </w:r>
      <w:r w:rsidR="000740B5">
        <w:rPr>
          <w:lang w:val="en-GB"/>
        </w:rPr>
        <w:t xml:space="preserve"> </w:t>
      </w:r>
      <w:r w:rsidR="000740B5" w:rsidRPr="0046418D">
        <w:rPr>
          <w:lang w:val="en-GB"/>
        </w:rPr>
        <w:t>GPPCCC</w:t>
      </w:r>
      <w:r>
        <w:rPr>
          <w:lang w:val="en-GB"/>
        </w:rPr>
        <w:t>;</w:t>
      </w:r>
      <w:r w:rsidR="000740B5">
        <w:rPr>
          <w:lang w:val="en-GB"/>
        </w:rPr>
        <w:t xml:space="preserve"> and</w:t>
      </w:r>
    </w:p>
    <w:p w14:paraId="07EB4234" w14:textId="77777777" w:rsidR="000740B5" w:rsidRDefault="002654D7" w:rsidP="000831A1">
      <w:pPr>
        <w:pStyle w:val="BulletStyle3"/>
        <w:numPr>
          <w:ilvl w:val="0"/>
          <w:numId w:val="78"/>
        </w:numPr>
        <w:rPr>
          <w:lang w:val="en-GB"/>
        </w:rPr>
      </w:pPr>
      <w:r>
        <w:rPr>
          <w:lang w:val="en-GB"/>
        </w:rPr>
        <w:t>p</w:t>
      </w:r>
      <w:r w:rsidR="000740B5" w:rsidRPr="0046418D">
        <w:rPr>
          <w:lang w:val="en-GB"/>
        </w:rPr>
        <w:t>arallel items should continue to exist for attendances that occur in a consulting room or hospital, and elsewhere (five items each).</w:t>
      </w:r>
    </w:p>
    <w:p w14:paraId="675766E8" w14:textId="77777777" w:rsidR="000740B5" w:rsidRPr="00607BDA" w:rsidRDefault="000740B5" w:rsidP="000831A1">
      <w:pPr>
        <w:pStyle w:val="Bullet-green"/>
        <w:numPr>
          <w:ilvl w:val="0"/>
          <w:numId w:val="77"/>
        </w:numPr>
      </w:pPr>
      <w:r>
        <w:t>adding e</w:t>
      </w:r>
      <w:r w:rsidRPr="00607BDA">
        <w:t xml:space="preserve">xplanatory notes for these items </w:t>
      </w:r>
      <w:r>
        <w:t>that</w:t>
      </w:r>
      <w:r w:rsidRPr="00607BDA">
        <w:t xml:space="preserve"> state that:</w:t>
      </w:r>
    </w:p>
    <w:p w14:paraId="1F13BDF5" w14:textId="77777777" w:rsidR="000740B5" w:rsidRDefault="000740B5" w:rsidP="000831A1">
      <w:pPr>
        <w:pStyle w:val="Squarebullet"/>
        <w:numPr>
          <w:ilvl w:val="0"/>
          <w:numId w:val="79"/>
        </w:numPr>
      </w:pPr>
      <w:r>
        <w:t>Specific features of the patient interaction may contribute to the duration of the attendance. This may include c</w:t>
      </w:r>
      <w:r w:rsidRPr="00923113">
        <w:t>ommunication</w:t>
      </w:r>
      <w:r w:rsidRPr="00C376B2">
        <w:t xml:space="preserve"> or comprehension factors that result in more time needed to take a medical history or to take informed consent (e.g., using an interpreter to take a medical history, taking informed consent for an intrusive examination of a child)</w:t>
      </w:r>
      <w:r w:rsidRPr="00923113">
        <w:t xml:space="preserve"> </w:t>
      </w:r>
      <w:r>
        <w:t>and m</w:t>
      </w:r>
      <w:r w:rsidRPr="00923113">
        <w:t>obility factors resulting in more time needed to perform a clinical examination (e.g., the need for an assistant or assistive device to transfer a patient)</w:t>
      </w:r>
      <w:r w:rsidR="002654D7">
        <w:t>.</w:t>
      </w:r>
    </w:p>
    <w:p w14:paraId="536B1427" w14:textId="1162A673" w:rsidR="000740B5" w:rsidRDefault="000740B5" w:rsidP="000831A1">
      <w:pPr>
        <w:pStyle w:val="Squarebullet"/>
        <w:numPr>
          <w:ilvl w:val="0"/>
          <w:numId w:val="79"/>
        </w:numPr>
      </w:pPr>
      <w:r>
        <w:t>Non-patient-facing time</w:t>
      </w:r>
      <w:r w:rsidR="00DA403A">
        <w:t xml:space="preserve"> related to the attendance should not be included in deriving the duration of the attendance as defined in the item descriptors, but is regarded as an integral part of the attendance and should factor in the calculation of the schedule fees</w:t>
      </w:r>
      <w:r w:rsidR="002654D7">
        <w:t>.</w:t>
      </w:r>
    </w:p>
    <w:p w14:paraId="4DF10631" w14:textId="77777777" w:rsidR="000740B5" w:rsidRDefault="000740B5" w:rsidP="000831A1">
      <w:pPr>
        <w:pStyle w:val="Squarebullet"/>
        <w:numPr>
          <w:ilvl w:val="0"/>
          <w:numId w:val="79"/>
        </w:numPr>
      </w:pPr>
      <w:r>
        <w:t>Time spent with other health professionals should not contribute</w:t>
      </w:r>
      <w:r w:rsidR="002654D7">
        <w:t xml:space="preserve"> the duration of the attendance.</w:t>
      </w:r>
      <w:r>
        <w:t xml:space="preserve"> </w:t>
      </w:r>
    </w:p>
    <w:p w14:paraId="32876077" w14:textId="77777777" w:rsidR="000740B5" w:rsidRDefault="000740B5" w:rsidP="000831A1">
      <w:pPr>
        <w:pStyle w:val="Squarebullet"/>
        <w:numPr>
          <w:ilvl w:val="0"/>
          <w:numId w:val="79"/>
        </w:numPr>
      </w:pPr>
      <w:r>
        <w:t>Time spent on a procedure or a diagnostic test should not contribute to the duration of the attendance.</w:t>
      </w:r>
    </w:p>
    <w:p w14:paraId="0E8C86D5" w14:textId="77777777" w:rsidR="000740B5" w:rsidRPr="00C33C0B" w:rsidRDefault="000740B5" w:rsidP="000831A1">
      <w:pPr>
        <w:pStyle w:val="Bullet-green"/>
        <w:numPr>
          <w:ilvl w:val="0"/>
          <w:numId w:val="77"/>
        </w:numPr>
      </w:pPr>
      <w:r>
        <w:t>k</w:t>
      </w:r>
      <w:r w:rsidRPr="00C33C0B">
        <w:t xml:space="preserve">eep Group A5 </w:t>
      </w:r>
      <w:r>
        <w:t>p</w:t>
      </w:r>
      <w:r w:rsidRPr="00C33C0B">
        <w:t xml:space="preserve">rolonged </w:t>
      </w:r>
      <w:r>
        <w:t>a</w:t>
      </w:r>
      <w:r w:rsidRPr="00C33C0B">
        <w:t xml:space="preserve">ttendance </w:t>
      </w:r>
      <w:r>
        <w:t>i</w:t>
      </w:r>
      <w:r w:rsidRPr="00C33C0B">
        <w:t>tems, which have a specific allowance for patients in imminent danger of death</w:t>
      </w:r>
      <w:r>
        <w:t xml:space="preserve"> (</w:t>
      </w:r>
      <w:r w:rsidRPr="00607BDA">
        <w:rPr>
          <w:i/>
        </w:rPr>
        <w:t>refer to Recommendation 2</w:t>
      </w:r>
      <w:r>
        <w:t>).</w:t>
      </w:r>
    </w:p>
    <w:p w14:paraId="52280881" w14:textId="77777777" w:rsidR="003A240A" w:rsidRDefault="003A240A">
      <w:pPr>
        <w:spacing w:before="0" w:after="0"/>
        <w:rPr>
          <w:b/>
          <w:lang w:val="en-GB"/>
        </w:rPr>
      </w:pPr>
      <w:r>
        <w:rPr>
          <w:b/>
          <w:lang w:val="en-GB"/>
        </w:rPr>
        <w:br w:type="page"/>
      </w:r>
    </w:p>
    <w:p w14:paraId="401D4570" w14:textId="6F05F229" w:rsidR="000740B5" w:rsidRPr="00651006" w:rsidRDefault="002355E9" w:rsidP="00651006">
      <w:pPr>
        <w:rPr>
          <w:b/>
          <w:lang w:val="en-GB"/>
        </w:rPr>
      </w:pPr>
      <w:r>
        <w:rPr>
          <w:b/>
          <w:lang w:val="en-GB"/>
        </w:rPr>
        <w:t xml:space="preserve">Table </w:t>
      </w:r>
      <w:r w:rsidR="00C17B92">
        <w:rPr>
          <w:b/>
          <w:lang w:val="en-GB"/>
        </w:rPr>
        <w:t>B</w:t>
      </w:r>
      <w:r>
        <w:rPr>
          <w:b/>
          <w:lang w:val="en-GB"/>
        </w:rPr>
        <w:t>.</w:t>
      </w:r>
      <w:r w:rsidR="00C17B92">
        <w:rPr>
          <w:b/>
          <w:lang w:val="en-GB"/>
        </w:rPr>
        <w:t>1</w:t>
      </w:r>
      <w:r w:rsidR="000740B5" w:rsidRPr="00651006">
        <w:rPr>
          <w:b/>
          <w:lang w:val="en-GB"/>
        </w:rPr>
        <w:t>: Recommended item descriptors for time-tiered attendance items</w:t>
      </w:r>
    </w:p>
    <w:tbl>
      <w:tblPr>
        <w:tblStyle w:val="GridTable1Light"/>
        <w:tblW w:w="5000" w:type="pct"/>
        <w:tblLook w:val="04A0" w:firstRow="1" w:lastRow="0" w:firstColumn="1" w:lastColumn="0" w:noHBand="0" w:noVBand="1"/>
        <w:tblCaption w:val="Appendix B - Table B.1: Recommended item descriptors for time-tiered attendance items"/>
        <w:tblDescription w:val="Table B.1 has 4 columns. Column 1 is the item level. Column 2 is the item descriptor. Column 3 is the location of where the item takes place. Column 4 is the duration of the item. "/>
      </w:tblPr>
      <w:tblGrid>
        <w:gridCol w:w="916"/>
        <w:gridCol w:w="4815"/>
        <w:gridCol w:w="1401"/>
        <w:gridCol w:w="1170"/>
      </w:tblGrid>
      <w:tr w:rsidR="000740B5" w:rsidRPr="00C33C0B" w14:paraId="153B1004" w14:textId="77777777" w:rsidTr="00C41D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4" w:type="dxa"/>
          </w:tcPr>
          <w:p w14:paraId="3DFDAC09" w14:textId="77777777" w:rsidR="000740B5" w:rsidRPr="00C33C0B" w:rsidRDefault="000740B5" w:rsidP="00C65B0C">
            <w:pPr>
              <w:spacing w:before="20" w:after="20"/>
              <w:rPr>
                <w:b w:val="0"/>
                <w:bCs w:val="0"/>
                <w:szCs w:val="22"/>
                <w:lang w:val="en-GB"/>
              </w:rPr>
            </w:pPr>
            <w:r w:rsidRPr="00C33C0B">
              <w:rPr>
                <w:bCs w:val="0"/>
                <w:szCs w:val="22"/>
                <w:lang w:val="en-GB"/>
              </w:rPr>
              <w:t>Level (</w:t>
            </w:r>
            <w:r>
              <w:rPr>
                <w:bCs w:val="0"/>
                <w:szCs w:val="22"/>
                <w:lang w:val="en-GB"/>
              </w:rPr>
              <w:t>i</w:t>
            </w:r>
            <w:r w:rsidRPr="00C33C0B">
              <w:rPr>
                <w:bCs w:val="0"/>
                <w:szCs w:val="22"/>
                <w:lang w:val="en-GB"/>
              </w:rPr>
              <w:t>tem</w:t>
            </w:r>
            <w:r>
              <w:rPr>
                <w:bCs w:val="0"/>
                <w:szCs w:val="22"/>
                <w:lang w:val="en-GB"/>
              </w:rPr>
              <w:t>)</w:t>
            </w:r>
            <w:r w:rsidRPr="00C33C0B">
              <w:rPr>
                <w:rStyle w:val="FootnoteReference"/>
                <w:bCs w:val="0"/>
                <w:szCs w:val="22"/>
                <w:lang w:val="en-GB"/>
              </w:rPr>
              <w:footnoteReference w:id="14"/>
            </w:r>
          </w:p>
        </w:tc>
        <w:tc>
          <w:tcPr>
            <w:tcW w:w="7243" w:type="dxa"/>
          </w:tcPr>
          <w:p w14:paraId="47BDA0A6" w14:textId="77777777" w:rsidR="000740B5" w:rsidRPr="00C33C0B" w:rsidRDefault="000740B5" w:rsidP="00C65B0C">
            <w:pPr>
              <w:spacing w:before="20" w:after="20"/>
              <w:cnfStyle w:val="100000000000" w:firstRow="1" w:lastRow="0" w:firstColumn="0" w:lastColumn="0" w:oddVBand="0" w:evenVBand="0" w:oddHBand="0" w:evenHBand="0" w:firstRowFirstColumn="0" w:firstRowLastColumn="0" w:lastRowFirstColumn="0" w:lastRowLastColumn="0"/>
              <w:rPr>
                <w:b w:val="0"/>
                <w:szCs w:val="22"/>
                <w:lang w:val="en-GB"/>
              </w:rPr>
            </w:pPr>
            <w:r w:rsidRPr="00C33C0B">
              <w:rPr>
                <w:bCs w:val="0"/>
                <w:szCs w:val="22"/>
                <w:lang w:val="en-GB"/>
              </w:rPr>
              <w:t xml:space="preserve">Item descriptor </w:t>
            </w:r>
          </w:p>
        </w:tc>
        <w:tc>
          <w:tcPr>
            <w:tcW w:w="1553" w:type="dxa"/>
          </w:tcPr>
          <w:p w14:paraId="50C8CFCE" w14:textId="77777777" w:rsidR="000740B5" w:rsidRPr="00C33C0B" w:rsidRDefault="000740B5" w:rsidP="00C65B0C">
            <w:pPr>
              <w:spacing w:before="20" w:after="20"/>
              <w:cnfStyle w:val="100000000000" w:firstRow="1" w:lastRow="0" w:firstColumn="0" w:lastColumn="0" w:oddVBand="0" w:evenVBand="0" w:oddHBand="0" w:evenHBand="0" w:firstRowFirstColumn="0" w:firstRowLastColumn="0" w:lastRowFirstColumn="0" w:lastRowLastColumn="0"/>
              <w:rPr>
                <w:b w:val="0"/>
                <w:bCs w:val="0"/>
                <w:szCs w:val="22"/>
                <w:lang w:val="en-GB"/>
              </w:rPr>
            </w:pPr>
            <w:r w:rsidRPr="00C33C0B">
              <w:rPr>
                <w:bCs w:val="0"/>
                <w:szCs w:val="22"/>
                <w:lang w:val="en-GB"/>
              </w:rPr>
              <w:t>Location</w:t>
            </w:r>
          </w:p>
        </w:tc>
        <w:tc>
          <w:tcPr>
            <w:tcW w:w="1319" w:type="dxa"/>
          </w:tcPr>
          <w:p w14:paraId="42D8E0F6" w14:textId="77777777" w:rsidR="000740B5" w:rsidRPr="00C33C0B" w:rsidRDefault="000740B5" w:rsidP="00C65B0C">
            <w:pPr>
              <w:spacing w:before="20" w:after="20"/>
              <w:cnfStyle w:val="100000000000" w:firstRow="1" w:lastRow="0" w:firstColumn="0" w:lastColumn="0" w:oddVBand="0" w:evenVBand="0" w:oddHBand="0" w:evenHBand="0" w:firstRowFirstColumn="0" w:firstRowLastColumn="0" w:lastRowFirstColumn="0" w:lastRowLastColumn="0"/>
              <w:rPr>
                <w:b w:val="0"/>
                <w:bCs w:val="0"/>
                <w:szCs w:val="22"/>
                <w:lang w:val="en-GB"/>
              </w:rPr>
            </w:pPr>
            <w:r w:rsidRPr="00C33C0B">
              <w:rPr>
                <w:bCs w:val="0"/>
                <w:szCs w:val="22"/>
                <w:lang w:val="en-GB"/>
              </w:rPr>
              <w:t>Duration</w:t>
            </w:r>
          </w:p>
        </w:tc>
      </w:tr>
      <w:tr w:rsidR="000740B5" w:rsidRPr="00C33C0B" w14:paraId="66951456" w14:textId="77777777" w:rsidTr="00C41DB8">
        <w:tc>
          <w:tcPr>
            <w:cnfStyle w:val="001000000000" w:firstRow="0" w:lastRow="0" w:firstColumn="1" w:lastColumn="0" w:oddVBand="0" w:evenVBand="0" w:oddHBand="0" w:evenHBand="0" w:firstRowFirstColumn="0" w:firstRowLastColumn="0" w:lastRowFirstColumn="0" w:lastRowLastColumn="0"/>
            <w:tcW w:w="784" w:type="dxa"/>
          </w:tcPr>
          <w:p w14:paraId="15E22A58" w14:textId="77777777" w:rsidR="000740B5" w:rsidRPr="00C33C0B" w:rsidRDefault="000740B5" w:rsidP="00C65B0C">
            <w:pPr>
              <w:spacing w:before="20" w:after="20"/>
              <w:rPr>
                <w:b/>
                <w:szCs w:val="22"/>
                <w:lang w:val="en-GB"/>
              </w:rPr>
            </w:pPr>
            <w:r w:rsidRPr="00C33C0B">
              <w:rPr>
                <w:szCs w:val="22"/>
                <w:lang w:val="en-GB"/>
              </w:rPr>
              <w:t>Level A</w:t>
            </w:r>
          </w:p>
          <w:p w14:paraId="207F30FC" w14:textId="77777777" w:rsidR="000740B5" w:rsidRPr="00C33C0B" w:rsidRDefault="000740B5" w:rsidP="00C65B0C">
            <w:pPr>
              <w:spacing w:before="20" w:after="20"/>
              <w:rPr>
                <w:szCs w:val="22"/>
                <w:lang w:val="en-GB"/>
              </w:rPr>
            </w:pPr>
            <w:r w:rsidRPr="00C33C0B">
              <w:rPr>
                <w:szCs w:val="22"/>
                <w:lang w:val="en-GB"/>
              </w:rPr>
              <w:t>(XX1A)</w:t>
            </w:r>
          </w:p>
        </w:tc>
        <w:tc>
          <w:tcPr>
            <w:tcW w:w="7243" w:type="dxa"/>
            <w:vMerge w:val="restart"/>
          </w:tcPr>
          <w:p w14:paraId="4A87042B"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Professional attendance of </w:t>
            </w:r>
            <w:r>
              <w:rPr>
                <w:szCs w:val="22"/>
                <w:lang w:val="en-GB"/>
              </w:rPr>
              <w:t xml:space="preserve">5 </w:t>
            </w:r>
            <w:r w:rsidRPr="00C33C0B">
              <w:rPr>
                <w:szCs w:val="22"/>
                <w:lang w:val="en-GB"/>
              </w:rPr>
              <w:t xml:space="preserve">minutes </w:t>
            </w:r>
            <w:r w:rsidRPr="00CC5E74">
              <w:rPr>
                <w:szCs w:val="22"/>
                <w:lang w:val="en-GB"/>
              </w:rPr>
              <w:t>or less</w:t>
            </w:r>
            <w:r>
              <w:rPr>
                <w:szCs w:val="22"/>
                <w:lang w:val="en-GB"/>
              </w:rPr>
              <w:t xml:space="preserve">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following patient referral for an obvious problem with a straightforward task, including any of the following that are clinically relevant:</w:t>
            </w:r>
          </w:p>
          <w:p w14:paraId="38B7D08B" w14:textId="77777777" w:rsidR="000740B5" w:rsidRPr="00C33C0B" w:rsidRDefault="000740B5" w:rsidP="00AA139A">
            <w:pPr>
              <w:pStyle w:val="ListParagraph"/>
              <w:numPr>
                <w:ilvl w:val="0"/>
                <w:numId w:val="120"/>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 short patient history and, if required, limited examination and management</w:t>
            </w:r>
          </w:p>
          <w:p w14:paraId="7EC8460D" w14:textId="77777777" w:rsidR="000740B5" w:rsidRPr="00C33C0B" w:rsidRDefault="000740B5" w:rsidP="00AA139A">
            <w:pPr>
              <w:pStyle w:val="ListParagraph"/>
              <w:numPr>
                <w:ilvl w:val="0"/>
                <w:numId w:val="120"/>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outcomes documented and communicated in writing to the referring practitioner </w:t>
            </w:r>
          </w:p>
          <w:p w14:paraId="64344D97" w14:textId="77777777" w:rsidR="000740B5"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Other than a service to which another Category 1, Group T1, Group T4 or Group T6 professional attendance item applies.</w:t>
            </w:r>
            <w:r>
              <w:rPr>
                <w:szCs w:val="22"/>
                <w:lang w:val="en-GB"/>
              </w:rPr>
              <w:t xml:space="preserve"> </w:t>
            </w:r>
          </w:p>
          <w:p w14:paraId="45919736" w14:textId="77777777" w:rsidR="000740B5"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Only to </w:t>
            </w:r>
            <w:r w:rsidRPr="003119FF">
              <w:rPr>
                <w:szCs w:val="22"/>
                <w:lang w:val="en-GB"/>
              </w:rPr>
              <w:t>be claimed with a Group T8</w:t>
            </w:r>
            <w:r>
              <w:rPr>
                <w:szCs w:val="22"/>
                <w:lang w:val="en-GB"/>
              </w:rPr>
              <w:t xml:space="preserve"> procedure</w:t>
            </w:r>
            <w:r w:rsidRPr="003119FF">
              <w:rPr>
                <w:szCs w:val="22"/>
                <w:lang w:val="en-GB"/>
              </w:rPr>
              <w:t xml:space="preserve"> </w:t>
            </w:r>
            <w:r>
              <w:rPr>
                <w:szCs w:val="22"/>
                <w:lang w:val="en-GB"/>
              </w:rPr>
              <w:t>item:</w:t>
            </w:r>
          </w:p>
          <w:p w14:paraId="7D62C808" w14:textId="77777777" w:rsidR="000740B5" w:rsidRDefault="000740B5" w:rsidP="006D43A0">
            <w:pPr>
              <w:pStyle w:val="ListParagraph"/>
              <w:numPr>
                <w:ilvl w:val="0"/>
                <w:numId w:val="128"/>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51A0DDCE" w14:textId="77777777" w:rsidR="000740B5" w:rsidRPr="001B15DF" w:rsidRDefault="000740B5" w:rsidP="006D43A0">
            <w:pPr>
              <w:pStyle w:val="ListParagraph"/>
              <w:numPr>
                <w:ilvl w:val="0"/>
                <w:numId w:val="128"/>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where </w:t>
            </w:r>
            <w:r w:rsidRPr="001B15DF">
              <w:rPr>
                <w:szCs w:val="22"/>
                <w:lang w:val="en-GB"/>
              </w:rPr>
              <w:t>the need for the procedure is identified during the consultation, has not otherwise been scheduled, is performed on the same day as the attendance, and where the procedure has a schedule fee of $300 or more.</w:t>
            </w:r>
          </w:p>
        </w:tc>
        <w:tc>
          <w:tcPr>
            <w:tcW w:w="1553" w:type="dxa"/>
          </w:tcPr>
          <w:p w14:paraId="236A0E44"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Attendance at consulting room or hospital</w:t>
            </w:r>
          </w:p>
        </w:tc>
        <w:tc>
          <w:tcPr>
            <w:tcW w:w="1319" w:type="dxa"/>
          </w:tcPr>
          <w:p w14:paraId="36B205CB"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5 minutes or less</w:t>
            </w:r>
          </w:p>
        </w:tc>
      </w:tr>
      <w:tr w:rsidR="000740B5" w:rsidRPr="00C33C0B" w14:paraId="5F0B0344" w14:textId="77777777" w:rsidTr="00C41DB8">
        <w:tc>
          <w:tcPr>
            <w:cnfStyle w:val="001000000000" w:firstRow="0" w:lastRow="0" w:firstColumn="1" w:lastColumn="0" w:oddVBand="0" w:evenVBand="0" w:oddHBand="0" w:evenHBand="0" w:firstRowFirstColumn="0" w:firstRowLastColumn="0" w:lastRowFirstColumn="0" w:lastRowLastColumn="0"/>
            <w:tcW w:w="784" w:type="dxa"/>
          </w:tcPr>
          <w:p w14:paraId="003A0E0C" w14:textId="77777777" w:rsidR="000740B5" w:rsidRPr="00C33C0B" w:rsidRDefault="000740B5" w:rsidP="00C65B0C">
            <w:pPr>
              <w:spacing w:before="20" w:after="20"/>
              <w:rPr>
                <w:b/>
                <w:szCs w:val="22"/>
                <w:lang w:val="en-GB"/>
              </w:rPr>
            </w:pPr>
            <w:r w:rsidRPr="00C33C0B">
              <w:rPr>
                <w:szCs w:val="22"/>
                <w:lang w:val="en-GB"/>
              </w:rPr>
              <w:t>Level A</w:t>
            </w:r>
          </w:p>
          <w:p w14:paraId="4E399DED" w14:textId="77777777" w:rsidR="000740B5" w:rsidRPr="00C33C0B" w:rsidRDefault="000740B5" w:rsidP="00C65B0C">
            <w:pPr>
              <w:spacing w:before="20" w:after="20"/>
              <w:rPr>
                <w:szCs w:val="22"/>
                <w:lang w:val="en-GB"/>
              </w:rPr>
            </w:pPr>
            <w:r w:rsidRPr="00C33C0B">
              <w:rPr>
                <w:szCs w:val="22"/>
                <w:lang w:val="en-GB"/>
              </w:rPr>
              <w:t>(XX2A)</w:t>
            </w:r>
          </w:p>
        </w:tc>
        <w:tc>
          <w:tcPr>
            <w:tcW w:w="7243" w:type="dxa"/>
            <w:vMerge/>
          </w:tcPr>
          <w:p w14:paraId="136C7674"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1553" w:type="dxa"/>
          </w:tcPr>
          <w:p w14:paraId="4308EA7A"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Attendance in a location other than consulting room or hospital</w:t>
            </w:r>
          </w:p>
        </w:tc>
        <w:tc>
          <w:tcPr>
            <w:tcW w:w="1319" w:type="dxa"/>
          </w:tcPr>
          <w:p w14:paraId="481815D9"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5 minutes or less</w:t>
            </w:r>
          </w:p>
        </w:tc>
      </w:tr>
      <w:tr w:rsidR="000740B5" w:rsidRPr="00C33C0B" w14:paraId="73E79584" w14:textId="77777777" w:rsidTr="00C41DB8">
        <w:tc>
          <w:tcPr>
            <w:cnfStyle w:val="001000000000" w:firstRow="0" w:lastRow="0" w:firstColumn="1" w:lastColumn="0" w:oddVBand="0" w:evenVBand="0" w:oddHBand="0" w:evenHBand="0" w:firstRowFirstColumn="0" w:firstRowLastColumn="0" w:lastRowFirstColumn="0" w:lastRowLastColumn="0"/>
            <w:tcW w:w="784" w:type="dxa"/>
          </w:tcPr>
          <w:p w14:paraId="448934F3" w14:textId="77777777" w:rsidR="000740B5" w:rsidRPr="00C33C0B" w:rsidRDefault="000740B5" w:rsidP="00C65B0C">
            <w:pPr>
              <w:spacing w:before="20" w:after="20"/>
              <w:rPr>
                <w:b/>
                <w:szCs w:val="22"/>
                <w:lang w:val="en-GB"/>
              </w:rPr>
            </w:pPr>
            <w:r w:rsidRPr="00C33C0B">
              <w:rPr>
                <w:szCs w:val="22"/>
                <w:lang w:val="en-GB"/>
              </w:rPr>
              <w:t>Level B</w:t>
            </w:r>
          </w:p>
          <w:p w14:paraId="5EC121AC" w14:textId="77777777" w:rsidR="000740B5" w:rsidRPr="00C33C0B" w:rsidRDefault="000740B5" w:rsidP="00C65B0C">
            <w:pPr>
              <w:spacing w:before="20" w:after="20"/>
              <w:rPr>
                <w:szCs w:val="22"/>
                <w:lang w:val="en-GB"/>
              </w:rPr>
            </w:pPr>
            <w:r w:rsidRPr="00C33C0B">
              <w:rPr>
                <w:szCs w:val="22"/>
                <w:lang w:val="en-GB"/>
              </w:rPr>
              <w:t>(XX1B)</w:t>
            </w:r>
          </w:p>
        </w:tc>
        <w:tc>
          <w:tcPr>
            <w:tcW w:w="7243" w:type="dxa"/>
            <w:vMerge w:val="restart"/>
          </w:tcPr>
          <w:p w14:paraId="3235A3B2"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Professional attendance of </w:t>
            </w:r>
            <w:r>
              <w:rPr>
                <w:szCs w:val="22"/>
                <w:lang w:val="en-GB"/>
              </w:rPr>
              <w:t xml:space="preserve">more than 5 minutes but not more than 20 minutes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following patient referral, including any of the following that are clinically relevant:</w:t>
            </w:r>
          </w:p>
          <w:p w14:paraId="4ED59FD5" w14:textId="77777777" w:rsidR="000740B5" w:rsidRPr="00C33C0B" w:rsidRDefault="000740B5" w:rsidP="006D43A0">
            <w:pPr>
              <w:pStyle w:val="ListParagraph"/>
              <w:numPr>
                <w:ilvl w:val="0"/>
                <w:numId w:val="129"/>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focused patient history and, if required, focused examination and management</w:t>
            </w:r>
          </w:p>
          <w:p w14:paraId="746182BF" w14:textId="77777777" w:rsidR="000740B5" w:rsidRPr="00C33C0B" w:rsidRDefault="000740B5" w:rsidP="006D43A0">
            <w:pPr>
              <w:pStyle w:val="ListParagraph"/>
              <w:numPr>
                <w:ilvl w:val="0"/>
                <w:numId w:val="129"/>
              </w:numPr>
              <w:spacing w:before="20" w:after="20"/>
              <w:ind w:left="36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outcomes documented and communicated in writing to the referring practitioner </w:t>
            </w:r>
          </w:p>
          <w:p w14:paraId="5BE1C774" w14:textId="77777777" w:rsidR="000740B5"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Other than a service to which another Category 1, Group T1, Group T4 or Group T6 professional attendance item applies.</w:t>
            </w:r>
          </w:p>
          <w:p w14:paraId="7FADA6E5" w14:textId="77777777" w:rsidR="000740B5"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Only to </w:t>
            </w:r>
            <w:r w:rsidRPr="003119FF">
              <w:rPr>
                <w:szCs w:val="22"/>
                <w:lang w:val="en-GB"/>
              </w:rPr>
              <w:t>be claimed with a Group T8</w:t>
            </w:r>
            <w:r>
              <w:rPr>
                <w:szCs w:val="22"/>
                <w:lang w:val="en-GB"/>
              </w:rPr>
              <w:t xml:space="preserve"> procedure</w:t>
            </w:r>
            <w:r w:rsidRPr="003119FF">
              <w:rPr>
                <w:szCs w:val="22"/>
                <w:lang w:val="en-GB"/>
              </w:rPr>
              <w:t xml:space="preserve"> </w:t>
            </w:r>
            <w:r>
              <w:rPr>
                <w:szCs w:val="22"/>
                <w:lang w:val="en-GB"/>
              </w:rPr>
              <w:t>item:</w:t>
            </w:r>
          </w:p>
          <w:p w14:paraId="43E8A5C3" w14:textId="77777777" w:rsidR="000740B5" w:rsidRDefault="000740B5" w:rsidP="006D43A0">
            <w:pPr>
              <w:pStyle w:val="ListParagraph"/>
              <w:numPr>
                <w:ilvl w:val="0"/>
                <w:numId w:val="130"/>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4F2C0C5F" w14:textId="77777777" w:rsidR="000740B5" w:rsidRPr="001B15DF" w:rsidRDefault="000740B5" w:rsidP="006D43A0">
            <w:pPr>
              <w:pStyle w:val="ListParagraph"/>
              <w:numPr>
                <w:ilvl w:val="0"/>
                <w:numId w:val="130"/>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tcPr>
          <w:p w14:paraId="67E36CE1"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Attendance at consulting room or hospital</w:t>
            </w:r>
          </w:p>
        </w:tc>
        <w:tc>
          <w:tcPr>
            <w:tcW w:w="1319" w:type="dxa"/>
          </w:tcPr>
          <w:p w14:paraId="1AD4E1CF"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6</w:t>
            </w:r>
            <w:r>
              <w:rPr>
                <w:szCs w:val="22"/>
                <w:lang w:val="en-GB"/>
              </w:rPr>
              <w:t>–</w:t>
            </w:r>
            <w:r w:rsidRPr="00C33C0B">
              <w:rPr>
                <w:szCs w:val="22"/>
                <w:lang w:val="en-GB"/>
              </w:rPr>
              <w:t>20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448BCE70" w14:textId="77777777" w:rsidTr="00C41DB8">
        <w:tc>
          <w:tcPr>
            <w:cnfStyle w:val="001000000000" w:firstRow="0" w:lastRow="0" w:firstColumn="1" w:lastColumn="0" w:oddVBand="0" w:evenVBand="0" w:oddHBand="0" w:evenHBand="0" w:firstRowFirstColumn="0" w:firstRowLastColumn="0" w:lastRowFirstColumn="0" w:lastRowLastColumn="0"/>
            <w:tcW w:w="784" w:type="dxa"/>
          </w:tcPr>
          <w:p w14:paraId="165FE88F" w14:textId="77777777" w:rsidR="000740B5" w:rsidRPr="00C33C0B" w:rsidRDefault="000740B5" w:rsidP="00C65B0C">
            <w:pPr>
              <w:spacing w:before="20" w:after="20"/>
              <w:rPr>
                <w:b/>
                <w:szCs w:val="22"/>
                <w:lang w:val="en-GB"/>
              </w:rPr>
            </w:pPr>
            <w:r w:rsidRPr="00C33C0B">
              <w:rPr>
                <w:szCs w:val="22"/>
                <w:lang w:val="en-GB"/>
              </w:rPr>
              <w:t>Level B</w:t>
            </w:r>
          </w:p>
          <w:p w14:paraId="7869764F" w14:textId="77777777" w:rsidR="000740B5" w:rsidRPr="00C33C0B" w:rsidRDefault="000740B5" w:rsidP="00C65B0C">
            <w:pPr>
              <w:spacing w:before="20" w:after="20"/>
              <w:rPr>
                <w:szCs w:val="22"/>
                <w:lang w:val="en-GB"/>
              </w:rPr>
            </w:pPr>
            <w:r w:rsidRPr="00C33C0B">
              <w:rPr>
                <w:szCs w:val="22"/>
                <w:lang w:val="en-GB"/>
              </w:rPr>
              <w:t>(XX2B)</w:t>
            </w:r>
          </w:p>
        </w:tc>
        <w:tc>
          <w:tcPr>
            <w:tcW w:w="7243" w:type="dxa"/>
            <w:vMerge/>
          </w:tcPr>
          <w:p w14:paraId="00ECB608"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1553" w:type="dxa"/>
          </w:tcPr>
          <w:p w14:paraId="140FF1CE"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Attendance in a location other than consulting room or hospital</w:t>
            </w:r>
          </w:p>
        </w:tc>
        <w:tc>
          <w:tcPr>
            <w:tcW w:w="1319" w:type="dxa"/>
          </w:tcPr>
          <w:p w14:paraId="42BC1559"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6</w:t>
            </w:r>
            <w:r>
              <w:rPr>
                <w:szCs w:val="22"/>
                <w:lang w:val="en-GB"/>
              </w:rPr>
              <w:t>–</w:t>
            </w:r>
            <w:r w:rsidRPr="00C33C0B">
              <w:rPr>
                <w:szCs w:val="22"/>
                <w:lang w:val="en-GB"/>
              </w:rPr>
              <w:t>20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2AD504AC" w14:textId="77777777" w:rsidTr="00C41DB8">
        <w:tc>
          <w:tcPr>
            <w:cnfStyle w:val="001000000000" w:firstRow="0" w:lastRow="0" w:firstColumn="1" w:lastColumn="0" w:oddVBand="0" w:evenVBand="0" w:oddHBand="0" w:evenHBand="0" w:firstRowFirstColumn="0" w:firstRowLastColumn="0" w:lastRowFirstColumn="0" w:lastRowLastColumn="0"/>
            <w:tcW w:w="784" w:type="dxa"/>
          </w:tcPr>
          <w:p w14:paraId="427B6B6A" w14:textId="77777777" w:rsidR="000740B5" w:rsidRPr="00C33C0B" w:rsidRDefault="000740B5" w:rsidP="00C65B0C">
            <w:pPr>
              <w:spacing w:before="20" w:after="20"/>
              <w:rPr>
                <w:b/>
                <w:szCs w:val="22"/>
                <w:lang w:val="en-GB"/>
              </w:rPr>
            </w:pPr>
            <w:r w:rsidRPr="00C33C0B">
              <w:rPr>
                <w:szCs w:val="22"/>
                <w:lang w:val="en-GB"/>
              </w:rPr>
              <w:t>Level C</w:t>
            </w:r>
          </w:p>
          <w:p w14:paraId="13D49B5A" w14:textId="77777777" w:rsidR="000740B5" w:rsidRPr="00C33C0B" w:rsidRDefault="000740B5" w:rsidP="00C65B0C">
            <w:pPr>
              <w:spacing w:before="20" w:after="20"/>
              <w:rPr>
                <w:szCs w:val="22"/>
                <w:lang w:val="en-GB"/>
              </w:rPr>
            </w:pPr>
            <w:r w:rsidRPr="00C33C0B">
              <w:rPr>
                <w:szCs w:val="22"/>
                <w:lang w:val="en-GB"/>
              </w:rPr>
              <w:t>(XX1C)</w:t>
            </w:r>
          </w:p>
        </w:tc>
        <w:tc>
          <w:tcPr>
            <w:tcW w:w="7243" w:type="dxa"/>
            <w:vMerge w:val="restart"/>
          </w:tcPr>
          <w:p w14:paraId="5E587701"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Professional attendance</w:t>
            </w:r>
            <w:r>
              <w:rPr>
                <w:szCs w:val="22"/>
                <w:lang w:val="en-GB"/>
              </w:rPr>
              <w:t xml:space="preserve"> of</w:t>
            </w:r>
            <w:r w:rsidRPr="00C33C0B">
              <w:rPr>
                <w:szCs w:val="22"/>
                <w:lang w:val="en-GB"/>
              </w:rPr>
              <w:t xml:space="preserve"> </w:t>
            </w:r>
            <w:r>
              <w:rPr>
                <w:szCs w:val="22"/>
                <w:lang w:val="en-GB"/>
              </w:rPr>
              <w:t>more than 20 minutes but not more than 40 minutes</w:t>
            </w:r>
            <w:r w:rsidRPr="00C33C0B">
              <w:rPr>
                <w:szCs w:val="22"/>
                <w:lang w:val="en-GB"/>
              </w:rPr>
              <w:t xml:space="preserve"> by a </w:t>
            </w:r>
            <w:r>
              <w:rPr>
                <w:szCs w:val="22"/>
                <w:lang w:val="en-GB"/>
              </w:rPr>
              <w:t>consultant specialist</w:t>
            </w:r>
            <w:r w:rsidRPr="00C33C0B">
              <w:rPr>
                <w:szCs w:val="22"/>
                <w:lang w:val="en-GB"/>
              </w:rPr>
              <w:t xml:space="preserve"> in the practice of his or her speciality following patient referral, including any of the following that are clinically relevant:</w:t>
            </w:r>
          </w:p>
          <w:p w14:paraId="02DA3AC2" w14:textId="77777777" w:rsidR="000740B5" w:rsidRPr="00C33C0B" w:rsidRDefault="000740B5" w:rsidP="006D43A0">
            <w:pPr>
              <w:pStyle w:val="ListParagraph"/>
              <w:numPr>
                <w:ilvl w:val="0"/>
                <w:numId w:val="13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detailed patient history of a major single or multiple minor conditions</w:t>
            </w:r>
          </w:p>
          <w:p w14:paraId="090CCC58" w14:textId="77777777" w:rsidR="000740B5" w:rsidRPr="00C33C0B" w:rsidRDefault="000740B5" w:rsidP="006D43A0">
            <w:pPr>
              <w:pStyle w:val="ListParagraph"/>
              <w:numPr>
                <w:ilvl w:val="0"/>
                <w:numId w:val="13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comprehensive examination of single system OR multi-system focused examination</w:t>
            </w:r>
          </w:p>
          <w:p w14:paraId="4B07F15C" w14:textId="77777777" w:rsidR="000740B5" w:rsidRPr="00C33C0B" w:rsidRDefault="000740B5" w:rsidP="006D43A0">
            <w:pPr>
              <w:pStyle w:val="ListParagraph"/>
              <w:numPr>
                <w:ilvl w:val="0"/>
                <w:numId w:val="13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single or multiple minor diagnostic problems considered</w:t>
            </w:r>
          </w:p>
          <w:p w14:paraId="0AC33965" w14:textId="77777777" w:rsidR="000740B5" w:rsidRPr="00C33C0B" w:rsidRDefault="000740B5" w:rsidP="006D43A0">
            <w:pPr>
              <w:pStyle w:val="ListParagraph"/>
              <w:numPr>
                <w:ilvl w:val="0"/>
                <w:numId w:val="13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a non-complex management plan </w:t>
            </w:r>
          </w:p>
          <w:p w14:paraId="7E7DA038" w14:textId="77777777" w:rsidR="000740B5" w:rsidRPr="00C33C0B" w:rsidRDefault="000740B5" w:rsidP="006D43A0">
            <w:pPr>
              <w:pStyle w:val="ListParagraph"/>
              <w:numPr>
                <w:ilvl w:val="0"/>
                <w:numId w:val="13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 management plan communicated in writing to the referring practitioner and, if required;</w:t>
            </w:r>
          </w:p>
          <w:p w14:paraId="34787DF4" w14:textId="77777777" w:rsidR="000740B5" w:rsidRPr="00C33C0B" w:rsidRDefault="000740B5" w:rsidP="006D43A0">
            <w:pPr>
              <w:pStyle w:val="ListParagraph"/>
              <w:numPr>
                <w:ilvl w:val="0"/>
                <w:numId w:val="13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discussion of multiple treatment options available, including;</w:t>
            </w:r>
          </w:p>
          <w:p w14:paraId="0D84CBFD" w14:textId="77777777" w:rsidR="000740B5" w:rsidRPr="00C33C0B" w:rsidRDefault="000740B5" w:rsidP="00C65B0C">
            <w:pPr>
              <w:spacing w:before="20" w:after="20"/>
              <w:ind w:left="331"/>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i. Discussion of treatment options to assess pros and cons of each option given patient characteristics and medical history</w:t>
            </w:r>
          </w:p>
          <w:p w14:paraId="3A92744A" w14:textId="77777777" w:rsidR="000740B5" w:rsidRPr="00C33C0B" w:rsidRDefault="000740B5" w:rsidP="00C65B0C">
            <w:pPr>
              <w:spacing w:before="20" w:after="20"/>
              <w:ind w:left="331"/>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ii. Consideration and discussion of necessary referrals to other health professionals</w:t>
            </w:r>
          </w:p>
          <w:p w14:paraId="1F840A62" w14:textId="77777777" w:rsidR="000740B5" w:rsidRPr="00C33C0B" w:rsidRDefault="000740B5" w:rsidP="00C65B0C">
            <w:pPr>
              <w:spacing w:before="20" w:after="20"/>
              <w:ind w:left="331"/>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iii. Written documentation made available for the patient and/or carer that outlines treatment options and information on associated risks and benefits</w:t>
            </w:r>
          </w:p>
          <w:p w14:paraId="278F20BA" w14:textId="1677F20D" w:rsidR="000740B5" w:rsidRPr="00C33C0B" w:rsidRDefault="000740B5" w:rsidP="006D43A0">
            <w:pPr>
              <w:pStyle w:val="ListParagraph"/>
              <w:numPr>
                <w:ilvl w:val="0"/>
                <w:numId w:val="13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outcomes documented and communicated in writing to the referring practitioner</w:t>
            </w:r>
          </w:p>
          <w:p w14:paraId="38E75238" w14:textId="77777777" w:rsidR="000740B5" w:rsidRPr="00017A53" w:rsidRDefault="000740B5" w:rsidP="00017A53">
            <w:pPr>
              <w:cnfStyle w:val="000000000000" w:firstRow="0" w:lastRow="0" w:firstColumn="0" w:lastColumn="0" w:oddVBand="0" w:evenVBand="0" w:oddHBand="0" w:evenHBand="0" w:firstRowFirstColumn="0" w:firstRowLastColumn="0" w:lastRowFirstColumn="0" w:lastRowLastColumn="0"/>
            </w:pPr>
            <w:r w:rsidRPr="00017A53">
              <w:t>Other than a service to which another Category 1, Group T1, Group T4 or Group T6 professional attendance item applies.</w:t>
            </w:r>
          </w:p>
          <w:p w14:paraId="1D49EF3C" w14:textId="77777777" w:rsidR="000740B5"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Only to </w:t>
            </w:r>
            <w:r w:rsidRPr="003119FF">
              <w:rPr>
                <w:szCs w:val="22"/>
                <w:lang w:val="en-GB"/>
              </w:rPr>
              <w:t>be claimed with a Group T8</w:t>
            </w:r>
            <w:r>
              <w:rPr>
                <w:szCs w:val="22"/>
                <w:lang w:val="en-GB"/>
              </w:rPr>
              <w:t xml:space="preserve"> procedure</w:t>
            </w:r>
            <w:r w:rsidRPr="003119FF">
              <w:rPr>
                <w:szCs w:val="22"/>
                <w:lang w:val="en-GB"/>
              </w:rPr>
              <w:t xml:space="preserve"> </w:t>
            </w:r>
            <w:r>
              <w:rPr>
                <w:szCs w:val="22"/>
                <w:lang w:val="en-GB"/>
              </w:rPr>
              <w:t>item:</w:t>
            </w:r>
          </w:p>
          <w:p w14:paraId="386B8FD0" w14:textId="77777777" w:rsidR="000740B5" w:rsidRDefault="000740B5" w:rsidP="006D43A0">
            <w:pPr>
              <w:pStyle w:val="ListParagraph"/>
              <w:numPr>
                <w:ilvl w:val="0"/>
                <w:numId w:val="13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1178EF30" w14:textId="77777777" w:rsidR="000740B5" w:rsidRPr="001B15DF" w:rsidRDefault="000740B5" w:rsidP="006D43A0">
            <w:pPr>
              <w:pStyle w:val="ListParagraph"/>
              <w:numPr>
                <w:ilvl w:val="0"/>
                <w:numId w:val="13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tcPr>
          <w:p w14:paraId="677CC8FF"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Attendance at consulting room or hospital</w:t>
            </w:r>
          </w:p>
        </w:tc>
        <w:tc>
          <w:tcPr>
            <w:tcW w:w="1319" w:type="dxa"/>
          </w:tcPr>
          <w:p w14:paraId="3937C032"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21–</w:t>
            </w:r>
            <w:r w:rsidRPr="00C33C0B">
              <w:rPr>
                <w:szCs w:val="22"/>
                <w:lang w:val="en-GB"/>
              </w:rPr>
              <w:t>40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37BE887E" w14:textId="77777777" w:rsidTr="00C41DB8">
        <w:tc>
          <w:tcPr>
            <w:cnfStyle w:val="001000000000" w:firstRow="0" w:lastRow="0" w:firstColumn="1" w:lastColumn="0" w:oddVBand="0" w:evenVBand="0" w:oddHBand="0" w:evenHBand="0" w:firstRowFirstColumn="0" w:firstRowLastColumn="0" w:lastRowFirstColumn="0" w:lastRowLastColumn="0"/>
            <w:tcW w:w="784" w:type="dxa"/>
          </w:tcPr>
          <w:p w14:paraId="49211167" w14:textId="77777777" w:rsidR="000740B5" w:rsidRPr="00C33C0B" w:rsidRDefault="000740B5" w:rsidP="00C65B0C">
            <w:pPr>
              <w:spacing w:before="20" w:after="20"/>
              <w:rPr>
                <w:b/>
                <w:szCs w:val="22"/>
                <w:lang w:val="en-GB"/>
              </w:rPr>
            </w:pPr>
            <w:r w:rsidRPr="00C33C0B">
              <w:rPr>
                <w:szCs w:val="22"/>
                <w:lang w:val="en-GB"/>
              </w:rPr>
              <w:t>Level C</w:t>
            </w:r>
          </w:p>
          <w:p w14:paraId="14A56ADF" w14:textId="77777777" w:rsidR="000740B5" w:rsidRPr="00C33C0B" w:rsidRDefault="000740B5" w:rsidP="00C65B0C">
            <w:pPr>
              <w:spacing w:before="20" w:after="20"/>
              <w:rPr>
                <w:szCs w:val="22"/>
                <w:lang w:val="en-GB"/>
              </w:rPr>
            </w:pPr>
            <w:r w:rsidRPr="00C33C0B">
              <w:rPr>
                <w:szCs w:val="22"/>
                <w:lang w:val="en-GB"/>
              </w:rPr>
              <w:t>(XX2C)</w:t>
            </w:r>
          </w:p>
        </w:tc>
        <w:tc>
          <w:tcPr>
            <w:tcW w:w="7243" w:type="dxa"/>
            <w:vMerge/>
          </w:tcPr>
          <w:p w14:paraId="2901A74F"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1553" w:type="dxa"/>
          </w:tcPr>
          <w:p w14:paraId="3F7C4150"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Attendance in a location other than consulting room or hospital</w:t>
            </w:r>
          </w:p>
        </w:tc>
        <w:tc>
          <w:tcPr>
            <w:tcW w:w="1319" w:type="dxa"/>
          </w:tcPr>
          <w:p w14:paraId="1CE27C12"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21–</w:t>
            </w:r>
            <w:r w:rsidRPr="00C33C0B">
              <w:rPr>
                <w:szCs w:val="22"/>
                <w:lang w:val="en-GB"/>
              </w:rPr>
              <w:t>40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1F04E0E0" w14:textId="77777777" w:rsidTr="00C41DB8">
        <w:tc>
          <w:tcPr>
            <w:cnfStyle w:val="001000000000" w:firstRow="0" w:lastRow="0" w:firstColumn="1" w:lastColumn="0" w:oddVBand="0" w:evenVBand="0" w:oddHBand="0" w:evenHBand="0" w:firstRowFirstColumn="0" w:firstRowLastColumn="0" w:lastRowFirstColumn="0" w:lastRowLastColumn="0"/>
            <w:tcW w:w="784" w:type="dxa"/>
          </w:tcPr>
          <w:p w14:paraId="23872E54" w14:textId="77777777" w:rsidR="000740B5" w:rsidRPr="00C33C0B" w:rsidRDefault="000740B5" w:rsidP="00C65B0C">
            <w:pPr>
              <w:spacing w:before="20" w:after="20"/>
              <w:rPr>
                <w:b/>
                <w:szCs w:val="22"/>
                <w:lang w:val="en-GB"/>
              </w:rPr>
            </w:pPr>
            <w:r w:rsidRPr="00C33C0B">
              <w:rPr>
                <w:szCs w:val="22"/>
                <w:lang w:val="en-GB"/>
              </w:rPr>
              <w:t>Level D</w:t>
            </w:r>
          </w:p>
          <w:p w14:paraId="14091D37" w14:textId="77777777" w:rsidR="000740B5" w:rsidRPr="00C33C0B" w:rsidRDefault="000740B5" w:rsidP="00C65B0C">
            <w:pPr>
              <w:spacing w:before="20" w:after="20"/>
              <w:rPr>
                <w:szCs w:val="22"/>
                <w:lang w:val="en-GB"/>
              </w:rPr>
            </w:pPr>
            <w:r w:rsidRPr="00C33C0B">
              <w:rPr>
                <w:szCs w:val="22"/>
                <w:lang w:val="en-GB"/>
              </w:rPr>
              <w:t>(XX1D)</w:t>
            </w:r>
          </w:p>
        </w:tc>
        <w:tc>
          <w:tcPr>
            <w:tcW w:w="7243" w:type="dxa"/>
            <w:vMerge w:val="restart"/>
          </w:tcPr>
          <w:p w14:paraId="3CB29282"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Professional attendance of </w:t>
            </w:r>
            <w:r>
              <w:rPr>
                <w:szCs w:val="22"/>
                <w:lang w:val="en-GB"/>
              </w:rPr>
              <w:t>more than 40 minutes but not more than 60 minutes</w:t>
            </w:r>
            <w:r w:rsidRPr="00C33C0B">
              <w:rPr>
                <w:szCs w:val="22"/>
                <w:lang w:val="en-GB"/>
              </w:rPr>
              <w:t xml:space="preserve"> by a </w:t>
            </w:r>
            <w:r>
              <w:rPr>
                <w:szCs w:val="22"/>
                <w:lang w:val="en-GB"/>
              </w:rPr>
              <w:t>consultant specialist</w:t>
            </w:r>
            <w:r w:rsidRPr="00C33C0B">
              <w:rPr>
                <w:szCs w:val="22"/>
                <w:lang w:val="en-GB"/>
              </w:rPr>
              <w:t xml:space="preserve"> in the practice of his or her speciality following patient referral, including any of the following that are clinically relevant:</w:t>
            </w:r>
          </w:p>
          <w:p w14:paraId="29AB62AA" w14:textId="77777777" w:rsidR="000740B5" w:rsidRPr="00C33C0B" w:rsidRDefault="000740B5" w:rsidP="006D43A0">
            <w:pPr>
              <w:pStyle w:val="ListParagraph"/>
              <w:numPr>
                <w:ilvl w:val="0"/>
                <w:numId w:val="133"/>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comprehensive patient history of multiple conditions or a complex single condition</w:t>
            </w:r>
          </w:p>
          <w:p w14:paraId="2EF4DAA4" w14:textId="77777777" w:rsidR="000740B5" w:rsidRPr="00C33C0B" w:rsidRDefault="000740B5" w:rsidP="006D43A0">
            <w:pPr>
              <w:pStyle w:val="ListParagraph"/>
              <w:numPr>
                <w:ilvl w:val="0"/>
                <w:numId w:val="133"/>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comprehensive multi-system examination </w:t>
            </w:r>
          </w:p>
          <w:p w14:paraId="027498FA" w14:textId="77777777" w:rsidR="000740B5" w:rsidRPr="00C33C0B" w:rsidRDefault="000740B5" w:rsidP="006D43A0">
            <w:pPr>
              <w:pStyle w:val="ListParagraph"/>
              <w:numPr>
                <w:ilvl w:val="0"/>
                <w:numId w:val="133"/>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multiple diagnostic problems considered</w:t>
            </w:r>
          </w:p>
          <w:p w14:paraId="4E1D68AA" w14:textId="77777777" w:rsidR="000740B5" w:rsidRPr="00C33C0B" w:rsidRDefault="000740B5" w:rsidP="006D43A0">
            <w:pPr>
              <w:pStyle w:val="ListParagraph"/>
              <w:numPr>
                <w:ilvl w:val="0"/>
                <w:numId w:val="133"/>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 comprehensive management plan</w:t>
            </w:r>
          </w:p>
          <w:p w14:paraId="5945244A" w14:textId="77777777" w:rsidR="000740B5" w:rsidRPr="00C33C0B" w:rsidRDefault="000740B5" w:rsidP="006D43A0">
            <w:pPr>
              <w:pStyle w:val="ListParagraph"/>
              <w:numPr>
                <w:ilvl w:val="0"/>
                <w:numId w:val="133"/>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the management plan communicated in writing to the referring practitioner and, if required;</w:t>
            </w:r>
          </w:p>
          <w:p w14:paraId="4C8E1641" w14:textId="77777777" w:rsidR="000740B5" w:rsidRPr="00C33C0B" w:rsidRDefault="000740B5" w:rsidP="006D43A0">
            <w:pPr>
              <w:pStyle w:val="ListParagraph"/>
              <w:numPr>
                <w:ilvl w:val="0"/>
                <w:numId w:val="133"/>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discussion of multiple treatment options available, including:</w:t>
            </w:r>
          </w:p>
          <w:p w14:paraId="01F8A09F" w14:textId="77777777" w:rsidR="000740B5" w:rsidRPr="00C33C0B" w:rsidRDefault="000740B5" w:rsidP="006D43A0">
            <w:pPr>
              <w:pStyle w:val="ListParagraph"/>
              <w:numPr>
                <w:ilvl w:val="2"/>
                <w:numId w:val="133"/>
              </w:numPr>
              <w:spacing w:before="20" w:after="20"/>
              <w:ind w:left="755" w:right="142"/>
              <w:contextualSpacing w:val="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Discussion of treatment options to assess pros and cons of each option given patient characteristics and medical history</w:t>
            </w:r>
          </w:p>
          <w:p w14:paraId="3A36A18B" w14:textId="77777777" w:rsidR="000740B5" w:rsidRPr="00C33C0B" w:rsidRDefault="000740B5" w:rsidP="006D43A0">
            <w:pPr>
              <w:pStyle w:val="ListParagraph"/>
              <w:numPr>
                <w:ilvl w:val="2"/>
                <w:numId w:val="133"/>
              </w:numPr>
              <w:spacing w:before="20" w:after="20"/>
              <w:ind w:left="755" w:right="142"/>
              <w:contextualSpacing w:val="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Consideration and discussion of necessary referrals to other health professionals</w:t>
            </w:r>
          </w:p>
          <w:p w14:paraId="5CE02AA9" w14:textId="77777777" w:rsidR="000740B5" w:rsidRPr="00C33C0B" w:rsidRDefault="000740B5" w:rsidP="006D43A0">
            <w:pPr>
              <w:pStyle w:val="ListParagraph"/>
              <w:numPr>
                <w:ilvl w:val="2"/>
                <w:numId w:val="133"/>
              </w:numPr>
              <w:spacing w:before="20" w:after="20"/>
              <w:ind w:left="755" w:right="142"/>
              <w:contextualSpacing w:val="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Written documentation made available for the patient and/or carer that outlines treatment options and information on associated risks and benefits</w:t>
            </w:r>
          </w:p>
          <w:p w14:paraId="1ED18C15" w14:textId="77777777" w:rsidR="000740B5" w:rsidRPr="00C33C0B" w:rsidRDefault="000740B5" w:rsidP="006D43A0">
            <w:pPr>
              <w:pStyle w:val="ListParagraph"/>
              <w:numPr>
                <w:ilvl w:val="0"/>
                <w:numId w:val="133"/>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outcomes documented and communicated in writing to the referring practitioner </w:t>
            </w:r>
          </w:p>
          <w:p w14:paraId="67F7D0AD" w14:textId="77777777" w:rsidR="000740B5"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04705F">
              <w:rPr>
                <w:szCs w:val="22"/>
                <w:lang w:val="en-GB"/>
              </w:rPr>
              <w:t>Other than a service to which another Category 1, Group T1, Group T4 or Group T6 professional attendance item applies.</w:t>
            </w:r>
          </w:p>
          <w:p w14:paraId="290D6EE4" w14:textId="77777777" w:rsidR="000740B5"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Only to </w:t>
            </w:r>
            <w:r w:rsidRPr="003119FF">
              <w:rPr>
                <w:szCs w:val="22"/>
                <w:lang w:val="en-GB"/>
              </w:rPr>
              <w:t>be claimed with a Group T8</w:t>
            </w:r>
            <w:r>
              <w:rPr>
                <w:szCs w:val="22"/>
                <w:lang w:val="en-GB"/>
              </w:rPr>
              <w:t xml:space="preserve"> procedure</w:t>
            </w:r>
            <w:r w:rsidRPr="003119FF">
              <w:rPr>
                <w:szCs w:val="22"/>
                <w:lang w:val="en-GB"/>
              </w:rPr>
              <w:t xml:space="preserve"> </w:t>
            </w:r>
            <w:r>
              <w:rPr>
                <w:szCs w:val="22"/>
                <w:lang w:val="en-GB"/>
              </w:rPr>
              <w:t>item:</w:t>
            </w:r>
          </w:p>
          <w:p w14:paraId="0363E5D7" w14:textId="77777777" w:rsidR="000740B5" w:rsidRDefault="000740B5" w:rsidP="006D43A0">
            <w:pPr>
              <w:pStyle w:val="ListParagraph"/>
              <w:numPr>
                <w:ilvl w:val="0"/>
                <w:numId w:val="13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2A7527BF" w14:textId="77777777" w:rsidR="000740B5" w:rsidRPr="001B15DF" w:rsidRDefault="000740B5" w:rsidP="006D43A0">
            <w:pPr>
              <w:pStyle w:val="ListParagraph"/>
              <w:numPr>
                <w:ilvl w:val="0"/>
                <w:numId w:val="13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tcPr>
          <w:p w14:paraId="6B829E87"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Attendance at consulting room or hospital</w:t>
            </w:r>
          </w:p>
        </w:tc>
        <w:tc>
          <w:tcPr>
            <w:tcW w:w="1319" w:type="dxa"/>
          </w:tcPr>
          <w:p w14:paraId="0D08A093"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41–</w:t>
            </w:r>
            <w:r w:rsidRPr="00C33C0B">
              <w:rPr>
                <w:szCs w:val="22"/>
                <w:lang w:val="en-GB"/>
              </w:rPr>
              <w:t>60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1E844494" w14:textId="77777777" w:rsidTr="00C41DB8">
        <w:tc>
          <w:tcPr>
            <w:cnfStyle w:val="001000000000" w:firstRow="0" w:lastRow="0" w:firstColumn="1" w:lastColumn="0" w:oddVBand="0" w:evenVBand="0" w:oddHBand="0" w:evenHBand="0" w:firstRowFirstColumn="0" w:firstRowLastColumn="0" w:lastRowFirstColumn="0" w:lastRowLastColumn="0"/>
            <w:tcW w:w="784" w:type="dxa"/>
          </w:tcPr>
          <w:p w14:paraId="1933B111" w14:textId="77777777" w:rsidR="000740B5" w:rsidRPr="00C33C0B" w:rsidRDefault="000740B5" w:rsidP="00C65B0C">
            <w:pPr>
              <w:spacing w:before="20" w:after="20"/>
              <w:rPr>
                <w:b/>
                <w:szCs w:val="22"/>
                <w:lang w:val="en-GB"/>
              </w:rPr>
            </w:pPr>
            <w:r w:rsidRPr="00C33C0B">
              <w:rPr>
                <w:szCs w:val="22"/>
                <w:lang w:val="en-GB"/>
              </w:rPr>
              <w:t>Level D</w:t>
            </w:r>
          </w:p>
          <w:p w14:paraId="6F1C9BC9" w14:textId="77777777" w:rsidR="000740B5" w:rsidRPr="00C33C0B" w:rsidRDefault="000740B5" w:rsidP="00C65B0C">
            <w:pPr>
              <w:spacing w:before="20" w:after="20"/>
              <w:rPr>
                <w:szCs w:val="22"/>
                <w:lang w:val="en-GB"/>
              </w:rPr>
            </w:pPr>
            <w:r w:rsidRPr="00C33C0B">
              <w:rPr>
                <w:szCs w:val="22"/>
                <w:lang w:val="en-GB"/>
              </w:rPr>
              <w:t>(XX2D)</w:t>
            </w:r>
          </w:p>
        </w:tc>
        <w:tc>
          <w:tcPr>
            <w:tcW w:w="7243" w:type="dxa"/>
            <w:vMerge/>
          </w:tcPr>
          <w:p w14:paraId="37915A38"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1553" w:type="dxa"/>
          </w:tcPr>
          <w:p w14:paraId="5E3ED4E8"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Attendance in a location other than consulting room or hospital</w:t>
            </w:r>
          </w:p>
        </w:tc>
        <w:tc>
          <w:tcPr>
            <w:tcW w:w="1319" w:type="dxa"/>
          </w:tcPr>
          <w:p w14:paraId="2B7ABBD2"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41–</w:t>
            </w:r>
            <w:r w:rsidRPr="00C33C0B">
              <w:rPr>
                <w:szCs w:val="22"/>
                <w:lang w:val="en-GB"/>
              </w:rPr>
              <w:t>60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3459070C" w14:textId="77777777" w:rsidTr="00C41DB8">
        <w:tc>
          <w:tcPr>
            <w:cnfStyle w:val="001000000000" w:firstRow="0" w:lastRow="0" w:firstColumn="1" w:lastColumn="0" w:oddVBand="0" w:evenVBand="0" w:oddHBand="0" w:evenHBand="0" w:firstRowFirstColumn="0" w:firstRowLastColumn="0" w:lastRowFirstColumn="0" w:lastRowLastColumn="0"/>
            <w:tcW w:w="784" w:type="dxa"/>
          </w:tcPr>
          <w:p w14:paraId="53479AB6" w14:textId="77777777" w:rsidR="000740B5" w:rsidRPr="00C33C0B" w:rsidRDefault="000740B5" w:rsidP="00C65B0C">
            <w:pPr>
              <w:spacing w:before="20" w:after="20"/>
              <w:rPr>
                <w:b/>
                <w:szCs w:val="22"/>
                <w:lang w:val="en-GB"/>
              </w:rPr>
            </w:pPr>
            <w:r w:rsidRPr="00C33C0B">
              <w:rPr>
                <w:szCs w:val="22"/>
                <w:lang w:val="en-GB"/>
              </w:rPr>
              <w:t>Level E</w:t>
            </w:r>
          </w:p>
          <w:p w14:paraId="7D0713C0" w14:textId="77777777" w:rsidR="000740B5" w:rsidRPr="00C33C0B" w:rsidRDefault="000740B5" w:rsidP="00C65B0C">
            <w:pPr>
              <w:spacing w:before="20" w:after="20"/>
              <w:rPr>
                <w:szCs w:val="22"/>
                <w:lang w:val="en-GB"/>
              </w:rPr>
            </w:pPr>
            <w:r w:rsidRPr="00C33C0B">
              <w:rPr>
                <w:szCs w:val="22"/>
                <w:lang w:val="en-GB"/>
              </w:rPr>
              <w:t>(XX1E)</w:t>
            </w:r>
          </w:p>
        </w:tc>
        <w:tc>
          <w:tcPr>
            <w:tcW w:w="7243" w:type="dxa"/>
            <w:vMerge w:val="restart"/>
          </w:tcPr>
          <w:p w14:paraId="138DB293"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Professional attendance of </w:t>
            </w:r>
            <w:r>
              <w:rPr>
                <w:szCs w:val="22"/>
                <w:lang w:val="en-GB"/>
              </w:rPr>
              <w:t xml:space="preserve">more than </w:t>
            </w:r>
            <w:r w:rsidRPr="00C33C0B">
              <w:rPr>
                <w:szCs w:val="22"/>
                <w:lang w:val="en-GB"/>
              </w:rPr>
              <w:t xml:space="preserve">60 minutes by a </w:t>
            </w:r>
            <w:r>
              <w:rPr>
                <w:szCs w:val="22"/>
                <w:lang w:val="en-GB"/>
              </w:rPr>
              <w:t>consultant specialist</w:t>
            </w:r>
            <w:r w:rsidRPr="00C33C0B">
              <w:rPr>
                <w:szCs w:val="22"/>
                <w:lang w:val="en-GB"/>
              </w:rPr>
              <w:t xml:space="preserve"> in the practice of his or her speciality following patient referral, including any of the following that are clinically relevant:</w:t>
            </w:r>
          </w:p>
          <w:p w14:paraId="3E0874C3" w14:textId="77777777" w:rsidR="000740B5" w:rsidRPr="00C33C0B" w:rsidRDefault="000740B5" w:rsidP="006D43A0">
            <w:pPr>
              <w:pStyle w:val="ListParagraph"/>
              <w:numPr>
                <w:ilvl w:val="0"/>
                <w:numId w:val="135"/>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extensive history of multiple complex conditions </w:t>
            </w:r>
          </w:p>
          <w:p w14:paraId="657441FE" w14:textId="77777777" w:rsidR="000740B5" w:rsidRPr="00C33C0B" w:rsidRDefault="000740B5" w:rsidP="006D43A0">
            <w:pPr>
              <w:pStyle w:val="ListParagraph"/>
              <w:numPr>
                <w:ilvl w:val="0"/>
                <w:numId w:val="135"/>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extensive multi-system medical examination</w:t>
            </w:r>
          </w:p>
          <w:p w14:paraId="38148F5B" w14:textId="77777777" w:rsidR="000740B5" w:rsidRPr="00C33C0B" w:rsidRDefault="000740B5" w:rsidP="006D43A0">
            <w:pPr>
              <w:pStyle w:val="ListParagraph"/>
              <w:numPr>
                <w:ilvl w:val="0"/>
                <w:numId w:val="135"/>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multiple complex diagnoses considered</w:t>
            </w:r>
          </w:p>
          <w:p w14:paraId="07CC66FC" w14:textId="77777777" w:rsidR="000740B5" w:rsidRPr="00C33C0B" w:rsidRDefault="000740B5" w:rsidP="006D43A0">
            <w:pPr>
              <w:pStyle w:val="ListParagraph"/>
              <w:numPr>
                <w:ilvl w:val="0"/>
                <w:numId w:val="135"/>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 comprehensive management plan</w:t>
            </w:r>
          </w:p>
          <w:p w14:paraId="47978B9E" w14:textId="77777777" w:rsidR="000740B5" w:rsidRPr="00C33C0B" w:rsidRDefault="000740B5" w:rsidP="006D43A0">
            <w:pPr>
              <w:pStyle w:val="ListParagraph"/>
              <w:numPr>
                <w:ilvl w:val="0"/>
                <w:numId w:val="135"/>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the management plan is communicated in writing to the referring practitioner and, if required;</w:t>
            </w:r>
          </w:p>
          <w:p w14:paraId="1BD3FD79" w14:textId="77777777" w:rsidR="000740B5" w:rsidRPr="00C33C0B" w:rsidRDefault="000740B5" w:rsidP="006D43A0">
            <w:pPr>
              <w:pStyle w:val="ListParagraph"/>
              <w:numPr>
                <w:ilvl w:val="0"/>
                <w:numId w:val="135"/>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discussion of multiple treatment options available, including:</w:t>
            </w:r>
          </w:p>
          <w:p w14:paraId="2EAFD2F7" w14:textId="77777777" w:rsidR="000740B5" w:rsidRPr="00C33C0B" w:rsidRDefault="000740B5" w:rsidP="000831A1">
            <w:pPr>
              <w:pStyle w:val="ListParagraph"/>
              <w:numPr>
                <w:ilvl w:val="0"/>
                <w:numId w:val="26"/>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Discussion of treatment options to assess pros and cons of each option given patient characteristics and medical history</w:t>
            </w:r>
          </w:p>
          <w:p w14:paraId="2A3D1690" w14:textId="77777777" w:rsidR="000740B5" w:rsidRPr="00C33C0B" w:rsidRDefault="000740B5" w:rsidP="000831A1">
            <w:pPr>
              <w:pStyle w:val="ListParagraph"/>
              <w:numPr>
                <w:ilvl w:val="0"/>
                <w:numId w:val="26"/>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Consideration and discussion of necessary referrals to other health professionals</w:t>
            </w:r>
          </w:p>
          <w:p w14:paraId="04975B12" w14:textId="77777777" w:rsidR="000740B5" w:rsidRPr="00C33C0B" w:rsidRDefault="000740B5" w:rsidP="000831A1">
            <w:pPr>
              <w:pStyle w:val="ListParagraph"/>
              <w:numPr>
                <w:ilvl w:val="0"/>
                <w:numId w:val="26"/>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Written documentation made available for the patient and/or carer that outlines treatment options and information on associated risks and benefits</w:t>
            </w:r>
          </w:p>
          <w:p w14:paraId="3D8D8354" w14:textId="77777777" w:rsidR="000740B5" w:rsidRPr="00C33C0B" w:rsidRDefault="000740B5" w:rsidP="006D43A0">
            <w:pPr>
              <w:pStyle w:val="ListParagraph"/>
              <w:numPr>
                <w:ilvl w:val="0"/>
                <w:numId w:val="135"/>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outcomes documented and communicated in writing to the referring practitioner</w:t>
            </w:r>
          </w:p>
          <w:p w14:paraId="78F3F36C" w14:textId="77777777" w:rsidR="000740B5"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Other than a service to which another Category 1, Group T1, Group T4 or Group T6 professional attendance item applies</w:t>
            </w:r>
            <w:r>
              <w:rPr>
                <w:szCs w:val="22"/>
                <w:lang w:val="en-GB"/>
              </w:rPr>
              <w:t>.</w:t>
            </w:r>
          </w:p>
          <w:p w14:paraId="41CE6222" w14:textId="77777777" w:rsidR="000740B5"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Only to </w:t>
            </w:r>
            <w:r w:rsidRPr="003119FF">
              <w:rPr>
                <w:szCs w:val="22"/>
                <w:lang w:val="en-GB"/>
              </w:rPr>
              <w:t>be claimed with a Group T8</w:t>
            </w:r>
            <w:r>
              <w:rPr>
                <w:szCs w:val="22"/>
                <w:lang w:val="en-GB"/>
              </w:rPr>
              <w:t xml:space="preserve"> procedure</w:t>
            </w:r>
            <w:r w:rsidRPr="003119FF">
              <w:rPr>
                <w:szCs w:val="22"/>
                <w:lang w:val="en-GB"/>
              </w:rPr>
              <w:t xml:space="preserve"> </w:t>
            </w:r>
            <w:r>
              <w:rPr>
                <w:szCs w:val="22"/>
                <w:lang w:val="en-GB"/>
              </w:rPr>
              <w:t>item:</w:t>
            </w:r>
          </w:p>
          <w:p w14:paraId="25977B69" w14:textId="77777777" w:rsidR="000740B5" w:rsidRDefault="000740B5" w:rsidP="006D43A0">
            <w:pPr>
              <w:pStyle w:val="ListParagraph"/>
              <w:numPr>
                <w:ilvl w:val="0"/>
                <w:numId w:val="136"/>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3F662271" w14:textId="77777777" w:rsidR="000740B5" w:rsidRPr="001B15DF" w:rsidRDefault="000740B5" w:rsidP="006D43A0">
            <w:pPr>
              <w:pStyle w:val="ListParagraph"/>
              <w:numPr>
                <w:ilvl w:val="0"/>
                <w:numId w:val="136"/>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tcPr>
          <w:p w14:paraId="4C4424D6"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Attendance at consulting room or hospital</w:t>
            </w:r>
          </w:p>
        </w:tc>
        <w:tc>
          <w:tcPr>
            <w:tcW w:w="1319" w:type="dxa"/>
          </w:tcPr>
          <w:p w14:paraId="6D461323"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More than 60 </w:t>
            </w:r>
            <w:r w:rsidRPr="00C33C0B">
              <w:rPr>
                <w:szCs w:val="22"/>
                <w:lang w:val="en-GB"/>
              </w:rPr>
              <w:t>min</w:t>
            </w:r>
            <w:r>
              <w:rPr>
                <w:szCs w:val="22"/>
                <w:lang w:val="en-GB"/>
              </w:rPr>
              <w:t>utes</w:t>
            </w:r>
          </w:p>
        </w:tc>
      </w:tr>
      <w:tr w:rsidR="000740B5" w:rsidRPr="00C33C0B" w14:paraId="616EAF77" w14:textId="77777777" w:rsidTr="00C41DB8">
        <w:tc>
          <w:tcPr>
            <w:cnfStyle w:val="001000000000" w:firstRow="0" w:lastRow="0" w:firstColumn="1" w:lastColumn="0" w:oddVBand="0" w:evenVBand="0" w:oddHBand="0" w:evenHBand="0" w:firstRowFirstColumn="0" w:firstRowLastColumn="0" w:lastRowFirstColumn="0" w:lastRowLastColumn="0"/>
            <w:tcW w:w="784" w:type="dxa"/>
          </w:tcPr>
          <w:p w14:paraId="56702F66" w14:textId="77777777" w:rsidR="000740B5" w:rsidRPr="00C33C0B" w:rsidRDefault="000740B5" w:rsidP="00C65B0C">
            <w:pPr>
              <w:spacing w:before="20" w:after="20"/>
              <w:rPr>
                <w:b/>
                <w:szCs w:val="22"/>
                <w:lang w:val="en-GB"/>
              </w:rPr>
            </w:pPr>
            <w:r w:rsidRPr="00C33C0B">
              <w:rPr>
                <w:szCs w:val="22"/>
                <w:lang w:val="en-GB"/>
              </w:rPr>
              <w:t>Level E</w:t>
            </w:r>
          </w:p>
          <w:p w14:paraId="28D7464E" w14:textId="77777777" w:rsidR="000740B5" w:rsidRPr="00C33C0B" w:rsidRDefault="000740B5" w:rsidP="00C65B0C">
            <w:pPr>
              <w:spacing w:before="20" w:after="20"/>
              <w:rPr>
                <w:szCs w:val="22"/>
                <w:lang w:val="en-GB"/>
              </w:rPr>
            </w:pPr>
            <w:r w:rsidRPr="00C33C0B">
              <w:rPr>
                <w:szCs w:val="22"/>
                <w:lang w:val="en-GB"/>
              </w:rPr>
              <w:t>(XX2E)</w:t>
            </w:r>
          </w:p>
        </w:tc>
        <w:tc>
          <w:tcPr>
            <w:tcW w:w="7243" w:type="dxa"/>
            <w:vMerge/>
          </w:tcPr>
          <w:p w14:paraId="65B0E78A"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1553" w:type="dxa"/>
          </w:tcPr>
          <w:p w14:paraId="4EAF84BB"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Attendance in a location other than consulting room or hospital</w:t>
            </w:r>
          </w:p>
        </w:tc>
        <w:tc>
          <w:tcPr>
            <w:tcW w:w="1319" w:type="dxa"/>
          </w:tcPr>
          <w:p w14:paraId="3E83CD7B" w14:textId="77777777" w:rsidR="000740B5" w:rsidRPr="00C33C0B" w:rsidRDefault="000740B5"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More than 60 </w:t>
            </w:r>
            <w:r w:rsidRPr="00C33C0B">
              <w:rPr>
                <w:szCs w:val="22"/>
                <w:lang w:val="en-GB"/>
              </w:rPr>
              <w:t>min</w:t>
            </w:r>
            <w:r>
              <w:rPr>
                <w:szCs w:val="22"/>
                <w:lang w:val="en-GB"/>
              </w:rPr>
              <w:t>utes</w:t>
            </w:r>
          </w:p>
        </w:tc>
      </w:tr>
    </w:tbl>
    <w:p w14:paraId="6E4E4284" w14:textId="77777777" w:rsidR="000740B5" w:rsidRPr="000740B5" w:rsidRDefault="000740B5" w:rsidP="000740B5">
      <w:pPr>
        <w:rPr>
          <w:b/>
          <w:bCs/>
          <w:iCs/>
          <w:lang w:val="en-US" w:eastAsia="en-US"/>
        </w:rPr>
      </w:pPr>
      <w:r w:rsidRPr="000740B5">
        <w:rPr>
          <w:b/>
          <w:bCs/>
          <w:iCs/>
          <w:lang w:val="en-US" w:eastAsia="en-US"/>
        </w:rPr>
        <w:t>Recommendation 2 – Introduce new attendance items for acute, urgent and unplanned attendances</w:t>
      </w:r>
    </w:p>
    <w:p w14:paraId="4B5ABD6F" w14:textId="77777777" w:rsidR="000740B5" w:rsidRDefault="000740B5" w:rsidP="000740B5">
      <w:pPr>
        <w:pStyle w:val="Bullet-green"/>
        <w:numPr>
          <w:ilvl w:val="0"/>
          <w:numId w:val="0"/>
        </w:numPr>
        <w:ind w:left="431" w:hanging="431"/>
        <w:rPr>
          <w:lang w:val="en-GB"/>
        </w:rPr>
      </w:pPr>
      <w:r>
        <w:rPr>
          <w:lang w:val="en-GB"/>
        </w:rPr>
        <w:t>The Committee recommends:</w:t>
      </w:r>
    </w:p>
    <w:p w14:paraId="73223259" w14:textId="77777777" w:rsidR="000740B5" w:rsidRDefault="000740B5" w:rsidP="000831A1">
      <w:pPr>
        <w:pStyle w:val="Bullet-green"/>
        <w:numPr>
          <w:ilvl w:val="0"/>
          <w:numId w:val="80"/>
        </w:numPr>
        <w:rPr>
          <w:lang w:val="en-GB"/>
        </w:rPr>
      </w:pPr>
      <w:r>
        <w:rPr>
          <w:lang w:val="en-GB"/>
        </w:rPr>
        <w:t>creating</w:t>
      </w:r>
      <w:r w:rsidRPr="00C33C0B">
        <w:rPr>
          <w:lang w:val="en-GB"/>
        </w:rPr>
        <w:t xml:space="preserve"> </w:t>
      </w:r>
      <w:r>
        <w:rPr>
          <w:lang w:val="en-GB"/>
        </w:rPr>
        <w:t xml:space="preserve">four </w:t>
      </w:r>
      <w:r w:rsidRPr="00C33C0B">
        <w:rPr>
          <w:lang w:val="en-GB"/>
        </w:rPr>
        <w:t xml:space="preserve">new </w:t>
      </w:r>
      <w:r>
        <w:rPr>
          <w:lang w:val="en-GB"/>
        </w:rPr>
        <w:t xml:space="preserve">time-tiered </w:t>
      </w:r>
      <w:r w:rsidRPr="00C33C0B">
        <w:rPr>
          <w:lang w:val="en-GB"/>
        </w:rPr>
        <w:t>attendance item</w:t>
      </w:r>
      <w:r>
        <w:rPr>
          <w:lang w:val="en-GB"/>
        </w:rPr>
        <w:t>s for acute, ur</w:t>
      </w:r>
      <w:r w:rsidR="006D683C">
        <w:rPr>
          <w:lang w:val="en-GB"/>
        </w:rPr>
        <w:t xml:space="preserve">gent, and unplanned attendances; </w:t>
      </w:r>
    </w:p>
    <w:p w14:paraId="01F2772C" w14:textId="77777777" w:rsidR="000740B5" w:rsidRPr="00607BDA" w:rsidRDefault="000740B5" w:rsidP="000831A1">
      <w:pPr>
        <w:pStyle w:val="Bullet-green"/>
        <w:numPr>
          <w:ilvl w:val="0"/>
          <w:numId w:val="80"/>
        </w:numPr>
        <w:rPr>
          <w:lang w:val="en-GB"/>
        </w:rPr>
      </w:pPr>
      <w:r>
        <w:rPr>
          <w:lang w:val="en-GB"/>
        </w:rPr>
        <w:t>sp</w:t>
      </w:r>
      <w:r w:rsidRPr="00607BDA">
        <w:rPr>
          <w:lang w:val="en-GB"/>
        </w:rPr>
        <w:t>ecify</w:t>
      </w:r>
      <w:r>
        <w:rPr>
          <w:lang w:val="en-GB"/>
        </w:rPr>
        <w:t>ing</w:t>
      </w:r>
      <w:r w:rsidRPr="00607BDA">
        <w:rPr>
          <w:lang w:val="en-GB"/>
        </w:rPr>
        <w:t xml:space="preserve"> that these items are only to be used in specific situations where the attendance is acute, urgent, unplanned, and does not take place in the consultant specialist’s consulting rooms or in the emergency department of a public hospital</w:t>
      </w:r>
      <w:r w:rsidR="006D683C">
        <w:rPr>
          <w:lang w:val="en-GB"/>
        </w:rPr>
        <w:t>;</w:t>
      </w:r>
      <w:r w:rsidRPr="00607BDA">
        <w:rPr>
          <w:lang w:val="en-GB"/>
        </w:rPr>
        <w:t xml:space="preserve"> </w:t>
      </w:r>
    </w:p>
    <w:p w14:paraId="4DD289C2" w14:textId="77777777" w:rsidR="000740B5" w:rsidRPr="00607BDA" w:rsidRDefault="000740B5" w:rsidP="000831A1">
      <w:pPr>
        <w:pStyle w:val="Bullet-green"/>
        <w:numPr>
          <w:ilvl w:val="0"/>
          <w:numId w:val="80"/>
        </w:numPr>
        <w:rPr>
          <w:lang w:val="en-GB"/>
        </w:rPr>
      </w:pPr>
      <w:r>
        <w:rPr>
          <w:lang w:val="en-GB"/>
        </w:rPr>
        <w:t>s</w:t>
      </w:r>
      <w:r w:rsidRPr="00607BDA">
        <w:rPr>
          <w:lang w:val="en-GB"/>
        </w:rPr>
        <w:t>pecify</w:t>
      </w:r>
      <w:r>
        <w:rPr>
          <w:lang w:val="en-GB"/>
        </w:rPr>
        <w:t>ing</w:t>
      </w:r>
      <w:r w:rsidRPr="00607BDA">
        <w:rPr>
          <w:lang w:val="en-GB"/>
        </w:rPr>
        <w:t xml:space="preserve"> that the duration of these time tiers should be the same as Levels B, C, D, and E used for standard attendance items (</w:t>
      </w:r>
      <w:r w:rsidRPr="00607BDA">
        <w:rPr>
          <w:i/>
          <w:lang w:val="en-GB"/>
        </w:rPr>
        <w:t>refer to Recommendation 1</w:t>
      </w:r>
      <w:r w:rsidRPr="00607BDA">
        <w:rPr>
          <w:lang w:val="en-GB"/>
        </w:rPr>
        <w:t>)</w:t>
      </w:r>
      <w:r w:rsidR="006D683C">
        <w:rPr>
          <w:lang w:val="en-GB"/>
        </w:rPr>
        <w:t>;</w:t>
      </w:r>
    </w:p>
    <w:p w14:paraId="20FBA8DA" w14:textId="77777777" w:rsidR="000740B5" w:rsidRPr="00C33C0B" w:rsidRDefault="000740B5" w:rsidP="000831A1">
      <w:pPr>
        <w:pStyle w:val="Bullet-green"/>
        <w:numPr>
          <w:ilvl w:val="0"/>
          <w:numId w:val="80"/>
        </w:numPr>
        <w:rPr>
          <w:lang w:val="en-GB"/>
        </w:rPr>
      </w:pPr>
      <w:r w:rsidRPr="00C33C0B">
        <w:rPr>
          <w:lang w:val="en-GB"/>
        </w:rPr>
        <w:t>a schedule fee</w:t>
      </w:r>
      <w:r>
        <w:rPr>
          <w:lang w:val="en-GB"/>
        </w:rPr>
        <w:t xml:space="preserve"> for these items that is higher than the schedule fee for standard time-tiered attendances of equivalent</w:t>
      </w:r>
      <w:r w:rsidR="006D683C">
        <w:rPr>
          <w:lang w:val="en-GB"/>
        </w:rPr>
        <w:t xml:space="preserve"> duration;</w:t>
      </w:r>
      <w:r>
        <w:rPr>
          <w:lang w:val="en-GB"/>
        </w:rPr>
        <w:t xml:space="preserve"> and </w:t>
      </w:r>
    </w:p>
    <w:p w14:paraId="718987B6" w14:textId="77777777" w:rsidR="000740B5" w:rsidRPr="00C33C0B" w:rsidRDefault="000740B5" w:rsidP="000831A1">
      <w:pPr>
        <w:pStyle w:val="Bullet-green"/>
        <w:numPr>
          <w:ilvl w:val="0"/>
          <w:numId w:val="80"/>
        </w:numPr>
        <w:rPr>
          <w:lang w:val="en-GB"/>
        </w:rPr>
      </w:pPr>
      <w:r>
        <w:rPr>
          <w:lang w:val="en-GB"/>
        </w:rPr>
        <w:t>that these items</w:t>
      </w:r>
      <w:r w:rsidRPr="00C33C0B">
        <w:rPr>
          <w:lang w:val="en-GB"/>
        </w:rPr>
        <w:t xml:space="preserve"> should </w:t>
      </w:r>
      <w:r>
        <w:rPr>
          <w:lang w:val="en-GB"/>
        </w:rPr>
        <w:t xml:space="preserve">be restricted from being </w:t>
      </w:r>
      <w:r w:rsidRPr="00C33C0B">
        <w:rPr>
          <w:lang w:val="en-GB"/>
        </w:rPr>
        <w:t xml:space="preserve">claimed </w:t>
      </w:r>
      <w:r>
        <w:rPr>
          <w:lang w:val="en-GB"/>
        </w:rPr>
        <w:t>alongside</w:t>
      </w:r>
      <w:r w:rsidRPr="00C33C0B">
        <w:rPr>
          <w:lang w:val="en-GB"/>
        </w:rPr>
        <w:t xml:space="preserve"> prolonged attendance item</w:t>
      </w:r>
      <w:r>
        <w:rPr>
          <w:lang w:val="en-GB"/>
        </w:rPr>
        <w:t xml:space="preserve">s 160-164 </w:t>
      </w:r>
      <w:r w:rsidRPr="00C33C0B">
        <w:rPr>
          <w:lang w:val="en-GB"/>
        </w:rPr>
        <w:t>where the patient is in imminent danger of death.</w:t>
      </w:r>
    </w:p>
    <w:p w14:paraId="0090E9C3" w14:textId="77777777" w:rsidR="003A240A" w:rsidRDefault="003A240A">
      <w:pPr>
        <w:spacing w:before="0" w:after="0"/>
        <w:rPr>
          <w:b/>
        </w:rPr>
      </w:pPr>
      <w:r>
        <w:rPr>
          <w:b/>
        </w:rPr>
        <w:br w:type="page"/>
      </w:r>
    </w:p>
    <w:p w14:paraId="59238FC7" w14:textId="7552B259" w:rsidR="000740B5" w:rsidRPr="00651006" w:rsidRDefault="002355E9" w:rsidP="00651006">
      <w:pPr>
        <w:rPr>
          <w:b/>
        </w:rPr>
      </w:pPr>
      <w:r>
        <w:rPr>
          <w:b/>
        </w:rPr>
        <w:t xml:space="preserve">Table </w:t>
      </w:r>
      <w:r w:rsidR="00C17B92">
        <w:rPr>
          <w:b/>
        </w:rPr>
        <w:t>B</w:t>
      </w:r>
      <w:r>
        <w:rPr>
          <w:b/>
        </w:rPr>
        <w:t>.</w:t>
      </w:r>
      <w:r w:rsidR="00C17B92">
        <w:rPr>
          <w:b/>
        </w:rPr>
        <w:t>2</w:t>
      </w:r>
      <w:r w:rsidR="004F0673">
        <w:rPr>
          <w:b/>
        </w:rPr>
        <w:t>:</w:t>
      </w:r>
      <w:r w:rsidR="000740B5" w:rsidRPr="00651006">
        <w:rPr>
          <w:b/>
        </w:rPr>
        <w:t xml:space="preserve"> Acute attendance item descriptors</w:t>
      </w:r>
    </w:p>
    <w:tbl>
      <w:tblPr>
        <w:tblStyle w:val="GridTable1Light"/>
        <w:tblW w:w="5000" w:type="pct"/>
        <w:tblLook w:val="04A0" w:firstRow="1" w:lastRow="0" w:firstColumn="1" w:lastColumn="0" w:noHBand="0" w:noVBand="1"/>
        <w:tblCaption w:val="Appendix B - Table B.2: Acute attendance item descriptors"/>
        <w:tblDescription w:val="Table B.2 has 3 columns. Column 1 is the item. Column 2 is the duration of the item. Column 3 is the item descriptor. "/>
      </w:tblPr>
      <w:tblGrid>
        <w:gridCol w:w="641"/>
        <w:gridCol w:w="1027"/>
        <w:gridCol w:w="6634"/>
      </w:tblGrid>
      <w:tr w:rsidR="00516018" w:rsidRPr="00C33C0B" w14:paraId="370855F0" w14:textId="77777777" w:rsidTr="00C41D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3" w:type="dxa"/>
          </w:tcPr>
          <w:p w14:paraId="0B657A47" w14:textId="77777777" w:rsidR="00516018" w:rsidRPr="00C33C0B" w:rsidRDefault="00516018" w:rsidP="00516018">
            <w:pPr>
              <w:spacing w:before="20" w:after="20"/>
              <w:rPr>
                <w:b w:val="0"/>
                <w:bCs w:val="0"/>
                <w:lang w:val="en-GB"/>
              </w:rPr>
            </w:pPr>
            <w:r w:rsidRPr="00C33C0B">
              <w:rPr>
                <w:bCs w:val="0"/>
                <w:lang w:val="en-GB"/>
              </w:rPr>
              <w:t>Item</w:t>
            </w:r>
          </w:p>
        </w:tc>
        <w:tc>
          <w:tcPr>
            <w:tcW w:w="874" w:type="dxa"/>
          </w:tcPr>
          <w:p w14:paraId="4F10A48C" w14:textId="77777777" w:rsidR="00516018" w:rsidRPr="00C33C0B" w:rsidRDefault="00516018" w:rsidP="00516018">
            <w:pPr>
              <w:spacing w:before="20" w:after="20"/>
              <w:cnfStyle w:val="100000000000" w:firstRow="1" w:lastRow="0" w:firstColumn="0" w:lastColumn="0" w:oddVBand="0" w:evenVBand="0" w:oddHBand="0" w:evenHBand="0" w:firstRowFirstColumn="0" w:firstRowLastColumn="0" w:lastRowFirstColumn="0" w:lastRowLastColumn="0"/>
              <w:rPr>
                <w:b w:val="0"/>
                <w:bCs w:val="0"/>
                <w:lang w:val="en-GB"/>
              </w:rPr>
            </w:pPr>
            <w:r>
              <w:rPr>
                <w:bCs w:val="0"/>
                <w:lang w:val="en-GB"/>
              </w:rPr>
              <w:t>Duration</w:t>
            </w:r>
          </w:p>
        </w:tc>
        <w:tc>
          <w:tcPr>
            <w:tcW w:w="6815" w:type="dxa"/>
          </w:tcPr>
          <w:p w14:paraId="4C8575E3" w14:textId="77777777" w:rsidR="00516018" w:rsidRPr="00C33C0B" w:rsidRDefault="00516018" w:rsidP="00516018">
            <w:pPr>
              <w:spacing w:before="20" w:after="20"/>
              <w:cnfStyle w:val="100000000000" w:firstRow="1" w:lastRow="0" w:firstColumn="0" w:lastColumn="0" w:oddVBand="0" w:evenVBand="0" w:oddHBand="0" w:evenHBand="0" w:firstRowFirstColumn="0" w:firstRowLastColumn="0" w:lastRowFirstColumn="0" w:lastRowLastColumn="0"/>
              <w:rPr>
                <w:b w:val="0"/>
                <w:lang w:val="en-GB"/>
              </w:rPr>
            </w:pPr>
            <w:r w:rsidRPr="00C33C0B">
              <w:rPr>
                <w:bCs w:val="0"/>
                <w:lang w:val="en-GB"/>
              </w:rPr>
              <w:t xml:space="preserve">Item descriptor </w:t>
            </w:r>
          </w:p>
        </w:tc>
      </w:tr>
      <w:tr w:rsidR="00516018" w:rsidRPr="00C33C0B" w14:paraId="497E7F04" w14:textId="77777777" w:rsidTr="00C41DB8">
        <w:tc>
          <w:tcPr>
            <w:cnfStyle w:val="001000000000" w:firstRow="0" w:lastRow="0" w:firstColumn="1" w:lastColumn="0" w:oddVBand="0" w:evenVBand="0" w:oddHBand="0" w:evenHBand="0" w:firstRowFirstColumn="0" w:firstRowLastColumn="0" w:lastRowFirstColumn="0" w:lastRowLastColumn="0"/>
            <w:tcW w:w="613" w:type="dxa"/>
          </w:tcPr>
          <w:p w14:paraId="55D5B52C" w14:textId="77777777" w:rsidR="00516018" w:rsidRPr="00C33C0B" w:rsidRDefault="00516018" w:rsidP="00516018">
            <w:pPr>
              <w:spacing w:before="20" w:after="20"/>
              <w:rPr>
                <w:bCs w:val="0"/>
                <w:lang w:val="en-GB"/>
              </w:rPr>
            </w:pPr>
            <w:r w:rsidRPr="00C33C0B">
              <w:rPr>
                <w:bCs w:val="0"/>
                <w:lang w:val="en-GB"/>
              </w:rPr>
              <w:t>XY1</w:t>
            </w:r>
          </w:p>
        </w:tc>
        <w:tc>
          <w:tcPr>
            <w:tcW w:w="874" w:type="dxa"/>
          </w:tcPr>
          <w:p w14:paraId="029442CA" w14:textId="77777777" w:rsidR="00516018" w:rsidRPr="00C33C0B" w:rsidRDefault="00516018" w:rsidP="00516018">
            <w:pPr>
              <w:spacing w:before="20" w:after="20"/>
              <w:cnfStyle w:val="000000000000" w:firstRow="0" w:lastRow="0" w:firstColumn="0" w:lastColumn="0" w:oddVBand="0" w:evenVBand="0" w:oddHBand="0" w:evenHBand="0" w:firstRowFirstColumn="0" w:firstRowLastColumn="0" w:lastRowFirstColumn="0" w:lastRowLastColumn="0"/>
              <w:rPr>
                <w:bCs/>
                <w:lang w:val="en-GB"/>
              </w:rPr>
            </w:pPr>
            <w:r>
              <w:rPr>
                <w:bCs/>
                <w:lang w:val="en-GB"/>
              </w:rPr>
              <w:t>5-20 minutes</w:t>
            </w:r>
          </w:p>
        </w:tc>
        <w:tc>
          <w:tcPr>
            <w:tcW w:w="6815" w:type="dxa"/>
            <w:vMerge w:val="restart"/>
          </w:tcPr>
          <w:p w14:paraId="0CD2DEC8" w14:textId="77777777" w:rsidR="00516018" w:rsidRPr="00C33C0B" w:rsidRDefault="00516018" w:rsidP="00516018">
            <w:p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 xml:space="preserve">Professional attendance </w:t>
            </w:r>
            <w:r>
              <w:rPr>
                <w:bCs/>
                <w:lang w:val="en-GB"/>
              </w:rPr>
              <w:t xml:space="preserve">of more than [X] minutes but not more than [X] minutes </w:t>
            </w:r>
            <w:r w:rsidRPr="00C33C0B">
              <w:rPr>
                <w:bCs/>
                <w:lang w:val="en-GB"/>
              </w:rPr>
              <w:t xml:space="preserve">by a </w:t>
            </w:r>
            <w:r>
              <w:rPr>
                <w:bCs/>
                <w:lang w:val="en-GB"/>
              </w:rPr>
              <w:t xml:space="preserve">consultant specialist that is acute, </w:t>
            </w:r>
            <w:r w:rsidRPr="00C33C0B">
              <w:rPr>
                <w:bCs/>
                <w:lang w:val="en-GB"/>
              </w:rPr>
              <w:t>urgent,</w:t>
            </w:r>
            <w:r>
              <w:rPr>
                <w:bCs/>
                <w:lang w:val="en-GB"/>
              </w:rPr>
              <w:t xml:space="preserve"> unplanned, and </w:t>
            </w:r>
            <w:r w:rsidRPr="002E7957">
              <w:rPr>
                <w:bCs/>
                <w:lang w:val="en-GB"/>
              </w:rPr>
              <w:t>does not take place in consulting rooms or in the emergency department of a public hospital</w:t>
            </w:r>
            <w:r>
              <w:rPr>
                <w:bCs/>
                <w:lang w:val="en-GB"/>
              </w:rPr>
              <w:t xml:space="preserve">, and where </w:t>
            </w:r>
            <w:r w:rsidRPr="00C33C0B">
              <w:rPr>
                <w:bCs/>
                <w:lang w:val="en-GB"/>
              </w:rPr>
              <w:t>the patient is:</w:t>
            </w:r>
          </w:p>
          <w:p w14:paraId="10B95642" w14:textId="77777777" w:rsidR="00516018" w:rsidRPr="00C33C0B" w:rsidRDefault="00516018" w:rsidP="00516018">
            <w:pPr>
              <w:pStyle w:val="ListParagraph"/>
              <w:numPr>
                <w:ilvl w:val="0"/>
                <w:numId w:val="137"/>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at risk of serious morbidity or mortality requiring urgent assessment and resuscitation; or</w:t>
            </w:r>
          </w:p>
          <w:p w14:paraId="312EE3E8" w14:textId="77777777" w:rsidR="00516018" w:rsidRPr="00C33C0B" w:rsidRDefault="00516018" w:rsidP="00516018">
            <w:pPr>
              <w:pStyle w:val="ListParagraph"/>
              <w:numPr>
                <w:ilvl w:val="0"/>
                <w:numId w:val="137"/>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from suspected acute organ or system failure; or</w:t>
            </w:r>
          </w:p>
          <w:p w14:paraId="6EE9FFE0" w14:textId="77777777" w:rsidR="00516018" w:rsidRPr="00C33C0B" w:rsidRDefault="00516018" w:rsidP="00516018">
            <w:pPr>
              <w:pStyle w:val="ListParagraph"/>
              <w:numPr>
                <w:ilvl w:val="0"/>
                <w:numId w:val="137"/>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from an illness or injury where the viability or function of a body part or organ is acutely threatened; or</w:t>
            </w:r>
          </w:p>
          <w:p w14:paraId="220A2C99" w14:textId="77777777" w:rsidR="00516018" w:rsidRPr="00C33C0B" w:rsidRDefault="00516018" w:rsidP="00516018">
            <w:pPr>
              <w:pStyle w:val="ListParagraph"/>
              <w:numPr>
                <w:ilvl w:val="0"/>
                <w:numId w:val="137"/>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from a potentially life-threatening complication of an infection (i.e., sepsis)</w:t>
            </w:r>
          </w:p>
          <w:p w14:paraId="7B5DC152" w14:textId="77777777" w:rsidR="00516018" w:rsidRPr="00C33C0B" w:rsidRDefault="00516018" w:rsidP="00516018">
            <w:pPr>
              <w:pStyle w:val="ListParagraph"/>
              <w:numPr>
                <w:ilvl w:val="0"/>
                <w:numId w:val="137"/>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from a drug overdose, toxic substance or toxin effect; or</w:t>
            </w:r>
          </w:p>
          <w:p w14:paraId="56CE5B87" w14:textId="77777777" w:rsidR="00516018" w:rsidRPr="00C33C0B" w:rsidRDefault="00516018" w:rsidP="00516018">
            <w:pPr>
              <w:pStyle w:val="ListParagraph"/>
              <w:numPr>
                <w:ilvl w:val="0"/>
                <w:numId w:val="137"/>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experiencing severe psychiatric disturbance whereby the health of the patient or other people is at immediate risk; or</w:t>
            </w:r>
          </w:p>
          <w:p w14:paraId="459A23E2" w14:textId="77777777" w:rsidR="00516018" w:rsidRPr="00C33C0B" w:rsidRDefault="00516018" w:rsidP="00516018">
            <w:pPr>
              <w:pStyle w:val="ListParagraph"/>
              <w:numPr>
                <w:ilvl w:val="0"/>
                <w:numId w:val="137"/>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acute severe pain where the viability or function of a body part or organ is suspected to be acutely threatened; or</w:t>
            </w:r>
          </w:p>
          <w:p w14:paraId="455F66C6" w14:textId="77777777" w:rsidR="00516018" w:rsidRPr="00C33C0B" w:rsidRDefault="00516018" w:rsidP="00516018">
            <w:pPr>
              <w:pStyle w:val="ListParagraph"/>
              <w:numPr>
                <w:ilvl w:val="0"/>
                <w:numId w:val="137"/>
              </w:num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suffering acute significant haemorrhage requiring urgent assessment and treatment</w:t>
            </w:r>
          </w:p>
          <w:p w14:paraId="77F69351" w14:textId="77777777" w:rsidR="00516018" w:rsidRPr="00C33C0B" w:rsidRDefault="00516018" w:rsidP="00516018">
            <w:pPr>
              <w:spacing w:before="20" w:after="20"/>
              <w:cnfStyle w:val="000000000000" w:firstRow="0" w:lastRow="0" w:firstColumn="0" w:lastColumn="0" w:oddVBand="0" w:evenVBand="0" w:oddHBand="0" w:evenHBand="0" w:firstRowFirstColumn="0" w:firstRowLastColumn="0" w:lastRowFirstColumn="0" w:lastRowLastColumn="0"/>
              <w:rPr>
                <w:bCs/>
                <w:lang w:val="en-GB"/>
              </w:rPr>
            </w:pPr>
            <w:r w:rsidRPr="00C33C0B">
              <w:rPr>
                <w:bCs/>
                <w:lang w:val="en-GB"/>
              </w:rPr>
              <w:t>Not to be claimed with prolonged attendance items 160, 161, 162, 163, or 164</w:t>
            </w:r>
            <w:r>
              <w:rPr>
                <w:bCs/>
                <w:lang w:val="en-GB"/>
              </w:rPr>
              <w:t xml:space="preserve"> </w:t>
            </w:r>
          </w:p>
        </w:tc>
      </w:tr>
      <w:tr w:rsidR="00516018" w:rsidRPr="00C33C0B" w14:paraId="43A7DCF2" w14:textId="77777777" w:rsidTr="00C41DB8">
        <w:tc>
          <w:tcPr>
            <w:cnfStyle w:val="001000000000" w:firstRow="0" w:lastRow="0" w:firstColumn="1" w:lastColumn="0" w:oddVBand="0" w:evenVBand="0" w:oddHBand="0" w:evenHBand="0" w:firstRowFirstColumn="0" w:firstRowLastColumn="0" w:lastRowFirstColumn="0" w:lastRowLastColumn="0"/>
            <w:tcW w:w="613" w:type="dxa"/>
          </w:tcPr>
          <w:p w14:paraId="14DB8835" w14:textId="77777777" w:rsidR="00516018" w:rsidRPr="00C33C0B" w:rsidRDefault="00516018" w:rsidP="00516018">
            <w:pPr>
              <w:spacing w:before="20" w:after="20"/>
              <w:rPr>
                <w:bCs w:val="0"/>
                <w:lang w:val="en-GB"/>
              </w:rPr>
            </w:pPr>
            <w:r>
              <w:rPr>
                <w:bCs w:val="0"/>
                <w:lang w:val="en-GB"/>
              </w:rPr>
              <w:t>XY2</w:t>
            </w:r>
          </w:p>
        </w:tc>
        <w:tc>
          <w:tcPr>
            <w:tcW w:w="874" w:type="dxa"/>
          </w:tcPr>
          <w:p w14:paraId="4505253B" w14:textId="77777777" w:rsidR="00516018" w:rsidRPr="00C33C0B" w:rsidRDefault="00516018" w:rsidP="00516018">
            <w:pPr>
              <w:spacing w:before="20" w:after="20"/>
              <w:cnfStyle w:val="000000000000" w:firstRow="0" w:lastRow="0" w:firstColumn="0" w:lastColumn="0" w:oddVBand="0" w:evenVBand="0" w:oddHBand="0" w:evenHBand="0" w:firstRowFirstColumn="0" w:firstRowLastColumn="0" w:lastRowFirstColumn="0" w:lastRowLastColumn="0"/>
              <w:rPr>
                <w:bCs/>
                <w:lang w:val="en-GB"/>
              </w:rPr>
            </w:pPr>
            <w:r>
              <w:rPr>
                <w:bCs/>
                <w:lang w:val="en-GB"/>
              </w:rPr>
              <w:t>21-40 minutes</w:t>
            </w:r>
          </w:p>
        </w:tc>
        <w:tc>
          <w:tcPr>
            <w:tcW w:w="6815" w:type="dxa"/>
            <w:vMerge/>
          </w:tcPr>
          <w:p w14:paraId="71722950" w14:textId="77777777" w:rsidR="00516018" w:rsidRPr="00C33C0B" w:rsidRDefault="00516018" w:rsidP="00516018">
            <w:pPr>
              <w:spacing w:before="20" w:after="20"/>
              <w:cnfStyle w:val="000000000000" w:firstRow="0" w:lastRow="0" w:firstColumn="0" w:lastColumn="0" w:oddVBand="0" w:evenVBand="0" w:oddHBand="0" w:evenHBand="0" w:firstRowFirstColumn="0" w:firstRowLastColumn="0" w:lastRowFirstColumn="0" w:lastRowLastColumn="0"/>
              <w:rPr>
                <w:bCs/>
                <w:lang w:val="en-GB"/>
              </w:rPr>
            </w:pPr>
          </w:p>
        </w:tc>
      </w:tr>
      <w:tr w:rsidR="00516018" w:rsidRPr="00C33C0B" w14:paraId="5C51A917" w14:textId="77777777" w:rsidTr="00C41DB8">
        <w:tc>
          <w:tcPr>
            <w:cnfStyle w:val="001000000000" w:firstRow="0" w:lastRow="0" w:firstColumn="1" w:lastColumn="0" w:oddVBand="0" w:evenVBand="0" w:oddHBand="0" w:evenHBand="0" w:firstRowFirstColumn="0" w:firstRowLastColumn="0" w:lastRowFirstColumn="0" w:lastRowLastColumn="0"/>
            <w:tcW w:w="613" w:type="dxa"/>
          </w:tcPr>
          <w:p w14:paraId="19D4058F" w14:textId="77777777" w:rsidR="00516018" w:rsidRPr="00C33C0B" w:rsidRDefault="00516018" w:rsidP="00516018">
            <w:pPr>
              <w:spacing w:before="20" w:after="20"/>
              <w:rPr>
                <w:bCs w:val="0"/>
                <w:lang w:val="en-GB"/>
              </w:rPr>
            </w:pPr>
            <w:r>
              <w:rPr>
                <w:bCs w:val="0"/>
                <w:lang w:val="en-GB"/>
              </w:rPr>
              <w:t>XY3</w:t>
            </w:r>
          </w:p>
        </w:tc>
        <w:tc>
          <w:tcPr>
            <w:tcW w:w="874" w:type="dxa"/>
          </w:tcPr>
          <w:p w14:paraId="75E60A06" w14:textId="77777777" w:rsidR="00516018" w:rsidRPr="00C33C0B" w:rsidRDefault="00516018" w:rsidP="00516018">
            <w:pPr>
              <w:spacing w:before="20" w:after="20"/>
              <w:cnfStyle w:val="000000000000" w:firstRow="0" w:lastRow="0" w:firstColumn="0" w:lastColumn="0" w:oddVBand="0" w:evenVBand="0" w:oddHBand="0" w:evenHBand="0" w:firstRowFirstColumn="0" w:firstRowLastColumn="0" w:lastRowFirstColumn="0" w:lastRowLastColumn="0"/>
              <w:rPr>
                <w:bCs/>
                <w:lang w:val="en-GB"/>
              </w:rPr>
            </w:pPr>
            <w:r>
              <w:rPr>
                <w:bCs/>
                <w:lang w:val="en-GB"/>
              </w:rPr>
              <w:t>41-60 minutes</w:t>
            </w:r>
          </w:p>
        </w:tc>
        <w:tc>
          <w:tcPr>
            <w:tcW w:w="6815" w:type="dxa"/>
            <w:vMerge/>
          </w:tcPr>
          <w:p w14:paraId="151B8889" w14:textId="77777777" w:rsidR="00516018" w:rsidRPr="00C33C0B" w:rsidRDefault="00516018" w:rsidP="00516018">
            <w:pPr>
              <w:spacing w:before="20" w:after="20"/>
              <w:cnfStyle w:val="000000000000" w:firstRow="0" w:lastRow="0" w:firstColumn="0" w:lastColumn="0" w:oddVBand="0" w:evenVBand="0" w:oddHBand="0" w:evenHBand="0" w:firstRowFirstColumn="0" w:firstRowLastColumn="0" w:lastRowFirstColumn="0" w:lastRowLastColumn="0"/>
              <w:rPr>
                <w:bCs/>
                <w:lang w:val="en-GB"/>
              </w:rPr>
            </w:pPr>
          </w:p>
        </w:tc>
      </w:tr>
      <w:tr w:rsidR="00516018" w:rsidRPr="00C33C0B" w14:paraId="4C0A8CEA" w14:textId="77777777" w:rsidTr="00C41DB8">
        <w:tc>
          <w:tcPr>
            <w:cnfStyle w:val="001000000000" w:firstRow="0" w:lastRow="0" w:firstColumn="1" w:lastColumn="0" w:oddVBand="0" w:evenVBand="0" w:oddHBand="0" w:evenHBand="0" w:firstRowFirstColumn="0" w:firstRowLastColumn="0" w:lastRowFirstColumn="0" w:lastRowLastColumn="0"/>
            <w:tcW w:w="613" w:type="dxa"/>
          </w:tcPr>
          <w:p w14:paraId="43D0AF79" w14:textId="77777777" w:rsidR="00516018" w:rsidRPr="00C33C0B" w:rsidRDefault="00516018" w:rsidP="00516018">
            <w:pPr>
              <w:spacing w:before="20" w:after="20"/>
              <w:rPr>
                <w:bCs w:val="0"/>
                <w:lang w:val="en-GB"/>
              </w:rPr>
            </w:pPr>
            <w:r>
              <w:rPr>
                <w:bCs w:val="0"/>
                <w:lang w:val="en-GB"/>
              </w:rPr>
              <w:t>XY4</w:t>
            </w:r>
          </w:p>
        </w:tc>
        <w:tc>
          <w:tcPr>
            <w:tcW w:w="874" w:type="dxa"/>
          </w:tcPr>
          <w:p w14:paraId="37E87FD0" w14:textId="77777777" w:rsidR="00516018" w:rsidRPr="00C33C0B" w:rsidRDefault="00516018" w:rsidP="00516018">
            <w:pPr>
              <w:spacing w:before="20" w:after="20"/>
              <w:cnfStyle w:val="000000000000" w:firstRow="0" w:lastRow="0" w:firstColumn="0" w:lastColumn="0" w:oddVBand="0" w:evenVBand="0" w:oddHBand="0" w:evenHBand="0" w:firstRowFirstColumn="0" w:firstRowLastColumn="0" w:lastRowFirstColumn="0" w:lastRowLastColumn="0"/>
              <w:rPr>
                <w:bCs/>
                <w:lang w:val="en-GB"/>
              </w:rPr>
            </w:pPr>
            <w:r>
              <w:rPr>
                <w:bCs/>
                <w:lang w:val="en-GB"/>
              </w:rPr>
              <w:t>More than 60 minutes</w:t>
            </w:r>
          </w:p>
        </w:tc>
        <w:tc>
          <w:tcPr>
            <w:tcW w:w="6815" w:type="dxa"/>
            <w:vMerge/>
          </w:tcPr>
          <w:p w14:paraId="6D7C13A5" w14:textId="77777777" w:rsidR="00516018" w:rsidRPr="00C33C0B" w:rsidRDefault="00516018" w:rsidP="00516018">
            <w:pPr>
              <w:spacing w:before="20" w:after="20"/>
              <w:cnfStyle w:val="000000000000" w:firstRow="0" w:lastRow="0" w:firstColumn="0" w:lastColumn="0" w:oddVBand="0" w:evenVBand="0" w:oddHBand="0" w:evenHBand="0" w:firstRowFirstColumn="0" w:firstRowLastColumn="0" w:lastRowFirstColumn="0" w:lastRowLastColumn="0"/>
              <w:rPr>
                <w:bCs/>
                <w:lang w:val="en-GB"/>
              </w:rPr>
            </w:pPr>
          </w:p>
        </w:tc>
      </w:tr>
    </w:tbl>
    <w:p w14:paraId="087F9552" w14:textId="77777777" w:rsidR="000740B5" w:rsidRPr="000740B5" w:rsidRDefault="000740B5" w:rsidP="000740B5">
      <w:pPr>
        <w:rPr>
          <w:b/>
          <w:bCs/>
          <w:iCs/>
          <w:lang w:val="en-US" w:eastAsia="en-US"/>
        </w:rPr>
      </w:pPr>
      <w:r w:rsidRPr="000740B5">
        <w:rPr>
          <w:b/>
          <w:bCs/>
          <w:iCs/>
          <w:lang w:val="en-US" w:eastAsia="en-US"/>
        </w:rPr>
        <w:t>Recommendation 3 - Further considerations when implementing time-tiering</w:t>
      </w:r>
    </w:p>
    <w:p w14:paraId="30A0EB7B" w14:textId="6E488440" w:rsidR="000740B5" w:rsidRPr="000740B5" w:rsidRDefault="004B6C8D" w:rsidP="000831A1">
      <w:pPr>
        <w:numPr>
          <w:ilvl w:val="0"/>
          <w:numId w:val="75"/>
        </w:numPr>
        <w:rPr>
          <w:bCs/>
          <w:iCs/>
        </w:rPr>
      </w:pPr>
      <w:r>
        <w:rPr>
          <w:lang w:val="en-GB"/>
        </w:rPr>
        <w:t>T</w:t>
      </w:r>
      <w:r w:rsidRPr="00C33C0B">
        <w:rPr>
          <w:lang w:val="en-GB"/>
        </w:rPr>
        <w:t>he Committee recommends</w:t>
      </w:r>
      <w:r>
        <w:rPr>
          <w:lang w:val="en-GB"/>
        </w:rPr>
        <w:t xml:space="preserve"> </w:t>
      </w:r>
      <w:r w:rsidRPr="00C33C0B">
        <w:rPr>
          <w:lang w:val="en-GB"/>
        </w:rPr>
        <w:t xml:space="preserve">the </w:t>
      </w:r>
      <w:r>
        <w:rPr>
          <w:lang w:val="en-GB"/>
        </w:rPr>
        <w:t xml:space="preserve">Government works closely with peak organisations, clinicians and consumers to refine the detail of implementation, and ensure an effective and sustainable transition. In particular, the </w:t>
      </w:r>
      <w:r w:rsidRPr="00C33C0B">
        <w:rPr>
          <w:lang w:val="en-GB"/>
        </w:rPr>
        <w:t xml:space="preserve">following </w:t>
      </w:r>
      <w:r>
        <w:rPr>
          <w:lang w:val="en-GB"/>
        </w:rPr>
        <w:t xml:space="preserve">should be considered </w:t>
      </w:r>
      <w:r w:rsidRPr="00C33C0B">
        <w:rPr>
          <w:lang w:val="en-GB"/>
        </w:rPr>
        <w:t>when moving towards implementation:</w:t>
      </w:r>
      <w:r w:rsidR="00062C75">
        <w:rPr>
          <w:lang w:val="en-GB"/>
        </w:rPr>
        <w:t xml:space="preserve"> </w:t>
      </w:r>
      <w:r w:rsidR="00196C0C">
        <w:rPr>
          <w:bCs/>
          <w:iCs/>
          <w:lang w:val="en-US" w:eastAsia="en-US"/>
        </w:rPr>
        <w:t>C</w:t>
      </w:r>
      <w:r w:rsidR="000740B5" w:rsidRPr="000740B5">
        <w:rPr>
          <w:bCs/>
          <w:iCs/>
          <w:lang w:val="en-US" w:eastAsia="en-US"/>
        </w:rPr>
        <w:t>ollecting data on the duration of attendances across specialties, and the activities performed during these attendances, similar to the data</w:t>
      </w:r>
      <w:r>
        <w:rPr>
          <w:bCs/>
          <w:iCs/>
          <w:lang w:val="en-US" w:eastAsia="en-US"/>
        </w:rPr>
        <w:t xml:space="preserve"> previously </w:t>
      </w:r>
      <w:r w:rsidR="000740B5" w:rsidRPr="000740B5">
        <w:rPr>
          <w:bCs/>
          <w:iCs/>
          <w:lang w:val="en-US" w:eastAsia="en-US"/>
        </w:rPr>
        <w:t xml:space="preserve">collected from GPs through the </w:t>
      </w:r>
      <w:r w:rsidR="000740B5" w:rsidRPr="000740B5">
        <w:rPr>
          <w:bCs/>
          <w:i/>
          <w:iCs/>
          <w:lang w:val="en-US" w:eastAsia="en-US"/>
        </w:rPr>
        <w:t>Bettering the Evaluation and Care of Health</w:t>
      </w:r>
      <w:r w:rsidR="000740B5" w:rsidRPr="000740B5">
        <w:rPr>
          <w:bCs/>
          <w:iCs/>
          <w:lang w:val="en-US" w:eastAsia="en-US"/>
        </w:rPr>
        <w:t xml:space="preserve"> program (BEACH data).</w:t>
      </w:r>
    </w:p>
    <w:p w14:paraId="287696E4" w14:textId="77777777" w:rsidR="000740B5" w:rsidRPr="000740B5" w:rsidRDefault="00196C0C" w:rsidP="000831A1">
      <w:pPr>
        <w:numPr>
          <w:ilvl w:val="0"/>
          <w:numId w:val="75"/>
        </w:numPr>
        <w:rPr>
          <w:bCs/>
          <w:iCs/>
        </w:rPr>
      </w:pPr>
      <w:r>
        <w:rPr>
          <w:bCs/>
          <w:iCs/>
          <w:lang w:val="en-US" w:eastAsia="en-US"/>
        </w:rPr>
        <w:t>U</w:t>
      </w:r>
      <w:r w:rsidR="000740B5" w:rsidRPr="000740B5">
        <w:rPr>
          <w:bCs/>
          <w:iCs/>
          <w:lang w:val="en-US" w:eastAsia="en-US"/>
        </w:rPr>
        <w:t>sing the data to accurately model the impact of time-tiering on service volume and benefits.</w:t>
      </w:r>
    </w:p>
    <w:p w14:paraId="68876E0F" w14:textId="77777777" w:rsidR="000740B5" w:rsidRPr="000740B5" w:rsidRDefault="00196C0C" w:rsidP="000831A1">
      <w:pPr>
        <w:numPr>
          <w:ilvl w:val="0"/>
          <w:numId w:val="75"/>
        </w:numPr>
        <w:rPr>
          <w:bCs/>
          <w:iCs/>
        </w:rPr>
      </w:pPr>
      <w:r>
        <w:rPr>
          <w:bCs/>
          <w:iCs/>
          <w:lang w:val="en-US" w:eastAsia="en-US"/>
        </w:rPr>
        <w:t>I</w:t>
      </w:r>
      <w:r w:rsidR="000740B5" w:rsidRPr="000740B5">
        <w:rPr>
          <w:bCs/>
          <w:iCs/>
          <w:lang w:val="en-US" w:eastAsia="en-US"/>
        </w:rPr>
        <w:t>nvesting in change management to facilitate the transition to the new items and build understanding of the benefits of the time-tiering model.</w:t>
      </w:r>
    </w:p>
    <w:p w14:paraId="2E962F5C" w14:textId="50D5021A" w:rsidR="000740B5" w:rsidRPr="000740B5" w:rsidRDefault="00196C0C" w:rsidP="000831A1">
      <w:pPr>
        <w:numPr>
          <w:ilvl w:val="0"/>
          <w:numId w:val="75"/>
        </w:numPr>
        <w:rPr>
          <w:bCs/>
          <w:iCs/>
        </w:rPr>
      </w:pPr>
      <w:r>
        <w:rPr>
          <w:bCs/>
          <w:iCs/>
          <w:lang w:val="en-US" w:eastAsia="en-US"/>
        </w:rPr>
        <w:t>M</w:t>
      </w:r>
      <w:r w:rsidR="000740B5" w:rsidRPr="000740B5">
        <w:rPr>
          <w:bCs/>
          <w:iCs/>
          <w:lang w:val="en-US" w:eastAsia="en-US"/>
        </w:rPr>
        <w:t xml:space="preserve">aking the model </w:t>
      </w:r>
      <w:r w:rsidR="004B6C8D">
        <w:rPr>
          <w:bCs/>
          <w:iCs/>
          <w:lang w:val="en-US" w:eastAsia="en-US"/>
        </w:rPr>
        <w:t>clear</w:t>
      </w:r>
      <w:r w:rsidR="000740B5" w:rsidRPr="000740B5">
        <w:rPr>
          <w:bCs/>
          <w:iCs/>
          <w:lang w:val="en-US" w:eastAsia="en-US"/>
        </w:rPr>
        <w:t xml:space="preserve"> to provide transparency and consistency for </w:t>
      </w:r>
      <w:r w:rsidR="004B6C8D">
        <w:rPr>
          <w:bCs/>
          <w:iCs/>
          <w:lang w:val="en-US" w:eastAsia="en-US"/>
        </w:rPr>
        <w:t>clinicians</w:t>
      </w:r>
      <w:r w:rsidR="00062C75">
        <w:rPr>
          <w:bCs/>
          <w:iCs/>
          <w:lang w:val="en-US" w:eastAsia="en-US"/>
        </w:rPr>
        <w:t xml:space="preserve"> </w:t>
      </w:r>
      <w:r w:rsidR="000740B5" w:rsidRPr="000740B5">
        <w:rPr>
          <w:bCs/>
          <w:iCs/>
          <w:lang w:val="en-US" w:eastAsia="en-US"/>
        </w:rPr>
        <w:t>and consumers.</w:t>
      </w:r>
    </w:p>
    <w:p w14:paraId="52A3A434" w14:textId="77777777" w:rsidR="000740B5" w:rsidRPr="000740B5" w:rsidRDefault="00196C0C" w:rsidP="000831A1">
      <w:pPr>
        <w:numPr>
          <w:ilvl w:val="0"/>
          <w:numId w:val="75"/>
        </w:numPr>
        <w:rPr>
          <w:bCs/>
          <w:iCs/>
        </w:rPr>
      </w:pPr>
      <w:r>
        <w:rPr>
          <w:bCs/>
          <w:iCs/>
          <w:lang w:val="en-US" w:eastAsia="en-US"/>
        </w:rPr>
        <w:t>A</w:t>
      </w:r>
      <w:r w:rsidR="000740B5" w:rsidRPr="000740B5">
        <w:rPr>
          <w:bCs/>
          <w:iCs/>
          <w:lang w:val="en-US" w:eastAsia="en-US"/>
        </w:rPr>
        <w:t>dding a longer time tier (i.e. Level F) should the need be identified. If introduced, this should accompany an estimate of services claimed through this tier.</w:t>
      </w:r>
    </w:p>
    <w:p w14:paraId="6ADF392D" w14:textId="77777777" w:rsidR="000740B5" w:rsidRPr="000740B5" w:rsidRDefault="00196C0C" w:rsidP="000831A1">
      <w:pPr>
        <w:numPr>
          <w:ilvl w:val="0"/>
          <w:numId w:val="75"/>
        </w:numPr>
        <w:rPr>
          <w:bCs/>
          <w:iCs/>
        </w:rPr>
      </w:pPr>
      <w:r>
        <w:rPr>
          <w:bCs/>
          <w:iCs/>
          <w:lang w:val="en-US" w:eastAsia="en-US"/>
        </w:rPr>
        <w:t>E</w:t>
      </w:r>
      <w:r w:rsidR="000740B5" w:rsidRPr="000740B5">
        <w:rPr>
          <w:bCs/>
          <w:iCs/>
          <w:lang w:val="en-US" w:eastAsia="en-US"/>
        </w:rPr>
        <w:t>nsuring early, active, and regular reviews of attendance items post implementation of time-tiering, including:</w:t>
      </w:r>
    </w:p>
    <w:p w14:paraId="10A16ED5" w14:textId="713B8A73" w:rsidR="000740B5" w:rsidRPr="000740B5" w:rsidRDefault="006D683C" w:rsidP="000831A1">
      <w:pPr>
        <w:numPr>
          <w:ilvl w:val="0"/>
          <w:numId w:val="76"/>
        </w:numPr>
        <w:rPr>
          <w:bCs/>
          <w:iCs/>
          <w:lang w:eastAsia="en-US"/>
        </w:rPr>
      </w:pPr>
      <w:r>
        <w:rPr>
          <w:bCs/>
          <w:iCs/>
          <w:lang w:eastAsia="en-US"/>
        </w:rPr>
        <w:t>p</w:t>
      </w:r>
      <w:r w:rsidR="000740B5" w:rsidRPr="000740B5">
        <w:rPr>
          <w:bCs/>
          <w:iCs/>
          <w:lang w:eastAsia="en-US"/>
        </w:rPr>
        <w:t>otential impac</w:t>
      </w:r>
      <w:r>
        <w:rPr>
          <w:bCs/>
          <w:iCs/>
          <w:lang w:eastAsia="en-US"/>
        </w:rPr>
        <w:t xml:space="preserve">t on out-of-pocket patient </w:t>
      </w:r>
      <w:r w:rsidR="004B6C8D">
        <w:rPr>
          <w:bCs/>
          <w:iCs/>
          <w:lang w:eastAsia="en-US"/>
        </w:rPr>
        <w:t>costs</w:t>
      </w:r>
      <w:r>
        <w:rPr>
          <w:bCs/>
          <w:iCs/>
          <w:lang w:eastAsia="en-US"/>
        </w:rPr>
        <w:t>;</w:t>
      </w:r>
    </w:p>
    <w:p w14:paraId="1C25A20B" w14:textId="455D4ED3" w:rsidR="000740B5" w:rsidRPr="000740B5" w:rsidRDefault="006D683C" w:rsidP="000831A1">
      <w:pPr>
        <w:numPr>
          <w:ilvl w:val="0"/>
          <w:numId w:val="76"/>
        </w:numPr>
        <w:rPr>
          <w:bCs/>
          <w:iCs/>
          <w:lang w:eastAsia="en-US"/>
        </w:rPr>
      </w:pPr>
      <w:r>
        <w:rPr>
          <w:bCs/>
          <w:iCs/>
          <w:lang w:eastAsia="en-US"/>
        </w:rPr>
        <w:t>p</w:t>
      </w:r>
      <w:r w:rsidR="000740B5" w:rsidRPr="000740B5">
        <w:rPr>
          <w:bCs/>
          <w:iCs/>
          <w:lang w:eastAsia="en-US"/>
        </w:rPr>
        <w:t>otential impact on patient waiting lists, either as a result of longer attendances being performed or as a result of consultant specialists</w:t>
      </w:r>
      <w:r w:rsidR="004B6C8D">
        <w:rPr>
          <w:bCs/>
          <w:iCs/>
          <w:lang w:eastAsia="en-US"/>
        </w:rPr>
        <w:t xml:space="preserve"> accepting fewer new patients/referrals</w:t>
      </w:r>
      <w:r>
        <w:rPr>
          <w:bCs/>
          <w:iCs/>
          <w:lang w:eastAsia="en-US"/>
        </w:rPr>
        <w:t xml:space="preserve">; and </w:t>
      </w:r>
    </w:p>
    <w:p w14:paraId="6AC65077" w14:textId="77777777" w:rsidR="000740B5" w:rsidRPr="000740B5" w:rsidRDefault="006D683C" w:rsidP="000831A1">
      <w:pPr>
        <w:numPr>
          <w:ilvl w:val="0"/>
          <w:numId w:val="76"/>
        </w:numPr>
        <w:rPr>
          <w:bCs/>
          <w:iCs/>
          <w:lang w:eastAsia="en-US"/>
        </w:rPr>
      </w:pPr>
      <w:r>
        <w:rPr>
          <w:bCs/>
          <w:iCs/>
          <w:lang w:eastAsia="en-US"/>
        </w:rPr>
        <w:t>p</w:t>
      </w:r>
      <w:r w:rsidR="000740B5" w:rsidRPr="000740B5">
        <w:rPr>
          <w:bCs/>
          <w:iCs/>
          <w:lang w:eastAsia="en-US"/>
        </w:rPr>
        <w:t xml:space="preserve">atient-reported experience and outcomes. </w:t>
      </w:r>
    </w:p>
    <w:p w14:paraId="5509E894" w14:textId="77777777" w:rsidR="000740B5" w:rsidRPr="000740B5" w:rsidRDefault="00196C0C" w:rsidP="000831A1">
      <w:pPr>
        <w:numPr>
          <w:ilvl w:val="0"/>
          <w:numId w:val="75"/>
        </w:numPr>
        <w:rPr>
          <w:bCs/>
          <w:iCs/>
        </w:rPr>
      </w:pPr>
      <w:r>
        <w:rPr>
          <w:bCs/>
          <w:iCs/>
          <w:lang w:val="en-US" w:eastAsia="en-US"/>
        </w:rPr>
        <w:t>M</w:t>
      </w:r>
      <w:r w:rsidR="000740B5" w:rsidRPr="000740B5">
        <w:rPr>
          <w:bCs/>
          <w:iCs/>
          <w:lang w:val="en-US" w:eastAsia="en-US"/>
        </w:rPr>
        <w:t xml:space="preserve">aking the item descriptors sufficiently detailed to enable auditing through the review of clinical notes, allowing verification that activities of sufficient complexity were performed, as stated in the descriptors. </w:t>
      </w:r>
    </w:p>
    <w:p w14:paraId="782C5FA3" w14:textId="77777777" w:rsidR="000740B5" w:rsidRPr="000740B5" w:rsidRDefault="00196C0C" w:rsidP="000831A1">
      <w:pPr>
        <w:numPr>
          <w:ilvl w:val="0"/>
          <w:numId w:val="75"/>
        </w:numPr>
        <w:rPr>
          <w:bCs/>
          <w:iCs/>
        </w:rPr>
      </w:pPr>
      <w:r>
        <w:rPr>
          <w:bCs/>
          <w:iCs/>
          <w:lang w:val="en-US" w:eastAsia="en-US"/>
        </w:rPr>
        <w:t>H</w:t>
      </w:r>
      <w:r w:rsidR="000740B5" w:rsidRPr="000740B5">
        <w:rPr>
          <w:bCs/>
          <w:iCs/>
          <w:lang w:val="en-US" w:eastAsia="en-US"/>
        </w:rPr>
        <w:t>armonising all attendance time tiers in the MBS that apply to other consultant specialists (including psychiatry, obstetrics, anaesthesia, intensive ca</w:t>
      </w:r>
      <w:r>
        <w:rPr>
          <w:bCs/>
          <w:iCs/>
          <w:lang w:val="en-US" w:eastAsia="en-US"/>
        </w:rPr>
        <w:t xml:space="preserve">re, </w:t>
      </w:r>
      <w:r w:rsidR="004B6C8D">
        <w:rPr>
          <w:bCs/>
          <w:iCs/>
          <w:lang w:val="en-US" w:eastAsia="en-US"/>
        </w:rPr>
        <w:t xml:space="preserve">general practice </w:t>
      </w:r>
      <w:r>
        <w:rPr>
          <w:bCs/>
          <w:iCs/>
          <w:lang w:val="en-US" w:eastAsia="en-US"/>
        </w:rPr>
        <w:t>and emergency medicine).</w:t>
      </w:r>
    </w:p>
    <w:p w14:paraId="595DE34E" w14:textId="6E8E8778" w:rsidR="000740B5" w:rsidRPr="004B6C8D" w:rsidRDefault="004B6C8D" w:rsidP="006D43A0">
      <w:pPr>
        <w:pStyle w:val="Bullet2"/>
        <w:numPr>
          <w:ilvl w:val="0"/>
          <w:numId w:val="75"/>
        </w:numPr>
        <w:rPr>
          <w:bCs/>
          <w:iCs/>
        </w:rPr>
      </w:pPr>
      <w:r>
        <w:t>S</w:t>
      </w:r>
      <w:r w:rsidRPr="00C33C0B">
        <w:t>et</w:t>
      </w:r>
      <w:r>
        <w:t>ting</w:t>
      </w:r>
      <w:r w:rsidRPr="00C33C0B">
        <w:t xml:space="preserve"> time</w:t>
      </w:r>
      <w:r>
        <w:t>-</w:t>
      </w:r>
      <w:r w:rsidRPr="00C33C0B">
        <w:t xml:space="preserve">tiers that </w:t>
      </w:r>
      <w:r>
        <w:t>have the most common attendance times near the middle of each tier, to support fair and reasonable practice</w:t>
      </w:r>
      <w:r w:rsidR="000740B5" w:rsidRPr="004B6C8D">
        <w:rPr>
          <w:bCs/>
          <w:iCs/>
        </w:rPr>
        <w:t>.</w:t>
      </w:r>
    </w:p>
    <w:p w14:paraId="01E6012E" w14:textId="77777777" w:rsidR="000740B5" w:rsidRPr="000740B5" w:rsidRDefault="000740B5" w:rsidP="000740B5">
      <w:pPr>
        <w:rPr>
          <w:b/>
          <w:bCs/>
          <w:iCs/>
          <w:lang w:val="en-US" w:eastAsia="en-US"/>
        </w:rPr>
      </w:pPr>
      <w:r w:rsidRPr="000740B5">
        <w:rPr>
          <w:b/>
          <w:bCs/>
          <w:iCs/>
          <w:lang w:val="en-US" w:eastAsia="en-US"/>
        </w:rPr>
        <w:t>Recommendation 4 – Approach to fee setting</w:t>
      </w:r>
    </w:p>
    <w:p w14:paraId="6FC7ED04" w14:textId="77777777" w:rsidR="000740B5" w:rsidRPr="000740B5" w:rsidRDefault="000740B5" w:rsidP="000740B5">
      <w:pPr>
        <w:rPr>
          <w:bCs/>
          <w:iCs/>
          <w:lang w:val="en-US" w:eastAsia="en-US"/>
        </w:rPr>
      </w:pPr>
      <w:r w:rsidRPr="000740B5">
        <w:rPr>
          <w:bCs/>
          <w:iCs/>
          <w:lang w:val="en-US" w:eastAsia="en-US"/>
        </w:rPr>
        <w:t>The Committee recommends consideration of the following with regard to schedule fees (recognising that fee-setting is out of the Committee’s scope):</w:t>
      </w:r>
    </w:p>
    <w:p w14:paraId="63DCB235" w14:textId="77777777" w:rsidR="000740B5" w:rsidRPr="000740B5" w:rsidRDefault="000740B5" w:rsidP="000831A1">
      <w:pPr>
        <w:numPr>
          <w:ilvl w:val="0"/>
          <w:numId w:val="81"/>
        </w:numPr>
        <w:rPr>
          <w:bCs/>
          <w:iCs/>
          <w:lang w:val="en-US" w:eastAsia="en-US"/>
        </w:rPr>
      </w:pPr>
      <w:r w:rsidRPr="000740B5">
        <w:rPr>
          <w:bCs/>
          <w:iCs/>
          <w:lang w:val="en-US" w:eastAsia="en-US"/>
        </w:rPr>
        <w:t>building support among peak bodies, clinicians and consumers for the principles of time-tiering b</w:t>
      </w:r>
      <w:r w:rsidR="00196C0C">
        <w:rPr>
          <w:bCs/>
          <w:iCs/>
          <w:lang w:val="en-US" w:eastAsia="en-US"/>
        </w:rPr>
        <w:t>efore introducing schedule fees;</w:t>
      </w:r>
    </w:p>
    <w:p w14:paraId="24AD807C" w14:textId="77777777" w:rsidR="000740B5" w:rsidRPr="000740B5" w:rsidRDefault="000740B5" w:rsidP="000831A1">
      <w:pPr>
        <w:numPr>
          <w:ilvl w:val="0"/>
          <w:numId w:val="81"/>
        </w:numPr>
        <w:rPr>
          <w:bCs/>
          <w:iCs/>
          <w:lang w:val="en-US" w:eastAsia="en-US"/>
        </w:rPr>
      </w:pPr>
      <w:r w:rsidRPr="000740B5">
        <w:rPr>
          <w:bCs/>
          <w:iCs/>
          <w:lang w:val="en-US" w:eastAsia="en-US"/>
        </w:rPr>
        <w:t>ensuring a linear relationship between attendance time tiers and</w:t>
      </w:r>
      <w:r w:rsidR="00196C0C">
        <w:rPr>
          <w:bCs/>
          <w:iCs/>
          <w:lang w:val="en-US" w:eastAsia="en-US"/>
        </w:rPr>
        <w:t xml:space="preserve"> schedule fees from the outset;</w:t>
      </w:r>
    </w:p>
    <w:p w14:paraId="2F26D7BC" w14:textId="3730753D" w:rsidR="000740B5" w:rsidRPr="000740B5" w:rsidRDefault="004B6C8D" w:rsidP="000831A1">
      <w:pPr>
        <w:numPr>
          <w:ilvl w:val="0"/>
          <w:numId w:val="81"/>
        </w:numPr>
        <w:rPr>
          <w:bCs/>
          <w:iCs/>
          <w:lang w:val="en-US" w:eastAsia="en-US"/>
        </w:rPr>
      </w:pPr>
      <w:r>
        <w:t>ensuring non</w:t>
      </w:r>
      <w:r>
        <w:noBreakHyphen/>
        <w:t>patient facing time is factored into the new fee structure and ensuring that this fact is well communicated</w:t>
      </w:r>
      <w:r w:rsidR="00196C0C">
        <w:rPr>
          <w:bCs/>
          <w:iCs/>
          <w:lang w:val="en-US" w:eastAsia="en-US"/>
        </w:rPr>
        <w:t>;</w:t>
      </w:r>
      <w:r w:rsidR="000740B5" w:rsidRPr="000740B5">
        <w:rPr>
          <w:bCs/>
          <w:iCs/>
          <w:lang w:val="en-US" w:eastAsia="en-US"/>
        </w:rPr>
        <w:t xml:space="preserve"> and</w:t>
      </w:r>
    </w:p>
    <w:p w14:paraId="002F141A" w14:textId="77777777" w:rsidR="00974578" w:rsidRPr="000740B5" w:rsidRDefault="000740B5" w:rsidP="000831A1">
      <w:pPr>
        <w:numPr>
          <w:ilvl w:val="0"/>
          <w:numId w:val="81"/>
        </w:numPr>
        <w:rPr>
          <w:bCs/>
          <w:iCs/>
          <w:lang w:val="en-US" w:eastAsia="en-US"/>
        </w:rPr>
      </w:pPr>
      <w:r w:rsidRPr="000740B5">
        <w:rPr>
          <w:bCs/>
          <w:iCs/>
          <w:lang w:val="en-US" w:eastAsia="en-US"/>
        </w:rPr>
        <w:t>recognising that there is a lack of data on the current duration of consultant specialist attendance times and the activities performed in these attendances.</w:t>
      </w:r>
    </w:p>
    <w:p w14:paraId="2922E3E4" w14:textId="77777777" w:rsidR="00FC6719" w:rsidRDefault="00FC6719" w:rsidP="00C035DF">
      <w:pPr>
        <w:keepNext/>
        <w:rPr>
          <w:b/>
          <w:bCs/>
          <w:iCs/>
          <w:lang w:val="en-US" w:eastAsia="en-US"/>
        </w:rPr>
      </w:pPr>
      <w:r w:rsidRPr="00761B02">
        <w:rPr>
          <w:b/>
          <w:bCs/>
          <w:iCs/>
          <w:lang w:val="en-US" w:eastAsia="en-US"/>
        </w:rPr>
        <w:t xml:space="preserve">Recommendation 5 – Impact </w:t>
      </w:r>
      <w:r w:rsidRPr="004A1AB0">
        <w:rPr>
          <w:b/>
          <w:bCs/>
          <w:iCs/>
          <w:lang w:val="en-US" w:eastAsia="en-US"/>
        </w:rPr>
        <w:t>on t</w:t>
      </w:r>
      <w:r w:rsidRPr="00761B02">
        <w:rPr>
          <w:b/>
          <w:bCs/>
          <w:iCs/>
          <w:lang w:val="en-US" w:eastAsia="en-US"/>
        </w:rPr>
        <w:t>im</w:t>
      </w:r>
      <w:r w:rsidRPr="004A1AB0">
        <w:rPr>
          <w:b/>
          <w:bCs/>
          <w:iCs/>
          <w:lang w:val="en-US" w:eastAsia="en-US"/>
        </w:rPr>
        <w:t>e-</w:t>
      </w:r>
      <w:r w:rsidRPr="00761B02">
        <w:rPr>
          <w:b/>
          <w:bCs/>
          <w:iCs/>
          <w:lang w:val="en-US" w:eastAsia="en-US"/>
        </w:rPr>
        <w:t>tiering on distant outreach services</w:t>
      </w:r>
    </w:p>
    <w:p w14:paraId="3A8D6F62" w14:textId="77777777" w:rsidR="00FC6719" w:rsidRDefault="00FC6719" w:rsidP="00C035DF">
      <w:pPr>
        <w:keepNext/>
      </w:pPr>
      <w:r>
        <w:t>The Committee recommends that to address the potential concerns of time-</w:t>
      </w:r>
      <w:r>
        <w:softHyphen/>
        <w:t>tiering on distant outreach services the following steps will need to be considered:</w:t>
      </w:r>
    </w:p>
    <w:p w14:paraId="5EF6C463" w14:textId="77777777" w:rsidR="00FC6719" w:rsidRDefault="00FC6719" w:rsidP="00FC6719">
      <w:pPr>
        <w:pStyle w:val="ListParagraph"/>
        <w:numPr>
          <w:ilvl w:val="0"/>
          <w:numId w:val="114"/>
        </w:numPr>
        <w:spacing w:before="0" w:after="160"/>
        <w:ind w:left="714" w:hanging="357"/>
      </w:pPr>
      <w:r>
        <w:t xml:space="preserve">Data will need to be collected </w:t>
      </w:r>
      <w:r w:rsidR="004B6C8D">
        <w:t xml:space="preserve">on this practice </w:t>
      </w:r>
      <w:r>
        <w:t>if possible on the magnitude of this practice from MBS data or other sources;</w:t>
      </w:r>
    </w:p>
    <w:p w14:paraId="3BD8F63D" w14:textId="77777777" w:rsidR="00FC6719" w:rsidRDefault="00FC6719" w:rsidP="00FC6719">
      <w:pPr>
        <w:pStyle w:val="ListParagraph"/>
        <w:numPr>
          <w:ilvl w:val="0"/>
          <w:numId w:val="114"/>
        </w:numPr>
        <w:spacing w:before="0" w:after="160"/>
        <w:ind w:left="714" w:hanging="357"/>
      </w:pPr>
      <w:r>
        <w:t xml:space="preserve">If such a problem does exist, a non MBS process will need to be developed to address the issue; </w:t>
      </w:r>
    </w:p>
    <w:p w14:paraId="0D6B47B2" w14:textId="77777777" w:rsidR="00FC6719" w:rsidRDefault="00FC6719" w:rsidP="00FC6719">
      <w:pPr>
        <w:pStyle w:val="ListParagraph"/>
        <w:numPr>
          <w:ilvl w:val="0"/>
          <w:numId w:val="114"/>
        </w:numPr>
        <w:spacing w:before="0" w:after="160"/>
        <w:ind w:left="714" w:hanging="357"/>
      </w:pPr>
      <w:r>
        <w:t>Any such process should continue to support patient access to local services</w:t>
      </w:r>
      <w:r w:rsidR="004B6C8D">
        <w:t xml:space="preserve"> where needed</w:t>
      </w:r>
      <w:r>
        <w:t>; and</w:t>
      </w:r>
    </w:p>
    <w:p w14:paraId="67AA40B8" w14:textId="77777777" w:rsidR="00FC6719" w:rsidRDefault="00FC6719" w:rsidP="00FC6719">
      <w:pPr>
        <w:pStyle w:val="ListParagraph"/>
        <w:numPr>
          <w:ilvl w:val="0"/>
          <w:numId w:val="114"/>
        </w:numPr>
        <w:spacing w:before="0" w:after="160"/>
        <w:ind w:left="714" w:hanging="357"/>
      </w:pPr>
      <w:r>
        <w:t xml:space="preserve">A community need must be demonstrated in order to justify a non-MBS solution. </w:t>
      </w:r>
    </w:p>
    <w:p w14:paraId="0981B082" w14:textId="77777777" w:rsidR="00974578" w:rsidRPr="00974578" w:rsidRDefault="00974578" w:rsidP="00974578">
      <w:pPr>
        <w:rPr>
          <w:b/>
          <w:bCs/>
          <w:iCs/>
          <w:lang w:val="en-US" w:eastAsia="en-US"/>
        </w:rPr>
      </w:pPr>
      <w:r w:rsidRPr="00974578">
        <w:rPr>
          <w:b/>
          <w:bCs/>
          <w:iCs/>
          <w:lang w:val="en-US" w:eastAsia="en-US"/>
        </w:rPr>
        <w:t xml:space="preserve">Recommendation </w:t>
      </w:r>
      <w:r w:rsidR="00FC6719">
        <w:rPr>
          <w:b/>
          <w:bCs/>
          <w:iCs/>
          <w:lang w:val="en-US" w:eastAsia="en-US"/>
        </w:rPr>
        <w:t>6</w:t>
      </w:r>
      <w:r w:rsidRPr="00974578">
        <w:rPr>
          <w:b/>
          <w:bCs/>
          <w:iCs/>
          <w:lang w:val="en-US" w:eastAsia="en-US"/>
        </w:rPr>
        <w:t xml:space="preserve"> - Removing consultant physician, addiction medicine, and sexual health medicine complex plan items</w:t>
      </w:r>
    </w:p>
    <w:p w14:paraId="4F5D20A6" w14:textId="77777777" w:rsidR="00974578" w:rsidRPr="00C33C0B" w:rsidRDefault="00974578" w:rsidP="00607BDA">
      <w:pPr>
        <w:pStyle w:val="Bullet-green"/>
        <w:numPr>
          <w:ilvl w:val="0"/>
          <w:numId w:val="0"/>
        </w:numPr>
      </w:pPr>
      <w:r>
        <w:t>The Committee recommends removing consultant physician, addiction medicine, and sexual health medicine complex plan items from the MBS (items 132, 133, 6023, 6024, 6057, and 6058).</w:t>
      </w:r>
    </w:p>
    <w:p w14:paraId="42BA6DB3" w14:textId="77777777" w:rsidR="00974578" w:rsidRPr="00974578" w:rsidRDefault="00974578" w:rsidP="00974578">
      <w:pPr>
        <w:rPr>
          <w:b/>
          <w:bCs/>
          <w:iCs/>
          <w:lang w:val="en-US" w:eastAsia="en-US"/>
        </w:rPr>
      </w:pPr>
      <w:r w:rsidRPr="00974578">
        <w:rPr>
          <w:b/>
          <w:bCs/>
          <w:iCs/>
          <w:lang w:val="en-US" w:eastAsia="en-US"/>
        </w:rPr>
        <w:t xml:space="preserve">Recommendation </w:t>
      </w:r>
      <w:r w:rsidR="00FC6719">
        <w:rPr>
          <w:b/>
          <w:bCs/>
          <w:iCs/>
          <w:lang w:val="en-US" w:eastAsia="en-US"/>
        </w:rPr>
        <w:t>7</w:t>
      </w:r>
      <w:r w:rsidRPr="00974578">
        <w:rPr>
          <w:b/>
          <w:bCs/>
          <w:iCs/>
          <w:lang w:val="en-US" w:eastAsia="en-US"/>
        </w:rPr>
        <w:t xml:space="preserve"> </w:t>
      </w:r>
      <w:r w:rsidR="00FC6719">
        <w:rPr>
          <w:b/>
          <w:bCs/>
          <w:iCs/>
          <w:lang w:val="en-US" w:eastAsia="en-US"/>
        </w:rPr>
        <w:t>–</w:t>
      </w:r>
      <w:r w:rsidRPr="00974578">
        <w:rPr>
          <w:b/>
          <w:bCs/>
          <w:iCs/>
          <w:lang w:val="en-US" w:eastAsia="en-US"/>
        </w:rPr>
        <w:t xml:space="preserve"> </w:t>
      </w:r>
      <w:r w:rsidR="00FC6719">
        <w:rPr>
          <w:b/>
          <w:bCs/>
          <w:iCs/>
          <w:lang w:val="en-US" w:eastAsia="en-US"/>
        </w:rPr>
        <w:t xml:space="preserve">Retain </w:t>
      </w:r>
      <w:r w:rsidRPr="00974578">
        <w:rPr>
          <w:b/>
          <w:bCs/>
          <w:iCs/>
          <w:lang w:val="en-GB" w:eastAsia="en-US"/>
        </w:rPr>
        <w:t>access to paediatric complex plan items</w:t>
      </w:r>
      <w:r w:rsidR="00FC6719">
        <w:rPr>
          <w:b/>
          <w:bCs/>
          <w:iCs/>
          <w:lang w:val="en-GB" w:eastAsia="en-US"/>
        </w:rPr>
        <w:t xml:space="preserve"> with strengthened descriptor</w:t>
      </w:r>
    </w:p>
    <w:p w14:paraId="050F4D5D" w14:textId="77777777" w:rsidR="00974578" w:rsidRPr="00974578" w:rsidRDefault="00974578" w:rsidP="00607BDA">
      <w:pPr>
        <w:rPr>
          <w:bCs/>
          <w:iCs/>
          <w:lang w:eastAsia="en-US"/>
        </w:rPr>
      </w:pPr>
      <w:r w:rsidRPr="00974578">
        <w:rPr>
          <w:bCs/>
          <w:iCs/>
          <w:lang w:eastAsia="en-US"/>
        </w:rPr>
        <w:t>The Committee recommends:</w:t>
      </w:r>
    </w:p>
    <w:p w14:paraId="5007D483" w14:textId="77777777" w:rsidR="00C41DB8" w:rsidRDefault="00974578" w:rsidP="000E05E0">
      <w:pPr>
        <w:numPr>
          <w:ilvl w:val="0"/>
          <w:numId w:val="73"/>
        </w:numPr>
        <w:ind w:left="714" w:hanging="357"/>
        <w:rPr>
          <w:bCs/>
          <w:iCs/>
          <w:lang w:eastAsia="en-US"/>
        </w:rPr>
      </w:pPr>
      <w:r w:rsidRPr="00974578">
        <w:rPr>
          <w:bCs/>
          <w:iCs/>
          <w:lang w:eastAsia="en-US"/>
        </w:rPr>
        <w:t>item 289 to be referred to the Psychiatry Clinical Committee</w:t>
      </w:r>
      <w:r w:rsidR="00196C0C">
        <w:rPr>
          <w:bCs/>
          <w:iCs/>
          <w:lang w:eastAsia="en-US"/>
        </w:rPr>
        <w:t>;</w:t>
      </w:r>
    </w:p>
    <w:p w14:paraId="0132DA81" w14:textId="77777777" w:rsidR="000E05E0" w:rsidRDefault="00974578" w:rsidP="000E05E0">
      <w:pPr>
        <w:numPr>
          <w:ilvl w:val="0"/>
          <w:numId w:val="73"/>
        </w:numPr>
        <w:ind w:left="714" w:hanging="357"/>
        <w:rPr>
          <w:bCs/>
          <w:iCs/>
          <w:lang w:eastAsia="en-US"/>
        </w:rPr>
      </w:pPr>
      <w:r w:rsidRPr="00C41DB8">
        <w:rPr>
          <w:bCs/>
          <w:iCs/>
          <w:lang w:eastAsia="en-US"/>
        </w:rPr>
        <w:t>amend item 135 descriptor for paediatric complex plan (changes in bold) to:</w:t>
      </w:r>
    </w:p>
    <w:p w14:paraId="47ABA496" w14:textId="02C449FF" w:rsidR="000419D9" w:rsidRDefault="000419D9" w:rsidP="000419D9">
      <w:pPr>
        <w:ind w:left="714"/>
        <w:rPr>
          <w:bCs/>
          <w:iCs/>
          <w:lang w:eastAsia="en-US"/>
        </w:rPr>
      </w:pPr>
      <w:r w:rsidRPr="00974578">
        <w:rPr>
          <w:bCs/>
          <w:iCs/>
          <w:noProof/>
          <w:lang w:val="en-US" w:eastAsia="en-US"/>
        </w:rPr>
        <mc:AlternateContent>
          <mc:Choice Requires="wps">
            <w:drawing>
              <wp:inline distT="0" distB="0" distL="0" distR="0" wp14:anchorId="3F5761ED" wp14:editId="796A1605">
                <wp:extent cx="5057775" cy="5327374"/>
                <wp:effectExtent l="0" t="0" r="28575" b="2603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5327374"/>
                        </a:xfrm>
                        <a:prstGeom prst="rect">
                          <a:avLst/>
                        </a:prstGeom>
                        <a:solidFill>
                          <a:srgbClr val="FFFFFF"/>
                        </a:solidFill>
                        <a:ln w="15875">
                          <a:solidFill>
                            <a:schemeClr val="accent6">
                              <a:lumMod val="75000"/>
                            </a:schemeClr>
                          </a:solidFill>
                          <a:miter lim="800000"/>
                          <a:headEnd/>
                          <a:tailEnd/>
                        </a:ln>
                      </wps:spPr>
                      <wps:txbx>
                        <w:txbxContent>
                          <w:p w14:paraId="00460CBA" w14:textId="77777777" w:rsidR="00023621" w:rsidRPr="00607BDA" w:rsidRDefault="00023621" w:rsidP="000419D9">
                            <w:pPr>
                              <w:pStyle w:val="Bullet-green"/>
                              <w:numPr>
                                <w:ilvl w:val="0"/>
                                <w:numId w:val="0"/>
                              </w:numPr>
                              <w:rPr>
                                <w:b/>
                              </w:rPr>
                            </w:pPr>
                            <w:r w:rsidRPr="00607BDA">
                              <w:rPr>
                                <w:b/>
                              </w:rPr>
                              <w:t>Item 135</w:t>
                            </w:r>
                          </w:p>
                          <w:p w14:paraId="1A62E4A2" w14:textId="77777777" w:rsidR="00023621" w:rsidRPr="00997E71" w:rsidRDefault="00023621" w:rsidP="000419D9">
                            <w:pPr>
                              <w:pStyle w:val="Bullet-green"/>
                              <w:numPr>
                                <w:ilvl w:val="0"/>
                                <w:numId w:val="0"/>
                              </w:numPr>
                            </w:pPr>
                            <w:r w:rsidRPr="00997E71">
                              <w:t xml:space="preserve">Professional attendance of at least </w:t>
                            </w:r>
                            <w:r w:rsidRPr="00C72AFF">
                              <w:t xml:space="preserve">60 minutes </w:t>
                            </w:r>
                            <w:r w:rsidRPr="00997E71">
                              <w:t xml:space="preserve">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13 years with </w:t>
                            </w:r>
                            <w:r>
                              <w:t>a complex</w:t>
                            </w:r>
                            <w:r w:rsidRPr="00C72AFF">
                              <w:t xml:space="preserve"> neurodevelopmental</w:t>
                            </w:r>
                            <w:r w:rsidRPr="00997E71">
                              <w:t xml:space="preserve"> disorder, if the consultant paediatrician does all of the following:</w:t>
                            </w:r>
                          </w:p>
                          <w:p w14:paraId="5EE9E302" w14:textId="77777777" w:rsidR="00023621" w:rsidRPr="00997E71" w:rsidRDefault="00023621" w:rsidP="000419D9">
                            <w:pPr>
                              <w:pStyle w:val="Bullet-green"/>
                              <w:numPr>
                                <w:ilvl w:val="0"/>
                                <w:numId w:val="118"/>
                              </w:numPr>
                            </w:pPr>
                            <w:r w:rsidRPr="00997E71">
                              <w:t xml:space="preserve">undertakes a comprehensive assessment </w:t>
                            </w:r>
                            <w:r w:rsidRPr="00607BDA">
                              <w:t>for the purposes of making a diagnosis</w:t>
                            </w:r>
                            <w:r w:rsidRPr="00997E71">
                              <w:t xml:space="preserve"> (if appropriate, using information provided by an eligible allied health provider)</w:t>
                            </w:r>
                            <w:r>
                              <w:t>,</w:t>
                            </w:r>
                          </w:p>
                          <w:p w14:paraId="4DB6A8DC" w14:textId="77777777" w:rsidR="00023621" w:rsidRPr="00997E71" w:rsidRDefault="00023621" w:rsidP="000419D9">
                            <w:pPr>
                              <w:pStyle w:val="Bullet-green"/>
                              <w:numPr>
                                <w:ilvl w:val="0"/>
                                <w:numId w:val="118"/>
                              </w:numPr>
                            </w:pPr>
                            <w:r w:rsidRPr="00997E71">
                              <w:t>develops a treatment and management plan, which must include the following:</w:t>
                            </w:r>
                          </w:p>
                          <w:p w14:paraId="7378E9DE" w14:textId="77777777" w:rsidR="00023621" w:rsidRPr="00997E71" w:rsidRDefault="00023621" w:rsidP="000419D9">
                            <w:pPr>
                              <w:pStyle w:val="Bullet-green"/>
                              <w:numPr>
                                <w:ilvl w:val="0"/>
                                <w:numId w:val="0"/>
                              </w:numPr>
                              <w:ind w:left="1077"/>
                            </w:pPr>
                            <w:r w:rsidRPr="00997E71">
                              <w:t xml:space="preserve">(i) an assessment for the </w:t>
                            </w:r>
                            <w:r w:rsidRPr="00997E71">
                              <w:rPr>
                                <w:b/>
                                <w:bCs/>
                              </w:rPr>
                              <w:t>purposes of</w:t>
                            </w:r>
                            <w:r>
                              <w:rPr>
                                <w:b/>
                                <w:bCs/>
                              </w:rPr>
                              <w:t xml:space="preserve"> making a</w:t>
                            </w:r>
                            <w:r w:rsidRPr="00997E71">
                              <w:rPr>
                                <w:b/>
                                <w:bCs/>
                              </w:rPr>
                              <w:t xml:space="preserve"> diagnosis</w:t>
                            </w:r>
                            <w:r w:rsidRPr="00997E71">
                              <w:t xml:space="preserve"> of the patient's condition;</w:t>
                            </w:r>
                          </w:p>
                          <w:p w14:paraId="00B0E3B6" w14:textId="77777777" w:rsidR="00023621" w:rsidRPr="00997E71" w:rsidRDefault="00023621" w:rsidP="000419D9">
                            <w:pPr>
                              <w:pStyle w:val="Bullet-green"/>
                              <w:numPr>
                                <w:ilvl w:val="0"/>
                                <w:numId w:val="0"/>
                              </w:numPr>
                              <w:ind w:left="1077"/>
                            </w:pPr>
                            <w:r w:rsidRPr="00997E71">
                              <w:t>(ii) a risk assessment;</w:t>
                            </w:r>
                          </w:p>
                          <w:p w14:paraId="1D1C6C8D" w14:textId="77777777" w:rsidR="00023621" w:rsidRPr="00997E71" w:rsidRDefault="00023621" w:rsidP="000419D9">
                            <w:pPr>
                              <w:pStyle w:val="Bullet-green"/>
                              <w:numPr>
                                <w:ilvl w:val="0"/>
                                <w:numId w:val="0"/>
                              </w:numPr>
                              <w:ind w:left="1077"/>
                            </w:pPr>
                            <w:r w:rsidRPr="00997E71">
                              <w:t>(iii) treatment options and decisions;</w:t>
                            </w:r>
                          </w:p>
                          <w:p w14:paraId="667D0FE0" w14:textId="77777777" w:rsidR="00023621" w:rsidRPr="00997E71" w:rsidRDefault="00023621" w:rsidP="000419D9">
                            <w:pPr>
                              <w:pStyle w:val="Bullet-green"/>
                              <w:numPr>
                                <w:ilvl w:val="0"/>
                                <w:numId w:val="0"/>
                              </w:numPr>
                              <w:ind w:left="1077"/>
                            </w:pPr>
                            <w:r w:rsidRPr="00997E71">
                              <w:t>(iv) if necessary-medical recommendations;</w:t>
                            </w:r>
                          </w:p>
                          <w:p w14:paraId="66D6E19F" w14:textId="77777777" w:rsidR="00023621" w:rsidRPr="00997E71" w:rsidRDefault="00023621" w:rsidP="000419D9">
                            <w:pPr>
                              <w:pStyle w:val="Bullet-green"/>
                              <w:numPr>
                                <w:ilvl w:val="0"/>
                                <w:numId w:val="118"/>
                              </w:numPr>
                            </w:pPr>
                            <w:r w:rsidRPr="00997E71">
                              <w:t>provides a copy of the treatment and management plan to:</w:t>
                            </w:r>
                          </w:p>
                          <w:p w14:paraId="5C9A7FCE" w14:textId="77777777" w:rsidR="00023621" w:rsidRPr="00997E71" w:rsidRDefault="00023621" w:rsidP="000419D9">
                            <w:pPr>
                              <w:pStyle w:val="Bullet-green"/>
                              <w:numPr>
                                <w:ilvl w:val="0"/>
                                <w:numId w:val="0"/>
                              </w:numPr>
                              <w:ind w:left="1077"/>
                            </w:pPr>
                            <w:r w:rsidRPr="00997E71">
                              <w:t>(i) the referring practitioner; and</w:t>
                            </w:r>
                          </w:p>
                          <w:p w14:paraId="2E25E305" w14:textId="77777777" w:rsidR="00023621" w:rsidRPr="00997E71" w:rsidRDefault="00023621" w:rsidP="000419D9">
                            <w:pPr>
                              <w:pStyle w:val="Bullet-green"/>
                              <w:numPr>
                                <w:ilvl w:val="0"/>
                                <w:numId w:val="0"/>
                              </w:numPr>
                              <w:ind w:left="1077"/>
                            </w:pPr>
                            <w:r w:rsidRPr="00997E71">
                              <w:t>(ii) one or more allied health providers, if appropriate, for the treatment of the patient;</w:t>
                            </w:r>
                          </w:p>
                          <w:p w14:paraId="7E8300D8" w14:textId="77777777" w:rsidR="00023621" w:rsidRDefault="00023621" w:rsidP="000419D9">
                            <w:r w:rsidRPr="00997E71">
                              <w:t>(other than attendance on a patient for whom payment has previously been made under this item or item 137, 139 or 289)</w:t>
                            </w:r>
                            <w:r>
                              <w:t>”</w:t>
                            </w:r>
                          </w:p>
                        </w:txbxContent>
                      </wps:txbx>
                      <wps:bodyPr rot="0" vert="horz" wrap="square" lIns="91440" tIns="45720" rIns="91440" bIns="45720" anchor="t" anchorCtr="0">
                        <a:noAutofit/>
                      </wps:bodyPr>
                    </wps:wsp>
                  </a:graphicData>
                </a:graphic>
              </wp:inline>
            </w:drawing>
          </mc:Choice>
          <mc:Fallback>
            <w:pict>
              <v:shape w14:anchorId="3F5761ED" id="_x0000_s1029" type="#_x0000_t202" style="width:398.25pt;height:4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" strokecolor="#e36c0a [2409]" strokeweight="1.25pt">
                <v:textbox>
                  <w:txbxContent>
                    <w:p w14:paraId="00460CBA" w14:textId="77777777" w:rsidR="00023621" w:rsidRPr="00607BDA" w:rsidRDefault="00023621" w:rsidP="000419D9">
                      <w:pPr>
                        <w:pStyle w:val="Bullet-green"/>
                        <w:numPr>
                          <w:ilvl w:val="0"/>
                          <w:numId w:val="0"/>
                        </w:numPr>
                        <w:rPr>
                          <w:b/>
                        </w:rPr>
                      </w:pPr>
                      <w:r w:rsidRPr="00607BDA">
                        <w:rPr>
                          <w:b/>
                        </w:rPr>
                        <w:t>Item 135</w:t>
                      </w:r>
                    </w:p>
                    <w:p w14:paraId="1A62E4A2" w14:textId="77777777" w:rsidR="00023621" w:rsidRPr="00997E71" w:rsidRDefault="00023621" w:rsidP="000419D9">
                      <w:pPr>
                        <w:pStyle w:val="Bullet-green"/>
                        <w:numPr>
                          <w:ilvl w:val="0"/>
                          <w:numId w:val="0"/>
                        </w:numPr>
                      </w:pPr>
                      <w:r w:rsidRPr="00997E71">
                        <w:t xml:space="preserve">Professional attendance of at least </w:t>
                      </w:r>
                      <w:r w:rsidRPr="00C72AFF">
                        <w:t xml:space="preserve">60 minutes </w:t>
                      </w:r>
                      <w:r w:rsidRPr="00997E71">
                        <w:t xml:space="preserve">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13 years with </w:t>
                      </w:r>
                      <w:r>
                        <w:t>a complex</w:t>
                      </w:r>
                      <w:r w:rsidRPr="00C72AFF">
                        <w:t xml:space="preserve"> neurodevelopmental</w:t>
                      </w:r>
                      <w:r w:rsidRPr="00997E71">
                        <w:t xml:space="preserve"> disorder, if the consultant paediatrician does all of the following:</w:t>
                      </w:r>
                    </w:p>
                    <w:p w14:paraId="5EE9E302" w14:textId="77777777" w:rsidR="00023621" w:rsidRPr="00997E71" w:rsidRDefault="00023621" w:rsidP="000419D9">
                      <w:pPr>
                        <w:pStyle w:val="Bullet-green"/>
                        <w:numPr>
                          <w:ilvl w:val="0"/>
                          <w:numId w:val="118"/>
                        </w:numPr>
                      </w:pPr>
                      <w:r w:rsidRPr="00997E71">
                        <w:t xml:space="preserve">undertakes a comprehensive assessment </w:t>
                      </w:r>
                      <w:r w:rsidRPr="00607BDA">
                        <w:t>for the purposes of making a diagnosis</w:t>
                      </w:r>
                      <w:r w:rsidRPr="00997E71">
                        <w:t xml:space="preserve"> (if appropriate, using information provided by an eligible allied health provider)</w:t>
                      </w:r>
                      <w:r>
                        <w:t>,</w:t>
                      </w:r>
                    </w:p>
                    <w:p w14:paraId="4DB6A8DC" w14:textId="77777777" w:rsidR="00023621" w:rsidRPr="00997E71" w:rsidRDefault="00023621" w:rsidP="000419D9">
                      <w:pPr>
                        <w:pStyle w:val="Bullet-green"/>
                        <w:numPr>
                          <w:ilvl w:val="0"/>
                          <w:numId w:val="118"/>
                        </w:numPr>
                      </w:pPr>
                      <w:r w:rsidRPr="00997E71">
                        <w:t>develops a treatment and management plan, which must include the following:</w:t>
                      </w:r>
                    </w:p>
                    <w:p w14:paraId="7378E9DE" w14:textId="77777777" w:rsidR="00023621" w:rsidRPr="00997E71" w:rsidRDefault="00023621" w:rsidP="000419D9">
                      <w:pPr>
                        <w:pStyle w:val="Bullet-green"/>
                        <w:numPr>
                          <w:ilvl w:val="0"/>
                          <w:numId w:val="0"/>
                        </w:numPr>
                        <w:ind w:left="1077"/>
                      </w:pPr>
                      <w:r w:rsidRPr="00997E71">
                        <w:t xml:space="preserve">(i) an assessment for the </w:t>
                      </w:r>
                      <w:r w:rsidRPr="00997E71">
                        <w:rPr>
                          <w:b/>
                          <w:bCs/>
                        </w:rPr>
                        <w:t>purposes of</w:t>
                      </w:r>
                      <w:r>
                        <w:rPr>
                          <w:b/>
                          <w:bCs/>
                        </w:rPr>
                        <w:t xml:space="preserve"> making a</w:t>
                      </w:r>
                      <w:r w:rsidRPr="00997E71">
                        <w:rPr>
                          <w:b/>
                          <w:bCs/>
                        </w:rPr>
                        <w:t xml:space="preserve"> diagnosis</w:t>
                      </w:r>
                      <w:r w:rsidRPr="00997E71">
                        <w:t xml:space="preserve"> of the patient's condition;</w:t>
                      </w:r>
                    </w:p>
                    <w:p w14:paraId="00B0E3B6" w14:textId="77777777" w:rsidR="00023621" w:rsidRPr="00997E71" w:rsidRDefault="00023621" w:rsidP="000419D9">
                      <w:pPr>
                        <w:pStyle w:val="Bullet-green"/>
                        <w:numPr>
                          <w:ilvl w:val="0"/>
                          <w:numId w:val="0"/>
                        </w:numPr>
                        <w:ind w:left="1077"/>
                      </w:pPr>
                      <w:r w:rsidRPr="00997E71">
                        <w:t>(ii) a risk assessment;</w:t>
                      </w:r>
                    </w:p>
                    <w:p w14:paraId="1D1C6C8D" w14:textId="77777777" w:rsidR="00023621" w:rsidRPr="00997E71" w:rsidRDefault="00023621" w:rsidP="000419D9">
                      <w:pPr>
                        <w:pStyle w:val="Bullet-green"/>
                        <w:numPr>
                          <w:ilvl w:val="0"/>
                          <w:numId w:val="0"/>
                        </w:numPr>
                        <w:ind w:left="1077"/>
                      </w:pPr>
                      <w:r w:rsidRPr="00997E71">
                        <w:t>(iii) treatment options and decisions;</w:t>
                      </w:r>
                    </w:p>
                    <w:p w14:paraId="667D0FE0" w14:textId="77777777" w:rsidR="00023621" w:rsidRPr="00997E71" w:rsidRDefault="00023621" w:rsidP="000419D9">
                      <w:pPr>
                        <w:pStyle w:val="Bullet-green"/>
                        <w:numPr>
                          <w:ilvl w:val="0"/>
                          <w:numId w:val="0"/>
                        </w:numPr>
                        <w:ind w:left="1077"/>
                      </w:pPr>
                      <w:r w:rsidRPr="00997E71">
                        <w:t>(iv) if necessary-medical recommendations;</w:t>
                      </w:r>
                    </w:p>
                    <w:p w14:paraId="66D6E19F" w14:textId="77777777" w:rsidR="00023621" w:rsidRPr="00997E71" w:rsidRDefault="00023621" w:rsidP="000419D9">
                      <w:pPr>
                        <w:pStyle w:val="Bullet-green"/>
                        <w:numPr>
                          <w:ilvl w:val="0"/>
                          <w:numId w:val="118"/>
                        </w:numPr>
                      </w:pPr>
                      <w:r w:rsidRPr="00997E71">
                        <w:t>provides a copy of the treatment and management plan to:</w:t>
                      </w:r>
                    </w:p>
                    <w:p w14:paraId="5C9A7FCE" w14:textId="77777777" w:rsidR="00023621" w:rsidRPr="00997E71" w:rsidRDefault="00023621" w:rsidP="000419D9">
                      <w:pPr>
                        <w:pStyle w:val="Bullet-green"/>
                        <w:numPr>
                          <w:ilvl w:val="0"/>
                          <w:numId w:val="0"/>
                        </w:numPr>
                        <w:ind w:left="1077"/>
                      </w:pPr>
                      <w:r w:rsidRPr="00997E71">
                        <w:t>(i) the referring practitioner; and</w:t>
                      </w:r>
                    </w:p>
                    <w:p w14:paraId="2E25E305" w14:textId="77777777" w:rsidR="00023621" w:rsidRPr="00997E71" w:rsidRDefault="00023621" w:rsidP="000419D9">
                      <w:pPr>
                        <w:pStyle w:val="Bullet-green"/>
                        <w:numPr>
                          <w:ilvl w:val="0"/>
                          <w:numId w:val="0"/>
                        </w:numPr>
                        <w:ind w:left="1077"/>
                      </w:pPr>
                      <w:r w:rsidRPr="00997E71">
                        <w:t>(ii) one or more allied health providers, if appropriate, for the treatment of the patient;</w:t>
                      </w:r>
                    </w:p>
                    <w:p w14:paraId="7E8300D8" w14:textId="77777777" w:rsidR="00023621" w:rsidRDefault="00023621" w:rsidP="000419D9">
                      <w:r w:rsidRPr="00997E71">
                        <w:t>(other than attendance on a patient for whom payment has previously been made under this item or item 137, 139 or 289)</w:t>
                      </w:r>
                      <w:r>
                        <w:t>”</w:t>
                      </w:r>
                    </w:p>
                  </w:txbxContent>
                </v:textbox>
                <w10:anchorlock/>
              </v:shape>
            </w:pict>
          </mc:Fallback>
        </mc:AlternateContent>
      </w:r>
    </w:p>
    <w:p w14:paraId="787CCBD6" w14:textId="7B355285" w:rsidR="00974578" w:rsidRPr="000E05E0" w:rsidRDefault="00974578" w:rsidP="00875408">
      <w:pPr>
        <w:pageBreakBefore/>
        <w:numPr>
          <w:ilvl w:val="0"/>
          <w:numId w:val="73"/>
        </w:numPr>
        <w:ind w:left="714" w:hanging="357"/>
        <w:rPr>
          <w:bCs/>
          <w:iCs/>
          <w:lang w:eastAsia="en-US"/>
        </w:rPr>
      </w:pPr>
      <w:r w:rsidRPr="000E05E0">
        <w:rPr>
          <w:bCs/>
          <w:iCs/>
          <w:lang w:eastAsia="en-US"/>
        </w:rPr>
        <w:t>amend the explanatory notes to include the following:</w:t>
      </w:r>
    </w:p>
    <w:p w14:paraId="66A4CE2C" w14:textId="77777777" w:rsidR="00974578" w:rsidRPr="00974578" w:rsidRDefault="00974578" w:rsidP="00607BDA">
      <w:pPr>
        <w:rPr>
          <w:b/>
          <w:bCs/>
          <w:iCs/>
          <w:lang w:eastAsia="en-US"/>
        </w:rPr>
      </w:pPr>
      <w:r w:rsidRPr="00974578">
        <w:rPr>
          <w:b/>
          <w:bCs/>
          <w:iCs/>
          <w:noProof/>
          <w:lang w:val="en-US" w:eastAsia="en-US"/>
        </w:rPr>
        <mc:AlternateContent>
          <mc:Choice Requires="wps">
            <w:drawing>
              <wp:inline distT="0" distB="0" distL="0" distR="0" wp14:anchorId="37E4E617" wp14:editId="635BCBBB">
                <wp:extent cx="5058000" cy="2329200"/>
                <wp:effectExtent l="0" t="0" r="28575" b="1206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2329200"/>
                        </a:xfrm>
                        <a:prstGeom prst="rect">
                          <a:avLst/>
                        </a:prstGeom>
                        <a:solidFill>
                          <a:srgbClr val="FFFFFF"/>
                        </a:solidFill>
                        <a:ln w="15875">
                          <a:solidFill>
                            <a:srgbClr val="F79646">
                              <a:lumMod val="75000"/>
                            </a:srgbClr>
                          </a:solidFill>
                          <a:miter lim="800000"/>
                          <a:headEnd/>
                          <a:tailEnd/>
                        </a:ln>
                      </wps:spPr>
                      <wps:txbx>
                        <w:txbxContent>
                          <w:p w14:paraId="4780B044" w14:textId="77777777" w:rsidR="00023621" w:rsidRPr="00607BDA" w:rsidRDefault="00023621" w:rsidP="00974578">
                            <w:pPr>
                              <w:pStyle w:val="Bullet-green"/>
                              <w:numPr>
                                <w:ilvl w:val="0"/>
                                <w:numId w:val="0"/>
                              </w:numPr>
                              <w:rPr>
                                <w:b/>
                              </w:rPr>
                            </w:pPr>
                            <w:r>
                              <w:rPr>
                                <w:b/>
                              </w:rPr>
                              <w:t>Explanatory Note – Item 135</w:t>
                            </w:r>
                          </w:p>
                          <w:p w14:paraId="2EF6FF57" w14:textId="77777777" w:rsidR="00023621" w:rsidRPr="006F41C3" w:rsidRDefault="00023621" w:rsidP="00974578">
                            <w:pPr>
                              <w:pStyle w:val="Bullet-green"/>
                              <w:ind w:left="0"/>
                            </w:pPr>
                            <w:r w:rsidRPr="006F41C3">
                              <w:t>The item is intended for the initial assessment of patients where by the complexity of the condition is characterised by severe multi-domain cognitive and functional disabilities, delay or impairment”</w:t>
                            </w:r>
                          </w:p>
                          <w:p w14:paraId="54AE6FE4" w14:textId="77777777" w:rsidR="00023621" w:rsidRPr="006F41C3" w:rsidRDefault="00023621" w:rsidP="00607BDA">
                            <w:pPr>
                              <w:pStyle w:val="Bullet-green"/>
                              <w:numPr>
                                <w:ilvl w:val="0"/>
                                <w:numId w:val="0"/>
                              </w:numPr>
                            </w:pPr>
                            <w:r w:rsidRPr="006F41C3">
                              <w:t xml:space="preserve">The following conditions are examples of neurodevelopment disorders for which the item is intended (but not limited to): </w:t>
                            </w:r>
                          </w:p>
                          <w:p w14:paraId="43075C03" w14:textId="77777777" w:rsidR="00023621" w:rsidRDefault="00023621" w:rsidP="006D43A0">
                            <w:pPr>
                              <w:pStyle w:val="Bullet-green"/>
                              <w:numPr>
                                <w:ilvl w:val="0"/>
                                <w:numId w:val="156"/>
                              </w:numPr>
                            </w:pPr>
                            <w:r>
                              <w:t>Autism Spectrum Disorder</w:t>
                            </w:r>
                          </w:p>
                          <w:p w14:paraId="0C61C54C" w14:textId="77777777" w:rsidR="00023621" w:rsidRPr="006F41C3" w:rsidRDefault="00023621" w:rsidP="006D43A0">
                            <w:pPr>
                              <w:pStyle w:val="Bullet-green"/>
                              <w:numPr>
                                <w:ilvl w:val="0"/>
                                <w:numId w:val="156"/>
                              </w:numPr>
                            </w:pPr>
                            <w:r w:rsidRPr="006F41C3">
                              <w:t>Fetal Alcohol Syndrome Disorder (FASD)</w:t>
                            </w:r>
                          </w:p>
                          <w:p w14:paraId="1DDA9ECC" w14:textId="77777777" w:rsidR="00023621" w:rsidRPr="006F41C3" w:rsidRDefault="00023621" w:rsidP="006D43A0">
                            <w:pPr>
                              <w:pStyle w:val="Bullet-green"/>
                              <w:numPr>
                                <w:ilvl w:val="0"/>
                                <w:numId w:val="156"/>
                              </w:numPr>
                            </w:pPr>
                            <w:r w:rsidRPr="006F41C3">
                              <w:t xml:space="preserve">Fragile X Syndrome </w:t>
                            </w:r>
                          </w:p>
                          <w:p w14:paraId="670AB5B3" w14:textId="77777777" w:rsidR="00023621" w:rsidRPr="006F41C3" w:rsidRDefault="00023621" w:rsidP="006D43A0">
                            <w:pPr>
                              <w:pStyle w:val="Bullet-green"/>
                              <w:numPr>
                                <w:ilvl w:val="0"/>
                                <w:numId w:val="156"/>
                              </w:numPr>
                            </w:pPr>
                            <w:r w:rsidRPr="006F41C3">
                              <w:t>Rett’s Syndrome</w:t>
                            </w:r>
                          </w:p>
                          <w:p w14:paraId="20E979B5" w14:textId="77777777" w:rsidR="00023621" w:rsidRPr="006F41C3" w:rsidRDefault="00023621" w:rsidP="006D43A0">
                            <w:pPr>
                              <w:pStyle w:val="Bullet-green"/>
                              <w:numPr>
                                <w:ilvl w:val="0"/>
                                <w:numId w:val="156"/>
                              </w:numPr>
                            </w:pPr>
                            <w:r w:rsidRPr="006F41C3">
                              <w:t xml:space="preserve">Lesch-Nyhan Syndrome </w:t>
                            </w:r>
                          </w:p>
                          <w:p w14:paraId="37EEDAE3" w14:textId="77777777" w:rsidR="00023621" w:rsidRPr="006F41C3" w:rsidRDefault="00023621" w:rsidP="006D43A0">
                            <w:pPr>
                              <w:pStyle w:val="Bullet-green"/>
                              <w:numPr>
                                <w:ilvl w:val="0"/>
                                <w:numId w:val="156"/>
                              </w:numPr>
                            </w:pPr>
                            <w:r w:rsidRPr="006F41C3">
                              <w:t xml:space="preserve">Cornelia de Lange Syndrome </w:t>
                            </w:r>
                          </w:p>
                          <w:p w14:paraId="615010E7" w14:textId="77777777" w:rsidR="00023621" w:rsidRPr="006F41C3" w:rsidRDefault="00023621" w:rsidP="006D43A0">
                            <w:pPr>
                              <w:pStyle w:val="Bullet-green"/>
                              <w:numPr>
                                <w:ilvl w:val="0"/>
                                <w:numId w:val="156"/>
                              </w:numPr>
                            </w:pPr>
                            <w:r w:rsidRPr="006F41C3">
                              <w:t>Prader-Willi Syndrome</w:t>
                            </w:r>
                          </w:p>
                          <w:p w14:paraId="57A550F9" w14:textId="77777777" w:rsidR="00023621" w:rsidRPr="006F41C3" w:rsidRDefault="00023621" w:rsidP="006D43A0">
                            <w:pPr>
                              <w:pStyle w:val="Bullet-green"/>
                              <w:numPr>
                                <w:ilvl w:val="0"/>
                                <w:numId w:val="156"/>
                              </w:numPr>
                            </w:pPr>
                            <w:r w:rsidRPr="006F41C3">
                              <w:t>Angelman Syndrome</w:t>
                            </w:r>
                          </w:p>
                          <w:p w14:paraId="7C203F3D" w14:textId="77777777" w:rsidR="00023621" w:rsidRPr="006F41C3" w:rsidRDefault="00023621" w:rsidP="006D43A0">
                            <w:pPr>
                              <w:pStyle w:val="Bullet-green"/>
                              <w:numPr>
                                <w:ilvl w:val="0"/>
                                <w:numId w:val="156"/>
                              </w:numPr>
                            </w:pPr>
                            <w:r w:rsidRPr="006F41C3">
                              <w:t>22 q deletion Syndrome (previously Velocardiofacial Syndrome)</w:t>
                            </w:r>
                          </w:p>
                          <w:p w14:paraId="7C26FEBE" w14:textId="77777777" w:rsidR="00023621" w:rsidRPr="006F41C3" w:rsidRDefault="00023621" w:rsidP="006D43A0">
                            <w:pPr>
                              <w:pStyle w:val="Bullet-green"/>
                              <w:numPr>
                                <w:ilvl w:val="0"/>
                                <w:numId w:val="156"/>
                              </w:numPr>
                            </w:pPr>
                            <w:r w:rsidRPr="006F41C3">
                              <w:t>Smith-Magenis Syndrome</w:t>
                            </w:r>
                          </w:p>
                          <w:p w14:paraId="7F07BB53" w14:textId="77777777" w:rsidR="00023621" w:rsidRPr="006F41C3" w:rsidRDefault="00023621" w:rsidP="006D43A0">
                            <w:pPr>
                              <w:pStyle w:val="Bullet-green"/>
                              <w:numPr>
                                <w:ilvl w:val="0"/>
                                <w:numId w:val="156"/>
                              </w:numPr>
                            </w:pPr>
                            <w:r w:rsidRPr="006F41C3">
                              <w:t>Williams Syndrome</w:t>
                            </w:r>
                          </w:p>
                          <w:p w14:paraId="66AA6C8A" w14:textId="77777777" w:rsidR="00023621" w:rsidRPr="006F41C3" w:rsidRDefault="00023621" w:rsidP="00607BDA">
                            <w:pPr>
                              <w:pStyle w:val="Bullet-green"/>
                              <w:numPr>
                                <w:ilvl w:val="0"/>
                                <w:numId w:val="0"/>
                              </w:numPr>
                            </w:pPr>
                            <w:r w:rsidRPr="006F41C3">
                              <w:t>The following conditions are examples of conditions for which the item is not intended, as they can be assessed with a standard paediatric consultation:</w:t>
                            </w:r>
                          </w:p>
                          <w:p w14:paraId="3312E10C" w14:textId="77777777" w:rsidR="00023621" w:rsidRDefault="00023621" w:rsidP="003134A5">
                            <w:pPr>
                              <w:pStyle w:val="Bullet-green"/>
                              <w:numPr>
                                <w:ilvl w:val="0"/>
                                <w:numId w:val="119"/>
                              </w:numPr>
                            </w:pPr>
                            <w:r w:rsidRPr="006F41C3">
                              <w:t>Stand-alone diagnosis of Attention Deficit Hyperactivity Disorder without other severe neurodevelopmental co-morbidities or co-existing multi-domain disabilities</w:t>
                            </w:r>
                            <w:r>
                              <w:t>.</w:t>
                            </w:r>
                          </w:p>
                        </w:txbxContent>
                      </wps:txbx>
                      <wps:bodyPr rot="0" vert="horz" wrap="square" lIns="91440" tIns="45720" rIns="91440" bIns="45720" anchor="t" anchorCtr="0">
                        <a:spAutoFit/>
                      </wps:bodyPr>
                    </wps:wsp>
                  </a:graphicData>
                </a:graphic>
              </wp:inline>
            </w:drawing>
          </mc:Choice>
          <mc:Fallback>
            <w:pict>
              <v:shape w14:anchorId="37E4E617" id="Text Box 4" o:spid="_x0000_s1030" type="#_x0000_t202" style="width:398.25pt;height:1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" strokecolor="#e46c0a" strokeweight="1.25pt">
                <v:textbox style="mso-fit-shape-to-text:t">
                  <w:txbxContent>
                    <w:p w14:paraId="4780B044" w14:textId="77777777" w:rsidR="00023621" w:rsidRPr="00607BDA" w:rsidRDefault="00023621" w:rsidP="00974578">
                      <w:pPr>
                        <w:pStyle w:val="Bullet-green"/>
                        <w:numPr>
                          <w:ilvl w:val="0"/>
                          <w:numId w:val="0"/>
                        </w:numPr>
                        <w:rPr>
                          <w:b/>
                        </w:rPr>
                      </w:pPr>
                      <w:r>
                        <w:rPr>
                          <w:b/>
                        </w:rPr>
                        <w:t>Explanatory Note – Item 135</w:t>
                      </w:r>
                    </w:p>
                    <w:p w14:paraId="2EF6FF57" w14:textId="77777777" w:rsidR="00023621" w:rsidRPr="006F41C3" w:rsidRDefault="00023621" w:rsidP="00974578">
                      <w:pPr>
                        <w:pStyle w:val="Bullet-green"/>
                        <w:ind w:left="0"/>
                      </w:pPr>
                      <w:r w:rsidRPr="006F41C3">
                        <w:t>The item is intended for the initial assessment of patients where by the complexity of the condition is characterised by severe multi-domain cognitive and functional disabilities, delay or impairment”</w:t>
                      </w:r>
                    </w:p>
                    <w:p w14:paraId="54AE6FE4" w14:textId="77777777" w:rsidR="00023621" w:rsidRPr="006F41C3" w:rsidRDefault="00023621" w:rsidP="00607BDA">
                      <w:pPr>
                        <w:pStyle w:val="Bullet-green"/>
                        <w:numPr>
                          <w:ilvl w:val="0"/>
                          <w:numId w:val="0"/>
                        </w:numPr>
                      </w:pPr>
                      <w:r w:rsidRPr="006F41C3">
                        <w:t xml:space="preserve">The following conditions are examples of neurodevelopment disorders for which the item is intended (but not limited to): </w:t>
                      </w:r>
                    </w:p>
                    <w:p w14:paraId="43075C03" w14:textId="77777777" w:rsidR="00023621" w:rsidRDefault="00023621" w:rsidP="006D43A0">
                      <w:pPr>
                        <w:pStyle w:val="Bullet-green"/>
                        <w:numPr>
                          <w:ilvl w:val="0"/>
                          <w:numId w:val="156"/>
                        </w:numPr>
                      </w:pPr>
                      <w:r>
                        <w:t>Autism Spectrum Disorder</w:t>
                      </w:r>
                    </w:p>
                    <w:p w14:paraId="0C61C54C" w14:textId="77777777" w:rsidR="00023621" w:rsidRPr="006F41C3" w:rsidRDefault="00023621" w:rsidP="006D43A0">
                      <w:pPr>
                        <w:pStyle w:val="Bullet-green"/>
                        <w:numPr>
                          <w:ilvl w:val="0"/>
                          <w:numId w:val="156"/>
                        </w:numPr>
                      </w:pPr>
                      <w:r w:rsidRPr="006F41C3">
                        <w:t>Fetal Alcohol Syndrome Disorder (FASD)</w:t>
                      </w:r>
                    </w:p>
                    <w:p w14:paraId="1DDA9ECC" w14:textId="77777777" w:rsidR="00023621" w:rsidRPr="006F41C3" w:rsidRDefault="00023621" w:rsidP="006D43A0">
                      <w:pPr>
                        <w:pStyle w:val="Bullet-green"/>
                        <w:numPr>
                          <w:ilvl w:val="0"/>
                          <w:numId w:val="156"/>
                        </w:numPr>
                      </w:pPr>
                      <w:r w:rsidRPr="006F41C3">
                        <w:t xml:space="preserve">Fragile X Syndrome </w:t>
                      </w:r>
                    </w:p>
                    <w:p w14:paraId="670AB5B3" w14:textId="77777777" w:rsidR="00023621" w:rsidRPr="006F41C3" w:rsidRDefault="00023621" w:rsidP="006D43A0">
                      <w:pPr>
                        <w:pStyle w:val="Bullet-green"/>
                        <w:numPr>
                          <w:ilvl w:val="0"/>
                          <w:numId w:val="156"/>
                        </w:numPr>
                      </w:pPr>
                      <w:r w:rsidRPr="006F41C3">
                        <w:t>Rett’s Syndrome</w:t>
                      </w:r>
                    </w:p>
                    <w:p w14:paraId="20E979B5" w14:textId="77777777" w:rsidR="00023621" w:rsidRPr="006F41C3" w:rsidRDefault="00023621" w:rsidP="006D43A0">
                      <w:pPr>
                        <w:pStyle w:val="Bullet-green"/>
                        <w:numPr>
                          <w:ilvl w:val="0"/>
                          <w:numId w:val="156"/>
                        </w:numPr>
                      </w:pPr>
                      <w:r w:rsidRPr="006F41C3">
                        <w:t xml:space="preserve">Lesch-Nyhan Syndrome </w:t>
                      </w:r>
                    </w:p>
                    <w:p w14:paraId="37EEDAE3" w14:textId="77777777" w:rsidR="00023621" w:rsidRPr="006F41C3" w:rsidRDefault="00023621" w:rsidP="006D43A0">
                      <w:pPr>
                        <w:pStyle w:val="Bullet-green"/>
                        <w:numPr>
                          <w:ilvl w:val="0"/>
                          <w:numId w:val="156"/>
                        </w:numPr>
                      </w:pPr>
                      <w:r w:rsidRPr="006F41C3">
                        <w:t xml:space="preserve">Cornelia de Lange Syndrome </w:t>
                      </w:r>
                    </w:p>
                    <w:p w14:paraId="615010E7" w14:textId="77777777" w:rsidR="00023621" w:rsidRPr="006F41C3" w:rsidRDefault="00023621" w:rsidP="006D43A0">
                      <w:pPr>
                        <w:pStyle w:val="Bullet-green"/>
                        <w:numPr>
                          <w:ilvl w:val="0"/>
                          <w:numId w:val="156"/>
                        </w:numPr>
                      </w:pPr>
                      <w:r w:rsidRPr="006F41C3">
                        <w:t>Prader-Willi Syndrome</w:t>
                      </w:r>
                    </w:p>
                    <w:p w14:paraId="57A550F9" w14:textId="77777777" w:rsidR="00023621" w:rsidRPr="006F41C3" w:rsidRDefault="00023621" w:rsidP="006D43A0">
                      <w:pPr>
                        <w:pStyle w:val="Bullet-green"/>
                        <w:numPr>
                          <w:ilvl w:val="0"/>
                          <w:numId w:val="156"/>
                        </w:numPr>
                      </w:pPr>
                      <w:r w:rsidRPr="006F41C3">
                        <w:t>Angelman Syndrome</w:t>
                      </w:r>
                    </w:p>
                    <w:p w14:paraId="7C203F3D" w14:textId="77777777" w:rsidR="00023621" w:rsidRPr="006F41C3" w:rsidRDefault="00023621" w:rsidP="006D43A0">
                      <w:pPr>
                        <w:pStyle w:val="Bullet-green"/>
                        <w:numPr>
                          <w:ilvl w:val="0"/>
                          <w:numId w:val="156"/>
                        </w:numPr>
                      </w:pPr>
                      <w:r w:rsidRPr="006F41C3">
                        <w:t>22 q deletion Syndrome (previously Velocardiofacial Syndrome)</w:t>
                      </w:r>
                    </w:p>
                    <w:p w14:paraId="7C26FEBE" w14:textId="77777777" w:rsidR="00023621" w:rsidRPr="006F41C3" w:rsidRDefault="00023621" w:rsidP="006D43A0">
                      <w:pPr>
                        <w:pStyle w:val="Bullet-green"/>
                        <w:numPr>
                          <w:ilvl w:val="0"/>
                          <w:numId w:val="156"/>
                        </w:numPr>
                      </w:pPr>
                      <w:r w:rsidRPr="006F41C3">
                        <w:t>Smith-Magenis Syndrome</w:t>
                      </w:r>
                    </w:p>
                    <w:p w14:paraId="7F07BB53" w14:textId="77777777" w:rsidR="00023621" w:rsidRPr="006F41C3" w:rsidRDefault="00023621" w:rsidP="006D43A0">
                      <w:pPr>
                        <w:pStyle w:val="Bullet-green"/>
                        <w:numPr>
                          <w:ilvl w:val="0"/>
                          <w:numId w:val="156"/>
                        </w:numPr>
                      </w:pPr>
                      <w:r w:rsidRPr="006F41C3">
                        <w:t>Williams Syndrome</w:t>
                      </w:r>
                    </w:p>
                    <w:p w14:paraId="66AA6C8A" w14:textId="77777777" w:rsidR="00023621" w:rsidRPr="006F41C3" w:rsidRDefault="00023621" w:rsidP="00607BDA">
                      <w:pPr>
                        <w:pStyle w:val="Bullet-green"/>
                        <w:numPr>
                          <w:ilvl w:val="0"/>
                          <w:numId w:val="0"/>
                        </w:numPr>
                      </w:pPr>
                      <w:r w:rsidRPr="006F41C3">
                        <w:t>The following conditions are examples of conditions for which the item is not intended, as they can be assessed with a standard paediatric consultation:</w:t>
                      </w:r>
                    </w:p>
                    <w:p w14:paraId="3312E10C" w14:textId="77777777" w:rsidR="00023621" w:rsidRDefault="00023621" w:rsidP="003134A5">
                      <w:pPr>
                        <w:pStyle w:val="Bullet-green"/>
                        <w:numPr>
                          <w:ilvl w:val="0"/>
                          <w:numId w:val="119"/>
                        </w:numPr>
                      </w:pPr>
                      <w:r w:rsidRPr="006F41C3">
                        <w:t>Stand-alone diagnosis of Attention Deficit Hyperactivity Disorder without other severe neurodevelopmental co-morbidities or co-existing multi-domain disabilities</w:t>
                      </w:r>
                      <w:r>
                        <w:t>.</w:t>
                      </w:r>
                    </w:p>
                  </w:txbxContent>
                </v:textbox>
                <w10:anchorlock/>
              </v:shape>
            </w:pict>
          </mc:Fallback>
        </mc:AlternateContent>
      </w:r>
    </w:p>
    <w:p w14:paraId="5B864A85" w14:textId="77777777" w:rsidR="00974578" w:rsidRDefault="00974578" w:rsidP="000831A1">
      <w:pPr>
        <w:numPr>
          <w:ilvl w:val="0"/>
          <w:numId w:val="73"/>
        </w:numPr>
        <w:rPr>
          <w:bCs/>
          <w:iCs/>
          <w:lang w:eastAsia="en-US"/>
        </w:rPr>
      </w:pPr>
      <w:r w:rsidRPr="00974578">
        <w:rPr>
          <w:bCs/>
          <w:iCs/>
          <w:lang w:eastAsia="en-US"/>
        </w:rPr>
        <w:t>that expert bodies are consulted to agree on an appropriate definition of complexity and severity, and which domains of cognitive and functional impairment should be considered.</w:t>
      </w:r>
    </w:p>
    <w:p w14:paraId="49E5B6AB" w14:textId="77777777" w:rsidR="00FC6719" w:rsidRPr="00974578" w:rsidRDefault="00FC6719" w:rsidP="000831A1">
      <w:pPr>
        <w:numPr>
          <w:ilvl w:val="0"/>
          <w:numId w:val="73"/>
        </w:numPr>
        <w:rPr>
          <w:bCs/>
          <w:iCs/>
          <w:lang w:eastAsia="en-US"/>
        </w:rPr>
      </w:pPr>
      <w:r>
        <w:rPr>
          <w:bCs/>
          <w:iCs/>
          <w:lang w:eastAsia="en-US"/>
        </w:rPr>
        <w:t xml:space="preserve">that </w:t>
      </w:r>
      <w:r>
        <w:t>the inequity of patient rebates for paediatric complex plans and geriatric complex plans be addressed over time.</w:t>
      </w:r>
    </w:p>
    <w:p w14:paraId="0C9D9C9C" w14:textId="77777777" w:rsidR="00FC6719" w:rsidRPr="00C035DF" w:rsidRDefault="00FC6719" w:rsidP="00C035DF">
      <w:pPr>
        <w:keepNext/>
        <w:rPr>
          <w:b/>
          <w:bCs/>
          <w:iCs/>
          <w:lang w:val="en-US" w:eastAsia="en-US"/>
        </w:rPr>
      </w:pPr>
      <w:r w:rsidRPr="00C035DF">
        <w:rPr>
          <w:b/>
          <w:bCs/>
          <w:iCs/>
          <w:lang w:val="en-US" w:eastAsia="en-US"/>
        </w:rPr>
        <w:t>Recommendation 8 – Retain the geriatrician specific consultation items</w:t>
      </w:r>
    </w:p>
    <w:p w14:paraId="158DC206" w14:textId="77777777" w:rsidR="00FC6719" w:rsidRPr="004A1AB0" w:rsidRDefault="00FC6719" w:rsidP="00C035DF">
      <w:pPr>
        <w:pStyle w:val="Bullet-green"/>
        <w:keepNext/>
        <w:numPr>
          <w:ilvl w:val="0"/>
          <w:numId w:val="73"/>
        </w:numPr>
      </w:pPr>
      <w:r>
        <w:t>The Committee recommends retaining items 141, 143, 145 and 147 and not including under time</w:t>
      </w:r>
      <w:r>
        <w:noBreakHyphen/>
        <w:t>tiering.</w:t>
      </w:r>
    </w:p>
    <w:p w14:paraId="7A59203D" w14:textId="76330303" w:rsidR="00974578" w:rsidRPr="00974578" w:rsidRDefault="00974578" w:rsidP="00974578">
      <w:pPr>
        <w:rPr>
          <w:b/>
          <w:bCs/>
          <w:iCs/>
          <w:lang w:val="en-US" w:eastAsia="en-US"/>
        </w:rPr>
      </w:pPr>
      <w:r w:rsidRPr="00974578">
        <w:rPr>
          <w:b/>
          <w:bCs/>
          <w:iCs/>
          <w:lang w:val="en-US" w:eastAsia="en-US"/>
        </w:rPr>
        <w:t xml:space="preserve">Recommendation </w:t>
      </w:r>
      <w:r w:rsidR="00FC6719">
        <w:rPr>
          <w:b/>
          <w:bCs/>
          <w:iCs/>
          <w:lang w:val="en-US" w:eastAsia="en-US"/>
        </w:rPr>
        <w:t>9</w:t>
      </w:r>
      <w:r w:rsidRPr="00974578">
        <w:rPr>
          <w:b/>
          <w:bCs/>
          <w:iCs/>
          <w:lang w:val="en-US" w:eastAsia="en-US"/>
        </w:rPr>
        <w:t xml:space="preserve"> – A new framework for telehealth</w:t>
      </w:r>
      <w:r w:rsidR="00F17DD4">
        <w:rPr>
          <w:b/>
          <w:bCs/>
          <w:iCs/>
          <w:lang w:val="en-US" w:eastAsia="en-US"/>
        </w:rPr>
        <w:t xml:space="preserve"> (r</w:t>
      </w:r>
      <w:r w:rsidR="008C214B">
        <w:rPr>
          <w:b/>
          <w:bCs/>
          <w:iCs/>
          <w:lang w:val="en-US" w:eastAsia="en-US"/>
        </w:rPr>
        <w:t xml:space="preserve">eferred </w:t>
      </w:r>
      <w:r w:rsidR="00F17DD4">
        <w:rPr>
          <w:b/>
          <w:bCs/>
          <w:iCs/>
          <w:lang w:val="en-US" w:eastAsia="en-US"/>
        </w:rPr>
        <w:t xml:space="preserve">to the Taskforce’s Telehealth Working Group for </w:t>
      </w:r>
      <w:r w:rsidR="008C214B">
        <w:rPr>
          <w:b/>
          <w:bCs/>
          <w:iCs/>
          <w:lang w:val="en-US" w:eastAsia="en-US"/>
        </w:rPr>
        <w:t>consideration)</w:t>
      </w:r>
    </w:p>
    <w:p w14:paraId="4836CFFA" w14:textId="77777777" w:rsidR="00974578" w:rsidRDefault="00974578" w:rsidP="00607BDA">
      <w:pPr>
        <w:pStyle w:val="Bullet-green"/>
        <w:numPr>
          <w:ilvl w:val="0"/>
          <w:numId w:val="0"/>
        </w:numPr>
      </w:pPr>
      <w:r>
        <w:t>The Committee recommends:</w:t>
      </w:r>
    </w:p>
    <w:p w14:paraId="79D5818F" w14:textId="77777777" w:rsidR="00974578" w:rsidRDefault="00B32B5F" w:rsidP="000831A1">
      <w:pPr>
        <w:pStyle w:val="Bullet-green"/>
        <w:numPr>
          <w:ilvl w:val="0"/>
          <w:numId w:val="74"/>
        </w:numPr>
      </w:pPr>
      <w:r>
        <w:t>r</w:t>
      </w:r>
      <w:r w:rsidR="00974578">
        <w:t>emoving the eight specialty-specific telehealth attendance items (items 113, 114, 384, 2799, 3003, 6004, 6025, an</w:t>
      </w:r>
      <w:r w:rsidR="00196C0C">
        <w:t>d 6059) from the MBS;</w:t>
      </w:r>
    </w:p>
    <w:p w14:paraId="0ED83FB1" w14:textId="590E6A78" w:rsidR="00974578" w:rsidRPr="00607BDA" w:rsidRDefault="00974578" w:rsidP="000831A1">
      <w:pPr>
        <w:pStyle w:val="Bullet-green"/>
        <w:numPr>
          <w:ilvl w:val="0"/>
          <w:numId w:val="74"/>
        </w:numPr>
      </w:pPr>
      <w:r>
        <w:rPr>
          <w:lang w:val="en-GB"/>
        </w:rPr>
        <w:t>incrementally reducing</w:t>
      </w:r>
      <w:r w:rsidRPr="00C33C0B">
        <w:rPr>
          <w:lang w:val="en-GB"/>
        </w:rPr>
        <w:t xml:space="preserve"> </w:t>
      </w:r>
      <w:r w:rsidRPr="00971319">
        <w:rPr>
          <w:lang w:val="en-GB"/>
        </w:rPr>
        <w:t>the derived fee for th</w:t>
      </w:r>
      <w:r>
        <w:rPr>
          <w:lang w:val="en-GB"/>
        </w:rPr>
        <w:t xml:space="preserve">e nine telehealth loading items </w:t>
      </w:r>
      <w:r>
        <w:t>(items 99, 112, 149, 389, 2820, 3015, 6016, 6026, and 6060)</w:t>
      </w:r>
      <w:r>
        <w:rPr>
          <w:lang w:val="en-GB"/>
        </w:rPr>
        <w:t xml:space="preserve"> to zero</w:t>
      </w:r>
      <w:r w:rsidR="00196C0C">
        <w:rPr>
          <w:lang w:val="en-GB"/>
        </w:rPr>
        <w:t>;</w:t>
      </w:r>
    </w:p>
    <w:p w14:paraId="19101CC7" w14:textId="77777777" w:rsidR="00974578" w:rsidRDefault="00974578" w:rsidP="000831A1">
      <w:pPr>
        <w:pStyle w:val="Bullet-green"/>
        <w:numPr>
          <w:ilvl w:val="0"/>
          <w:numId w:val="74"/>
        </w:numPr>
      </w:pPr>
      <w:r>
        <w:t xml:space="preserve">undertaking </w:t>
      </w:r>
      <w:r w:rsidRPr="00C33C0B">
        <w:t xml:space="preserve">annual analysis of </w:t>
      </w:r>
      <w:r>
        <w:t xml:space="preserve">the phase out </w:t>
      </w:r>
      <w:r w:rsidRPr="00C33C0B">
        <w:t xml:space="preserve">so </w:t>
      </w:r>
      <w:r>
        <w:t>to identify</w:t>
      </w:r>
      <w:r w:rsidRPr="00C33C0B">
        <w:t xml:space="preserve"> p</w:t>
      </w:r>
      <w:r>
        <w:t>o</w:t>
      </w:r>
      <w:r w:rsidR="00196C0C">
        <w:t>tential unintended consequences;</w:t>
      </w:r>
      <w:r>
        <w:t xml:space="preserve"> and</w:t>
      </w:r>
    </w:p>
    <w:p w14:paraId="1A2CCFF8" w14:textId="77777777" w:rsidR="00974578" w:rsidRDefault="00974578" w:rsidP="000831A1">
      <w:pPr>
        <w:pStyle w:val="Bullet-green"/>
        <w:numPr>
          <w:ilvl w:val="0"/>
          <w:numId w:val="74"/>
        </w:numPr>
      </w:pPr>
      <w:r>
        <w:t>introducing new telehealth-specific attendance items (after the nine loading items have been removed) that mirror the standard time-tiered attendance items, with the same fees, and with item descriptors that describe recommended activities to be performed in each tier.</w:t>
      </w:r>
    </w:p>
    <w:p w14:paraId="4433101F" w14:textId="77777777" w:rsidR="00974578" w:rsidRPr="00651006" w:rsidRDefault="002355E9" w:rsidP="00651006">
      <w:pPr>
        <w:rPr>
          <w:b/>
        </w:rPr>
      </w:pPr>
      <w:r>
        <w:rPr>
          <w:b/>
        </w:rPr>
        <w:t>Table B.</w:t>
      </w:r>
      <w:r w:rsidR="00C17B92">
        <w:rPr>
          <w:b/>
        </w:rPr>
        <w:t>3</w:t>
      </w:r>
      <w:r w:rsidR="00974578" w:rsidRPr="00651006">
        <w:rPr>
          <w:b/>
        </w:rPr>
        <w:t>: Telehealth attendance item descriptors</w:t>
      </w:r>
    </w:p>
    <w:tbl>
      <w:tblPr>
        <w:tblStyle w:val="GridTable1Light"/>
        <w:tblW w:w="5034" w:type="pct"/>
        <w:tblLayout w:type="fixed"/>
        <w:tblLook w:val="04A0" w:firstRow="1" w:lastRow="0" w:firstColumn="1" w:lastColumn="0" w:noHBand="0" w:noVBand="1"/>
        <w:tblCaption w:val="Appendix B - Table B.3: Telehealth attendance item descriptors"/>
        <w:tblDescription w:val="Table B.3 has 3 columns. Column 1 is the item level. Column 2 is the duration of the item. Column 3 is the item descriptor. "/>
      </w:tblPr>
      <w:tblGrid>
        <w:gridCol w:w="988"/>
        <w:gridCol w:w="1134"/>
        <w:gridCol w:w="6236"/>
      </w:tblGrid>
      <w:tr w:rsidR="00974578" w:rsidRPr="00C33C0B" w14:paraId="66F5D585"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75FE437C" w14:textId="77777777" w:rsidR="00974578" w:rsidRPr="00C33C0B" w:rsidRDefault="00974578" w:rsidP="00C65B0C">
            <w:pPr>
              <w:spacing w:before="20" w:after="20"/>
              <w:rPr>
                <w:b w:val="0"/>
                <w:bCs w:val="0"/>
                <w:szCs w:val="22"/>
                <w:lang w:val="en-GB"/>
              </w:rPr>
            </w:pPr>
            <w:r w:rsidRPr="00C33C0B">
              <w:rPr>
                <w:bCs w:val="0"/>
                <w:szCs w:val="22"/>
                <w:lang w:val="en-GB"/>
              </w:rPr>
              <w:t>Level (</w:t>
            </w:r>
            <w:r>
              <w:rPr>
                <w:bCs w:val="0"/>
                <w:szCs w:val="22"/>
                <w:lang w:val="en-GB"/>
              </w:rPr>
              <w:t>i</w:t>
            </w:r>
            <w:r w:rsidRPr="00C33C0B">
              <w:rPr>
                <w:bCs w:val="0"/>
                <w:szCs w:val="22"/>
                <w:lang w:val="en-GB"/>
              </w:rPr>
              <w:t>tem</w:t>
            </w:r>
            <w:r>
              <w:rPr>
                <w:bCs w:val="0"/>
                <w:szCs w:val="22"/>
                <w:lang w:val="en-GB"/>
              </w:rPr>
              <w:t>)</w:t>
            </w:r>
            <w:r w:rsidRPr="00C33C0B">
              <w:rPr>
                <w:rStyle w:val="FootnoteReference"/>
                <w:bCs w:val="0"/>
                <w:szCs w:val="22"/>
                <w:lang w:val="en-GB"/>
              </w:rPr>
              <w:footnoteReference w:id="15"/>
            </w:r>
          </w:p>
        </w:tc>
        <w:tc>
          <w:tcPr>
            <w:tcW w:w="1134" w:type="dxa"/>
          </w:tcPr>
          <w:p w14:paraId="366FDE2A" w14:textId="77777777" w:rsidR="00974578" w:rsidRPr="00C33C0B" w:rsidRDefault="00974578" w:rsidP="00C65B0C">
            <w:pPr>
              <w:spacing w:before="20" w:after="20"/>
              <w:cnfStyle w:val="100000000000" w:firstRow="1" w:lastRow="0" w:firstColumn="0" w:lastColumn="0" w:oddVBand="0" w:evenVBand="0" w:oddHBand="0" w:evenHBand="0" w:firstRowFirstColumn="0" w:firstRowLastColumn="0" w:lastRowFirstColumn="0" w:lastRowLastColumn="0"/>
              <w:rPr>
                <w:b w:val="0"/>
                <w:bCs w:val="0"/>
                <w:szCs w:val="22"/>
                <w:lang w:val="en-GB"/>
              </w:rPr>
            </w:pPr>
            <w:r w:rsidRPr="00C33C0B">
              <w:rPr>
                <w:bCs w:val="0"/>
                <w:szCs w:val="22"/>
                <w:lang w:val="en-GB"/>
              </w:rPr>
              <w:t>Duration</w:t>
            </w:r>
          </w:p>
        </w:tc>
        <w:tc>
          <w:tcPr>
            <w:tcW w:w="6236" w:type="dxa"/>
          </w:tcPr>
          <w:p w14:paraId="11EA5CC6" w14:textId="77777777" w:rsidR="00974578" w:rsidRPr="00C33C0B" w:rsidRDefault="00974578" w:rsidP="00C65B0C">
            <w:pPr>
              <w:spacing w:before="20" w:after="20"/>
              <w:cnfStyle w:val="100000000000" w:firstRow="1" w:lastRow="0" w:firstColumn="0" w:lastColumn="0" w:oddVBand="0" w:evenVBand="0" w:oddHBand="0" w:evenHBand="0" w:firstRowFirstColumn="0" w:firstRowLastColumn="0" w:lastRowFirstColumn="0" w:lastRowLastColumn="0"/>
              <w:rPr>
                <w:b w:val="0"/>
                <w:bCs w:val="0"/>
                <w:szCs w:val="22"/>
                <w:lang w:val="en-GB"/>
              </w:rPr>
            </w:pPr>
            <w:r w:rsidRPr="00C33C0B">
              <w:rPr>
                <w:bCs w:val="0"/>
                <w:szCs w:val="22"/>
                <w:lang w:val="en-GB"/>
              </w:rPr>
              <w:t>Item descriptor</w:t>
            </w:r>
          </w:p>
        </w:tc>
      </w:tr>
      <w:tr w:rsidR="00974578" w:rsidRPr="00C33C0B" w14:paraId="593F1708" w14:textId="77777777" w:rsidTr="008A5CDC">
        <w:tc>
          <w:tcPr>
            <w:cnfStyle w:val="001000000000" w:firstRow="0" w:lastRow="0" w:firstColumn="1" w:lastColumn="0" w:oddVBand="0" w:evenVBand="0" w:oddHBand="0" w:evenHBand="0" w:firstRowFirstColumn="0" w:firstRowLastColumn="0" w:lastRowFirstColumn="0" w:lastRowLastColumn="0"/>
            <w:tcW w:w="988" w:type="dxa"/>
          </w:tcPr>
          <w:p w14:paraId="000D3500" w14:textId="77777777" w:rsidR="00974578" w:rsidRPr="00C33C0B" w:rsidRDefault="00974578" w:rsidP="00C65B0C">
            <w:pPr>
              <w:spacing w:before="20" w:after="20"/>
              <w:rPr>
                <w:b/>
                <w:szCs w:val="22"/>
                <w:lang w:val="en-GB"/>
              </w:rPr>
            </w:pPr>
            <w:r>
              <w:rPr>
                <w:szCs w:val="22"/>
                <w:lang w:val="en-GB"/>
              </w:rPr>
              <w:t>Level B</w:t>
            </w:r>
          </w:p>
          <w:p w14:paraId="23D9C002" w14:textId="52820956" w:rsidR="00974578" w:rsidRPr="00C33C0B" w:rsidRDefault="00974578" w:rsidP="00C65B0C">
            <w:pPr>
              <w:spacing w:before="20" w:after="20"/>
              <w:rPr>
                <w:szCs w:val="22"/>
                <w:lang w:val="en-GB"/>
              </w:rPr>
            </w:pPr>
            <w:r>
              <w:rPr>
                <w:szCs w:val="22"/>
                <w:lang w:val="en-GB"/>
              </w:rPr>
              <w:t>(THB</w:t>
            </w:r>
            <w:r w:rsidRPr="00C33C0B">
              <w:rPr>
                <w:szCs w:val="22"/>
                <w:lang w:val="en-GB"/>
              </w:rPr>
              <w:t>)</w:t>
            </w:r>
          </w:p>
        </w:tc>
        <w:tc>
          <w:tcPr>
            <w:tcW w:w="1134" w:type="dxa"/>
          </w:tcPr>
          <w:p w14:paraId="73A7D712" w14:textId="77777777" w:rsidR="00974578" w:rsidRPr="00C33C0B" w:rsidRDefault="00974578"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6-20 minutes</w:t>
            </w:r>
          </w:p>
        </w:tc>
        <w:tc>
          <w:tcPr>
            <w:tcW w:w="6236" w:type="dxa"/>
          </w:tcPr>
          <w:p w14:paraId="08F2CD12" w14:textId="77777777" w:rsidR="00974578" w:rsidRDefault="00974578"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Professional attendance of </w:t>
            </w:r>
            <w:r>
              <w:rPr>
                <w:szCs w:val="22"/>
                <w:lang w:val="en-GB"/>
              </w:rPr>
              <w:t xml:space="preserve">more than 5 </w:t>
            </w:r>
            <w:r w:rsidRPr="00C33C0B">
              <w:rPr>
                <w:szCs w:val="22"/>
                <w:lang w:val="en-GB"/>
              </w:rPr>
              <w:t xml:space="preserve">minutes </w:t>
            </w:r>
            <w:r>
              <w:rPr>
                <w:szCs w:val="22"/>
                <w:lang w:val="en-GB"/>
              </w:rPr>
              <w:t xml:space="preserve">but not more than 20 minutes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w:t>
            </w:r>
            <w:r w:rsidRPr="00176294">
              <w:rPr>
                <w:szCs w:val="22"/>
                <w:lang w:val="en-GB"/>
              </w:rPr>
              <w:t xml:space="preserve">if: </w:t>
            </w:r>
          </w:p>
          <w:p w14:paraId="65B1E502" w14:textId="77777777" w:rsidR="00974578" w:rsidRPr="0010767D" w:rsidRDefault="00974578" w:rsidP="006D43A0">
            <w:pPr>
              <w:pStyle w:val="ListParagraph"/>
              <w:numPr>
                <w:ilvl w:val="0"/>
                <w:numId w:val="126"/>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attendance is by video conference; and </w:t>
            </w:r>
          </w:p>
          <w:p w14:paraId="74AB63C7" w14:textId="77777777" w:rsidR="00974578" w:rsidRPr="0010767D" w:rsidRDefault="00974578" w:rsidP="006D43A0">
            <w:pPr>
              <w:pStyle w:val="ListParagraph"/>
              <w:numPr>
                <w:ilvl w:val="0"/>
                <w:numId w:val="126"/>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patient is not an admitted patient; and </w:t>
            </w:r>
          </w:p>
          <w:p w14:paraId="6E1FB244" w14:textId="77777777" w:rsidR="00974578" w:rsidRPr="0010767D" w:rsidRDefault="00974578" w:rsidP="006D43A0">
            <w:pPr>
              <w:pStyle w:val="ListParagraph"/>
              <w:numPr>
                <w:ilvl w:val="0"/>
                <w:numId w:val="126"/>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patient: </w:t>
            </w:r>
          </w:p>
          <w:p w14:paraId="5106C6F9" w14:textId="77777777" w:rsidR="00974578" w:rsidRPr="0010767D" w:rsidRDefault="00974578" w:rsidP="006D43A0">
            <w:pPr>
              <w:pStyle w:val="ListParagraph"/>
              <w:numPr>
                <w:ilvl w:val="0"/>
                <w:numId w:val="138"/>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located both: (a) within a telehealth eligible area; and (b) at the time of the attendance--at least 15 km by road from the </w:t>
            </w:r>
            <w:r>
              <w:rPr>
                <w:szCs w:val="22"/>
                <w:lang w:val="en-GB"/>
              </w:rPr>
              <w:t xml:space="preserve">consultant </w:t>
            </w:r>
            <w:r w:rsidRPr="0010767D">
              <w:rPr>
                <w:szCs w:val="22"/>
                <w:lang w:val="en-GB"/>
              </w:rPr>
              <w:t xml:space="preserve">specialist; or </w:t>
            </w:r>
          </w:p>
          <w:p w14:paraId="0C0C2A6F" w14:textId="77777777" w:rsidR="00974578" w:rsidRPr="0010767D" w:rsidRDefault="00974578" w:rsidP="006D43A0">
            <w:pPr>
              <w:pStyle w:val="ListParagraph"/>
              <w:numPr>
                <w:ilvl w:val="0"/>
                <w:numId w:val="138"/>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a care recipient in a residential care service; or </w:t>
            </w:r>
          </w:p>
          <w:p w14:paraId="49C48DFC" w14:textId="0BFFDF0C" w:rsidR="00974578" w:rsidRPr="0010767D" w:rsidRDefault="00974578" w:rsidP="006D43A0">
            <w:pPr>
              <w:pStyle w:val="ListParagraph"/>
              <w:numPr>
                <w:ilvl w:val="0"/>
                <w:numId w:val="138"/>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a patient of: (a) an </w:t>
            </w:r>
            <w:r w:rsidR="005F7B53">
              <w:rPr>
                <w:szCs w:val="22"/>
                <w:lang w:val="en-GB"/>
              </w:rPr>
              <w:t>A</w:t>
            </w:r>
            <w:r w:rsidRPr="0010767D">
              <w:rPr>
                <w:szCs w:val="22"/>
                <w:lang w:val="en-GB"/>
              </w:rPr>
              <w:t xml:space="preserve">boriginal </w:t>
            </w:r>
            <w:r w:rsidR="005F7B53">
              <w:rPr>
                <w:szCs w:val="22"/>
                <w:lang w:val="en-GB"/>
              </w:rPr>
              <w:t>M</w:t>
            </w:r>
            <w:r w:rsidRPr="0010767D">
              <w:rPr>
                <w:szCs w:val="22"/>
                <w:lang w:val="en-GB"/>
              </w:rPr>
              <w:t xml:space="preserve">edical </w:t>
            </w:r>
            <w:r w:rsidR="005F7B53">
              <w:rPr>
                <w:szCs w:val="22"/>
                <w:lang w:val="en-GB"/>
              </w:rPr>
              <w:t>S</w:t>
            </w:r>
            <w:r w:rsidRPr="0010767D">
              <w:rPr>
                <w:szCs w:val="22"/>
                <w:lang w:val="en-GB"/>
              </w:rPr>
              <w:t>ervice; or (b) an aboriginal community controlled health service; for which a direction made under subsection 19(2) of the act applies.</w:t>
            </w:r>
          </w:p>
          <w:p w14:paraId="3A2CE628" w14:textId="77777777" w:rsidR="00974578" w:rsidRPr="00C33C0B" w:rsidRDefault="00974578" w:rsidP="00875408">
            <w:pPr>
              <w:spacing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An attendance </w:t>
            </w:r>
            <w:r w:rsidRPr="00C33C0B">
              <w:rPr>
                <w:szCs w:val="22"/>
                <w:lang w:val="en-GB"/>
              </w:rPr>
              <w:t>including any of the following that are clinically relevant:</w:t>
            </w:r>
          </w:p>
          <w:p w14:paraId="6786500A" w14:textId="77777777" w:rsidR="00974578" w:rsidRDefault="00974578" w:rsidP="006D43A0">
            <w:pPr>
              <w:pStyle w:val="ListParagraph"/>
              <w:numPr>
                <w:ilvl w:val="0"/>
                <w:numId w:val="121"/>
              </w:numPr>
              <w:spacing w:before="20" w:after="20"/>
              <w:ind w:left="36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a </w:t>
            </w:r>
            <w:r>
              <w:rPr>
                <w:szCs w:val="22"/>
                <w:lang w:val="en-GB"/>
              </w:rPr>
              <w:t>focused</w:t>
            </w:r>
            <w:r w:rsidRPr="00C33C0B">
              <w:rPr>
                <w:szCs w:val="22"/>
                <w:lang w:val="en-GB"/>
              </w:rPr>
              <w:t xml:space="preserve"> patient history </w:t>
            </w:r>
          </w:p>
          <w:p w14:paraId="26B982B9" w14:textId="77777777" w:rsidR="00974578" w:rsidRPr="00C33C0B" w:rsidRDefault="00974578" w:rsidP="006D43A0">
            <w:pPr>
              <w:pStyle w:val="ListParagraph"/>
              <w:numPr>
                <w:ilvl w:val="0"/>
                <w:numId w:val="121"/>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implementing a management plan</w:t>
            </w:r>
          </w:p>
          <w:p w14:paraId="35D8CD0C" w14:textId="77777777" w:rsidR="00974578" w:rsidRPr="0010767D" w:rsidRDefault="00974578" w:rsidP="006D43A0">
            <w:pPr>
              <w:pStyle w:val="ListParagraph"/>
              <w:numPr>
                <w:ilvl w:val="0"/>
                <w:numId w:val="121"/>
              </w:numPr>
              <w:spacing w:before="20" w:after="20"/>
              <w:ind w:left="357" w:hanging="357"/>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outcomes documented and communicated in writing to the referring practitioner</w:t>
            </w:r>
          </w:p>
        </w:tc>
      </w:tr>
      <w:tr w:rsidR="00974578" w:rsidRPr="00C33C0B" w14:paraId="294BF443" w14:textId="77777777" w:rsidTr="008A5CDC">
        <w:tc>
          <w:tcPr>
            <w:cnfStyle w:val="001000000000" w:firstRow="0" w:lastRow="0" w:firstColumn="1" w:lastColumn="0" w:oddVBand="0" w:evenVBand="0" w:oddHBand="0" w:evenHBand="0" w:firstRowFirstColumn="0" w:firstRowLastColumn="0" w:lastRowFirstColumn="0" w:lastRowLastColumn="0"/>
            <w:tcW w:w="988" w:type="dxa"/>
          </w:tcPr>
          <w:p w14:paraId="6463674B" w14:textId="77777777" w:rsidR="00974578" w:rsidRPr="00C33C0B" w:rsidRDefault="00974578" w:rsidP="00C65B0C">
            <w:pPr>
              <w:spacing w:before="20" w:after="20"/>
              <w:rPr>
                <w:b/>
                <w:szCs w:val="22"/>
                <w:lang w:val="en-GB"/>
              </w:rPr>
            </w:pPr>
            <w:r>
              <w:rPr>
                <w:szCs w:val="22"/>
                <w:lang w:val="en-GB"/>
              </w:rPr>
              <w:t>Level C</w:t>
            </w:r>
          </w:p>
          <w:p w14:paraId="547E9CD5" w14:textId="77777777" w:rsidR="00974578" w:rsidRPr="0006272C" w:rsidRDefault="00974578" w:rsidP="00C65B0C">
            <w:pPr>
              <w:spacing w:before="20" w:after="20"/>
              <w:rPr>
                <w:szCs w:val="22"/>
                <w:lang w:val="en-GB"/>
              </w:rPr>
            </w:pPr>
            <w:r>
              <w:rPr>
                <w:szCs w:val="22"/>
                <w:lang w:val="en-GB"/>
              </w:rPr>
              <w:t>(THC</w:t>
            </w:r>
            <w:r w:rsidRPr="00C33C0B">
              <w:rPr>
                <w:szCs w:val="22"/>
                <w:lang w:val="en-GB"/>
              </w:rPr>
              <w:t>)</w:t>
            </w:r>
          </w:p>
        </w:tc>
        <w:tc>
          <w:tcPr>
            <w:tcW w:w="1134" w:type="dxa"/>
          </w:tcPr>
          <w:p w14:paraId="1853897F" w14:textId="77777777" w:rsidR="00974578" w:rsidRDefault="00974578"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21-40 minutes</w:t>
            </w:r>
          </w:p>
        </w:tc>
        <w:tc>
          <w:tcPr>
            <w:tcW w:w="6236" w:type="dxa"/>
          </w:tcPr>
          <w:p w14:paraId="57CE991D" w14:textId="77777777" w:rsidR="00974578" w:rsidRDefault="00974578"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Professional attendance of </w:t>
            </w:r>
            <w:r>
              <w:rPr>
                <w:szCs w:val="22"/>
                <w:lang w:val="en-GB"/>
              </w:rPr>
              <w:t xml:space="preserve">more than 20 </w:t>
            </w:r>
            <w:r w:rsidRPr="00C33C0B">
              <w:rPr>
                <w:szCs w:val="22"/>
                <w:lang w:val="en-GB"/>
              </w:rPr>
              <w:t xml:space="preserve">minutes </w:t>
            </w:r>
            <w:r>
              <w:rPr>
                <w:szCs w:val="22"/>
                <w:lang w:val="en-GB"/>
              </w:rPr>
              <w:t xml:space="preserve">but not more than 40 minutes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w:t>
            </w:r>
            <w:r w:rsidRPr="00176294">
              <w:rPr>
                <w:szCs w:val="22"/>
                <w:lang w:val="en-GB"/>
              </w:rPr>
              <w:t xml:space="preserve">if: </w:t>
            </w:r>
          </w:p>
          <w:p w14:paraId="2BD4CE6B" w14:textId="77777777" w:rsidR="00974578" w:rsidRPr="0010767D" w:rsidRDefault="00974578" w:rsidP="006D43A0">
            <w:pPr>
              <w:pStyle w:val="ListParagraph"/>
              <w:numPr>
                <w:ilvl w:val="0"/>
                <w:numId w:val="139"/>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attendance is by video conference; and </w:t>
            </w:r>
          </w:p>
          <w:p w14:paraId="1DFFB365" w14:textId="77777777" w:rsidR="00974578" w:rsidRPr="0010767D" w:rsidRDefault="00974578" w:rsidP="006D43A0">
            <w:pPr>
              <w:pStyle w:val="ListParagraph"/>
              <w:numPr>
                <w:ilvl w:val="0"/>
                <w:numId w:val="139"/>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patient is not an admitted patient; and </w:t>
            </w:r>
          </w:p>
          <w:p w14:paraId="7591D8F8" w14:textId="77777777" w:rsidR="00974578" w:rsidRPr="0010767D" w:rsidRDefault="00974578" w:rsidP="006D43A0">
            <w:pPr>
              <w:pStyle w:val="ListParagraph"/>
              <w:numPr>
                <w:ilvl w:val="0"/>
                <w:numId w:val="139"/>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patient: </w:t>
            </w:r>
          </w:p>
          <w:p w14:paraId="773D9388" w14:textId="77777777" w:rsidR="00974578" w:rsidRPr="0010767D" w:rsidRDefault="00974578" w:rsidP="006D43A0">
            <w:pPr>
              <w:pStyle w:val="ListParagraph"/>
              <w:numPr>
                <w:ilvl w:val="0"/>
                <w:numId w:val="140"/>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located both: (a) within a telehealth eligible area; and (b) at the time of the attendance--at least 15 km by road from the </w:t>
            </w:r>
            <w:r>
              <w:rPr>
                <w:szCs w:val="22"/>
                <w:lang w:val="en-GB"/>
              </w:rPr>
              <w:t xml:space="preserve">consultant </w:t>
            </w:r>
            <w:r w:rsidRPr="0010767D">
              <w:rPr>
                <w:szCs w:val="22"/>
                <w:lang w:val="en-GB"/>
              </w:rPr>
              <w:t xml:space="preserve">specialist; or </w:t>
            </w:r>
          </w:p>
          <w:p w14:paraId="1051C8E9" w14:textId="77777777" w:rsidR="00974578" w:rsidRPr="0010767D" w:rsidRDefault="00974578" w:rsidP="006D43A0">
            <w:pPr>
              <w:pStyle w:val="ListParagraph"/>
              <w:numPr>
                <w:ilvl w:val="0"/>
                <w:numId w:val="140"/>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a care recipient in a residential care service; or </w:t>
            </w:r>
          </w:p>
          <w:p w14:paraId="2C9559E7" w14:textId="6437C4EC" w:rsidR="00974578" w:rsidRPr="0010767D" w:rsidRDefault="00974578" w:rsidP="006D43A0">
            <w:pPr>
              <w:pStyle w:val="ListParagraph"/>
              <w:numPr>
                <w:ilvl w:val="0"/>
                <w:numId w:val="140"/>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a patient of: (a) an </w:t>
            </w:r>
            <w:r w:rsidR="005F7B53">
              <w:rPr>
                <w:szCs w:val="22"/>
                <w:lang w:val="en-GB"/>
              </w:rPr>
              <w:t>A</w:t>
            </w:r>
            <w:r w:rsidRPr="0010767D">
              <w:rPr>
                <w:szCs w:val="22"/>
                <w:lang w:val="en-GB"/>
              </w:rPr>
              <w:t xml:space="preserve">boriginal </w:t>
            </w:r>
            <w:r w:rsidR="005F7B53">
              <w:rPr>
                <w:szCs w:val="22"/>
                <w:lang w:val="en-GB"/>
              </w:rPr>
              <w:t>M</w:t>
            </w:r>
            <w:r w:rsidRPr="0010767D">
              <w:rPr>
                <w:szCs w:val="22"/>
                <w:lang w:val="en-GB"/>
              </w:rPr>
              <w:t xml:space="preserve">edical </w:t>
            </w:r>
            <w:r w:rsidR="005F7B53">
              <w:rPr>
                <w:szCs w:val="22"/>
                <w:lang w:val="en-GB"/>
              </w:rPr>
              <w:t>S</w:t>
            </w:r>
            <w:r w:rsidRPr="0010767D">
              <w:rPr>
                <w:szCs w:val="22"/>
                <w:lang w:val="en-GB"/>
              </w:rPr>
              <w:t>ervice; or (b) an aboriginal community controlled health service; for which a direction made under subsection 19(2) of the act applies.</w:t>
            </w:r>
          </w:p>
          <w:p w14:paraId="308BB15A" w14:textId="77777777" w:rsidR="00974578" w:rsidRPr="00C33C0B" w:rsidRDefault="00974578" w:rsidP="00875408">
            <w:pPr>
              <w:spacing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An attendance </w:t>
            </w:r>
            <w:r w:rsidRPr="00C33C0B">
              <w:rPr>
                <w:szCs w:val="22"/>
                <w:lang w:val="en-GB"/>
              </w:rPr>
              <w:t>including any of the following that are clinically relevant:</w:t>
            </w:r>
          </w:p>
          <w:p w14:paraId="7A1F87CF" w14:textId="77777777" w:rsidR="00974578" w:rsidRPr="0010767D" w:rsidRDefault="00974578" w:rsidP="006D43A0">
            <w:pPr>
              <w:pStyle w:val="ListParagraph"/>
              <w:numPr>
                <w:ilvl w:val="0"/>
                <w:numId w:val="14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detailed patient history of a major single or multiple minor conditions</w:t>
            </w:r>
          </w:p>
          <w:p w14:paraId="26AA004B" w14:textId="77777777" w:rsidR="00974578" w:rsidRPr="0010767D" w:rsidRDefault="00974578" w:rsidP="006D43A0">
            <w:pPr>
              <w:pStyle w:val="ListParagraph"/>
              <w:numPr>
                <w:ilvl w:val="0"/>
                <w:numId w:val="14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single or multiple minor diagnostic problems considered</w:t>
            </w:r>
          </w:p>
          <w:p w14:paraId="62DA0CE5" w14:textId="77777777" w:rsidR="00974578" w:rsidRPr="001969CC" w:rsidRDefault="00974578" w:rsidP="006D43A0">
            <w:pPr>
              <w:pStyle w:val="ListParagraph"/>
              <w:numPr>
                <w:ilvl w:val="0"/>
                <w:numId w:val="14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a non-complex management plan</w:t>
            </w:r>
            <w:r>
              <w:rPr>
                <w:szCs w:val="22"/>
                <w:lang w:val="en-GB"/>
              </w:rPr>
              <w:t xml:space="preserve"> </w:t>
            </w:r>
            <w:r w:rsidRPr="001969CC">
              <w:rPr>
                <w:szCs w:val="22"/>
                <w:lang w:val="en-GB"/>
              </w:rPr>
              <w:t>and, if required;</w:t>
            </w:r>
          </w:p>
          <w:p w14:paraId="622D8A40" w14:textId="77777777" w:rsidR="00974578" w:rsidRPr="0010767D" w:rsidRDefault="00974578" w:rsidP="006D43A0">
            <w:pPr>
              <w:pStyle w:val="ListParagraph"/>
              <w:numPr>
                <w:ilvl w:val="0"/>
                <w:numId w:val="14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discussion of multiple treatment options available, including;</w:t>
            </w:r>
          </w:p>
          <w:p w14:paraId="081DAA05" w14:textId="77777777" w:rsidR="00974578" w:rsidRPr="00F30EE1" w:rsidRDefault="00974578" w:rsidP="00F30EE1">
            <w:pPr>
              <w:cnfStyle w:val="000000000000" w:firstRow="0" w:lastRow="0" w:firstColumn="0" w:lastColumn="0" w:oddVBand="0" w:evenVBand="0" w:oddHBand="0" w:evenHBand="0" w:firstRowFirstColumn="0" w:firstRowLastColumn="0" w:lastRowFirstColumn="0" w:lastRowLastColumn="0"/>
            </w:pPr>
            <w:r w:rsidRPr="00F30EE1">
              <w:t>i. Discussion of treatment options to assess pros and cons of each option given patient characteristics and medical history</w:t>
            </w:r>
          </w:p>
          <w:p w14:paraId="75104373" w14:textId="77777777" w:rsidR="00974578" w:rsidRPr="00F30EE1" w:rsidRDefault="00974578" w:rsidP="00F30EE1">
            <w:pPr>
              <w:cnfStyle w:val="000000000000" w:firstRow="0" w:lastRow="0" w:firstColumn="0" w:lastColumn="0" w:oddVBand="0" w:evenVBand="0" w:oddHBand="0" w:evenHBand="0" w:firstRowFirstColumn="0" w:firstRowLastColumn="0" w:lastRowFirstColumn="0" w:lastRowLastColumn="0"/>
            </w:pPr>
            <w:r w:rsidRPr="00F30EE1">
              <w:t>ii. Consideration and discussion of necessary referrals to other health professionals</w:t>
            </w:r>
          </w:p>
          <w:p w14:paraId="0BF8977B" w14:textId="77777777" w:rsidR="00974578" w:rsidRPr="00F30EE1" w:rsidRDefault="00974578" w:rsidP="00F30EE1">
            <w:pPr>
              <w:cnfStyle w:val="000000000000" w:firstRow="0" w:lastRow="0" w:firstColumn="0" w:lastColumn="0" w:oddVBand="0" w:evenVBand="0" w:oddHBand="0" w:evenHBand="0" w:firstRowFirstColumn="0" w:firstRowLastColumn="0" w:lastRowFirstColumn="0" w:lastRowLastColumn="0"/>
            </w:pPr>
            <w:r w:rsidRPr="00F30EE1">
              <w:t>iii. Written documentation made available for the patient and/or carer that outlines treatment options and information on associated risks and benefits</w:t>
            </w:r>
          </w:p>
          <w:p w14:paraId="5AD7F12B" w14:textId="77777777" w:rsidR="00974578" w:rsidRPr="00C33C0B" w:rsidRDefault="00974578" w:rsidP="006D43A0">
            <w:pPr>
              <w:numPr>
                <w:ilvl w:val="0"/>
                <w:numId w:val="141"/>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outcomes documented and communicated in writing to the referring practitioner </w:t>
            </w:r>
            <w:r w:rsidRPr="0010767D">
              <w:rPr>
                <w:szCs w:val="22"/>
                <w:lang w:val="en-GB"/>
              </w:rPr>
              <w:t xml:space="preserve"> </w:t>
            </w:r>
          </w:p>
        </w:tc>
      </w:tr>
      <w:tr w:rsidR="00974578" w:rsidRPr="00C33C0B" w14:paraId="1D471E0C" w14:textId="77777777" w:rsidTr="008A5CDC">
        <w:tc>
          <w:tcPr>
            <w:cnfStyle w:val="001000000000" w:firstRow="0" w:lastRow="0" w:firstColumn="1" w:lastColumn="0" w:oddVBand="0" w:evenVBand="0" w:oddHBand="0" w:evenHBand="0" w:firstRowFirstColumn="0" w:firstRowLastColumn="0" w:lastRowFirstColumn="0" w:lastRowLastColumn="0"/>
            <w:tcW w:w="988" w:type="dxa"/>
          </w:tcPr>
          <w:p w14:paraId="61E6688F" w14:textId="77777777" w:rsidR="00974578" w:rsidRPr="00C33C0B" w:rsidRDefault="00974578" w:rsidP="00C65B0C">
            <w:pPr>
              <w:spacing w:before="20" w:after="20"/>
              <w:rPr>
                <w:b/>
                <w:szCs w:val="22"/>
                <w:lang w:val="en-GB"/>
              </w:rPr>
            </w:pPr>
            <w:r>
              <w:rPr>
                <w:szCs w:val="22"/>
                <w:lang w:val="en-GB"/>
              </w:rPr>
              <w:t xml:space="preserve">Level D </w:t>
            </w:r>
            <w:r w:rsidRPr="0006272C">
              <w:rPr>
                <w:szCs w:val="22"/>
                <w:lang w:val="en-GB"/>
              </w:rPr>
              <w:t>(THC)</w:t>
            </w:r>
          </w:p>
        </w:tc>
        <w:tc>
          <w:tcPr>
            <w:tcW w:w="1134" w:type="dxa"/>
          </w:tcPr>
          <w:p w14:paraId="5F4614F5" w14:textId="77777777" w:rsidR="00974578" w:rsidRDefault="00974578"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41-60 minutes</w:t>
            </w:r>
          </w:p>
        </w:tc>
        <w:tc>
          <w:tcPr>
            <w:tcW w:w="6236" w:type="dxa"/>
          </w:tcPr>
          <w:p w14:paraId="1E9EE122" w14:textId="77777777" w:rsidR="00974578" w:rsidRDefault="00974578"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Professional attendance of </w:t>
            </w:r>
            <w:r>
              <w:rPr>
                <w:szCs w:val="22"/>
                <w:lang w:val="en-GB"/>
              </w:rPr>
              <w:t xml:space="preserve">more than 40 </w:t>
            </w:r>
            <w:r w:rsidRPr="00C33C0B">
              <w:rPr>
                <w:szCs w:val="22"/>
                <w:lang w:val="en-GB"/>
              </w:rPr>
              <w:t xml:space="preserve">minutes </w:t>
            </w:r>
            <w:r>
              <w:rPr>
                <w:szCs w:val="22"/>
                <w:lang w:val="en-GB"/>
              </w:rPr>
              <w:t xml:space="preserve">but not more than 60 minutes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w:t>
            </w:r>
            <w:r w:rsidRPr="00176294">
              <w:rPr>
                <w:szCs w:val="22"/>
                <w:lang w:val="en-GB"/>
              </w:rPr>
              <w:t xml:space="preserve">if: </w:t>
            </w:r>
          </w:p>
          <w:p w14:paraId="502F9EEE" w14:textId="77777777" w:rsidR="00974578" w:rsidRPr="0010767D" w:rsidRDefault="00974578" w:rsidP="006D43A0">
            <w:pPr>
              <w:pStyle w:val="ListParagraph"/>
              <w:numPr>
                <w:ilvl w:val="0"/>
                <w:numId w:val="14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attendance is by video conference; and </w:t>
            </w:r>
          </w:p>
          <w:p w14:paraId="4DF0F889" w14:textId="77777777" w:rsidR="00974578" w:rsidRPr="0010767D" w:rsidRDefault="00974578" w:rsidP="006D43A0">
            <w:pPr>
              <w:pStyle w:val="ListParagraph"/>
              <w:numPr>
                <w:ilvl w:val="0"/>
                <w:numId w:val="14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patient is not an admitted patient; and </w:t>
            </w:r>
          </w:p>
          <w:p w14:paraId="307B8513" w14:textId="77777777" w:rsidR="00974578" w:rsidRPr="0010767D" w:rsidRDefault="00974578" w:rsidP="006D43A0">
            <w:pPr>
              <w:pStyle w:val="ListParagraph"/>
              <w:numPr>
                <w:ilvl w:val="0"/>
                <w:numId w:val="14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patient: </w:t>
            </w:r>
          </w:p>
          <w:p w14:paraId="0DACF38F" w14:textId="77777777" w:rsidR="00974578" w:rsidRPr="0010767D" w:rsidRDefault="00974578" w:rsidP="006D43A0">
            <w:pPr>
              <w:pStyle w:val="ListParagraph"/>
              <w:numPr>
                <w:ilvl w:val="0"/>
                <w:numId w:val="143"/>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located both: (a) within a telehealth eligible area; and (b) at the time of the attendance--at least 15 km by road from the </w:t>
            </w:r>
            <w:r>
              <w:rPr>
                <w:szCs w:val="22"/>
                <w:lang w:val="en-GB"/>
              </w:rPr>
              <w:t xml:space="preserve">consultant </w:t>
            </w:r>
            <w:r w:rsidRPr="0010767D">
              <w:rPr>
                <w:szCs w:val="22"/>
                <w:lang w:val="en-GB"/>
              </w:rPr>
              <w:t xml:space="preserve">specialist; or </w:t>
            </w:r>
          </w:p>
          <w:p w14:paraId="3F087DA1" w14:textId="77777777" w:rsidR="00974578" w:rsidRPr="0010767D" w:rsidRDefault="00974578" w:rsidP="006D43A0">
            <w:pPr>
              <w:pStyle w:val="ListParagraph"/>
              <w:numPr>
                <w:ilvl w:val="0"/>
                <w:numId w:val="143"/>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a care recipient in a residential care service; or </w:t>
            </w:r>
          </w:p>
          <w:p w14:paraId="43C86AAC" w14:textId="19597D6B" w:rsidR="00974578" w:rsidRPr="0010767D" w:rsidRDefault="00974578" w:rsidP="006D43A0">
            <w:pPr>
              <w:pStyle w:val="ListParagraph"/>
              <w:numPr>
                <w:ilvl w:val="0"/>
                <w:numId w:val="143"/>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a patient of: (a) an </w:t>
            </w:r>
            <w:r w:rsidR="005F7B53">
              <w:rPr>
                <w:szCs w:val="22"/>
                <w:lang w:val="en-GB"/>
              </w:rPr>
              <w:t>A</w:t>
            </w:r>
            <w:r w:rsidRPr="0010767D">
              <w:rPr>
                <w:szCs w:val="22"/>
                <w:lang w:val="en-GB"/>
              </w:rPr>
              <w:t xml:space="preserve">boriginal </w:t>
            </w:r>
            <w:r w:rsidR="005F7B53">
              <w:rPr>
                <w:szCs w:val="22"/>
                <w:lang w:val="en-GB"/>
              </w:rPr>
              <w:t>M</w:t>
            </w:r>
            <w:r w:rsidRPr="0010767D">
              <w:rPr>
                <w:szCs w:val="22"/>
                <w:lang w:val="en-GB"/>
              </w:rPr>
              <w:t xml:space="preserve">edical </w:t>
            </w:r>
            <w:r w:rsidR="005F7B53">
              <w:rPr>
                <w:szCs w:val="22"/>
                <w:lang w:val="en-GB"/>
              </w:rPr>
              <w:t>S</w:t>
            </w:r>
            <w:r w:rsidRPr="0010767D">
              <w:rPr>
                <w:szCs w:val="22"/>
                <w:lang w:val="en-GB"/>
              </w:rPr>
              <w:t>ervice; or (b) an aboriginal community controlled health service; for which a direction made under subsection 19(2) of the act applies.</w:t>
            </w:r>
          </w:p>
          <w:p w14:paraId="7620171C" w14:textId="77777777" w:rsidR="00974578" w:rsidRPr="00C33C0B" w:rsidRDefault="00974578" w:rsidP="00875408">
            <w:pPr>
              <w:spacing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An attendance </w:t>
            </w:r>
            <w:r w:rsidRPr="00C33C0B">
              <w:rPr>
                <w:szCs w:val="22"/>
                <w:lang w:val="en-GB"/>
              </w:rPr>
              <w:t>including any of the following that are clinically relevant:</w:t>
            </w:r>
          </w:p>
          <w:p w14:paraId="48238030" w14:textId="77777777" w:rsidR="00974578" w:rsidRPr="00ED4E4E" w:rsidRDefault="00974578" w:rsidP="006D43A0">
            <w:pPr>
              <w:pStyle w:val="ListParagraph"/>
              <w:numPr>
                <w:ilvl w:val="0"/>
                <w:numId w:val="14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969CC">
              <w:rPr>
                <w:szCs w:val="22"/>
                <w:lang w:val="en-GB"/>
              </w:rPr>
              <w:t>comprehensive patient history of multiple conditions or a complex single condition</w:t>
            </w:r>
            <w:r w:rsidRPr="00ED4E4E">
              <w:rPr>
                <w:szCs w:val="22"/>
                <w:lang w:val="en-GB"/>
              </w:rPr>
              <w:t xml:space="preserve"> </w:t>
            </w:r>
          </w:p>
          <w:p w14:paraId="14F98463" w14:textId="77777777" w:rsidR="00974578" w:rsidRPr="001969CC" w:rsidRDefault="00974578" w:rsidP="006D43A0">
            <w:pPr>
              <w:pStyle w:val="ListParagraph"/>
              <w:numPr>
                <w:ilvl w:val="0"/>
                <w:numId w:val="14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969CC">
              <w:rPr>
                <w:szCs w:val="22"/>
                <w:lang w:val="en-GB"/>
              </w:rPr>
              <w:t>multiple diagnostic problems considered</w:t>
            </w:r>
          </w:p>
          <w:p w14:paraId="4358805D" w14:textId="77777777" w:rsidR="00974578" w:rsidRPr="001969CC" w:rsidRDefault="00974578" w:rsidP="006D43A0">
            <w:pPr>
              <w:pStyle w:val="ListParagraph"/>
              <w:numPr>
                <w:ilvl w:val="0"/>
                <w:numId w:val="14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969CC">
              <w:rPr>
                <w:szCs w:val="22"/>
                <w:lang w:val="en-GB"/>
              </w:rPr>
              <w:t>a comprehensive management plan</w:t>
            </w:r>
            <w:r>
              <w:rPr>
                <w:szCs w:val="22"/>
                <w:lang w:val="en-GB"/>
              </w:rPr>
              <w:t xml:space="preserve"> </w:t>
            </w:r>
            <w:r w:rsidRPr="001969CC">
              <w:rPr>
                <w:szCs w:val="22"/>
                <w:lang w:val="en-GB"/>
              </w:rPr>
              <w:t>and, if required;</w:t>
            </w:r>
          </w:p>
          <w:p w14:paraId="354144AE" w14:textId="77777777" w:rsidR="00974578" w:rsidRPr="0010767D" w:rsidRDefault="00974578" w:rsidP="006D43A0">
            <w:pPr>
              <w:pStyle w:val="ListParagraph"/>
              <w:numPr>
                <w:ilvl w:val="0"/>
                <w:numId w:val="14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discussion of multiple treatment options available, including;</w:t>
            </w:r>
          </w:p>
          <w:p w14:paraId="23F49956" w14:textId="77777777" w:rsidR="00974578" w:rsidRPr="00F30EE1" w:rsidRDefault="00974578" w:rsidP="00F30EE1">
            <w:pPr>
              <w:cnfStyle w:val="000000000000" w:firstRow="0" w:lastRow="0" w:firstColumn="0" w:lastColumn="0" w:oddVBand="0" w:evenVBand="0" w:oddHBand="0" w:evenHBand="0" w:firstRowFirstColumn="0" w:firstRowLastColumn="0" w:lastRowFirstColumn="0" w:lastRowLastColumn="0"/>
            </w:pPr>
            <w:r w:rsidRPr="00F30EE1">
              <w:t>i. Discussion of treatment options to assess pros and cons of each option given patient characteristics and medical history</w:t>
            </w:r>
          </w:p>
          <w:p w14:paraId="79AB2EB6" w14:textId="77777777" w:rsidR="00974578" w:rsidRPr="00F30EE1" w:rsidRDefault="00974578" w:rsidP="00F30EE1">
            <w:pPr>
              <w:cnfStyle w:val="000000000000" w:firstRow="0" w:lastRow="0" w:firstColumn="0" w:lastColumn="0" w:oddVBand="0" w:evenVBand="0" w:oddHBand="0" w:evenHBand="0" w:firstRowFirstColumn="0" w:firstRowLastColumn="0" w:lastRowFirstColumn="0" w:lastRowLastColumn="0"/>
            </w:pPr>
            <w:r w:rsidRPr="00F30EE1">
              <w:t>ii. Consideration and discussion of necessary referrals to other health professionals</w:t>
            </w:r>
          </w:p>
          <w:p w14:paraId="372BFE58" w14:textId="77777777" w:rsidR="00974578" w:rsidRPr="00F30EE1" w:rsidRDefault="00974578" w:rsidP="00F30EE1">
            <w:pPr>
              <w:cnfStyle w:val="000000000000" w:firstRow="0" w:lastRow="0" w:firstColumn="0" w:lastColumn="0" w:oddVBand="0" w:evenVBand="0" w:oddHBand="0" w:evenHBand="0" w:firstRowFirstColumn="0" w:firstRowLastColumn="0" w:lastRowFirstColumn="0" w:lastRowLastColumn="0"/>
            </w:pPr>
            <w:r w:rsidRPr="00F30EE1">
              <w:t>iii. Written documentation made available for the patient and/or carer that outlines treatment options and information on associated risks and benefits</w:t>
            </w:r>
          </w:p>
          <w:p w14:paraId="2DC9441F" w14:textId="77777777" w:rsidR="00974578" w:rsidRPr="00F30EE1" w:rsidRDefault="00974578" w:rsidP="00F30EE1">
            <w:pPr>
              <w:cnfStyle w:val="000000000000" w:firstRow="0" w:lastRow="0" w:firstColumn="0" w:lastColumn="0" w:oddVBand="0" w:evenVBand="0" w:oddHBand="0" w:evenHBand="0" w:firstRowFirstColumn="0" w:firstRowLastColumn="0" w:lastRowFirstColumn="0" w:lastRowLastColumn="0"/>
            </w:pPr>
            <w:r w:rsidRPr="00F30EE1">
              <w:t xml:space="preserve">Outcomes documented and communicated in writing to the referring practitioner  </w:t>
            </w:r>
          </w:p>
        </w:tc>
      </w:tr>
      <w:tr w:rsidR="00974578" w:rsidRPr="00C33C0B" w14:paraId="39C745B3" w14:textId="77777777" w:rsidTr="008A5CDC">
        <w:tc>
          <w:tcPr>
            <w:cnfStyle w:val="001000000000" w:firstRow="0" w:lastRow="0" w:firstColumn="1" w:lastColumn="0" w:oddVBand="0" w:evenVBand="0" w:oddHBand="0" w:evenHBand="0" w:firstRowFirstColumn="0" w:firstRowLastColumn="0" w:lastRowFirstColumn="0" w:lastRowLastColumn="0"/>
            <w:tcW w:w="988" w:type="dxa"/>
          </w:tcPr>
          <w:p w14:paraId="4C588275" w14:textId="77777777" w:rsidR="00974578" w:rsidRPr="0006272C" w:rsidRDefault="00974578" w:rsidP="00C65B0C">
            <w:pPr>
              <w:spacing w:before="20" w:after="20"/>
              <w:rPr>
                <w:szCs w:val="22"/>
                <w:lang w:val="en-GB"/>
              </w:rPr>
            </w:pPr>
            <w:r>
              <w:rPr>
                <w:szCs w:val="22"/>
                <w:lang w:val="en-GB"/>
              </w:rPr>
              <w:t>Level E (THE)</w:t>
            </w:r>
          </w:p>
        </w:tc>
        <w:tc>
          <w:tcPr>
            <w:tcW w:w="1134" w:type="dxa"/>
          </w:tcPr>
          <w:p w14:paraId="7A91A302" w14:textId="77777777" w:rsidR="00974578" w:rsidRDefault="00974578"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More than 60 minutes</w:t>
            </w:r>
          </w:p>
        </w:tc>
        <w:tc>
          <w:tcPr>
            <w:tcW w:w="6236" w:type="dxa"/>
          </w:tcPr>
          <w:p w14:paraId="40278222" w14:textId="77777777" w:rsidR="00974578" w:rsidRDefault="00974578"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Professional attendance of </w:t>
            </w:r>
            <w:r>
              <w:rPr>
                <w:szCs w:val="22"/>
                <w:lang w:val="en-GB"/>
              </w:rPr>
              <w:t xml:space="preserve">more than 60 </w:t>
            </w:r>
            <w:r w:rsidRPr="00C33C0B">
              <w:rPr>
                <w:szCs w:val="22"/>
                <w:lang w:val="en-GB"/>
              </w:rPr>
              <w:t xml:space="preserve">minutes by a </w:t>
            </w:r>
            <w:r>
              <w:rPr>
                <w:szCs w:val="22"/>
                <w:lang w:val="en-GB"/>
              </w:rPr>
              <w:t>consultant specialist</w:t>
            </w:r>
            <w:r w:rsidRPr="00C33C0B">
              <w:rPr>
                <w:szCs w:val="22"/>
                <w:lang w:val="en-GB"/>
              </w:rPr>
              <w:t xml:space="preserve"> in the practice of his or her speciality </w:t>
            </w:r>
            <w:r w:rsidRPr="00176294">
              <w:rPr>
                <w:szCs w:val="22"/>
                <w:lang w:val="en-GB"/>
              </w:rPr>
              <w:t xml:space="preserve">if: </w:t>
            </w:r>
          </w:p>
          <w:p w14:paraId="46B81650" w14:textId="77777777" w:rsidR="00974578" w:rsidRPr="0010767D" w:rsidRDefault="00974578" w:rsidP="006D43A0">
            <w:pPr>
              <w:pStyle w:val="ListParagraph"/>
              <w:numPr>
                <w:ilvl w:val="0"/>
                <w:numId w:val="145"/>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attendance is by video conference; and </w:t>
            </w:r>
          </w:p>
          <w:p w14:paraId="1F3CCB3D" w14:textId="77777777" w:rsidR="00974578" w:rsidRPr="0010767D" w:rsidRDefault="00974578" w:rsidP="006D43A0">
            <w:pPr>
              <w:pStyle w:val="ListParagraph"/>
              <w:numPr>
                <w:ilvl w:val="0"/>
                <w:numId w:val="145"/>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patient is not an admitted patient; and </w:t>
            </w:r>
          </w:p>
          <w:p w14:paraId="7A4DA445" w14:textId="77777777" w:rsidR="00974578" w:rsidRPr="0010767D" w:rsidRDefault="00974578" w:rsidP="006D43A0">
            <w:pPr>
              <w:pStyle w:val="ListParagraph"/>
              <w:numPr>
                <w:ilvl w:val="0"/>
                <w:numId w:val="145"/>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the patient: </w:t>
            </w:r>
          </w:p>
          <w:p w14:paraId="0FA3E55A" w14:textId="77777777" w:rsidR="00974578" w:rsidRPr="0010767D" w:rsidRDefault="00974578" w:rsidP="006D43A0">
            <w:pPr>
              <w:pStyle w:val="ListParagraph"/>
              <w:numPr>
                <w:ilvl w:val="0"/>
                <w:numId w:val="146"/>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located both: (a) within a telehealth eligible area; and (b) at the time of the attendance--at least 15 km by road from </w:t>
            </w:r>
            <w:r>
              <w:rPr>
                <w:szCs w:val="22"/>
                <w:lang w:val="en-GB"/>
              </w:rPr>
              <w:t xml:space="preserve">consultant </w:t>
            </w:r>
            <w:r w:rsidRPr="0010767D">
              <w:rPr>
                <w:szCs w:val="22"/>
                <w:lang w:val="en-GB"/>
              </w:rPr>
              <w:t xml:space="preserve">specialist; or </w:t>
            </w:r>
          </w:p>
          <w:p w14:paraId="1DA271F5" w14:textId="77777777" w:rsidR="00974578" w:rsidRPr="0010767D" w:rsidRDefault="00974578" w:rsidP="006D43A0">
            <w:pPr>
              <w:pStyle w:val="ListParagraph"/>
              <w:numPr>
                <w:ilvl w:val="0"/>
                <w:numId w:val="146"/>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a care recipient in a residential care service; or </w:t>
            </w:r>
          </w:p>
          <w:p w14:paraId="7BFA89AF" w14:textId="2ED8DF40" w:rsidR="00974578" w:rsidRPr="0010767D" w:rsidRDefault="00974578" w:rsidP="006D43A0">
            <w:pPr>
              <w:pStyle w:val="ListParagraph"/>
              <w:numPr>
                <w:ilvl w:val="0"/>
                <w:numId w:val="146"/>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 xml:space="preserve">is a patient of: (a) an </w:t>
            </w:r>
            <w:r w:rsidR="005F7B53">
              <w:rPr>
                <w:szCs w:val="22"/>
                <w:lang w:val="en-GB"/>
              </w:rPr>
              <w:t>A</w:t>
            </w:r>
            <w:r w:rsidRPr="0010767D">
              <w:rPr>
                <w:szCs w:val="22"/>
                <w:lang w:val="en-GB"/>
              </w:rPr>
              <w:t xml:space="preserve">boriginal </w:t>
            </w:r>
            <w:r w:rsidR="005F7B53">
              <w:rPr>
                <w:szCs w:val="22"/>
                <w:lang w:val="en-GB"/>
              </w:rPr>
              <w:t>M</w:t>
            </w:r>
            <w:r w:rsidRPr="0010767D">
              <w:rPr>
                <w:szCs w:val="22"/>
                <w:lang w:val="en-GB"/>
              </w:rPr>
              <w:t xml:space="preserve">edical </w:t>
            </w:r>
            <w:r w:rsidR="005F7B53">
              <w:rPr>
                <w:szCs w:val="22"/>
                <w:lang w:val="en-GB"/>
              </w:rPr>
              <w:t>S</w:t>
            </w:r>
            <w:r w:rsidRPr="0010767D">
              <w:rPr>
                <w:szCs w:val="22"/>
                <w:lang w:val="en-GB"/>
              </w:rPr>
              <w:t>ervice; or (b) an aboriginal community controlled health service; for which a direction made under subsection 19(2) of the act applies.</w:t>
            </w:r>
          </w:p>
          <w:p w14:paraId="504DAEF4" w14:textId="77777777" w:rsidR="00974578" w:rsidRPr="00C33C0B" w:rsidRDefault="00974578" w:rsidP="00C65B0C">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An attendance </w:t>
            </w:r>
            <w:r w:rsidRPr="00C33C0B">
              <w:rPr>
                <w:szCs w:val="22"/>
                <w:lang w:val="en-GB"/>
              </w:rPr>
              <w:t>including any of the following that are clinically relevant:</w:t>
            </w:r>
          </w:p>
          <w:p w14:paraId="4F3DAA25" w14:textId="77777777" w:rsidR="00974578" w:rsidRPr="00ED4E4E" w:rsidRDefault="00974578" w:rsidP="006D43A0">
            <w:pPr>
              <w:pStyle w:val="ListParagraph"/>
              <w:numPr>
                <w:ilvl w:val="0"/>
                <w:numId w:val="147"/>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ED4E4E">
              <w:rPr>
                <w:szCs w:val="22"/>
                <w:lang w:val="en-GB"/>
              </w:rPr>
              <w:t xml:space="preserve">extensive history of multiple complex conditions </w:t>
            </w:r>
          </w:p>
          <w:p w14:paraId="0BB52FAD" w14:textId="77777777" w:rsidR="00974578" w:rsidRPr="00ED4E4E" w:rsidRDefault="00974578" w:rsidP="006D43A0">
            <w:pPr>
              <w:pStyle w:val="ListParagraph"/>
              <w:numPr>
                <w:ilvl w:val="0"/>
                <w:numId w:val="147"/>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ED4E4E">
              <w:rPr>
                <w:szCs w:val="22"/>
                <w:lang w:val="en-GB"/>
              </w:rPr>
              <w:t>multiple complex diagnoses considered</w:t>
            </w:r>
          </w:p>
          <w:p w14:paraId="40F2B858" w14:textId="77777777" w:rsidR="00974578" w:rsidRPr="0006272C" w:rsidRDefault="00974578" w:rsidP="006D43A0">
            <w:pPr>
              <w:pStyle w:val="ListParagraph"/>
              <w:numPr>
                <w:ilvl w:val="0"/>
                <w:numId w:val="147"/>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06272C">
              <w:rPr>
                <w:szCs w:val="22"/>
                <w:lang w:val="en-GB"/>
              </w:rPr>
              <w:t>a comprehensive management plan and, if required;</w:t>
            </w:r>
          </w:p>
          <w:p w14:paraId="3A96E029" w14:textId="77777777" w:rsidR="00974578" w:rsidRPr="0010767D" w:rsidRDefault="00974578" w:rsidP="006D43A0">
            <w:pPr>
              <w:pStyle w:val="ListParagraph"/>
              <w:numPr>
                <w:ilvl w:val="0"/>
                <w:numId w:val="147"/>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10767D">
              <w:rPr>
                <w:szCs w:val="22"/>
                <w:lang w:val="en-GB"/>
              </w:rPr>
              <w:t>discussion of multiple treatment options available, including;</w:t>
            </w:r>
          </w:p>
          <w:p w14:paraId="492256B7" w14:textId="7E97D2B4" w:rsidR="00974578" w:rsidRPr="000419D9" w:rsidRDefault="00974578" w:rsidP="000419D9">
            <w:pPr>
              <w:pStyle w:val="ListParagraph"/>
              <w:numPr>
                <w:ilvl w:val="0"/>
                <w:numId w:val="170"/>
              </w:numPr>
              <w:cnfStyle w:val="000000000000" w:firstRow="0" w:lastRow="0" w:firstColumn="0" w:lastColumn="0" w:oddVBand="0" w:evenVBand="0" w:oddHBand="0" w:evenHBand="0" w:firstRowFirstColumn="0" w:firstRowLastColumn="0" w:lastRowFirstColumn="0" w:lastRowLastColumn="0"/>
            </w:pPr>
            <w:r w:rsidRPr="000419D9">
              <w:t>Discussion of treatment options to assess pros and cons of each option given patient characteristics and medical history</w:t>
            </w:r>
          </w:p>
          <w:p w14:paraId="456591CE" w14:textId="6B9EB821" w:rsidR="00974578" w:rsidRPr="000419D9" w:rsidRDefault="00974578" w:rsidP="000419D9">
            <w:pPr>
              <w:pStyle w:val="ListParagraph"/>
              <w:numPr>
                <w:ilvl w:val="0"/>
                <w:numId w:val="170"/>
              </w:numPr>
              <w:cnfStyle w:val="000000000000" w:firstRow="0" w:lastRow="0" w:firstColumn="0" w:lastColumn="0" w:oddVBand="0" w:evenVBand="0" w:oddHBand="0" w:evenHBand="0" w:firstRowFirstColumn="0" w:firstRowLastColumn="0" w:lastRowFirstColumn="0" w:lastRowLastColumn="0"/>
            </w:pPr>
            <w:r w:rsidRPr="000419D9">
              <w:t>Consideration and discussion of necessary referrals to other health professionals</w:t>
            </w:r>
          </w:p>
          <w:p w14:paraId="6497782E" w14:textId="6C7623CC" w:rsidR="00974578" w:rsidRPr="000419D9" w:rsidRDefault="00974578" w:rsidP="000419D9">
            <w:pPr>
              <w:pStyle w:val="ListParagraph"/>
              <w:numPr>
                <w:ilvl w:val="0"/>
                <w:numId w:val="170"/>
              </w:numPr>
              <w:cnfStyle w:val="000000000000" w:firstRow="0" w:lastRow="0" w:firstColumn="0" w:lastColumn="0" w:oddVBand="0" w:evenVBand="0" w:oddHBand="0" w:evenHBand="0" w:firstRowFirstColumn="0" w:firstRowLastColumn="0" w:lastRowFirstColumn="0" w:lastRowLastColumn="0"/>
            </w:pPr>
            <w:r w:rsidRPr="000419D9">
              <w:t>Written documentation made available for the patient and/or carer that outlines treatment options and information on associated risks and benefits</w:t>
            </w:r>
          </w:p>
          <w:p w14:paraId="21EA6F94" w14:textId="77777777" w:rsidR="00974578" w:rsidRPr="0006272C" w:rsidRDefault="00974578" w:rsidP="006D43A0">
            <w:pPr>
              <w:pStyle w:val="ListParagraph"/>
              <w:numPr>
                <w:ilvl w:val="0"/>
                <w:numId w:val="147"/>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06272C">
              <w:rPr>
                <w:szCs w:val="22"/>
                <w:lang w:val="en-GB"/>
              </w:rPr>
              <w:t xml:space="preserve">Outcomes documented and communicated in writing to the referring practitioner  </w:t>
            </w:r>
          </w:p>
        </w:tc>
      </w:tr>
    </w:tbl>
    <w:p w14:paraId="2CC9C210" w14:textId="12F42756" w:rsidR="00940D6E" w:rsidRPr="00940D6E" w:rsidRDefault="00940D6E" w:rsidP="00C035DF">
      <w:pPr>
        <w:keepNext/>
        <w:rPr>
          <w:b/>
          <w:bCs/>
          <w:iCs/>
          <w:lang w:val="en-US" w:eastAsia="en-US"/>
        </w:rPr>
      </w:pPr>
      <w:r w:rsidRPr="00940D6E">
        <w:rPr>
          <w:b/>
          <w:bCs/>
          <w:iCs/>
          <w:lang w:val="en-US" w:eastAsia="en-US"/>
        </w:rPr>
        <w:t xml:space="preserve">Recommendation </w:t>
      </w:r>
      <w:r w:rsidR="00FC6719">
        <w:rPr>
          <w:b/>
          <w:bCs/>
          <w:iCs/>
          <w:lang w:val="en-US" w:eastAsia="en-US"/>
        </w:rPr>
        <w:t>10</w:t>
      </w:r>
      <w:r w:rsidRPr="00940D6E">
        <w:rPr>
          <w:b/>
          <w:bCs/>
          <w:iCs/>
          <w:lang w:val="en-US" w:eastAsia="en-US"/>
        </w:rPr>
        <w:t xml:space="preserve"> – Reinvest in telehealth</w:t>
      </w:r>
      <w:r w:rsidR="008C214B">
        <w:rPr>
          <w:b/>
          <w:bCs/>
          <w:iCs/>
          <w:lang w:val="en-US" w:eastAsia="en-US"/>
        </w:rPr>
        <w:t xml:space="preserve"> (</w:t>
      </w:r>
      <w:r w:rsidR="00F17DD4">
        <w:rPr>
          <w:b/>
          <w:bCs/>
          <w:iCs/>
          <w:lang w:val="en-US" w:eastAsia="en-US"/>
        </w:rPr>
        <w:t>r</w:t>
      </w:r>
      <w:r w:rsidR="008C214B">
        <w:rPr>
          <w:b/>
          <w:bCs/>
          <w:iCs/>
          <w:lang w:val="en-US" w:eastAsia="en-US"/>
        </w:rPr>
        <w:t>eferred</w:t>
      </w:r>
      <w:r w:rsidR="00F17DD4">
        <w:rPr>
          <w:b/>
          <w:bCs/>
          <w:iCs/>
          <w:lang w:val="en-US" w:eastAsia="en-US"/>
        </w:rPr>
        <w:t xml:space="preserve"> to the Taskforce’s Telehealth Working Group </w:t>
      </w:r>
      <w:r w:rsidR="008C214B">
        <w:rPr>
          <w:b/>
          <w:bCs/>
          <w:iCs/>
          <w:lang w:val="en-US" w:eastAsia="en-US"/>
        </w:rPr>
        <w:t>for consideration)</w:t>
      </w:r>
    </w:p>
    <w:p w14:paraId="5326B814" w14:textId="77777777" w:rsidR="00E3287D" w:rsidRPr="00C33C0B" w:rsidRDefault="00E3287D" w:rsidP="00C035DF">
      <w:pPr>
        <w:pStyle w:val="Bullet-green"/>
        <w:keepNext/>
        <w:numPr>
          <w:ilvl w:val="0"/>
          <w:numId w:val="0"/>
        </w:numPr>
      </w:pPr>
      <w:r>
        <w:t>The Committee recommends reinvesting</w:t>
      </w:r>
      <w:r w:rsidRPr="00C33C0B">
        <w:t xml:space="preserve"> </w:t>
      </w:r>
      <w:r>
        <w:t xml:space="preserve">all </w:t>
      </w:r>
      <w:r w:rsidRPr="00C33C0B">
        <w:t xml:space="preserve">savings from </w:t>
      </w:r>
      <w:r>
        <w:t xml:space="preserve">removing the telehealth loading </w:t>
      </w:r>
      <w:r w:rsidR="00FC6719">
        <w:t>towards</w:t>
      </w:r>
      <w:r w:rsidR="00FC6719" w:rsidRPr="00C33C0B">
        <w:t xml:space="preserve"> mechanisms </w:t>
      </w:r>
      <w:r w:rsidR="00FC6719">
        <w:t>designed to increase uptake of telehealth services in Australia. Both MBS and non-MBS mechanisms should be considered, and options could include the following:</w:t>
      </w:r>
      <w:r w:rsidR="00FC6719" w:rsidRPr="00C33C0B">
        <w:t xml:space="preserve"> </w:t>
      </w:r>
    </w:p>
    <w:p w14:paraId="0F70B00F" w14:textId="77777777" w:rsidR="00E3287D" w:rsidRPr="00C33C0B" w:rsidRDefault="00E3287D" w:rsidP="000831A1">
      <w:pPr>
        <w:pStyle w:val="Bullet2"/>
        <w:numPr>
          <w:ilvl w:val="0"/>
          <w:numId w:val="84"/>
        </w:numPr>
      </w:pPr>
      <w:r w:rsidRPr="00C33C0B">
        <w:t xml:space="preserve">Increase </w:t>
      </w:r>
      <w:r>
        <w:t>utilisation of</w:t>
      </w:r>
      <w:r w:rsidRPr="00C33C0B">
        <w:t xml:space="preserve"> telehealth services </w:t>
      </w:r>
      <w:r>
        <w:t>among</w:t>
      </w:r>
      <w:r w:rsidRPr="00C33C0B">
        <w:t xml:space="preserve"> consumers, </w:t>
      </w:r>
      <w:r>
        <w:t>GPs</w:t>
      </w:r>
      <w:r w:rsidRPr="00C33C0B">
        <w:t xml:space="preserve"> and PHNs</w:t>
      </w:r>
      <w:r w:rsidRPr="005021F3">
        <w:t>,</w:t>
      </w:r>
      <w:r w:rsidRPr="00C33C0B">
        <w:t xml:space="preserve"> by:</w:t>
      </w:r>
    </w:p>
    <w:p w14:paraId="711EEC4A" w14:textId="50F96AF2" w:rsidR="00E3287D" w:rsidRPr="00C33C0B" w:rsidRDefault="00B32B5F" w:rsidP="000831A1">
      <w:pPr>
        <w:pStyle w:val="BulletStyle3"/>
        <w:numPr>
          <w:ilvl w:val="0"/>
          <w:numId w:val="85"/>
        </w:numPr>
        <w:rPr>
          <w:lang w:val="en-GB"/>
        </w:rPr>
      </w:pPr>
      <w:r>
        <w:rPr>
          <w:lang w:val="en-GB"/>
        </w:rPr>
        <w:t>d</w:t>
      </w:r>
      <w:r w:rsidR="00E3287D" w:rsidRPr="00C33C0B">
        <w:rPr>
          <w:lang w:val="en-GB"/>
        </w:rPr>
        <w:t xml:space="preserve">eveloping and sharing the value proposition of telehealth </w:t>
      </w:r>
      <w:r w:rsidR="00E3287D">
        <w:rPr>
          <w:lang w:val="en-GB"/>
        </w:rPr>
        <w:t>with</w:t>
      </w:r>
      <w:r w:rsidR="00E3287D" w:rsidRPr="00C33C0B">
        <w:rPr>
          <w:lang w:val="en-GB"/>
        </w:rPr>
        <w:t xml:space="preserve"> consumers, including the potential savings in time</w:t>
      </w:r>
      <w:r w:rsidR="005F7B53">
        <w:rPr>
          <w:lang w:val="en-GB"/>
        </w:rPr>
        <w:t>,</w:t>
      </w:r>
      <w:r w:rsidR="00E3287D" w:rsidRPr="00C33C0B">
        <w:rPr>
          <w:lang w:val="en-GB"/>
        </w:rPr>
        <w:t xml:space="preserve"> travel</w:t>
      </w:r>
      <w:r w:rsidR="005F7B53">
        <w:rPr>
          <w:lang w:val="en-GB"/>
        </w:rPr>
        <w:t xml:space="preserve"> and other</w:t>
      </w:r>
      <w:r w:rsidR="00E3287D" w:rsidRPr="00C33C0B">
        <w:rPr>
          <w:lang w:val="en-GB"/>
        </w:rPr>
        <w:t xml:space="preserve"> costs</w:t>
      </w:r>
      <w:r w:rsidR="00196C0C">
        <w:rPr>
          <w:lang w:val="en-GB"/>
        </w:rPr>
        <w:t>;</w:t>
      </w:r>
      <w:r w:rsidR="00E3287D" w:rsidRPr="00C33C0B">
        <w:rPr>
          <w:lang w:val="en-GB"/>
        </w:rPr>
        <w:t xml:space="preserve"> </w:t>
      </w:r>
    </w:p>
    <w:p w14:paraId="4A5BBF9A" w14:textId="77777777" w:rsidR="00E3287D" w:rsidRPr="00C33C0B" w:rsidRDefault="00B32B5F" w:rsidP="000831A1">
      <w:pPr>
        <w:pStyle w:val="BulletStyle3"/>
        <w:numPr>
          <w:ilvl w:val="0"/>
          <w:numId w:val="85"/>
        </w:numPr>
        <w:rPr>
          <w:lang w:val="en-GB"/>
        </w:rPr>
      </w:pPr>
      <w:r>
        <w:rPr>
          <w:lang w:val="en-GB"/>
        </w:rPr>
        <w:t>f</w:t>
      </w:r>
      <w:r w:rsidR="00E3287D" w:rsidRPr="00C33C0B">
        <w:rPr>
          <w:lang w:val="en-GB"/>
        </w:rPr>
        <w:t>unding PHNs and consumer representatives (community champions) to carry out telehealth education and awareness building in targeted communities (</w:t>
      </w:r>
      <w:r w:rsidR="00E3287D">
        <w:rPr>
          <w:lang w:val="en-GB"/>
        </w:rPr>
        <w:t>for example,</w:t>
      </w:r>
      <w:r w:rsidR="00E3287D" w:rsidRPr="00C33C0B">
        <w:rPr>
          <w:lang w:val="en-GB"/>
        </w:rPr>
        <w:t xml:space="preserve"> where GPs already provide telehealth)</w:t>
      </w:r>
      <w:r w:rsidR="00196C0C">
        <w:rPr>
          <w:lang w:val="en-GB"/>
        </w:rPr>
        <w:t>;</w:t>
      </w:r>
      <w:r w:rsidR="00E3287D" w:rsidRPr="00C33C0B">
        <w:rPr>
          <w:lang w:val="en-GB"/>
        </w:rPr>
        <w:t xml:space="preserve"> </w:t>
      </w:r>
    </w:p>
    <w:p w14:paraId="3CD2665D" w14:textId="17003746" w:rsidR="00E3287D" w:rsidRPr="00C33C0B" w:rsidRDefault="00B32B5F" w:rsidP="000831A1">
      <w:pPr>
        <w:pStyle w:val="BulletStyle3"/>
        <w:numPr>
          <w:ilvl w:val="0"/>
          <w:numId w:val="85"/>
        </w:numPr>
        <w:rPr>
          <w:lang w:val="en-GB"/>
        </w:rPr>
      </w:pPr>
      <w:r>
        <w:rPr>
          <w:lang w:val="en-GB"/>
        </w:rPr>
        <w:t>e</w:t>
      </w:r>
      <w:r w:rsidR="00E3287D" w:rsidRPr="00C33C0B">
        <w:rPr>
          <w:lang w:val="en-GB"/>
        </w:rPr>
        <w:t xml:space="preserve">ducating GPs and PHNs to identify and promote telehealth </w:t>
      </w:r>
      <w:r w:rsidR="00852773">
        <w:rPr>
          <w:lang w:val="en-GB"/>
        </w:rPr>
        <w:t>with</w:t>
      </w:r>
      <w:r w:rsidR="00E3287D" w:rsidRPr="00C33C0B">
        <w:rPr>
          <w:lang w:val="en-GB"/>
        </w:rPr>
        <w:t xml:space="preserve"> patient population groups that would most benefit from telehealth attendances</w:t>
      </w:r>
      <w:r w:rsidR="00E3287D">
        <w:rPr>
          <w:lang w:val="en-GB"/>
        </w:rPr>
        <w:t>—both those</w:t>
      </w:r>
      <w:r w:rsidR="00E3287D" w:rsidRPr="00C33C0B">
        <w:rPr>
          <w:lang w:val="en-GB"/>
        </w:rPr>
        <w:t xml:space="preserve"> </w:t>
      </w:r>
      <w:r w:rsidR="00E3287D">
        <w:rPr>
          <w:lang w:val="en-GB"/>
        </w:rPr>
        <w:t xml:space="preserve">held directly with the specialist (for example, follow-up care) and those supported by a health professional (for example, more complex cases or where </w:t>
      </w:r>
      <w:r w:rsidR="00852773">
        <w:rPr>
          <w:lang w:val="en-GB"/>
        </w:rPr>
        <w:t xml:space="preserve">further support with </w:t>
      </w:r>
      <w:r w:rsidR="00E3287D">
        <w:rPr>
          <w:lang w:val="en-GB"/>
        </w:rPr>
        <w:t xml:space="preserve">health literacy </w:t>
      </w:r>
      <w:r w:rsidR="00852773">
        <w:rPr>
          <w:lang w:val="en-GB"/>
        </w:rPr>
        <w:t>is needed</w:t>
      </w:r>
      <w:r w:rsidR="00E3287D">
        <w:rPr>
          <w:lang w:val="en-GB"/>
        </w:rPr>
        <w:t>)</w:t>
      </w:r>
      <w:r w:rsidR="00196C0C">
        <w:rPr>
          <w:lang w:val="en-GB"/>
        </w:rPr>
        <w:t>;</w:t>
      </w:r>
    </w:p>
    <w:p w14:paraId="6EADDB71" w14:textId="77777777" w:rsidR="00E3287D" w:rsidRPr="00C33C0B" w:rsidRDefault="00B32B5F" w:rsidP="000831A1">
      <w:pPr>
        <w:pStyle w:val="BulletStyle3"/>
        <w:numPr>
          <w:ilvl w:val="0"/>
          <w:numId w:val="85"/>
        </w:numPr>
        <w:rPr>
          <w:lang w:val="en-GB"/>
        </w:rPr>
      </w:pPr>
      <w:r>
        <w:rPr>
          <w:lang w:val="en-GB"/>
        </w:rPr>
        <w:t>i</w:t>
      </w:r>
      <w:r w:rsidR="00E3287D" w:rsidRPr="00C33C0B">
        <w:rPr>
          <w:lang w:val="en-GB"/>
        </w:rPr>
        <w:t>nvesting in education and training of primary care workers, including telehealth training days and the development of training material (</w:t>
      </w:r>
      <w:r w:rsidR="00E3287D">
        <w:rPr>
          <w:lang w:val="en-GB"/>
        </w:rPr>
        <w:t>for example</w:t>
      </w:r>
      <w:r w:rsidR="00E3287D" w:rsidRPr="00C33C0B">
        <w:rPr>
          <w:lang w:val="en-GB"/>
        </w:rPr>
        <w:t>, online modules)</w:t>
      </w:r>
      <w:r w:rsidR="00196C0C">
        <w:rPr>
          <w:lang w:val="en-GB"/>
        </w:rPr>
        <w:t>;</w:t>
      </w:r>
      <w:r w:rsidR="00E3287D">
        <w:rPr>
          <w:lang w:val="en-GB"/>
        </w:rPr>
        <w:t xml:space="preserve"> and</w:t>
      </w:r>
    </w:p>
    <w:p w14:paraId="1EC88034" w14:textId="12B873F1" w:rsidR="00E3287D" w:rsidRPr="00C33C0B" w:rsidRDefault="00B32B5F" w:rsidP="000831A1">
      <w:pPr>
        <w:pStyle w:val="BulletStyle3"/>
        <w:numPr>
          <w:ilvl w:val="0"/>
          <w:numId w:val="85"/>
        </w:numPr>
        <w:rPr>
          <w:lang w:val="en-GB"/>
        </w:rPr>
      </w:pPr>
      <w:r>
        <w:rPr>
          <w:lang w:val="en-GB"/>
        </w:rPr>
        <w:t>p</w:t>
      </w:r>
      <w:r w:rsidR="00E3287D" w:rsidRPr="00C33C0B">
        <w:rPr>
          <w:lang w:val="en-GB"/>
        </w:rPr>
        <w:t xml:space="preserve">romoting the use of MBS items </w:t>
      </w:r>
      <w:r w:rsidR="00062C75">
        <w:rPr>
          <w:lang w:val="en-GB"/>
        </w:rPr>
        <w:t>that already exist</w:t>
      </w:r>
      <w:r w:rsidR="00E3287D" w:rsidRPr="00C33C0B">
        <w:rPr>
          <w:lang w:val="en-GB"/>
        </w:rPr>
        <w:t xml:space="preserve"> for primary care workers to provide clinical support to patients participating in </w:t>
      </w:r>
      <w:r w:rsidR="00E3287D">
        <w:rPr>
          <w:lang w:val="en-GB"/>
        </w:rPr>
        <w:t xml:space="preserve">consultant </w:t>
      </w:r>
      <w:r w:rsidR="00E3287D" w:rsidRPr="00C33C0B">
        <w:rPr>
          <w:lang w:val="en-GB"/>
        </w:rPr>
        <w:t>specialist telehealth attendances</w:t>
      </w:r>
      <w:r w:rsidR="00E3287D">
        <w:rPr>
          <w:lang w:val="en-GB"/>
        </w:rPr>
        <w:t xml:space="preserve"> (</w:t>
      </w:r>
      <w:r w:rsidR="00E3287D">
        <w:t>Category 8 of the MBS, Groups M12, M13, and M14).</w:t>
      </w:r>
    </w:p>
    <w:p w14:paraId="0CEB1200" w14:textId="77777777" w:rsidR="00E3287D" w:rsidRPr="00C33C0B" w:rsidRDefault="00E3287D" w:rsidP="000831A1">
      <w:pPr>
        <w:pStyle w:val="Bullet2"/>
        <w:numPr>
          <w:ilvl w:val="0"/>
          <w:numId w:val="84"/>
        </w:numPr>
      </w:pPr>
      <w:r w:rsidRPr="00C33C0B">
        <w:t>Increas</w:t>
      </w:r>
      <w:r>
        <w:t>ing</w:t>
      </w:r>
      <w:r w:rsidRPr="00C33C0B">
        <w:t xml:space="preserve"> </w:t>
      </w:r>
      <w:r>
        <w:t xml:space="preserve">the </w:t>
      </w:r>
      <w:r w:rsidRPr="00C33C0B">
        <w:t xml:space="preserve">supply of telehealth services offered by </w:t>
      </w:r>
      <w:r>
        <w:t xml:space="preserve">consultant </w:t>
      </w:r>
      <w:r w:rsidRPr="00C33C0B">
        <w:t>specialists, by:</w:t>
      </w:r>
    </w:p>
    <w:p w14:paraId="311E4BF0" w14:textId="77777777" w:rsidR="00E3287D" w:rsidRPr="00C33C0B" w:rsidRDefault="00B32B5F" w:rsidP="000831A1">
      <w:pPr>
        <w:pStyle w:val="BulletStyle3"/>
        <w:numPr>
          <w:ilvl w:val="0"/>
          <w:numId w:val="86"/>
        </w:numPr>
        <w:rPr>
          <w:lang w:val="en-GB"/>
        </w:rPr>
      </w:pPr>
      <w:r>
        <w:rPr>
          <w:lang w:val="en-GB"/>
        </w:rPr>
        <w:t>d</w:t>
      </w:r>
      <w:r w:rsidR="00E3287D" w:rsidRPr="00C33C0B">
        <w:rPr>
          <w:lang w:val="en-GB"/>
        </w:rPr>
        <w:t xml:space="preserve">eveloping the value proposition of telehealth </w:t>
      </w:r>
      <w:r w:rsidR="00E3287D">
        <w:rPr>
          <w:lang w:val="en-GB"/>
        </w:rPr>
        <w:t>for</w:t>
      </w:r>
      <w:r w:rsidR="00E3287D" w:rsidRPr="00C33C0B">
        <w:rPr>
          <w:lang w:val="en-GB"/>
        </w:rPr>
        <w:t xml:space="preserve"> providers and sharing this with provider population groups that are most likely to offer telehealth services</w:t>
      </w:r>
      <w:r w:rsidR="00196C0C">
        <w:rPr>
          <w:lang w:val="en-GB"/>
        </w:rPr>
        <w:t>;</w:t>
      </w:r>
    </w:p>
    <w:p w14:paraId="72540A08" w14:textId="7E553F4F" w:rsidR="00E3287D" w:rsidRPr="00C33C0B" w:rsidRDefault="00B32B5F" w:rsidP="000831A1">
      <w:pPr>
        <w:pStyle w:val="BulletStyle3"/>
        <w:numPr>
          <w:ilvl w:val="0"/>
          <w:numId w:val="86"/>
        </w:numPr>
        <w:rPr>
          <w:lang w:val="en-GB"/>
        </w:rPr>
      </w:pPr>
      <w:r>
        <w:rPr>
          <w:lang w:val="en-GB"/>
        </w:rPr>
        <w:t>e</w:t>
      </w:r>
      <w:r w:rsidR="00E3287D" w:rsidRPr="00C33C0B">
        <w:rPr>
          <w:lang w:val="en-GB"/>
        </w:rPr>
        <w:t xml:space="preserve">ducating </w:t>
      </w:r>
      <w:r w:rsidR="00E3287D">
        <w:rPr>
          <w:lang w:val="en-GB"/>
        </w:rPr>
        <w:t xml:space="preserve">consultant </w:t>
      </w:r>
      <w:r w:rsidR="00E3287D" w:rsidRPr="00C33C0B">
        <w:rPr>
          <w:lang w:val="en-GB"/>
        </w:rPr>
        <w:t xml:space="preserve">specialists to identify and promote telehealth </w:t>
      </w:r>
      <w:r w:rsidR="00852773">
        <w:rPr>
          <w:lang w:val="en-GB"/>
        </w:rPr>
        <w:t>with</w:t>
      </w:r>
      <w:r w:rsidR="00E3287D" w:rsidRPr="00C33C0B">
        <w:rPr>
          <w:lang w:val="en-GB"/>
        </w:rPr>
        <w:t xml:space="preserve"> patient population groups that would most benefit from telehealth attendances</w:t>
      </w:r>
      <w:r w:rsidR="00196C0C">
        <w:rPr>
          <w:lang w:val="en-GB"/>
        </w:rPr>
        <w:t>;</w:t>
      </w:r>
    </w:p>
    <w:p w14:paraId="1D11B890" w14:textId="77777777" w:rsidR="00E3287D" w:rsidRPr="00C33C0B" w:rsidRDefault="00B32B5F" w:rsidP="000831A1">
      <w:pPr>
        <w:pStyle w:val="BulletStyle3"/>
        <w:numPr>
          <w:ilvl w:val="0"/>
          <w:numId w:val="86"/>
        </w:numPr>
        <w:rPr>
          <w:lang w:val="en-GB"/>
        </w:rPr>
      </w:pPr>
      <w:r>
        <w:rPr>
          <w:lang w:val="en-GB"/>
        </w:rPr>
        <w:t>d</w:t>
      </w:r>
      <w:r w:rsidR="00E3287D" w:rsidRPr="00C33C0B">
        <w:rPr>
          <w:lang w:val="en-GB"/>
        </w:rPr>
        <w:t>eveloping materials on how to set up and run telehealth services</w:t>
      </w:r>
      <w:r w:rsidR="00196C0C">
        <w:rPr>
          <w:lang w:val="en-GB"/>
        </w:rPr>
        <w:t>;</w:t>
      </w:r>
    </w:p>
    <w:p w14:paraId="4BE23644" w14:textId="77777777" w:rsidR="00E3287D" w:rsidRPr="00C33C0B" w:rsidRDefault="00B32B5F" w:rsidP="000831A1">
      <w:pPr>
        <w:pStyle w:val="BulletStyle3"/>
        <w:numPr>
          <w:ilvl w:val="0"/>
          <w:numId w:val="86"/>
        </w:numPr>
        <w:rPr>
          <w:lang w:val="en-GB"/>
        </w:rPr>
      </w:pPr>
      <w:r>
        <w:rPr>
          <w:lang w:val="en-GB"/>
        </w:rPr>
        <w:t>c</w:t>
      </w:r>
      <w:r w:rsidR="00E3287D" w:rsidRPr="00C33C0B">
        <w:rPr>
          <w:lang w:val="en-GB"/>
        </w:rPr>
        <w:t xml:space="preserve">oordinating with </w:t>
      </w:r>
      <w:r w:rsidR="00E3287D">
        <w:rPr>
          <w:lang w:val="en-GB"/>
        </w:rPr>
        <w:t>C</w:t>
      </w:r>
      <w:r w:rsidR="00E3287D" w:rsidRPr="00C33C0B">
        <w:rPr>
          <w:lang w:val="en-GB"/>
        </w:rPr>
        <w:t>olleges to promote telehealth education and training</w:t>
      </w:r>
      <w:r w:rsidR="00E3287D">
        <w:rPr>
          <w:lang w:val="en-GB"/>
        </w:rPr>
        <w:t>, including awarding CPD points for telehealth training</w:t>
      </w:r>
      <w:r w:rsidR="00196C0C">
        <w:rPr>
          <w:lang w:val="en-GB"/>
        </w:rPr>
        <w:t>;</w:t>
      </w:r>
    </w:p>
    <w:p w14:paraId="4048B342" w14:textId="77777777" w:rsidR="00E3287D" w:rsidRPr="00C33C0B" w:rsidRDefault="00B32B5F" w:rsidP="000831A1">
      <w:pPr>
        <w:pStyle w:val="BulletStyle3"/>
        <w:numPr>
          <w:ilvl w:val="0"/>
          <w:numId w:val="86"/>
        </w:numPr>
        <w:rPr>
          <w:lang w:val="en-GB"/>
        </w:rPr>
      </w:pPr>
      <w:r>
        <w:rPr>
          <w:lang w:val="en-GB"/>
        </w:rPr>
        <w:t>e</w:t>
      </w:r>
      <w:r w:rsidR="00E3287D" w:rsidRPr="00C33C0B">
        <w:rPr>
          <w:lang w:val="en-GB"/>
        </w:rPr>
        <w:t xml:space="preserve">ncouraging </w:t>
      </w:r>
      <w:r w:rsidR="00E3287D">
        <w:rPr>
          <w:lang w:val="en-GB"/>
        </w:rPr>
        <w:t>C</w:t>
      </w:r>
      <w:r w:rsidR="00E3287D" w:rsidRPr="00C33C0B">
        <w:rPr>
          <w:lang w:val="en-GB"/>
        </w:rPr>
        <w:t>olleges to</w:t>
      </w:r>
      <w:r w:rsidR="00E3287D">
        <w:rPr>
          <w:lang w:val="en-GB"/>
        </w:rPr>
        <w:t xml:space="preserve"> educate consultant </w:t>
      </w:r>
      <w:r w:rsidR="00E3287D" w:rsidRPr="00C33C0B">
        <w:rPr>
          <w:lang w:val="en-GB"/>
        </w:rPr>
        <w:t xml:space="preserve">specialists </w:t>
      </w:r>
      <w:r w:rsidR="00E3287D">
        <w:rPr>
          <w:lang w:val="en-GB"/>
        </w:rPr>
        <w:t xml:space="preserve">on the benefits of </w:t>
      </w:r>
      <w:r w:rsidR="00E3287D" w:rsidRPr="00C33C0B">
        <w:rPr>
          <w:lang w:val="en-GB"/>
        </w:rPr>
        <w:t>telehealth</w:t>
      </w:r>
      <w:r w:rsidR="00E3287D">
        <w:rPr>
          <w:lang w:val="en-GB"/>
        </w:rPr>
        <w:t>, how to set it up,</w:t>
      </w:r>
      <w:r w:rsidR="00E3287D" w:rsidRPr="00C33C0B">
        <w:rPr>
          <w:lang w:val="en-GB"/>
        </w:rPr>
        <w:t xml:space="preserve"> </w:t>
      </w:r>
      <w:r w:rsidR="00196C0C">
        <w:rPr>
          <w:lang w:val="en-GB"/>
        </w:rPr>
        <w:t>and when it should be used;</w:t>
      </w:r>
      <w:r w:rsidR="00E3287D">
        <w:rPr>
          <w:lang w:val="en-GB"/>
        </w:rPr>
        <w:t xml:space="preserve"> and</w:t>
      </w:r>
    </w:p>
    <w:p w14:paraId="4011BBAD" w14:textId="77777777" w:rsidR="00E3287D" w:rsidRPr="00540CE4" w:rsidRDefault="00B32B5F" w:rsidP="000831A1">
      <w:pPr>
        <w:pStyle w:val="BulletStyle3"/>
        <w:numPr>
          <w:ilvl w:val="0"/>
          <w:numId w:val="86"/>
        </w:numPr>
        <w:rPr>
          <w:lang w:val="en-GB"/>
        </w:rPr>
      </w:pPr>
      <w:r>
        <w:rPr>
          <w:lang w:val="en-GB"/>
        </w:rPr>
        <w:t>d</w:t>
      </w:r>
      <w:r w:rsidR="00E3287D" w:rsidRPr="00C33C0B">
        <w:rPr>
          <w:lang w:val="en-GB"/>
        </w:rPr>
        <w:t>eveloping guidelines and tools to determine and resolve</w:t>
      </w:r>
      <w:r w:rsidR="00852773">
        <w:rPr>
          <w:lang w:val="en-GB"/>
        </w:rPr>
        <w:t xml:space="preserve"> any</w:t>
      </w:r>
      <w:r w:rsidR="00E3287D" w:rsidRPr="00C33C0B">
        <w:rPr>
          <w:lang w:val="en-GB"/>
        </w:rPr>
        <w:t xml:space="preserve"> clinical governance issues</w:t>
      </w:r>
      <w:r w:rsidR="00852773">
        <w:rPr>
          <w:lang w:val="en-GB"/>
        </w:rPr>
        <w:t xml:space="preserve"> and concerns</w:t>
      </w:r>
      <w:r w:rsidR="00E3287D">
        <w:rPr>
          <w:lang w:val="en-GB"/>
        </w:rPr>
        <w:t>.</w:t>
      </w:r>
    </w:p>
    <w:p w14:paraId="0359A761" w14:textId="77777777" w:rsidR="00940D6E" w:rsidRPr="00940D6E" w:rsidRDefault="00940D6E" w:rsidP="00940D6E">
      <w:pPr>
        <w:rPr>
          <w:b/>
          <w:bCs/>
          <w:iCs/>
          <w:lang w:val="en-US" w:eastAsia="en-US"/>
        </w:rPr>
      </w:pPr>
      <w:r w:rsidRPr="00940D6E">
        <w:rPr>
          <w:b/>
          <w:bCs/>
          <w:iCs/>
          <w:lang w:val="en-US" w:eastAsia="en-US"/>
        </w:rPr>
        <w:t xml:space="preserve">Recommendation </w:t>
      </w:r>
      <w:r w:rsidR="00FC6719">
        <w:rPr>
          <w:b/>
          <w:bCs/>
          <w:iCs/>
          <w:lang w:val="en-US" w:eastAsia="en-US"/>
        </w:rPr>
        <w:t>11</w:t>
      </w:r>
      <w:r w:rsidRPr="00940D6E">
        <w:rPr>
          <w:b/>
          <w:bCs/>
          <w:iCs/>
          <w:lang w:val="en-US" w:eastAsia="en-US"/>
        </w:rPr>
        <w:t xml:space="preserve"> - Introduce a new framework of case conference items and allow access to all consultant specialists</w:t>
      </w:r>
    </w:p>
    <w:p w14:paraId="2176EB50" w14:textId="77777777" w:rsidR="00E3287D" w:rsidRDefault="00E3287D" w:rsidP="00607BDA">
      <w:pPr>
        <w:pStyle w:val="Bullet-green"/>
        <w:numPr>
          <w:ilvl w:val="0"/>
          <w:numId w:val="0"/>
        </w:numPr>
        <w:rPr>
          <w:lang w:val="en-GB"/>
        </w:rPr>
      </w:pPr>
      <w:r>
        <w:rPr>
          <w:lang w:val="en-GB"/>
        </w:rPr>
        <w:t>The Committee recommends:</w:t>
      </w:r>
    </w:p>
    <w:p w14:paraId="6A2E22F1" w14:textId="77777777" w:rsidR="00E3287D" w:rsidRPr="00C33C0B" w:rsidRDefault="00E3287D" w:rsidP="000831A1">
      <w:pPr>
        <w:pStyle w:val="Bullet-green"/>
        <w:numPr>
          <w:ilvl w:val="0"/>
          <w:numId w:val="87"/>
        </w:numPr>
        <w:rPr>
          <w:lang w:val="en-GB"/>
        </w:rPr>
      </w:pPr>
      <w:r>
        <w:rPr>
          <w:lang w:val="en-GB"/>
        </w:rPr>
        <w:t>introducing a new simplified f</w:t>
      </w:r>
      <w:r w:rsidRPr="00C33C0B">
        <w:rPr>
          <w:lang w:val="en-GB"/>
        </w:rPr>
        <w:t>ramework of case conference items</w:t>
      </w:r>
      <w:r>
        <w:rPr>
          <w:lang w:val="en-GB"/>
        </w:rPr>
        <w:t>, featuring three types:</w:t>
      </w:r>
    </w:p>
    <w:p w14:paraId="06FF7150" w14:textId="77777777" w:rsidR="00E3287D" w:rsidRPr="00C33C0B" w:rsidRDefault="00B32B5F" w:rsidP="000831A1">
      <w:pPr>
        <w:pStyle w:val="Bullet2"/>
        <w:numPr>
          <w:ilvl w:val="0"/>
          <w:numId w:val="88"/>
        </w:numPr>
      </w:pPr>
      <w:r>
        <w:t>d</w:t>
      </w:r>
      <w:r w:rsidR="00E3287D" w:rsidRPr="00C33C0B">
        <w:t>ischarge planning case conferences</w:t>
      </w:r>
      <w:r w:rsidR="00E3287D">
        <w:t xml:space="preserve"> </w:t>
      </w:r>
      <w:r w:rsidR="00E3287D">
        <w:rPr>
          <w:lang w:val="en-GB"/>
        </w:rPr>
        <w:t>- a case conference to facilitate better post-discharge care and communication</w:t>
      </w:r>
      <w:r w:rsidR="00196C0C">
        <w:rPr>
          <w:lang w:val="en-GB"/>
        </w:rPr>
        <w:t>;</w:t>
      </w:r>
    </w:p>
    <w:p w14:paraId="10AAC3E9" w14:textId="77777777" w:rsidR="00E3287D" w:rsidRPr="00C33C0B" w:rsidRDefault="00B32B5F" w:rsidP="000831A1">
      <w:pPr>
        <w:pStyle w:val="Bullet2"/>
        <w:numPr>
          <w:ilvl w:val="0"/>
          <w:numId w:val="88"/>
        </w:numPr>
      </w:pPr>
      <w:r>
        <w:t>c</w:t>
      </w:r>
      <w:r w:rsidR="00E3287D" w:rsidRPr="00C33C0B">
        <w:t>ommunity case conferences</w:t>
      </w:r>
      <w:r w:rsidR="00E3287D">
        <w:t xml:space="preserve"> </w:t>
      </w:r>
      <w:r w:rsidR="00E3287D">
        <w:rPr>
          <w:lang w:val="en-GB"/>
        </w:rPr>
        <w:t>- a case conference to facilitate the provision of better multidisciplinary care</w:t>
      </w:r>
      <w:r w:rsidR="00196C0C">
        <w:t>;</w:t>
      </w:r>
      <w:r w:rsidR="00E3287D">
        <w:t xml:space="preserve"> and</w:t>
      </w:r>
    </w:p>
    <w:p w14:paraId="022A7DD1" w14:textId="77777777" w:rsidR="00E3287D" w:rsidRPr="00C33C0B" w:rsidRDefault="00B32B5F" w:rsidP="000831A1">
      <w:pPr>
        <w:pStyle w:val="Bullet2"/>
        <w:numPr>
          <w:ilvl w:val="0"/>
          <w:numId w:val="88"/>
        </w:numPr>
      </w:pPr>
      <w:r>
        <w:t>t</w:t>
      </w:r>
      <w:r w:rsidR="00E3287D" w:rsidRPr="00C33C0B">
        <w:t>reatment planning case conferences (new)</w:t>
      </w:r>
      <w:r w:rsidR="00E3287D">
        <w:t xml:space="preserve"> </w:t>
      </w:r>
      <w:r w:rsidR="00E3287D">
        <w:rPr>
          <w:lang w:val="en-GB"/>
        </w:rPr>
        <w:t>- a case conference that explores and analyses potential treatment options and their respective benefits</w:t>
      </w:r>
      <w:r w:rsidR="00E3287D">
        <w:t>.</w:t>
      </w:r>
    </w:p>
    <w:p w14:paraId="332968EF" w14:textId="77777777" w:rsidR="00E3287D" w:rsidRPr="00607BDA" w:rsidRDefault="00E3287D" w:rsidP="000831A1">
      <w:pPr>
        <w:pStyle w:val="Bullet-green"/>
        <w:numPr>
          <w:ilvl w:val="0"/>
          <w:numId w:val="87"/>
        </w:numPr>
        <w:rPr>
          <w:lang w:val="en-GB"/>
        </w:rPr>
      </w:pPr>
      <w:r>
        <w:rPr>
          <w:lang w:val="en-GB"/>
        </w:rPr>
        <w:t>r</w:t>
      </w:r>
      <w:r w:rsidRPr="00607BDA">
        <w:rPr>
          <w:lang w:val="en-GB"/>
        </w:rPr>
        <w:t>estructur</w:t>
      </w:r>
      <w:r>
        <w:rPr>
          <w:lang w:val="en-GB"/>
        </w:rPr>
        <w:t>ing</w:t>
      </w:r>
      <w:r w:rsidRPr="00607BDA">
        <w:rPr>
          <w:lang w:val="en-GB"/>
        </w:rPr>
        <w:t xml:space="preserve"> current case conference items</w:t>
      </w:r>
      <w:r>
        <w:rPr>
          <w:lang w:val="en-GB"/>
        </w:rPr>
        <w:t>, by:</w:t>
      </w:r>
    </w:p>
    <w:p w14:paraId="56AB6088" w14:textId="276AB376" w:rsidR="00E3287D" w:rsidRPr="00C33C0B" w:rsidRDefault="00E3287D" w:rsidP="000831A1">
      <w:pPr>
        <w:pStyle w:val="BulletStyle3"/>
        <w:numPr>
          <w:ilvl w:val="0"/>
          <w:numId w:val="89"/>
        </w:numPr>
        <w:rPr>
          <w:lang w:val="en-GB"/>
        </w:rPr>
      </w:pPr>
      <w:r>
        <w:rPr>
          <w:lang w:val="en-GB"/>
        </w:rPr>
        <w:t xml:space="preserve">Replacing </w:t>
      </w:r>
      <w:r w:rsidRPr="00C33C0B">
        <w:rPr>
          <w:lang w:val="en-GB"/>
        </w:rPr>
        <w:t>“</w:t>
      </w:r>
      <w:r>
        <w:rPr>
          <w:lang w:val="en-GB"/>
        </w:rPr>
        <w:t>C</w:t>
      </w:r>
      <w:r w:rsidRPr="00C33C0B">
        <w:rPr>
          <w:lang w:val="en-GB"/>
        </w:rPr>
        <w:t xml:space="preserve">ancer planning” conferences </w:t>
      </w:r>
      <w:r>
        <w:rPr>
          <w:lang w:val="en-GB"/>
        </w:rPr>
        <w:t>with</w:t>
      </w:r>
      <w:r w:rsidRPr="00C33C0B">
        <w:rPr>
          <w:lang w:val="en-GB"/>
        </w:rPr>
        <w:t xml:space="preserve"> “treatment planning” conferences, broadening use of these items to other conditions that require treatment planning with </w:t>
      </w:r>
      <w:r w:rsidR="00852773">
        <w:rPr>
          <w:lang w:val="en-GB"/>
        </w:rPr>
        <w:t xml:space="preserve">other members of the treatment team </w:t>
      </w:r>
      <w:r w:rsidRPr="00C33C0B">
        <w:rPr>
          <w:lang w:val="en-GB"/>
        </w:rPr>
        <w:t>but are not cancer diagnoses</w:t>
      </w:r>
      <w:r>
        <w:rPr>
          <w:lang w:val="en-GB"/>
        </w:rPr>
        <w:t>.</w:t>
      </w:r>
    </w:p>
    <w:p w14:paraId="07A32BBC" w14:textId="43736FC9" w:rsidR="00E3287D" w:rsidRPr="00C33C0B" w:rsidRDefault="00E3287D" w:rsidP="000831A1">
      <w:pPr>
        <w:pStyle w:val="BulletStyle3"/>
        <w:numPr>
          <w:ilvl w:val="0"/>
          <w:numId w:val="89"/>
        </w:numPr>
        <w:rPr>
          <w:lang w:val="en-GB"/>
        </w:rPr>
      </w:pPr>
      <w:r>
        <w:rPr>
          <w:lang w:val="en-GB"/>
        </w:rPr>
        <w:t>Removing s</w:t>
      </w:r>
      <w:r w:rsidRPr="00C33C0B">
        <w:rPr>
          <w:lang w:val="en-GB"/>
        </w:rPr>
        <w:t>pecialty-specific case conference items</w:t>
      </w:r>
      <w:r>
        <w:rPr>
          <w:lang w:val="en-GB"/>
        </w:rPr>
        <w:t xml:space="preserve"> - with the exception of item 880 for geriatrics and rehabilitation medicine – with consultant specialist</w:t>
      </w:r>
      <w:r w:rsidRPr="00C33C0B">
        <w:rPr>
          <w:lang w:val="en-GB"/>
        </w:rPr>
        <w:t xml:space="preserve">s </w:t>
      </w:r>
      <w:r>
        <w:rPr>
          <w:lang w:val="en-GB"/>
        </w:rPr>
        <w:t xml:space="preserve">instead accessing the </w:t>
      </w:r>
      <w:r w:rsidRPr="00C33C0B">
        <w:rPr>
          <w:lang w:val="en-GB"/>
        </w:rPr>
        <w:t xml:space="preserve">three </w:t>
      </w:r>
      <w:r>
        <w:rPr>
          <w:lang w:val="en-GB"/>
        </w:rPr>
        <w:t xml:space="preserve">case conference </w:t>
      </w:r>
      <w:r w:rsidRPr="00C33C0B">
        <w:rPr>
          <w:lang w:val="en-GB"/>
        </w:rPr>
        <w:t>categories</w:t>
      </w:r>
      <w:r>
        <w:rPr>
          <w:lang w:val="en-GB"/>
        </w:rPr>
        <w:t xml:space="preserve"> listed</w:t>
      </w:r>
      <w:r w:rsidRPr="00C33C0B">
        <w:rPr>
          <w:lang w:val="en-GB"/>
        </w:rPr>
        <w:t xml:space="preserve"> above</w:t>
      </w:r>
      <w:r>
        <w:rPr>
          <w:lang w:val="en-GB"/>
        </w:rPr>
        <w:t>.</w:t>
      </w:r>
    </w:p>
    <w:p w14:paraId="19D1751C" w14:textId="77777777" w:rsidR="00E3287D" w:rsidRPr="00607BDA" w:rsidRDefault="00E3287D" w:rsidP="000831A1">
      <w:pPr>
        <w:pStyle w:val="Bullet-green"/>
        <w:numPr>
          <w:ilvl w:val="0"/>
          <w:numId w:val="87"/>
        </w:numPr>
        <w:rPr>
          <w:lang w:val="en-GB"/>
        </w:rPr>
      </w:pPr>
      <w:r>
        <w:rPr>
          <w:lang w:val="en-GB"/>
        </w:rPr>
        <w:t>u</w:t>
      </w:r>
      <w:r w:rsidRPr="00607BDA">
        <w:rPr>
          <w:lang w:val="en-GB"/>
        </w:rPr>
        <w:t>pdat</w:t>
      </w:r>
      <w:r>
        <w:rPr>
          <w:lang w:val="en-GB"/>
        </w:rPr>
        <w:t>ing</w:t>
      </w:r>
      <w:r w:rsidRPr="00607BDA">
        <w:rPr>
          <w:lang w:val="en-GB"/>
        </w:rPr>
        <w:t xml:space="preserve"> existing discharge and community case conference item</w:t>
      </w:r>
      <w:r>
        <w:rPr>
          <w:lang w:val="en-GB"/>
        </w:rPr>
        <w:t>s (</w:t>
      </w:r>
      <w:r>
        <w:t>i</w:t>
      </w:r>
      <w:r w:rsidRPr="009834BE">
        <w:t>tems 820, 822, 823, 825, 826</w:t>
      </w:r>
      <w:r>
        <w:t xml:space="preserve"> and</w:t>
      </w:r>
      <w:r w:rsidRPr="009834BE">
        <w:t xml:space="preserve"> 828</w:t>
      </w:r>
      <w:r>
        <w:t>,</w:t>
      </w:r>
      <w:r w:rsidRPr="009834BE">
        <w:t xml:space="preserve"> and items</w:t>
      </w:r>
      <w:r>
        <w:t xml:space="preserve"> 830, 832, 834, 835, 837 and 838) descriptors to:</w:t>
      </w:r>
    </w:p>
    <w:p w14:paraId="1386744A" w14:textId="77777777" w:rsidR="00E3287D" w:rsidRDefault="00E3287D" w:rsidP="006D43A0">
      <w:pPr>
        <w:pStyle w:val="BulletStyle3"/>
        <w:numPr>
          <w:ilvl w:val="0"/>
          <w:numId w:val="148"/>
        </w:numPr>
        <w:rPr>
          <w:lang w:val="en-GB"/>
        </w:rPr>
      </w:pPr>
      <w:r>
        <w:rPr>
          <w:lang w:val="en-GB"/>
        </w:rPr>
        <w:t xml:space="preserve">Allow </w:t>
      </w:r>
      <w:r w:rsidRPr="00607BDA">
        <w:rPr>
          <w:lang w:val="en-GB"/>
        </w:rPr>
        <w:t>all consultant specialists to claim these items</w:t>
      </w:r>
      <w:r w:rsidR="00196C0C">
        <w:rPr>
          <w:lang w:val="en-GB"/>
        </w:rPr>
        <w:t>.</w:t>
      </w:r>
    </w:p>
    <w:p w14:paraId="2827E871" w14:textId="77777777" w:rsidR="00E3287D" w:rsidRDefault="00E3287D" w:rsidP="006D43A0">
      <w:pPr>
        <w:pStyle w:val="BulletStyle3"/>
        <w:numPr>
          <w:ilvl w:val="0"/>
          <w:numId w:val="148"/>
        </w:numPr>
        <w:rPr>
          <w:lang w:val="en-GB"/>
        </w:rPr>
      </w:pPr>
      <w:r>
        <w:rPr>
          <w:lang w:val="en-GB"/>
        </w:rPr>
        <w:t>R</w:t>
      </w:r>
      <w:r w:rsidRPr="000A7018">
        <w:rPr>
          <w:lang w:val="en-GB"/>
        </w:rPr>
        <w:t>equire</w:t>
      </w:r>
      <w:r>
        <w:rPr>
          <w:lang w:val="en-GB"/>
        </w:rPr>
        <w:t>:</w:t>
      </w:r>
    </w:p>
    <w:p w14:paraId="1E0CFB50" w14:textId="77777777" w:rsidR="00E3287D" w:rsidRDefault="00E3287D" w:rsidP="000831A1">
      <w:pPr>
        <w:pStyle w:val="Bullet-green"/>
        <w:numPr>
          <w:ilvl w:val="1"/>
          <w:numId w:val="58"/>
        </w:numPr>
        <w:rPr>
          <w:lang w:val="en-GB"/>
        </w:rPr>
      </w:pPr>
      <w:r w:rsidRPr="000A7018">
        <w:rPr>
          <w:lang w:val="en-GB"/>
        </w:rPr>
        <w:t xml:space="preserve">mandatory GP (or delegate) participation </w:t>
      </w:r>
    </w:p>
    <w:p w14:paraId="7311F1BE" w14:textId="77777777" w:rsidR="00E3287D" w:rsidRPr="00607BDA" w:rsidRDefault="00E3287D" w:rsidP="00607BDA">
      <w:pPr>
        <w:pStyle w:val="Bullet-green"/>
        <w:numPr>
          <w:ilvl w:val="0"/>
          <w:numId w:val="0"/>
        </w:numPr>
        <w:ind w:left="1437"/>
        <w:rPr>
          <w:i/>
          <w:lang w:val="en-GB"/>
        </w:rPr>
      </w:pPr>
      <w:r w:rsidRPr="00607BDA">
        <w:rPr>
          <w:i/>
          <w:lang w:val="en-GB"/>
        </w:rPr>
        <w:t xml:space="preserve">OR </w:t>
      </w:r>
    </w:p>
    <w:p w14:paraId="12740362" w14:textId="77777777" w:rsidR="00E3287D" w:rsidRDefault="00E3287D" w:rsidP="000831A1">
      <w:pPr>
        <w:pStyle w:val="Bullet-green"/>
        <w:numPr>
          <w:ilvl w:val="1"/>
          <w:numId w:val="58"/>
        </w:numPr>
        <w:rPr>
          <w:lang w:val="en-GB"/>
        </w:rPr>
      </w:pPr>
      <w:r>
        <w:rPr>
          <w:lang w:val="en-GB"/>
        </w:rPr>
        <w:t xml:space="preserve">mandatory </w:t>
      </w:r>
      <w:r w:rsidRPr="000A7018">
        <w:rPr>
          <w:lang w:val="en-GB"/>
        </w:rPr>
        <w:t>review of outcomes and communication of any proposed changes to the patient and to the case conference organiser</w:t>
      </w:r>
    </w:p>
    <w:p w14:paraId="07B275BC" w14:textId="77777777" w:rsidR="00E3287D" w:rsidRPr="00C33C0B" w:rsidRDefault="00E3287D" w:rsidP="006D43A0">
      <w:pPr>
        <w:pStyle w:val="Bullet-green"/>
        <w:numPr>
          <w:ilvl w:val="0"/>
          <w:numId w:val="148"/>
        </w:numPr>
        <w:rPr>
          <w:lang w:val="en-GB"/>
        </w:rPr>
      </w:pPr>
      <w:r>
        <w:rPr>
          <w:lang w:val="en-GB"/>
        </w:rPr>
        <w:t>Require m</w:t>
      </w:r>
      <w:r w:rsidRPr="00C33C0B">
        <w:rPr>
          <w:lang w:val="en-GB"/>
        </w:rPr>
        <w:t>andatory</w:t>
      </w:r>
      <w:r w:rsidR="00FC6719">
        <w:rPr>
          <w:lang w:val="en-GB"/>
        </w:rPr>
        <w:t xml:space="preserve"> invitation of the</w:t>
      </w:r>
      <w:r w:rsidRPr="00C33C0B">
        <w:rPr>
          <w:lang w:val="en-GB"/>
        </w:rPr>
        <w:t xml:space="preserve"> patient (or delegate)</w:t>
      </w:r>
      <w:r>
        <w:rPr>
          <w:lang w:val="en-GB"/>
        </w:rPr>
        <w:t xml:space="preserve"> to participate.</w:t>
      </w:r>
      <w:r w:rsidRPr="00C33C0B">
        <w:rPr>
          <w:lang w:val="en-GB"/>
        </w:rPr>
        <w:t xml:space="preserve"> </w:t>
      </w:r>
      <w:r>
        <w:rPr>
          <w:lang w:val="en-GB"/>
        </w:rPr>
        <w:t>Their attendance should be made</w:t>
      </w:r>
      <w:r w:rsidRPr="00C33C0B">
        <w:rPr>
          <w:lang w:val="en-GB"/>
        </w:rPr>
        <w:t xml:space="preserve"> possible </w:t>
      </w:r>
      <w:r>
        <w:rPr>
          <w:lang w:val="en-GB"/>
        </w:rPr>
        <w:t>if</w:t>
      </w:r>
      <w:r w:rsidRPr="00C33C0B">
        <w:rPr>
          <w:lang w:val="en-GB"/>
        </w:rPr>
        <w:t xml:space="preserve"> </w:t>
      </w:r>
      <w:r>
        <w:rPr>
          <w:lang w:val="en-GB"/>
        </w:rPr>
        <w:t xml:space="preserve">the </w:t>
      </w:r>
      <w:r w:rsidRPr="00C33C0B">
        <w:rPr>
          <w:lang w:val="en-GB"/>
        </w:rPr>
        <w:t xml:space="preserve">patient </w:t>
      </w:r>
      <w:r>
        <w:rPr>
          <w:lang w:val="en-GB"/>
        </w:rPr>
        <w:t>chooses to do so.</w:t>
      </w:r>
    </w:p>
    <w:p w14:paraId="645B6A70" w14:textId="77777777" w:rsidR="00E3287D" w:rsidRDefault="00E3287D" w:rsidP="006D43A0">
      <w:pPr>
        <w:pStyle w:val="Bullet-green"/>
        <w:numPr>
          <w:ilvl w:val="0"/>
          <w:numId w:val="148"/>
        </w:numPr>
        <w:rPr>
          <w:lang w:val="en-GB"/>
        </w:rPr>
      </w:pPr>
      <w:r>
        <w:rPr>
          <w:lang w:val="en-GB"/>
        </w:rPr>
        <w:t>Require o</w:t>
      </w:r>
      <w:r w:rsidRPr="00C33C0B">
        <w:rPr>
          <w:lang w:val="en-GB"/>
        </w:rPr>
        <w:t xml:space="preserve">utcomes </w:t>
      </w:r>
      <w:r>
        <w:rPr>
          <w:lang w:val="en-GB"/>
        </w:rPr>
        <w:t xml:space="preserve">to </w:t>
      </w:r>
      <w:r w:rsidRPr="00C33C0B">
        <w:rPr>
          <w:lang w:val="en-GB"/>
        </w:rPr>
        <w:t>be documented in writing, including agreed, shared decisions and informed consent</w:t>
      </w:r>
      <w:r>
        <w:rPr>
          <w:lang w:val="en-GB"/>
        </w:rPr>
        <w:t>.</w:t>
      </w:r>
      <w:r w:rsidRPr="00C33C0B">
        <w:rPr>
          <w:lang w:val="en-GB"/>
        </w:rPr>
        <w:t xml:space="preserve"> </w:t>
      </w:r>
    </w:p>
    <w:p w14:paraId="220F2CEC" w14:textId="77777777" w:rsidR="00E3287D" w:rsidRPr="00C33C0B" w:rsidRDefault="00E3287D" w:rsidP="006D43A0">
      <w:pPr>
        <w:pStyle w:val="Bullet-green"/>
        <w:numPr>
          <w:ilvl w:val="0"/>
          <w:numId w:val="148"/>
        </w:numPr>
        <w:rPr>
          <w:lang w:val="en-GB"/>
        </w:rPr>
      </w:pPr>
      <w:r>
        <w:rPr>
          <w:lang w:val="en-GB"/>
        </w:rPr>
        <w:t>Stipulate that participants have the option</w:t>
      </w:r>
      <w:r w:rsidRPr="00C33C0B">
        <w:rPr>
          <w:lang w:val="en-GB"/>
        </w:rPr>
        <w:t xml:space="preserve"> to attend face</w:t>
      </w:r>
      <w:r>
        <w:rPr>
          <w:lang w:val="en-GB"/>
        </w:rPr>
        <w:t xml:space="preserve"> </w:t>
      </w:r>
      <w:r w:rsidRPr="00C33C0B">
        <w:rPr>
          <w:lang w:val="en-GB"/>
        </w:rPr>
        <w:t>to face, by videoconference</w:t>
      </w:r>
      <w:r>
        <w:rPr>
          <w:lang w:val="en-GB"/>
        </w:rPr>
        <w:t>,</w:t>
      </w:r>
      <w:r w:rsidRPr="00C33C0B">
        <w:rPr>
          <w:lang w:val="en-GB"/>
        </w:rPr>
        <w:t xml:space="preserve"> or over the telephone</w:t>
      </w:r>
      <w:r>
        <w:rPr>
          <w:lang w:val="en-GB"/>
        </w:rPr>
        <w:t>.</w:t>
      </w:r>
      <w:r w:rsidRPr="00C33C0B">
        <w:rPr>
          <w:lang w:val="en-GB"/>
        </w:rPr>
        <w:t xml:space="preserve"> </w:t>
      </w:r>
    </w:p>
    <w:p w14:paraId="3B3B123B" w14:textId="77777777" w:rsidR="00E3287D" w:rsidRPr="00C33C0B" w:rsidRDefault="00E3287D" w:rsidP="006D43A0">
      <w:pPr>
        <w:pStyle w:val="Bullet-green"/>
        <w:numPr>
          <w:ilvl w:val="0"/>
          <w:numId w:val="148"/>
        </w:numPr>
        <w:rPr>
          <w:lang w:val="en-GB"/>
        </w:rPr>
      </w:pPr>
      <w:r>
        <w:rPr>
          <w:lang w:val="en-GB"/>
        </w:rPr>
        <w:t xml:space="preserve">Recommend that outcomes be uploaded to My Health </w:t>
      </w:r>
      <w:r w:rsidR="00196C0C">
        <w:rPr>
          <w:lang w:val="en-GB"/>
        </w:rPr>
        <w:t>Record by the GP (or delegate).</w:t>
      </w:r>
    </w:p>
    <w:p w14:paraId="6437399F" w14:textId="77777777" w:rsidR="00E3287D" w:rsidRDefault="00E3287D" w:rsidP="000831A1">
      <w:pPr>
        <w:pStyle w:val="Bullet-green"/>
        <w:numPr>
          <w:ilvl w:val="0"/>
          <w:numId w:val="87"/>
        </w:numPr>
        <w:rPr>
          <w:lang w:val="en-GB"/>
        </w:rPr>
      </w:pPr>
      <w:r>
        <w:rPr>
          <w:lang w:val="en-GB"/>
        </w:rPr>
        <w:t>update</w:t>
      </w:r>
      <w:r w:rsidRPr="003C4FE3">
        <w:rPr>
          <w:lang w:val="en-GB"/>
        </w:rPr>
        <w:t xml:space="preserve"> explanatory notes</w:t>
      </w:r>
      <w:r>
        <w:rPr>
          <w:lang w:val="en-GB"/>
        </w:rPr>
        <w:t xml:space="preserve"> to:</w:t>
      </w:r>
    </w:p>
    <w:p w14:paraId="35AA80F3" w14:textId="77777777" w:rsidR="00E3287D" w:rsidRPr="00607BDA" w:rsidRDefault="00E3287D" w:rsidP="000831A1">
      <w:pPr>
        <w:pStyle w:val="Bullet-green"/>
        <w:numPr>
          <w:ilvl w:val="0"/>
          <w:numId w:val="90"/>
        </w:numPr>
        <w:rPr>
          <w:lang w:val="en-GB"/>
        </w:rPr>
      </w:pPr>
      <w:r>
        <w:rPr>
          <w:lang w:val="en-GB"/>
        </w:rPr>
        <w:t xml:space="preserve">include </w:t>
      </w:r>
      <w:r w:rsidRPr="003C4FE3">
        <w:rPr>
          <w:lang w:val="en-GB"/>
        </w:rPr>
        <w:t>that the GP may not always be the clinician who is the primary care provider for the patient</w:t>
      </w:r>
      <w:r>
        <w:rPr>
          <w:lang w:val="en-GB"/>
        </w:rPr>
        <w:t xml:space="preserve"> (e.g.</w:t>
      </w:r>
      <w:r w:rsidRPr="003C4FE3">
        <w:rPr>
          <w:lang w:val="en-GB"/>
        </w:rPr>
        <w:t xml:space="preserve"> complex paediatric patients are sometimes managed by a general or community</w:t>
      </w:r>
      <w:r w:rsidRPr="00607BDA">
        <w:rPr>
          <w:lang w:val="en-GB"/>
        </w:rPr>
        <w:t xml:space="preserve"> </w:t>
      </w:r>
      <w:r w:rsidRPr="007E6567">
        <w:rPr>
          <w:lang w:val="en-GB"/>
        </w:rPr>
        <w:t>paediatrician</w:t>
      </w:r>
      <w:r>
        <w:rPr>
          <w:lang w:val="en-GB"/>
        </w:rPr>
        <w:t>) and that in</w:t>
      </w:r>
      <w:r w:rsidRPr="007E6567">
        <w:rPr>
          <w:lang w:val="en-GB"/>
        </w:rPr>
        <w:t xml:space="preserve"> such cases,</w:t>
      </w:r>
      <w:r>
        <w:rPr>
          <w:lang w:val="en-GB"/>
        </w:rPr>
        <w:t xml:space="preserve"> </w:t>
      </w:r>
      <w:r w:rsidRPr="00607BDA">
        <w:rPr>
          <w:lang w:val="en-GB"/>
        </w:rPr>
        <w:t xml:space="preserve">there should be mandatory participation of the patient’s </w:t>
      </w:r>
      <w:r w:rsidRPr="007E6567">
        <w:rPr>
          <w:lang w:val="en-GB"/>
        </w:rPr>
        <w:t>primary care provider</w:t>
      </w:r>
      <w:r w:rsidR="00196C0C">
        <w:rPr>
          <w:lang w:val="en-GB"/>
        </w:rPr>
        <w:t>;</w:t>
      </w:r>
      <w:r>
        <w:rPr>
          <w:lang w:val="en-GB"/>
        </w:rPr>
        <w:t xml:space="preserve"> and</w:t>
      </w:r>
    </w:p>
    <w:p w14:paraId="6921AB3D" w14:textId="77777777" w:rsidR="00E3287D" w:rsidRPr="007E6567" w:rsidRDefault="00E3287D" w:rsidP="000831A1">
      <w:pPr>
        <w:pStyle w:val="Bullet-green"/>
        <w:numPr>
          <w:ilvl w:val="0"/>
          <w:numId w:val="90"/>
        </w:numPr>
        <w:rPr>
          <w:lang w:val="en-GB"/>
        </w:rPr>
      </w:pPr>
      <w:r>
        <w:rPr>
          <w:lang w:val="en-GB"/>
        </w:rPr>
        <w:t xml:space="preserve">clarify that </w:t>
      </w:r>
      <w:r w:rsidRPr="007E6567">
        <w:rPr>
          <w:lang w:val="en-GB"/>
        </w:rPr>
        <w:t>GP participation or review of outcomes should not be a pre-requisite for the item being claimed by other participants</w:t>
      </w:r>
      <w:r w:rsidR="00196C0C">
        <w:rPr>
          <w:lang w:val="en-GB"/>
        </w:rPr>
        <w:t>.</w:t>
      </w:r>
    </w:p>
    <w:p w14:paraId="4BB32F82" w14:textId="77777777" w:rsidR="00E3287D" w:rsidRPr="00607BDA" w:rsidRDefault="00E3287D" w:rsidP="000831A1">
      <w:pPr>
        <w:pStyle w:val="Bullet-green"/>
        <w:numPr>
          <w:ilvl w:val="0"/>
          <w:numId w:val="87"/>
        </w:numPr>
        <w:rPr>
          <w:lang w:val="en-GB"/>
        </w:rPr>
      </w:pPr>
      <w:r>
        <w:rPr>
          <w:lang w:val="en-GB"/>
        </w:rPr>
        <w:t>i</w:t>
      </w:r>
      <w:r w:rsidRPr="00607BDA">
        <w:rPr>
          <w:lang w:val="en-GB"/>
        </w:rPr>
        <w:t>ntroduce six new treatment planning case conference items to discuss available treatment options with peer medical practitioners</w:t>
      </w:r>
      <w:r>
        <w:rPr>
          <w:lang w:val="en-GB"/>
        </w:rPr>
        <w:t>, to</w:t>
      </w:r>
      <w:r w:rsidRPr="00607BDA">
        <w:rPr>
          <w:lang w:val="en-GB"/>
        </w:rPr>
        <w:t>:</w:t>
      </w:r>
    </w:p>
    <w:p w14:paraId="34325ABB" w14:textId="77777777" w:rsidR="00E3287D" w:rsidRPr="00C33C0B" w:rsidRDefault="00E3287D" w:rsidP="006D43A0">
      <w:pPr>
        <w:pStyle w:val="Bullet-green"/>
        <w:numPr>
          <w:ilvl w:val="0"/>
          <w:numId w:val="150"/>
        </w:numPr>
        <w:rPr>
          <w:lang w:val="en-GB"/>
        </w:rPr>
      </w:pPr>
      <w:r>
        <w:rPr>
          <w:lang w:val="en-GB"/>
        </w:rPr>
        <w:t>Require</w:t>
      </w:r>
      <w:r w:rsidRPr="00C33C0B">
        <w:rPr>
          <w:lang w:val="en-GB"/>
        </w:rPr>
        <w:t xml:space="preserve"> the </w:t>
      </w:r>
      <w:r>
        <w:rPr>
          <w:lang w:val="en-GB"/>
        </w:rPr>
        <w:t>organiser</w:t>
      </w:r>
      <w:r w:rsidRPr="00C33C0B">
        <w:rPr>
          <w:lang w:val="en-GB"/>
        </w:rPr>
        <w:t xml:space="preserve"> to send pre-briefing material to participants prior to the conference, and </w:t>
      </w:r>
      <w:r>
        <w:rPr>
          <w:lang w:val="en-GB"/>
        </w:rPr>
        <w:t>to prepare</w:t>
      </w:r>
      <w:r w:rsidRPr="00C33C0B">
        <w:rPr>
          <w:lang w:val="en-GB"/>
        </w:rPr>
        <w:t xml:space="preserve"> a written document for the conference that outlines treatment options</w:t>
      </w:r>
      <w:r>
        <w:rPr>
          <w:lang w:val="en-GB"/>
        </w:rPr>
        <w:t>.</w:t>
      </w:r>
    </w:p>
    <w:p w14:paraId="0ACF7CDF" w14:textId="77777777" w:rsidR="00E3287D" w:rsidRPr="00C33C0B" w:rsidRDefault="00E3287D" w:rsidP="006D43A0">
      <w:pPr>
        <w:pStyle w:val="Bullet-green"/>
        <w:numPr>
          <w:ilvl w:val="0"/>
          <w:numId w:val="150"/>
        </w:numPr>
        <w:rPr>
          <w:lang w:val="en-GB"/>
        </w:rPr>
      </w:pPr>
      <w:r w:rsidRPr="00C33C0B">
        <w:rPr>
          <w:lang w:val="en-GB"/>
        </w:rPr>
        <w:t>Encourage GP participation (either face</w:t>
      </w:r>
      <w:r>
        <w:rPr>
          <w:lang w:val="en-GB"/>
        </w:rPr>
        <w:t xml:space="preserve"> </w:t>
      </w:r>
      <w:r w:rsidRPr="00C33C0B">
        <w:rPr>
          <w:lang w:val="en-GB"/>
        </w:rPr>
        <w:t>to</w:t>
      </w:r>
      <w:r>
        <w:rPr>
          <w:lang w:val="en-GB"/>
        </w:rPr>
        <w:t xml:space="preserve"> </w:t>
      </w:r>
      <w:r w:rsidRPr="00C33C0B">
        <w:rPr>
          <w:lang w:val="en-GB"/>
        </w:rPr>
        <w:t>face, over the phone or by videoconference)</w:t>
      </w:r>
      <w:r>
        <w:rPr>
          <w:lang w:val="en-GB"/>
        </w:rPr>
        <w:t>.</w:t>
      </w:r>
    </w:p>
    <w:p w14:paraId="54F62EAF" w14:textId="77777777" w:rsidR="00E3287D" w:rsidRPr="00A93435" w:rsidRDefault="00E3287D" w:rsidP="006D43A0">
      <w:pPr>
        <w:pStyle w:val="Bullet-green"/>
        <w:numPr>
          <w:ilvl w:val="0"/>
          <w:numId w:val="150"/>
        </w:numPr>
        <w:rPr>
          <w:lang w:val="en-GB"/>
        </w:rPr>
      </w:pPr>
      <w:r w:rsidRPr="00C33C0B">
        <w:rPr>
          <w:lang w:val="en-GB"/>
        </w:rPr>
        <w:t>Stipulate that</w:t>
      </w:r>
      <w:r>
        <w:rPr>
          <w:lang w:val="en-GB"/>
        </w:rPr>
        <w:t xml:space="preserve"> while</w:t>
      </w:r>
      <w:r w:rsidRPr="00C33C0B">
        <w:rPr>
          <w:lang w:val="en-GB"/>
        </w:rPr>
        <w:t xml:space="preserve"> final treatment decisions </w:t>
      </w:r>
      <w:r>
        <w:rPr>
          <w:lang w:val="en-GB"/>
        </w:rPr>
        <w:t xml:space="preserve">must be </w:t>
      </w:r>
      <w:r w:rsidRPr="00C33C0B">
        <w:rPr>
          <w:lang w:val="en-GB"/>
        </w:rPr>
        <w:t>made together with the patient (unless there are exceptional circumstances)</w:t>
      </w:r>
      <w:r>
        <w:rPr>
          <w:lang w:val="en-GB"/>
        </w:rPr>
        <w:t>,</w:t>
      </w:r>
      <w:r w:rsidRPr="00C33C0B">
        <w:rPr>
          <w:lang w:val="en-GB"/>
        </w:rPr>
        <w:t xml:space="preserve"> patient participation</w:t>
      </w:r>
      <w:r>
        <w:rPr>
          <w:lang w:val="en-GB"/>
        </w:rPr>
        <w:t xml:space="preserve"> in initial treatment option discussion</w:t>
      </w:r>
      <w:r w:rsidRPr="00C33C0B">
        <w:rPr>
          <w:lang w:val="en-GB"/>
        </w:rPr>
        <w:t xml:space="preserve"> </w:t>
      </w:r>
      <w:r>
        <w:rPr>
          <w:lang w:val="en-GB"/>
        </w:rPr>
        <w:t xml:space="preserve">is not </w:t>
      </w:r>
      <w:r w:rsidRPr="00C33C0B">
        <w:rPr>
          <w:lang w:val="en-GB"/>
        </w:rPr>
        <w:t>mandatory</w:t>
      </w:r>
      <w:r>
        <w:rPr>
          <w:lang w:val="en-GB"/>
        </w:rPr>
        <w:t>.</w:t>
      </w:r>
    </w:p>
    <w:p w14:paraId="0369C7D8" w14:textId="5C87CD90" w:rsidR="00E3287D" w:rsidRPr="00B806E3" w:rsidRDefault="00E3287D" w:rsidP="006D43A0">
      <w:pPr>
        <w:pStyle w:val="Bullet-green"/>
        <w:numPr>
          <w:ilvl w:val="0"/>
          <w:numId w:val="150"/>
        </w:numPr>
        <w:rPr>
          <w:lang w:val="en-GB"/>
        </w:rPr>
      </w:pPr>
      <w:r w:rsidRPr="006D43A0">
        <w:rPr>
          <w:lang w:val="en-GB"/>
        </w:rPr>
        <w:t xml:space="preserve">Recommend that outcomes be uploaded to My Health Record, with the responsibility for uploading resting with the case conference organiser (refer to </w:t>
      </w:r>
      <w:r w:rsidRPr="006D43A0">
        <w:rPr>
          <w:i/>
          <w:lang w:val="en-GB"/>
        </w:rPr>
        <w:t xml:space="preserve">Recommendation </w:t>
      </w:r>
      <w:r w:rsidR="00B95BB0">
        <w:rPr>
          <w:i/>
          <w:lang w:val="en-GB"/>
        </w:rPr>
        <w:t>18</w:t>
      </w:r>
      <w:r w:rsidRPr="006D43A0">
        <w:rPr>
          <w:lang w:val="en-GB"/>
        </w:rPr>
        <w:t>).</w:t>
      </w:r>
    </w:p>
    <w:p w14:paraId="0C245BE6" w14:textId="77777777" w:rsidR="00E3287D" w:rsidRPr="00607BDA" w:rsidRDefault="00E3287D" w:rsidP="000831A1">
      <w:pPr>
        <w:pStyle w:val="Bullet-green"/>
        <w:numPr>
          <w:ilvl w:val="0"/>
          <w:numId w:val="87"/>
        </w:numPr>
        <w:rPr>
          <w:lang w:val="en-GB"/>
        </w:rPr>
      </w:pPr>
      <w:r>
        <w:rPr>
          <w:lang w:val="en-GB"/>
        </w:rPr>
        <w:t>m</w:t>
      </w:r>
      <w:r w:rsidRPr="00607BDA">
        <w:rPr>
          <w:lang w:val="en-GB"/>
        </w:rPr>
        <w:t>aintain the current distinction between organiser/coordinator and participant roles</w:t>
      </w:r>
      <w:r w:rsidR="00196C0C">
        <w:rPr>
          <w:lang w:val="en-GB"/>
        </w:rPr>
        <w:t>;</w:t>
      </w:r>
    </w:p>
    <w:p w14:paraId="69E64365" w14:textId="77777777" w:rsidR="00E3287D" w:rsidRPr="00607BDA" w:rsidRDefault="00E3287D" w:rsidP="000831A1">
      <w:pPr>
        <w:pStyle w:val="Bullet-green"/>
        <w:numPr>
          <w:ilvl w:val="0"/>
          <w:numId w:val="87"/>
        </w:numPr>
        <w:rPr>
          <w:lang w:val="en-GB"/>
        </w:rPr>
      </w:pPr>
      <w:r>
        <w:rPr>
          <w:lang w:val="en-GB"/>
        </w:rPr>
        <w:t>i</w:t>
      </w:r>
      <w:r w:rsidRPr="00047796">
        <w:rPr>
          <w:lang w:val="en-GB"/>
        </w:rPr>
        <w:t>ntroduce a new time tier for less than 15 minutes for each of the three categories</w:t>
      </w:r>
      <w:r w:rsidR="00196C0C">
        <w:rPr>
          <w:lang w:val="en-GB"/>
        </w:rPr>
        <w:t>;</w:t>
      </w:r>
      <w:r>
        <w:rPr>
          <w:lang w:val="en-GB"/>
        </w:rPr>
        <w:t xml:space="preserve"> and</w:t>
      </w:r>
    </w:p>
    <w:p w14:paraId="41B4666A" w14:textId="60E5FBC1" w:rsidR="00E3287D" w:rsidRPr="00607BDA" w:rsidRDefault="00E3287D" w:rsidP="000831A1">
      <w:pPr>
        <w:pStyle w:val="Bullet-green"/>
        <w:numPr>
          <w:ilvl w:val="0"/>
          <w:numId w:val="87"/>
        </w:numPr>
        <w:rPr>
          <w:lang w:val="en-GB"/>
        </w:rPr>
      </w:pPr>
      <w:r>
        <w:rPr>
          <w:lang w:val="en-GB"/>
        </w:rPr>
        <w:t>stipulate a minimum of 3 attendees of different disciplines at each case conference, which c</w:t>
      </w:r>
      <w:r>
        <w:rPr>
          <w:lang w:val="en-US"/>
        </w:rPr>
        <w:t>an include consultant specialists, GPs, AHPs, and nurse practitioners (</w:t>
      </w:r>
      <w:r w:rsidRPr="00607BDA">
        <w:rPr>
          <w:i/>
          <w:lang w:val="en-US"/>
        </w:rPr>
        <w:t xml:space="preserve">refer to Recommendation </w:t>
      </w:r>
      <w:r w:rsidR="00B95BB0">
        <w:rPr>
          <w:i/>
          <w:lang w:val="en-US"/>
        </w:rPr>
        <w:t>12</w:t>
      </w:r>
      <w:r>
        <w:rPr>
          <w:lang w:val="en-US"/>
        </w:rPr>
        <w:t>) but should not include patients or carers.</w:t>
      </w:r>
    </w:p>
    <w:p w14:paraId="40C9B97D" w14:textId="77777777" w:rsidR="00B32B5F" w:rsidRDefault="00E3287D" w:rsidP="00E3287D">
      <w:pPr>
        <w:rPr>
          <w:lang w:val="en-US"/>
        </w:rPr>
      </w:pPr>
      <w:r>
        <w:rPr>
          <w:lang w:val="en-US"/>
        </w:rPr>
        <w:t xml:space="preserve">To assist in interpreting this recommendation the Committee has provided new item descriptors in Table </w:t>
      </w:r>
      <w:r w:rsidR="002355E9">
        <w:rPr>
          <w:lang w:val="en-US"/>
        </w:rPr>
        <w:t>B.4</w:t>
      </w:r>
      <w:r>
        <w:rPr>
          <w:lang w:val="en-US"/>
        </w:rPr>
        <w:t>.</w:t>
      </w:r>
    </w:p>
    <w:p w14:paraId="15DDC71B" w14:textId="77777777" w:rsidR="00E3287D" w:rsidRDefault="002355E9" w:rsidP="00651006">
      <w:pPr>
        <w:rPr>
          <w:b/>
          <w:lang w:val="en-GB"/>
        </w:rPr>
      </w:pPr>
      <w:r>
        <w:rPr>
          <w:b/>
        </w:rPr>
        <w:t xml:space="preserve">Table </w:t>
      </w:r>
      <w:r w:rsidR="00C17B92">
        <w:rPr>
          <w:b/>
        </w:rPr>
        <w:t>B</w:t>
      </w:r>
      <w:r>
        <w:rPr>
          <w:b/>
        </w:rPr>
        <w:t>.</w:t>
      </w:r>
      <w:r w:rsidR="00C17B92">
        <w:rPr>
          <w:b/>
        </w:rPr>
        <w:t>4</w:t>
      </w:r>
      <w:r w:rsidR="004F0673">
        <w:rPr>
          <w:b/>
        </w:rPr>
        <w:t>:</w:t>
      </w:r>
      <w:r w:rsidR="00E3287D" w:rsidRPr="00651006">
        <w:rPr>
          <w:b/>
        </w:rPr>
        <w:t xml:space="preserve"> </w:t>
      </w:r>
      <w:r w:rsidR="00E3287D" w:rsidRPr="00651006">
        <w:rPr>
          <w:b/>
          <w:lang w:val="en-GB"/>
        </w:rPr>
        <w:t>Case conference item descriptors</w:t>
      </w:r>
    </w:p>
    <w:tbl>
      <w:tblPr>
        <w:tblStyle w:val="GridTable1Light"/>
        <w:tblW w:w="5034" w:type="pct"/>
        <w:tblLook w:val="04A0" w:firstRow="1" w:lastRow="0" w:firstColumn="1" w:lastColumn="0" w:noHBand="0" w:noVBand="1"/>
        <w:tblCaption w:val="Table 5: Case conference item descriptors"/>
        <w:tblDescription w:val="Table 5 has 4 columns. Column 1 is the item. Column 2 is the duration of the item. Column 3 is the role of the item. Column 4 is the proposed new item descriptor. "/>
      </w:tblPr>
      <w:tblGrid>
        <w:gridCol w:w="732"/>
        <w:gridCol w:w="1739"/>
        <w:gridCol w:w="1188"/>
        <w:gridCol w:w="4699"/>
      </w:tblGrid>
      <w:tr w:rsidR="00852773" w:rsidRPr="00C33C0B" w14:paraId="4136A213" w14:textId="77777777" w:rsidTr="00041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0" w:type="dxa"/>
          </w:tcPr>
          <w:p w14:paraId="782C105A" w14:textId="77777777" w:rsidR="00852773" w:rsidRPr="00C33C0B" w:rsidRDefault="00852773" w:rsidP="00852773">
            <w:pPr>
              <w:spacing w:before="20" w:after="20"/>
              <w:rPr>
                <w:b w:val="0"/>
                <w:bCs w:val="0"/>
                <w:szCs w:val="22"/>
                <w:lang w:val="en-GB"/>
              </w:rPr>
            </w:pPr>
            <w:r w:rsidRPr="00C33C0B">
              <w:rPr>
                <w:bCs w:val="0"/>
                <w:szCs w:val="22"/>
                <w:lang w:val="en-GB"/>
              </w:rPr>
              <w:t>Item</w:t>
            </w:r>
          </w:p>
        </w:tc>
        <w:tc>
          <w:tcPr>
            <w:tcW w:w="1808" w:type="dxa"/>
          </w:tcPr>
          <w:p w14:paraId="4D7C39B7" w14:textId="77777777" w:rsidR="00852773" w:rsidRPr="00C33C0B" w:rsidRDefault="00852773" w:rsidP="00852773">
            <w:pPr>
              <w:spacing w:before="20" w:after="20"/>
              <w:cnfStyle w:val="100000000000" w:firstRow="1" w:lastRow="0" w:firstColumn="0" w:lastColumn="0" w:oddVBand="0" w:evenVBand="0" w:oddHBand="0" w:evenHBand="0" w:firstRowFirstColumn="0" w:firstRowLastColumn="0" w:lastRowFirstColumn="0" w:lastRowLastColumn="0"/>
              <w:rPr>
                <w:b w:val="0"/>
                <w:bCs w:val="0"/>
                <w:szCs w:val="22"/>
                <w:lang w:val="en-GB"/>
              </w:rPr>
            </w:pPr>
            <w:r w:rsidRPr="00C33C0B">
              <w:rPr>
                <w:bCs w:val="0"/>
                <w:szCs w:val="22"/>
                <w:lang w:val="en-GB"/>
              </w:rPr>
              <w:t>Duration</w:t>
            </w:r>
          </w:p>
        </w:tc>
        <w:tc>
          <w:tcPr>
            <w:tcW w:w="1036" w:type="dxa"/>
          </w:tcPr>
          <w:p w14:paraId="31BF0669" w14:textId="77777777" w:rsidR="00852773" w:rsidRPr="00C33C0B" w:rsidRDefault="00852773" w:rsidP="00852773">
            <w:pPr>
              <w:spacing w:before="20" w:after="20"/>
              <w:cnfStyle w:val="100000000000" w:firstRow="1" w:lastRow="0" w:firstColumn="0" w:lastColumn="0" w:oddVBand="0" w:evenVBand="0" w:oddHBand="0" w:evenHBand="0" w:firstRowFirstColumn="0" w:firstRowLastColumn="0" w:lastRowFirstColumn="0" w:lastRowLastColumn="0"/>
              <w:rPr>
                <w:b w:val="0"/>
                <w:bCs w:val="0"/>
                <w:szCs w:val="22"/>
                <w:lang w:val="en-GB"/>
              </w:rPr>
            </w:pPr>
            <w:r w:rsidRPr="00C33C0B">
              <w:rPr>
                <w:bCs w:val="0"/>
                <w:szCs w:val="22"/>
                <w:lang w:val="en-GB"/>
              </w:rPr>
              <w:t>Role</w:t>
            </w:r>
          </w:p>
        </w:tc>
        <w:tc>
          <w:tcPr>
            <w:tcW w:w="4924" w:type="dxa"/>
          </w:tcPr>
          <w:p w14:paraId="0865B753" w14:textId="77777777" w:rsidR="00852773" w:rsidRPr="00C33C0B" w:rsidRDefault="00852773" w:rsidP="00852773">
            <w:pPr>
              <w:spacing w:before="20" w:after="20"/>
              <w:cnfStyle w:val="100000000000" w:firstRow="1" w:lastRow="0" w:firstColumn="0" w:lastColumn="0" w:oddVBand="0" w:evenVBand="0" w:oddHBand="0" w:evenHBand="0" w:firstRowFirstColumn="0" w:firstRowLastColumn="0" w:lastRowFirstColumn="0" w:lastRowLastColumn="0"/>
              <w:rPr>
                <w:b w:val="0"/>
                <w:bCs w:val="0"/>
                <w:szCs w:val="22"/>
                <w:lang w:val="en-GB"/>
              </w:rPr>
            </w:pPr>
            <w:r w:rsidRPr="00C33C0B">
              <w:rPr>
                <w:bCs w:val="0"/>
                <w:szCs w:val="22"/>
                <w:lang w:val="en-GB"/>
              </w:rPr>
              <w:t>New item descriptor</w:t>
            </w:r>
          </w:p>
        </w:tc>
      </w:tr>
      <w:tr w:rsidR="00852773" w:rsidRPr="00C33C0B" w14:paraId="252952EA"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67F49236" w14:textId="77777777" w:rsidR="00852773" w:rsidRPr="000F6B85" w:rsidRDefault="00852773" w:rsidP="00852773">
            <w:pPr>
              <w:spacing w:before="20" w:after="20"/>
              <w:rPr>
                <w:b/>
                <w:szCs w:val="22"/>
                <w:lang w:val="en-GB"/>
              </w:rPr>
            </w:pPr>
            <w:r>
              <w:rPr>
                <w:szCs w:val="22"/>
                <w:lang w:val="en-GB"/>
              </w:rPr>
              <w:t>82X (new)</w:t>
            </w:r>
          </w:p>
        </w:tc>
        <w:tc>
          <w:tcPr>
            <w:tcW w:w="1808" w:type="dxa"/>
          </w:tcPr>
          <w:p w14:paraId="2C99FD42"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&lt;15 minutes</w:t>
            </w:r>
          </w:p>
        </w:tc>
        <w:tc>
          <w:tcPr>
            <w:tcW w:w="1036" w:type="dxa"/>
            <w:vMerge w:val="restart"/>
          </w:tcPr>
          <w:p w14:paraId="2A958613"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Organise and coordinate</w:t>
            </w:r>
          </w:p>
          <w:p w14:paraId="45454A1D"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val="restart"/>
          </w:tcPr>
          <w:p w14:paraId="0E3911C1"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Attendance by a </w:t>
            </w:r>
            <w:r>
              <w:rPr>
                <w:szCs w:val="22"/>
                <w:lang w:val="en-GB"/>
              </w:rPr>
              <w:t>consultant specialist</w:t>
            </w:r>
            <w:r w:rsidRPr="00C33C0B">
              <w:rPr>
                <w:szCs w:val="22"/>
                <w:lang w:val="en-GB"/>
              </w:rPr>
              <w:t xml:space="preserve"> in the practice of his or her specialty to </w:t>
            </w:r>
            <w:r>
              <w:rPr>
                <w:szCs w:val="22"/>
                <w:lang w:val="en-GB"/>
              </w:rPr>
              <w:t>[insert role]</w:t>
            </w:r>
            <w:r w:rsidRPr="00C33C0B">
              <w:rPr>
                <w:szCs w:val="22"/>
                <w:lang w:val="en-GB"/>
              </w:rPr>
              <w:t xml:space="preserve"> a community case conference of at least [X] minutes but less than [X] minutes, requiring:</w:t>
            </w:r>
          </w:p>
          <w:p w14:paraId="3E6ADD13" w14:textId="77777777" w:rsidR="00852773" w:rsidRDefault="00852773" w:rsidP="00852773">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Specialist input to the management of a complex patient in the community; and</w:t>
            </w:r>
          </w:p>
          <w:p w14:paraId="24AFF214" w14:textId="77777777" w:rsidR="00852773" w:rsidRDefault="00852773" w:rsidP="00852773">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B25708">
              <w:rPr>
                <w:szCs w:val="22"/>
                <w:lang w:val="en-GB"/>
              </w:rPr>
              <w:t xml:space="preserve">Mandatory GP (or delegate) </w:t>
            </w:r>
            <w:r>
              <w:rPr>
                <w:szCs w:val="22"/>
                <w:lang w:val="en-GB"/>
              </w:rPr>
              <w:t>invitation and</w:t>
            </w:r>
          </w:p>
          <w:p w14:paraId="0CE6AA62" w14:textId="77777777" w:rsidR="00852773" w:rsidRPr="00B25708" w:rsidRDefault="00852773" w:rsidP="00852773">
            <w:pPr>
              <w:pStyle w:val="ListParagraph"/>
              <w:spacing w:before="20" w:after="20"/>
              <w:ind w:left="773"/>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i) participation, or ii)</w:t>
            </w:r>
            <w:r w:rsidRPr="00B25708">
              <w:rPr>
                <w:szCs w:val="22"/>
                <w:lang w:val="en-GB"/>
              </w:rPr>
              <w:t xml:space="preserve"> review of outcomes and</w:t>
            </w:r>
            <w:r>
              <w:rPr>
                <w:szCs w:val="22"/>
                <w:lang w:val="en-GB"/>
              </w:rPr>
              <w:t xml:space="preserve"> </w:t>
            </w:r>
            <w:r w:rsidRPr="00B25708">
              <w:rPr>
                <w:szCs w:val="22"/>
                <w:lang w:val="en-GB"/>
              </w:rPr>
              <w:t>communication of any proposed changes to the patient and to the case conference organiser; and</w:t>
            </w:r>
          </w:p>
          <w:p w14:paraId="08231F29" w14:textId="77777777" w:rsidR="00852773" w:rsidRPr="00C33C0B" w:rsidRDefault="00852773" w:rsidP="00852773">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Mandatory patient (or delegate) </w:t>
            </w:r>
            <w:r>
              <w:rPr>
                <w:szCs w:val="22"/>
                <w:lang w:val="en-GB"/>
              </w:rPr>
              <w:t xml:space="preserve">invitation </w:t>
            </w:r>
            <w:r w:rsidRPr="00C33C0B">
              <w:rPr>
                <w:szCs w:val="22"/>
                <w:lang w:val="en-GB"/>
              </w:rPr>
              <w:t>and to make it possible for them to attend; and</w:t>
            </w:r>
          </w:p>
          <w:p w14:paraId="466F2C27" w14:textId="77777777" w:rsidR="00852773" w:rsidRPr="00C33C0B" w:rsidRDefault="00852773" w:rsidP="00852773">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w:t>
            </w:r>
            <w:r>
              <w:rPr>
                <w:szCs w:val="22"/>
                <w:lang w:val="en-GB"/>
              </w:rPr>
              <w:t>t least two</w:t>
            </w:r>
            <w:r w:rsidRPr="00C33C0B">
              <w:rPr>
                <w:szCs w:val="22"/>
                <w:lang w:val="en-GB"/>
              </w:rPr>
              <w:t xml:space="preserve"> other formal care providers of different disciplines to be present; and</w:t>
            </w:r>
          </w:p>
          <w:p w14:paraId="31FDC037" w14:textId="77777777" w:rsidR="00852773" w:rsidRDefault="00852773" w:rsidP="00852773">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Outcomes to be documented in writing, including shared decisions made and informed consent sought</w:t>
            </w:r>
            <w:r>
              <w:rPr>
                <w:szCs w:val="22"/>
                <w:lang w:val="en-GB"/>
              </w:rPr>
              <w:t>; and</w:t>
            </w:r>
          </w:p>
          <w:p w14:paraId="6EC3D4F8" w14:textId="77777777" w:rsidR="00852773" w:rsidRPr="00C33C0B" w:rsidRDefault="00852773" w:rsidP="00852773">
            <w:pPr>
              <w:pStyle w:val="ListParagraph"/>
              <w:numPr>
                <w:ilvl w:val="0"/>
                <w:numId w:val="22"/>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474A8">
              <w:rPr>
                <w:szCs w:val="22"/>
                <w:lang w:val="en-GB"/>
              </w:rPr>
              <w:t>A copy of the case conference outcomes to be uploaded to My Health Record, unless patient consent is withdrawn, a</w:t>
            </w:r>
            <w:r>
              <w:rPr>
                <w:szCs w:val="22"/>
                <w:lang w:val="en-GB"/>
              </w:rPr>
              <w:t>nd where reasonably achievable.</w:t>
            </w:r>
          </w:p>
          <w:p w14:paraId="69CE29E0"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All participants must be in communication with each other throughout the conference, either face-to-face, by telephone or by videoconference, or a combination of these</w:t>
            </w:r>
          </w:p>
        </w:tc>
      </w:tr>
      <w:tr w:rsidR="00852773" w:rsidRPr="00C33C0B" w14:paraId="2D89730D"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3D5E9AFF" w14:textId="77777777" w:rsidR="00852773" w:rsidRPr="00C33C0B" w:rsidRDefault="00852773" w:rsidP="00852773">
            <w:pPr>
              <w:spacing w:before="20" w:after="20"/>
              <w:rPr>
                <w:szCs w:val="22"/>
                <w:lang w:val="en-GB"/>
              </w:rPr>
            </w:pPr>
            <w:r w:rsidRPr="00C33C0B">
              <w:rPr>
                <w:szCs w:val="22"/>
                <w:lang w:val="en-GB"/>
              </w:rPr>
              <w:t>820</w:t>
            </w:r>
          </w:p>
        </w:tc>
        <w:tc>
          <w:tcPr>
            <w:tcW w:w="1808" w:type="dxa"/>
          </w:tcPr>
          <w:p w14:paraId="7EB70BF8" w14:textId="0102184A"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4F5335E2"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464704A1"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53A2582E"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0D0F760B" w14:textId="77777777" w:rsidR="00852773" w:rsidRPr="00C33C0B" w:rsidRDefault="00852773" w:rsidP="00852773">
            <w:pPr>
              <w:spacing w:before="20" w:after="20"/>
              <w:rPr>
                <w:szCs w:val="22"/>
                <w:lang w:val="en-GB"/>
              </w:rPr>
            </w:pPr>
            <w:r w:rsidRPr="00C33C0B">
              <w:rPr>
                <w:szCs w:val="22"/>
                <w:lang w:val="en-GB"/>
              </w:rPr>
              <w:t>822</w:t>
            </w:r>
          </w:p>
        </w:tc>
        <w:tc>
          <w:tcPr>
            <w:tcW w:w="1808" w:type="dxa"/>
          </w:tcPr>
          <w:p w14:paraId="4711C004" w14:textId="6E8F0D6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0F002D87"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14DF3FE1"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1E943029"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161DB474" w14:textId="77777777" w:rsidR="00852773" w:rsidRPr="00C33C0B" w:rsidRDefault="00852773" w:rsidP="00852773">
            <w:pPr>
              <w:spacing w:before="20" w:after="20"/>
              <w:rPr>
                <w:szCs w:val="22"/>
                <w:lang w:val="en-GB"/>
              </w:rPr>
            </w:pPr>
            <w:r w:rsidRPr="00C33C0B">
              <w:rPr>
                <w:szCs w:val="22"/>
                <w:lang w:val="en-GB"/>
              </w:rPr>
              <w:t>823</w:t>
            </w:r>
          </w:p>
        </w:tc>
        <w:tc>
          <w:tcPr>
            <w:tcW w:w="1808" w:type="dxa"/>
          </w:tcPr>
          <w:p w14:paraId="076E65A5" w14:textId="2EB4F105"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&gt;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313E2EAE"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3991847B"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0838255F"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360867B1" w14:textId="77777777" w:rsidR="00852773" w:rsidRPr="000F6B85" w:rsidRDefault="00852773" w:rsidP="00852773">
            <w:pPr>
              <w:spacing w:before="20" w:after="20"/>
              <w:rPr>
                <w:b/>
                <w:szCs w:val="22"/>
                <w:lang w:val="en-GB"/>
              </w:rPr>
            </w:pPr>
            <w:r>
              <w:rPr>
                <w:szCs w:val="22"/>
                <w:lang w:val="en-GB"/>
              </w:rPr>
              <w:t>82Y (new)</w:t>
            </w:r>
          </w:p>
        </w:tc>
        <w:tc>
          <w:tcPr>
            <w:tcW w:w="1808" w:type="dxa"/>
          </w:tcPr>
          <w:p w14:paraId="7B7EC01F"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&lt;15 minutes</w:t>
            </w:r>
          </w:p>
        </w:tc>
        <w:tc>
          <w:tcPr>
            <w:tcW w:w="1036" w:type="dxa"/>
            <w:vMerge w:val="restart"/>
          </w:tcPr>
          <w:p w14:paraId="489D68C3"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Participate</w:t>
            </w:r>
          </w:p>
        </w:tc>
        <w:tc>
          <w:tcPr>
            <w:tcW w:w="4924" w:type="dxa"/>
            <w:vMerge/>
          </w:tcPr>
          <w:p w14:paraId="59C8D249"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7F50922E"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6CFE61BC" w14:textId="77777777" w:rsidR="00852773" w:rsidRPr="00C33C0B" w:rsidRDefault="00852773" w:rsidP="00852773">
            <w:pPr>
              <w:spacing w:before="20" w:after="20"/>
              <w:rPr>
                <w:szCs w:val="22"/>
                <w:lang w:val="en-GB"/>
              </w:rPr>
            </w:pPr>
            <w:r w:rsidRPr="00C33C0B">
              <w:rPr>
                <w:szCs w:val="22"/>
                <w:lang w:val="en-GB"/>
              </w:rPr>
              <w:t>825</w:t>
            </w:r>
          </w:p>
        </w:tc>
        <w:tc>
          <w:tcPr>
            <w:tcW w:w="1808" w:type="dxa"/>
          </w:tcPr>
          <w:p w14:paraId="53AC9F6D" w14:textId="486A89B4"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206CEAA5"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0D7291D0"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325061E4"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5104E2B3" w14:textId="77777777" w:rsidR="00852773" w:rsidRPr="00C33C0B" w:rsidRDefault="00852773" w:rsidP="00852773">
            <w:pPr>
              <w:spacing w:before="20" w:after="20"/>
              <w:rPr>
                <w:szCs w:val="22"/>
                <w:lang w:val="en-GB"/>
              </w:rPr>
            </w:pPr>
            <w:r w:rsidRPr="00C33C0B">
              <w:rPr>
                <w:szCs w:val="22"/>
                <w:lang w:val="en-GB"/>
              </w:rPr>
              <w:t>826</w:t>
            </w:r>
          </w:p>
        </w:tc>
        <w:tc>
          <w:tcPr>
            <w:tcW w:w="1808" w:type="dxa"/>
          </w:tcPr>
          <w:p w14:paraId="32D7786C" w14:textId="3A31886C"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0F33A51F"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4B526097"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7DA17253"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50C823EB" w14:textId="77777777" w:rsidR="00852773" w:rsidRPr="00C33C0B" w:rsidRDefault="00852773" w:rsidP="00852773">
            <w:pPr>
              <w:spacing w:before="20" w:after="20"/>
              <w:rPr>
                <w:szCs w:val="22"/>
                <w:lang w:val="en-GB"/>
              </w:rPr>
            </w:pPr>
            <w:r w:rsidRPr="00C33C0B">
              <w:rPr>
                <w:szCs w:val="22"/>
                <w:lang w:val="en-GB"/>
              </w:rPr>
              <w:t>828</w:t>
            </w:r>
          </w:p>
        </w:tc>
        <w:tc>
          <w:tcPr>
            <w:tcW w:w="1808" w:type="dxa"/>
          </w:tcPr>
          <w:p w14:paraId="6DEE248A" w14:textId="194B67DC"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&gt;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63FCBB71"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71AFBAE2"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5B059259"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35ABCEAB" w14:textId="77777777" w:rsidR="00852773" w:rsidRPr="00154B2C" w:rsidRDefault="00852773" w:rsidP="00852773">
            <w:pPr>
              <w:spacing w:before="20" w:after="20"/>
              <w:rPr>
                <w:b/>
                <w:szCs w:val="22"/>
                <w:lang w:val="en-GB"/>
              </w:rPr>
            </w:pPr>
            <w:r>
              <w:rPr>
                <w:szCs w:val="22"/>
                <w:lang w:val="en-GB"/>
              </w:rPr>
              <w:t>83X (new)</w:t>
            </w:r>
          </w:p>
        </w:tc>
        <w:tc>
          <w:tcPr>
            <w:tcW w:w="1808" w:type="dxa"/>
          </w:tcPr>
          <w:p w14:paraId="1B243AFC"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&lt;15 minutes</w:t>
            </w:r>
          </w:p>
        </w:tc>
        <w:tc>
          <w:tcPr>
            <w:tcW w:w="1036" w:type="dxa"/>
            <w:vMerge w:val="restart"/>
          </w:tcPr>
          <w:p w14:paraId="4DE621A3" w14:textId="66088990"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Organise and coordinate</w:t>
            </w:r>
          </w:p>
        </w:tc>
        <w:tc>
          <w:tcPr>
            <w:tcW w:w="4924" w:type="dxa"/>
            <w:vMerge w:val="restart"/>
          </w:tcPr>
          <w:p w14:paraId="10A542A2"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Attendance by a </w:t>
            </w:r>
            <w:r>
              <w:rPr>
                <w:szCs w:val="22"/>
                <w:lang w:val="en-GB"/>
              </w:rPr>
              <w:t>consultant specialist</w:t>
            </w:r>
            <w:r w:rsidRPr="00C33C0B">
              <w:rPr>
                <w:szCs w:val="22"/>
                <w:lang w:val="en-GB"/>
              </w:rPr>
              <w:t xml:space="preserve"> in the practice of his or her specialty to </w:t>
            </w:r>
            <w:r>
              <w:rPr>
                <w:szCs w:val="22"/>
                <w:lang w:val="en-GB"/>
              </w:rPr>
              <w:t>[insert role]</w:t>
            </w:r>
            <w:r w:rsidRPr="00C33C0B">
              <w:rPr>
                <w:szCs w:val="22"/>
                <w:lang w:val="en-GB"/>
              </w:rPr>
              <w:t xml:space="preserve"> a discharge case conference of at least [X] minutes but less than [X] minutes, requiring:</w:t>
            </w:r>
          </w:p>
          <w:p w14:paraId="2EFA0137" w14:textId="77777777" w:rsidR="00852773" w:rsidRPr="00C33C0B" w:rsidRDefault="00852773" w:rsidP="00852773">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The development and approval of a discharge management plan for transfer of care to the community setting and self-management; and</w:t>
            </w:r>
          </w:p>
          <w:p w14:paraId="480D75F1" w14:textId="77777777" w:rsidR="00852773" w:rsidRDefault="00852773" w:rsidP="00852773">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B25708">
              <w:rPr>
                <w:szCs w:val="22"/>
                <w:lang w:val="en-GB"/>
              </w:rPr>
              <w:t xml:space="preserve">Mandatory GP (or delegate) </w:t>
            </w:r>
            <w:r>
              <w:rPr>
                <w:szCs w:val="22"/>
                <w:lang w:val="en-GB"/>
              </w:rPr>
              <w:t>invitation and</w:t>
            </w:r>
          </w:p>
          <w:p w14:paraId="47728C05" w14:textId="77777777" w:rsidR="00852773" w:rsidRPr="00B25708" w:rsidRDefault="00852773" w:rsidP="00852773">
            <w:pPr>
              <w:pStyle w:val="ListParagraph"/>
              <w:spacing w:before="20" w:after="20"/>
              <w:ind w:left="773"/>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i) participation, or ii)</w:t>
            </w:r>
            <w:r w:rsidRPr="00B25708">
              <w:rPr>
                <w:szCs w:val="22"/>
                <w:lang w:val="en-GB"/>
              </w:rPr>
              <w:t xml:space="preserve"> review of outcomes and</w:t>
            </w:r>
            <w:r>
              <w:rPr>
                <w:szCs w:val="22"/>
                <w:lang w:val="en-GB"/>
              </w:rPr>
              <w:t xml:space="preserve"> </w:t>
            </w:r>
            <w:r w:rsidRPr="00B25708">
              <w:rPr>
                <w:szCs w:val="22"/>
                <w:lang w:val="en-GB"/>
              </w:rPr>
              <w:t>communication of any proposed changes to the patient and to the case conference organiser; and</w:t>
            </w:r>
          </w:p>
          <w:p w14:paraId="1072841F" w14:textId="77777777" w:rsidR="00852773" w:rsidRDefault="00852773" w:rsidP="00852773">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Mandatory patient (or delegate) </w:t>
            </w:r>
            <w:r>
              <w:rPr>
                <w:szCs w:val="22"/>
                <w:lang w:val="en-GB"/>
              </w:rPr>
              <w:t xml:space="preserve">invitation </w:t>
            </w:r>
            <w:r w:rsidRPr="00C33C0B">
              <w:rPr>
                <w:szCs w:val="22"/>
                <w:lang w:val="en-GB"/>
              </w:rPr>
              <w:t>and to make it possible for them to attend; and</w:t>
            </w:r>
          </w:p>
          <w:p w14:paraId="144346BF" w14:textId="77777777" w:rsidR="00852773" w:rsidRPr="00C33C0B" w:rsidRDefault="00852773" w:rsidP="00852773">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w:t>
            </w:r>
            <w:r>
              <w:rPr>
                <w:szCs w:val="22"/>
                <w:lang w:val="en-GB"/>
              </w:rPr>
              <w:t>t least two</w:t>
            </w:r>
            <w:r w:rsidRPr="00C33C0B">
              <w:rPr>
                <w:szCs w:val="22"/>
                <w:lang w:val="en-GB"/>
              </w:rPr>
              <w:t xml:space="preserve"> other formal care providers of different disciplines; and</w:t>
            </w:r>
          </w:p>
          <w:p w14:paraId="73FDCAAD" w14:textId="77777777" w:rsidR="00852773" w:rsidRDefault="00852773" w:rsidP="00852773">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Outcomes to be documented in writing, including shared decisions made and informed consent sought</w:t>
            </w:r>
            <w:r>
              <w:rPr>
                <w:szCs w:val="22"/>
                <w:lang w:val="en-GB"/>
              </w:rPr>
              <w:t>; and</w:t>
            </w:r>
          </w:p>
          <w:p w14:paraId="6A553F03" w14:textId="77777777" w:rsidR="00852773" w:rsidRPr="00794929" w:rsidRDefault="00852773" w:rsidP="00852773">
            <w:pPr>
              <w:pStyle w:val="ListParagraph"/>
              <w:numPr>
                <w:ilvl w:val="0"/>
                <w:numId w:val="23"/>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474A8">
              <w:rPr>
                <w:szCs w:val="22"/>
                <w:lang w:val="en-GB"/>
              </w:rPr>
              <w:t>A copy of the case conference outcomes to be uploaded to My Health Record, unless patient consent is withdrawn, a</w:t>
            </w:r>
            <w:r>
              <w:rPr>
                <w:szCs w:val="22"/>
                <w:lang w:val="en-GB"/>
              </w:rPr>
              <w:t>nd where reasonably achievable.</w:t>
            </w:r>
          </w:p>
          <w:p w14:paraId="635F5325"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All participants must be in communication with each other throughout the conference, either face-to-face, by telephone or by videoconference, or a combination of these</w:t>
            </w:r>
          </w:p>
        </w:tc>
      </w:tr>
      <w:tr w:rsidR="00852773" w:rsidRPr="00C33C0B" w14:paraId="4AEF67EF"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7FCC4D59" w14:textId="77777777" w:rsidR="00852773" w:rsidRPr="00C33C0B" w:rsidRDefault="00852773" w:rsidP="00852773">
            <w:pPr>
              <w:spacing w:before="20" w:after="20"/>
              <w:rPr>
                <w:szCs w:val="22"/>
                <w:lang w:val="en-GB"/>
              </w:rPr>
            </w:pPr>
            <w:r w:rsidRPr="00C33C0B">
              <w:rPr>
                <w:szCs w:val="22"/>
                <w:lang w:val="en-GB"/>
              </w:rPr>
              <w:t>830</w:t>
            </w:r>
          </w:p>
        </w:tc>
        <w:tc>
          <w:tcPr>
            <w:tcW w:w="1808" w:type="dxa"/>
          </w:tcPr>
          <w:p w14:paraId="7D5E9994" w14:textId="7CDC277A"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3136B21C"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1A5BB304"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12AE03BB"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5D73209A" w14:textId="77777777" w:rsidR="00852773" w:rsidRPr="00C33C0B" w:rsidRDefault="00852773" w:rsidP="00852773">
            <w:pPr>
              <w:spacing w:before="20" w:after="20"/>
              <w:rPr>
                <w:szCs w:val="22"/>
                <w:lang w:val="en-GB"/>
              </w:rPr>
            </w:pPr>
            <w:r w:rsidRPr="00C33C0B">
              <w:rPr>
                <w:szCs w:val="22"/>
                <w:lang w:val="en-GB"/>
              </w:rPr>
              <w:t>832</w:t>
            </w:r>
          </w:p>
        </w:tc>
        <w:tc>
          <w:tcPr>
            <w:tcW w:w="1808" w:type="dxa"/>
          </w:tcPr>
          <w:p w14:paraId="0C2D7564" w14:textId="24E37B3E"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46FD3586"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7AFB385B"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1CEED33F"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38D1DC66" w14:textId="77777777" w:rsidR="00852773" w:rsidRPr="00C33C0B" w:rsidRDefault="00852773" w:rsidP="00852773">
            <w:pPr>
              <w:spacing w:before="20" w:after="20"/>
              <w:rPr>
                <w:szCs w:val="22"/>
                <w:lang w:val="en-GB"/>
              </w:rPr>
            </w:pPr>
            <w:r w:rsidRPr="00C33C0B">
              <w:rPr>
                <w:szCs w:val="22"/>
                <w:lang w:val="en-GB"/>
              </w:rPr>
              <w:t>834</w:t>
            </w:r>
          </w:p>
        </w:tc>
        <w:tc>
          <w:tcPr>
            <w:tcW w:w="1808" w:type="dxa"/>
          </w:tcPr>
          <w:p w14:paraId="50C7E2D2" w14:textId="45FBC02E"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&gt;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1F557619"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2CA04E76"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20F511E3"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112ACB37" w14:textId="77777777" w:rsidR="00852773" w:rsidRPr="00154B2C" w:rsidRDefault="00852773" w:rsidP="00852773">
            <w:pPr>
              <w:spacing w:before="20" w:after="20"/>
              <w:rPr>
                <w:b/>
                <w:szCs w:val="22"/>
                <w:lang w:val="en-GB"/>
              </w:rPr>
            </w:pPr>
            <w:r>
              <w:rPr>
                <w:szCs w:val="22"/>
                <w:lang w:val="en-GB"/>
              </w:rPr>
              <w:t>83Y</w:t>
            </w:r>
            <w:r w:rsidRPr="00154B2C">
              <w:rPr>
                <w:szCs w:val="22"/>
                <w:lang w:val="en-GB"/>
              </w:rPr>
              <w:t xml:space="preserve"> (new)</w:t>
            </w:r>
          </w:p>
        </w:tc>
        <w:tc>
          <w:tcPr>
            <w:tcW w:w="1808" w:type="dxa"/>
          </w:tcPr>
          <w:p w14:paraId="31C2C0B8"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&lt;15 minutes</w:t>
            </w:r>
          </w:p>
        </w:tc>
        <w:tc>
          <w:tcPr>
            <w:tcW w:w="1036" w:type="dxa"/>
            <w:vMerge w:val="restart"/>
          </w:tcPr>
          <w:p w14:paraId="17680E1D"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Participate</w:t>
            </w:r>
          </w:p>
        </w:tc>
        <w:tc>
          <w:tcPr>
            <w:tcW w:w="4924" w:type="dxa"/>
            <w:vMerge/>
          </w:tcPr>
          <w:p w14:paraId="0DF23C04"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63A0E2EE"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74BC0049" w14:textId="77777777" w:rsidR="00852773" w:rsidRPr="00C33C0B" w:rsidRDefault="00852773" w:rsidP="00852773">
            <w:pPr>
              <w:spacing w:before="20" w:after="20"/>
              <w:rPr>
                <w:szCs w:val="22"/>
                <w:lang w:val="en-GB"/>
              </w:rPr>
            </w:pPr>
            <w:r w:rsidRPr="00C33C0B">
              <w:rPr>
                <w:szCs w:val="22"/>
                <w:lang w:val="en-GB"/>
              </w:rPr>
              <w:t>835</w:t>
            </w:r>
          </w:p>
        </w:tc>
        <w:tc>
          <w:tcPr>
            <w:tcW w:w="1808" w:type="dxa"/>
          </w:tcPr>
          <w:p w14:paraId="74953543" w14:textId="368FD082"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1B293644"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171389F9"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37144D2F"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2E2EBD9F" w14:textId="77777777" w:rsidR="00852773" w:rsidRPr="00C33C0B" w:rsidRDefault="00852773" w:rsidP="00852773">
            <w:pPr>
              <w:spacing w:before="20" w:after="20"/>
              <w:rPr>
                <w:szCs w:val="22"/>
                <w:lang w:val="en-GB"/>
              </w:rPr>
            </w:pPr>
            <w:r w:rsidRPr="00C33C0B">
              <w:rPr>
                <w:szCs w:val="22"/>
                <w:lang w:val="en-GB"/>
              </w:rPr>
              <w:t>837</w:t>
            </w:r>
          </w:p>
        </w:tc>
        <w:tc>
          <w:tcPr>
            <w:tcW w:w="1808" w:type="dxa"/>
          </w:tcPr>
          <w:p w14:paraId="2EB996A1" w14:textId="709245E2"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20D46FDD"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10D42ECE"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1963E21A"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20E1CE55" w14:textId="77777777" w:rsidR="00852773" w:rsidRPr="00C33C0B" w:rsidRDefault="00852773" w:rsidP="00852773">
            <w:pPr>
              <w:spacing w:before="20" w:after="20"/>
              <w:rPr>
                <w:szCs w:val="22"/>
                <w:lang w:val="en-GB"/>
              </w:rPr>
            </w:pPr>
            <w:r w:rsidRPr="00C33C0B">
              <w:rPr>
                <w:szCs w:val="22"/>
                <w:lang w:val="en-GB"/>
              </w:rPr>
              <w:t>838</w:t>
            </w:r>
          </w:p>
        </w:tc>
        <w:tc>
          <w:tcPr>
            <w:tcW w:w="1808" w:type="dxa"/>
          </w:tcPr>
          <w:p w14:paraId="72618257" w14:textId="1D140F43"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More than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21D236FF"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1894A3FD"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02EF4D38"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27E5B3F9" w14:textId="77777777" w:rsidR="00852773" w:rsidRPr="00EC2D91" w:rsidRDefault="00852773" w:rsidP="00852773">
            <w:pPr>
              <w:spacing w:before="20" w:after="20"/>
              <w:rPr>
                <w:b/>
                <w:szCs w:val="22"/>
                <w:lang w:val="en-GB"/>
              </w:rPr>
            </w:pPr>
            <w:r w:rsidRPr="008F5ABE">
              <w:rPr>
                <w:szCs w:val="22"/>
                <w:lang w:val="en-GB"/>
              </w:rPr>
              <w:t>8TA</w:t>
            </w:r>
            <w:r w:rsidRPr="00EC2D91">
              <w:rPr>
                <w:szCs w:val="22"/>
                <w:lang w:val="en-GB"/>
              </w:rPr>
              <w:t xml:space="preserve"> (new)</w:t>
            </w:r>
          </w:p>
        </w:tc>
        <w:tc>
          <w:tcPr>
            <w:tcW w:w="1808" w:type="dxa"/>
          </w:tcPr>
          <w:p w14:paraId="32361799"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&lt;15 minutes</w:t>
            </w:r>
          </w:p>
        </w:tc>
        <w:tc>
          <w:tcPr>
            <w:tcW w:w="1036" w:type="dxa"/>
            <w:vMerge w:val="restart"/>
          </w:tcPr>
          <w:p w14:paraId="60340EA3"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Organise and coordinate</w:t>
            </w:r>
          </w:p>
        </w:tc>
        <w:tc>
          <w:tcPr>
            <w:tcW w:w="4924" w:type="dxa"/>
            <w:vMerge w:val="restart"/>
          </w:tcPr>
          <w:p w14:paraId="48227D0C"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Attendance by a </w:t>
            </w:r>
            <w:r>
              <w:rPr>
                <w:szCs w:val="22"/>
                <w:lang w:val="en-GB"/>
              </w:rPr>
              <w:t>consultant specialist</w:t>
            </w:r>
            <w:r w:rsidRPr="00C33C0B">
              <w:rPr>
                <w:szCs w:val="22"/>
                <w:lang w:val="en-GB"/>
              </w:rPr>
              <w:t xml:space="preserve"> in the practice of his or her specialty to </w:t>
            </w:r>
            <w:r>
              <w:rPr>
                <w:szCs w:val="22"/>
                <w:lang w:val="en-GB"/>
              </w:rPr>
              <w:t>[insert role]</w:t>
            </w:r>
            <w:r w:rsidRPr="00C33C0B">
              <w:rPr>
                <w:szCs w:val="22"/>
                <w:lang w:val="en-GB"/>
              </w:rPr>
              <w:t xml:space="preserve"> a treatment planning case conference of at least [X] minutes but less than [X] minutes, requiring:</w:t>
            </w:r>
          </w:p>
          <w:p w14:paraId="6E241C88" w14:textId="77777777" w:rsidR="00852773" w:rsidRPr="00C33C0B" w:rsidRDefault="00852773" w:rsidP="00852773">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Discussion of treatment options, including risks and benefits, for patients who have been diagnosed but not yet received treatment, or where a significant change in ongoing treatment requires MDT input; and</w:t>
            </w:r>
          </w:p>
          <w:p w14:paraId="7A67922D" w14:textId="77777777" w:rsidR="00852773" w:rsidRPr="00C33C0B" w:rsidRDefault="00852773" w:rsidP="00852773">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Written pre-brief materials to be sent prior to the conference that outlines available treatment options; and</w:t>
            </w:r>
          </w:p>
          <w:p w14:paraId="725FC374" w14:textId="77777777" w:rsidR="00852773" w:rsidRPr="00C33C0B" w:rsidRDefault="00852773" w:rsidP="00852773">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 xml:space="preserve">Final treatment decisions to be made together with the patient (unless there are </w:t>
            </w:r>
            <w:r w:rsidRPr="00A72F58">
              <w:rPr>
                <w:szCs w:val="22"/>
                <w:lang w:val="en-GB"/>
              </w:rPr>
              <w:t>exceptional circumstances</w:t>
            </w:r>
            <w:r w:rsidRPr="00C33C0B">
              <w:rPr>
                <w:szCs w:val="22"/>
                <w:lang w:val="en-GB"/>
              </w:rPr>
              <w:t>); and</w:t>
            </w:r>
          </w:p>
          <w:p w14:paraId="5EDA23C3" w14:textId="77777777" w:rsidR="00852773" w:rsidRPr="00C33C0B" w:rsidRDefault="00852773" w:rsidP="00852773">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w:t>
            </w:r>
            <w:r>
              <w:rPr>
                <w:szCs w:val="22"/>
                <w:lang w:val="en-GB"/>
              </w:rPr>
              <w:t>t least 2</w:t>
            </w:r>
            <w:r w:rsidRPr="00C33C0B">
              <w:rPr>
                <w:szCs w:val="22"/>
                <w:lang w:val="en-GB"/>
              </w:rPr>
              <w:t xml:space="preserve"> other formal care providers of different disciplines to be present; and</w:t>
            </w:r>
          </w:p>
          <w:p w14:paraId="719ADBF5" w14:textId="77777777" w:rsidR="00852773" w:rsidRDefault="00852773" w:rsidP="00852773">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Outcomes to be documented in writing, including shared decisions made and informed consent sought</w:t>
            </w:r>
            <w:r>
              <w:rPr>
                <w:szCs w:val="22"/>
                <w:lang w:val="en-GB"/>
              </w:rPr>
              <w:t>; and</w:t>
            </w:r>
          </w:p>
          <w:p w14:paraId="5CF54A53" w14:textId="77777777" w:rsidR="00852773" w:rsidRPr="00794929" w:rsidRDefault="00852773" w:rsidP="00852773">
            <w:pPr>
              <w:pStyle w:val="ListParagraph"/>
              <w:numPr>
                <w:ilvl w:val="0"/>
                <w:numId w:val="24"/>
              </w:num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474A8">
              <w:rPr>
                <w:szCs w:val="22"/>
                <w:lang w:val="en-GB"/>
              </w:rPr>
              <w:t>A copy of the case conference outcomes to be uploaded to My Health Record, unless patient consent is withdrawn, a</w:t>
            </w:r>
            <w:r>
              <w:rPr>
                <w:szCs w:val="22"/>
                <w:lang w:val="en-GB"/>
              </w:rPr>
              <w:t>nd where reasonably achievable.</w:t>
            </w:r>
          </w:p>
          <w:p w14:paraId="493149F6"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All participants must be in communication with each other throughout the conference, either face-to-face, by telephone or by videoconference, or a combination of these</w:t>
            </w:r>
          </w:p>
        </w:tc>
      </w:tr>
      <w:tr w:rsidR="00852773" w:rsidRPr="00C33C0B" w14:paraId="7399B331"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31721192" w14:textId="77777777" w:rsidR="00852773" w:rsidRPr="00EC2D91" w:rsidRDefault="00852773" w:rsidP="00852773">
            <w:pPr>
              <w:spacing w:before="20" w:after="20"/>
              <w:rPr>
                <w:b/>
                <w:szCs w:val="22"/>
                <w:lang w:val="en-GB"/>
              </w:rPr>
            </w:pPr>
            <w:r w:rsidRPr="008F5ABE">
              <w:rPr>
                <w:szCs w:val="22"/>
                <w:lang w:val="en-GB"/>
              </w:rPr>
              <w:t>8TB</w:t>
            </w:r>
            <w:r w:rsidRPr="00EC2D91">
              <w:rPr>
                <w:szCs w:val="22"/>
                <w:lang w:val="en-GB"/>
              </w:rPr>
              <w:t xml:space="preserve"> (new)</w:t>
            </w:r>
          </w:p>
        </w:tc>
        <w:tc>
          <w:tcPr>
            <w:tcW w:w="1808" w:type="dxa"/>
          </w:tcPr>
          <w:p w14:paraId="543D05AA" w14:textId="56F3DF7F"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p>
        </w:tc>
        <w:tc>
          <w:tcPr>
            <w:tcW w:w="1036" w:type="dxa"/>
            <w:vMerge/>
          </w:tcPr>
          <w:p w14:paraId="440F3A07"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1731FBE8"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57908AD4"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6A7C5CAE" w14:textId="77777777" w:rsidR="00852773" w:rsidRPr="00EC2D91" w:rsidRDefault="00852773" w:rsidP="00852773">
            <w:pPr>
              <w:spacing w:before="20" w:after="20"/>
              <w:rPr>
                <w:b/>
                <w:szCs w:val="22"/>
                <w:lang w:val="en-GB"/>
              </w:rPr>
            </w:pPr>
            <w:r w:rsidRPr="008F5ABE">
              <w:rPr>
                <w:szCs w:val="22"/>
                <w:lang w:val="en-GB"/>
              </w:rPr>
              <w:t>8TC</w:t>
            </w:r>
            <w:r w:rsidRPr="00EC2D91">
              <w:rPr>
                <w:szCs w:val="22"/>
                <w:lang w:val="en-GB"/>
              </w:rPr>
              <w:t xml:space="preserve"> (new)</w:t>
            </w:r>
          </w:p>
        </w:tc>
        <w:tc>
          <w:tcPr>
            <w:tcW w:w="1808" w:type="dxa"/>
          </w:tcPr>
          <w:p w14:paraId="4FD70F0C" w14:textId="6DD8A144"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08692856"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453D3113"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0E6EF8AA"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5F2ADA8E" w14:textId="77777777" w:rsidR="00852773" w:rsidRPr="00EC2D91" w:rsidRDefault="00852773" w:rsidP="00852773">
            <w:pPr>
              <w:spacing w:before="20" w:after="20"/>
              <w:rPr>
                <w:b/>
                <w:szCs w:val="22"/>
                <w:lang w:val="en-GB"/>
              </w:rPr>
            </w:pPr>
            <w:r w:rsidRPr="008F5ABE">
              <w:rPr>
                <w:szCs w:val="22"/>
                <w:lang w:val="en-GB"/>
              </w:rPr>
              <w:t>8TD</w:t>
            </w:r>
            <w:r w:rsidRPr="00EC2D91">
              <w:rPr>
                <w:szCs w:val="22"/>
                <w:lang w:val="en-GB"/>
              </w:rPr>
              <w:t xml:space="preserve"> (new)</w:t>
            </w:r>
          </w:p>
        </w:tc>
        <w:tc>
          <w:tcPr>
            <w:tcW w:w="1808" w:type="dxa"/>
          </w:tcPr>
          <w:p w14:paraId="09848853" w14:textId="1F6126CA"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More than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3C6E8D6D"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78346E0E"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15B43E16"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524642AF" w14:textId="77777777" w:rsidR="00852773" w:rsidRPr="00EC2D91" w:rsidRDefault="00852773" w:rsidP="00852773">
            <w:pPr>
              <w:spacing w:before="20" w:after="20"/>
              <w:rPr>
                <w:b/>
                <w:szCs w:val="22"/>
                <w:lang w:val="en-GB"/>
              </w:rPr>
            </w:pPr>
            <w:r w:rsidRPr="008F5ABE">
              <w:rPr>
                <w:szCs w:val="22"/>
                <w:lang w:val="en-GB"/>
              </w:rPr>
              <w:t>8TE</w:t>
            </w:r>
            <w:r w:rsidRPr="00EC2D91">
              <w:rPr>
                <w:szCs w:val="22"/>
                <w:lang w:val="en-GB"/>
              </w:rPr>
              <w:t xml:space="preserve"> (new)</w:t>
            </w:r>
          </w:p>
        </w:tc>
        <w:tc>
          <w:tcPr>
            <w:tcW w:w="1808" w:type="dxa"/>
          </w:tcPr>
          <w:p w14:paraId="6C7924DD"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&lt;15 minutes</w:t>
            </w:r>
          </w:p>
        </w:tc>
        <w:tc>
          <w:tcPr>
            <w:tcW w:w="1036" w:type="dxa"/>
            <w:vMerge w:val="restart"/>
          </w:tcPr>
          <w:p w14:paraId="7E8824B2"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Participate</w:t>
            </w:r>
          </w:p>
        </w:tc>
        <w:tc>
          <w:tcPr>
            <w:tcW w:w="4924" w:type="dxa"/>
            <w:vMerge/>
          </w:tcPr>
          <w:p w14:paraId="47F4CEF4"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60203F50"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3EBE847F" w14:textId="77777777" w:rsidR="00852773" w:rsidRPr="00EC2D91" w:rsidRDefault="00852773" w:rsidP="00852773">
            <w:pPr>
              <w:spacing w:before="20" w:after="20"/>
              <w:rPr>
                <w:b/>
                <w:szCs w:val="22"/>
                <w:lang w:val="en-GB"/>
              </w:rPr>
            </w:pPr>
            <w:r w:rsidRPr="008F5ABE">
              <w:rPr>
                <w:szCs w:val="22"/>
                <w:lang w:val="en-GB"/>
              </w:rPr>
              <w:t>8TF</w:t>
            </w:r>
            <w:r w:rsidRPr="00EC2D91">
              <w:rPr>
                <w:szCs w:val="22"/>
                <w:lang w:val="en-GB"/>
              </w:rPr>
              <w:t xml:space="preserve"> (new)</w:t>
            </w:r>
          </w:p>
        </w:tc>
        <w:tc>
          <w:tcPr>
            <w:tcW w:w="1808" w:type="dxa"/>
          </w:tcPr>
          <w:p w14:paraId="14E98F84" w14:textId="5C78F8ED"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5F33844E"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56679DDE"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0F50F85B"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5029CEF5" w14:textId="77777777" w:rsidR="00852773" w:rsidRPr="00EC2D91" w:rsidRDefault="00852773" w:rsidP="00852773">
            <w:pPr>
              <w:spacing w:before="20" w:after="20"/>
              <w:rPr>
                <w:b/>
                <w:szCs w:val="22"/>
                <w:lang w:val="en-GB"/>
              </w:rPr>
            </w:pPr>
            <w:r w:rsidRPr="008F5ABE">
              <w:rPr>
                <w:szCs w:val="22"/>
                <w:lang w:val="en-GB"/>
              </w:rPr>
              <w:t>8TG</w:t>
            </w:r>
            <w:r w:rsidRPr="00EC2D91">
              <w:rPr>
                <w:szCs w:val="22"/>
                <w:lang w:val="en-GB"/>
              </w:rPr>
              <w:t xml:space="preserve"> (new)</w:t>
            </w:r>
          </w:p>
        </w:tc>
        <w:tc>
          <w:tcPr>
            <w:tcW w:w="1808" w:type="dxa"/>
          </w:tcPr>
          <w:p w14:paraId="567A4985" w14:textId="5E4872D2"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2C635E3E"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7B232BB7"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r w:rsidR="00852773" w:rsidRPr="00C33C0B" w14:paraId="47A2F764" w14:textId="77777777" w:rsidTr="000419D9">
        <w:tc>
          <w:tcPr>
            <w:cnfStyle w:val="001000000000" w:firstRow="0" w:lastRow="0" w:firstColumn="1" w:lastColumn="0" w:oddVBand="0" w:evenVBand="0" w:oddHBand="0" w:evenHBand="0" w:firstRowFirstColumn="0" w:firstRowLastColumn="0" w:lastRowFirstColumn="0" w:lastRowLastColumn="0"/>
            <w:tcW w:w="590" w:type="dxa"/>
          </w:tcPr>
          <w:p w14:paraId="30546BB0" w14:textId="77777777" w:rsidR="00852773" w:rsidRPr="00EC2D91" w:rsidRDefault="00852773" w:rsidP="00852773">
            <w:pPr>
              <w:spacing w:before="20" w:after="20"/>
              <w:rPr>
                <w:b/>
                <w:szCs w:val="22"/>
                <w:lang w:val="en-GB"/>
              </w:rPr>
            </w:pPr>
            <w:r w:rsidRPr="008F5ABE">
              <w:rPr>
                <w:szCs w:val="22"/>
                <w:lang w:val="en-GB"/>
              </w:rPr>
              <w:t>8TH</w:t>
            </w:r>
            <w:r w:rsidRPr="00EC2D91">
              <w:rPr>
                <w:szCs w:val="22"/>
                <w:lang w:val="en-GB"/>
              </w:rPr>
              <w:t xml:space="preserve"> (new)</w:t>
            </w:r>
          </w:p>
        </w:tc>
        <w:tc>
          <w:tcPr>
            <w:tcW w:w="1808" w:type="dxa"/>
          </w:tcPr>
          <w:p w14:paraId="647DC398" w14:textId="77F679F9"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r>
              <w:rPr>
                <w:szCs w:val="22"/>
                <w:lang w:val="en-GB"/>
              </w:rPr>
              <w:t xml:space="preserve">More than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tc>
        <w:tc>
          <w:tcPr>
            <w:tcW w:w="1036" w:type="dxa"/>
            <w:vMerge/>
          </w:tcPr>
          <w:p w14:paraId="47C58492"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c>
          <w:tcPr>
            <w:tcW w:w="4924" w:type="dxa"/>
            <w:vMerge/>
          </w:tcPr>
          <w:p w14:paraId="7F7BB385" w14:textId="77777777" w:rsidR="00852773" w:rsidRPr="00C33C0B" w:rsidRDefault="00852773" w:rsidP="00852773">
            <w:pPr>
              <w:spacing w:before="20" w:after="20"/>
              <w:cnfStyle w:val="000000000000" w:firstRow="0" w:lastRow="0" w:firstColumn="0" w:lastColumn="0" w:oddVBand="0" w:evenVBand="0" w:oddHBand="0" w:evenHBand="0" w:firstRowFirstColumn="0" w:firstRowLastColumn="0" w:lastRowFirstColumn="0" w:lastRowLastColumn="0"/>
              <w:rPr>
                <w:szCs w:val="22"/>
                <w:lang w:val="en-GB"/>
              </w:rPr>
            </w:pPr>
          </w:p>
        </w:tc>
      </w:tr>
    </w:tbl>
    <w:p w14:paraId="0A0FD0D7" w14:textId="77777777" w:rsidR="00940D6E" w:rsidRPr="00940D6E" w:rsidRDefault="00940D6E" w:rsidP="00940D6E">
      <w:pPr>
        <w:rPr>
          <w:b/>
          <w:bCs/>
          <w:iCs/>
          <w:lang w:val="en-US" w:eastAsia="en-US"/>
        </w:rPr>
      </w:pPr>
      <w:r w:rsidRPr="00940D6E">
        <w:rPr>
          <w:b/>
          <w:bCs/>
          <w:iCs/>
          <w:lang w:val="en-US" w:eastAsia="en-US"/>
        </w:rPr>
        <w:t>Recommendation 1</w:t>
      </w:r>
      <w:r w:rsidR="00FC6719">
        <w:rPr>
          <w:b/>
          <w:bCs/>
          <w:iCs/>
          <w:lang w:val="en-US" w:eastAsia="en-US"/>
        </w:rPr>
        <w:t>2</w:t>
      </w:r>
      <w:r w:rsidRPr="00940D6E">
        <w:rPr>
          <w:b/>
          <w:bCs/>
          <w:iCs/>
          <w:lang w:val="en-US" w:eastAsia="en-US"/>
        </w:rPr>
        <w:t xml:space="preserve"> - Introduce case conference items for allied health professionals (AHPs) and nurse practitioners</w:t>
      </w:r>
    </w:p>
    <w:p w14:paraId="1BCB816E" w14:textId="77777777" w:rsidR="00940D6E" w:rsidRPr="00940D6E" w:rsidRDefault="00940D6E" w:rsidP="00940D6E">
      <w:pPr>
        <w:rPr>
          <w:bCs/>
          <w:iCs/>
          <w:lang w:val="en-US" w:eastAsia="en-US"/>
        </w:rPr>
      </w:pPr>
      <w:r w:rsidRPr="00940D6E">
        <w:rPr>
          <w:bCs/>
          <w:iCs/>
          <w:lang w:val="en-US" w:eastAsia="en-US"/>
        </w:rPr>
        <w:t>The Committee recommends that AHPs who access these items should be limited to those who are eligible to access AHP items under Group M3 of the MBS, including:</w:t>
      </w:r>
    </w:p>
    <w:p w14:paraId="69310AB6" w14:textId="77777777" w:rsidR="00940D6E" w:rsidRPr="00DD0801" w:rsidRDefault="00940D6E" w:rsidP="000831A1">
      <w:pPr>
        <w:pStyle w:val="ListParagraph"/>
        <w:numPr>
          <w:ilvl w:val="0"/>
          <w:numId w:val="91"/>
        </w:numPr>
        <w:rPr>
          <w:bCs/>
          <w:iCs/>
          <w:lang w:val="en-US" w:eastAsia="en-US"/>
        </w:rPr>
      </w:pPr>
      <w:r w:rsidRPr="00DD0801">
        <w:rPr>
          <w:bCs/>
          <w:iCs/>
          <w:lang w:val="en-US" w:eastAsia="en-US"/>
        </w:rPr>
        <w:t>Aboriginal and Torres Strait Islander health practitioners, Aboriginal health workers, audiologists, chiropractors, diabetes educators, dietitians, exercise physiologists, mental health nurses, occupational therapists, osteopaths, physiotherapists, podiatrists, psychologists, social workers, and speech pathologists.</w:t>
      </w:r>
    </w:p>
    <w:p w14:paraId="1974D956" w14:textId="77777777" w:rsidR="00940D6E" w:rsidRPr="00940D6E" w:rsidRDefault="00940D6E" w:rsidP="00940D6E">
      <w:pPr>
        <w:rPr>
          <w:bCs/>
          <w:i/>
          <w:iCs/>
          <w:lang w:val="en-US" w:eastAsia="en-US"/>
        </w:rPr>
      </w:pPr>
      <w:r w:rsidRPr="00940D6E">
        <w:rPr>
          <w:bCs/>
          <w:i/>
          <w:iCs/>
          <w:lang w:val="en-US" w:eastAsia="en-US"/>
        </w:rPr>
        <w:t>Note: Full descriptors for these items can be viewed in the final GPPCCC report.</w:t>
      </w:r>
    </w:p>
    <w:p w14:paraId="32C27D54" w14:textId="77777777" w:rsidR="00940D6E" w:rsidRPr="00940D6E" w:rsidRDefault="00940D6E" w:rsidP="00940D6E">
      <w:pPr>
        <w:rPr>
          <w:b/>
          <w:bCs/>
          <w:iCs/>
          <w:lang w:val="en-US" w:eastAsia="en-US"/>
        </w:rPr>
      </w:pPr>
      <w:r w:rsidRPr="00940D6E">
        <w:rPr>
          <w:b/>
          <w:bCs/>
          <w:iCs/>
          <w:lang w:val="en-US" w:eastAsia="en-US"/>
        </w:rPr>
        <w:t>Recommendation 1</w:t>
      </w:r>
      <w:r w:rsidR="00FC6719">
        <w:rPr>
          <w:b/>
          <w:bCs/>
          <w:iCs/>
          <w:lang w:val="en-US" w:eastAsia="en-US"/>
        </w:rPr>
        <w:t>3</w:t>
      </w:r>
      <w:r w:rsidRPr="00940D6E">
        <w:rPr>
          <w:b/>
          <w:bCs/>
          <w:iCs/>
          <w:lang w:val="en-US" w:eastAsia="en-US"/>
        </w:rPr>
        <w:t xml:space="preserve"> – Referral for examination of informed financial consent</w:t>
      </w:r>
    </w:p>
    <w:p w14:paraId="6A4EC51F" w14:textId="77777777" w:rsidR="00940D6E" w:rsidRPr="00940D6E" w:rsidRDefault="00940D6E" w:rsidP="00940D6E">
      <w:pPr>
        <w:rPr>
          <w:bCs/>
          <w:iCs/>
          <w:lang w:val="en-US" w:eastAsia="en-US"/>
        </w:rPr>
      </w:pPr>
      <w:r w:rsidRPr="00940D6E">
        <w:rPr>
          <w:bCs/>
          <w:iCs/>
          <w:lang w:val="en-US" w:eastAsia="en-US"/>
        </w:rPr>
        <w:t>The Committee recommends that the Principles and Rules Committee examine the issue of informed financial consent for out-of-pocket fees charged with case conference items.</w:t>
      </w:r>
    </w:p>
    <w:p w14:paraId="6AED2CA5" w14:textId="77777777" w:rsidR="00940D6E" w:rsidRPr="00940D6E" w:rsidRDefault="00940D6E" w:rsidP="00940D6E">
      <w:pPr>
        <w:rPr>
          <w:b/>
          <w:bCs/>
          <w:iCs/>
          <w:lang w:val="en-US" w:eastAsia="en-US"/>
        </w:rPr>
      </w:pPr>
      <w:r w:rsidRPr="00940D6E">
        <w:rPr>
          <w:b/>
          <w:bCs/>
          <w:iCs/>
          <w:lang w:val="en-US" w:eastAsia="en-US"/>
        </w:rPr>
        <w:t>Recommendation 1</w:t>
      </w:r>
      <w:r w:rsidR="00FC6719">
        <w:rPr>
          <w:b/>
          <w:bCs/>
          <w:iCs/>
          <w:lang w:val="en-US" w:eastAsia="en-US"/>
        </w:rPr>
        <w:t>4</w:t>
      </w:r>
      <w:r w:rsidRPr="00940D6E">
        <w:rPr>
          <w:b/>
          <w:bCs/>
          <w:iCs/>
          <w:lang w:val="en-US" w:eastAsia="en-US"/>
        </w:rPr>
        <w:t xml:space="preserve"> - Establish a minimum data set to inform evidence-based clinical practice and inform patient choice</w:t>
      </w:r>
    </w:p>
    <w:p w14:paraId="27D6B5D9" w14:textId="77777777" w:rsidR="00940D6E" w:rsidRPr="00940D6E" w:rsidRDefault="00940D6E" w:rsidP="00940D6E">
      <w:pPr>
        <w:rPr>
          <w:bCs/>
          <w:iCs/>
          <w:lang w:val="en-US" w:eastAsia="en-US"/>
        </w:rPr>
      </w:pPr>
      <w:r w:rsidRPr="00940D6E">
        <w:rPr>
          <w:bCs/>
          <w:iCs/>
          <w:lang w:val="en-US" w:eastAsia="en-US"/>
        </w:rPr>
        <w:t xml:space="preserve">The Committee recommends a step-wise approach to establishing a </w:t>
      </w:r>
      <w:r w:rsidR="00196C0C">
        <w:rPr>
          <w:bCs/>
          <w:iCs/>
          <w:lang w:val="en-US" w:eastAsia="en-US"/>
        </w:rPr>
        <w:t xml:space="preserve">national </w:t>
      </w:r>
      <w:r w:rsidRPr="00940D6E">
        <w:rPr>
          <w:bCs/>
          <w:iCs/>
          <w:lang w:val="en-US" w:eastAsia="en-US"/>
        </w:rPr>
        <w:t>minimum data set, through</w:t>
      </w:r>
      <w:r w:rsidR="00C65B0C">
        <w:rPr>
          <w:bCs/>
          <w:iCs/>
          <w:lang w:val="en-US" w:eastAsia="en-US"/>
        </w:rPr>
        <w:t>:</w:t>
      </w:r>
    </w:p>
    <w:p w14:paraId="730AFBB4" w14:textId="77777777" w:rsidR="00940D6E" w:rsidRPr="00C65B0C" w:rsidRDefault="001F35F3" w:rsidP="000831A1">
      <w:pPr>
        <w:pStyle w:val="ListParagraph"/>
        <w:numPr>
          <w:ilvl w:val="0"/>
          <w:numId w:val="92"/>
        </w:numPr>
        <w:rPr>
          <w:bCs/>
          <w:iCs/>
          <w:lang w:val="en-US" w:eastAsia="en-US"/>
        </w:rPr>
      </w:pPr>
      <w:r>
        <w:rPr>
          <w:bCs/>
          <w:iCs/>
          <w:lang w:val="en-US" w:eastAsia="en-US"/>
        </w:rPr>
        <w:t>C</w:t>
      </w:r>
      <w:r w:rsidR="00940D6E" w:rsidRPr="00C65B0C">
        <w:rPr>
          <w:bCs/>
          <w:iCs/>
          <w:lang w:val="en-US" w:eastAsia="en-US"/>
        </w:rPr>
        <w:t xml:space="preserve">reating linkages with the Australian Commission on Safety and Quality in Health Care to support a data-driven picture of variation </w:t>
      </w:r>
      <w:r>
        <w:rPr>
          <w:bCs/>
          <w:iCs/>
          <w:lang w:val="en-US" w:eastAsia="en-US"/>
        </w:rPr>
        <w:t>in clinical practice nationally.</w:t>
      </w:r>
      <w:r w:rsidR="00940D6E" w:rsidRPr="00C65B0C">
        <w:rPr>
          <w:bCs/>
          <w:iCs/>
          <w:lang w:val="en-US" w:eastAsia="en-US"/>
        </w:rPr>
        <w:t xml:space="preserve"> </w:t>
      </w:r>
    </w:p>
    <w:p w14:paraId="0767193D" w14:textId="77777777" w:rsidR="00940D6E" w:rsidRPr="00C65B0C" w:rsidRDefault="001F35F3" w:rsidP="000831A1">
      <w:pPr>
        <w:pStyle w:val="ListParagraph"/>
        <w:numPr>
          <w:ilvl w:val="0"/>
          <w:numId w:val="92"/>
        </w:numPr>
        <w:rPr>
          <w:bCs/>
          <w:iCs/>
          <w:lang w:val="en-US" w:eastAsia="en-US"/>
        </w:rPr>
      </w:pPr>
      <w:r>
        <w:rPr>
          <w:bCs/>
          <w:iCs/>
          <w:lang w:val="en-US" w:eastAsia="en-US"/>
        </w:rPr>
        <w:t>E</w:t>
      </w:r>
      <w:r w:rsidR="00940D6E" w:rsidRPr="00C65B0C">
        <w:rPr>
          <w:bCs/>
          <w:iCs/>
          <w:lang w:val="en-US" w:eastAsia="en-US"/>
        </w:rPr>
        <w:t>stablishing a minimum data set to record outcome and process data on topics such as mortality, morbidity, readmissions,</w:t>
      </w:r>
      <w:r w:rsidR="00F67DAB">
        <w:rPr>
          <w:bCs/>
          <w:iCs/>
          <w:lang w:val="en-US" w:eastAsia="en-US"/>
        </w:rPr>
        <w:t xml:space="preserve"> quality measures of consultations</w:t>
      </w:r>
      <w:r w:rsidR="00940D6E" w:rsidRPr="00C65B0C">
        <w:rPr>
          <w:bCs/>
          <w:iCs/>
          <w:lang w:val="en-US" w:eastAsia="en-US"/>
        </w:rPr>
        <w:t xml:space="preserve"> and patient-reported outcomes. It is recommended the data be used to: </w:t>
      </w:r>
    </w:p>
    <w:p w14:paraId="193FDB8E" w14:textId="77777777" w:rsidR="00940D6E" w:rsidRPr="00C65B0C" w:rsidRDefault="00196C0C" w:rsidP="000831A1">
      <w:pPr>
        <w:pStyle w:val="ListParagraph"/>
        <w:numPr>
          <w:ilvl w:val="0"/>
          <w:numId w:val="93"/>
        </w:numPr>
        <w:rPr>
          <w:bCs/>
          <w:iCs/>
          <w:lang w:val="en-US" w:eastAsia="en-US"/>
        </w:rPr>
      </w:pPr>
      <w:r>
        <w:rPr>
          <w:bCs/>
          <w:iCs/>
          <w:lang w:val="en-US" w:eastAsia="en-US"/>
        </w:rPr>
        <w:t>b</w:t>
      </w:r>
      <w:r w:rsidR="00940D6E" w:rsidRPr="00C65B0C">
        <w:rPr>
          <w:bCs/>
          <w:iCs/>
          <w:lang w:val="en-US" w:eastAsia="en-US"/>
        </w:rPr>
        <w:t>enchmark internally and with peers (determined by the professional grou</w:t>
      </w:r>
      <w:r>
        <w:rPr>
          <w:bCs/>
          <w:iCs/>
          <w:lang w:val="en-US" w:eastAsia="en-US"/>
        </w:rPr>
        <w:t xml:space="preserve">p) to drive quality improvement; and </w:t>
      </w:r>
    </w:p>
    <w:p w14:paraId="41D69860" w14:textId="71F81146" w:rsidR="00940D6E" w:rsidRPr="00C65B0C" w:rsidRDefault="00196C0C" w:rsidP="000831A1">
      <w:pPr>
        <w:pStyle w:val="ListParagraph"/>
        <w:numPr>
          <w:ilvl w:val="0"/>
          <w:numId w:val="93"/>
        </w:numPr>
        <w:rPr>
          <w:bCs/>
          <w:iCs/>
          <w:lang w:val="en-US" w:eastAsia="en-US"/>
        </w:rPr>
      </w:pPr>
      <w:r>
        <w:rPr>
          <w:bCs/>
          <w:iCs/>
          <w:lang w:val="en-US" w:eastAsia="en-US"/>
        </w:rPr>
        <w:t>i</w:t>
      </w:r>
      <w:r w:rsidR="00940D6E" w:rsidRPr="00C65B0C">
        <w:rPr>
          <w:bCs/>
          <w:iCs/>
          <w:lang w:val="en-US" w:eastAsia="en-US"/>
        </w:rPr>
        <w:t>nform patient choice of institution and consultant specialist (see further information in Recommendation 1</w:t>
      </w:r>
      <w:r w:rsidR="00F67DAB">
        <w:rPr>
          <w:bCs/>
          <w:iCs/>
          <w:lang w:val="en-US" w:eastAsia="en-US"/>
        </w:rPr>
        <w:t>5</w:t>
      </w:r>
      <w:r w:rsidR="00940D6E" w:rsidRPr="00C65B0C">
        <w:rPr>
          <w:bCs/>
          <w:iCs/>
          <w:lang w:val="en-US" w:eastAsia="en-US"/>
        </w:rPr>
        <w:t>).</w:t>
      </w:r>
    </w:p>
    <w:p w14:paraId="60A060C8" w14:textId="77777777" w:rsidR="001F35F3" w:rsidRDefault="001F35F3" w:rsidP="001F35F3">
      <w:pPr>
        <w:pStyle w:val="ListParagraph"/>
        <w:numPr>
          <w:ilvl w:val="0"/>
          <w:numId w:val="92"/>
        </w:numPr>
        <w:rPr>
          <w:bCs/>
          <w:iCs/>
          <w:lang w:val="en-US" w:eastAsia="en-US"/>
        </w:rPr>
      </w:pPr>
      <w:r>
        <w:rPr>
          <w:bCs/>
          <w:iCs/>
          <w:lang w:val="en-US" w:eastAsia="en-US"/>
        </w:rPr>
        <w:t>E</w:t>
      </w:r>
      <w:r w:rsidR="00940D6E" w:rsidRPr="00C65B0C">
        <w:rPr>
          <w:bCs/>
          <w:iCs/>
          <w:lang w:val="en-US" w:eastAsia="en-US"/>
        </w:rPr>
        <w:t>nsuring complete integrity in the accuracy of the data, the rigour of its analysis, and its appropriate risk-weighting before being used for the purposes of comparison. This includes, but should not be limited to, addressing the following challenges:</w:t>
      </w:r>
    </w:p>
    <w:p w14:paraId="03ADC48F" w14:textId="77777777" w:rsidR="001F35F3" w:rsidRDefault="001F35F3" w:rsidP="001F35F3">
      <w:pPr>
        <w:pStyle w:val="ListParagraph"/>
        <w:numPr>
          <w:ilvl w:val="1"/>
          <w:numId w:val="92"/>
        </w:numPr>
        <w:rPr>
          <w:bCs/>
          <w:iCs/>
          <w:lang w:val="en-US" w:eastAsia="en-US"/>
        </w:rPr>
      </w:pPr>
      <w:r>
        <w:rPr>
          <w:bCs/>
          <w:iCs/>
          <w:lang w:val="en-US" w:eastAsia="en-US"/>
        </w:rPr>
        <w:t>n</w:t>
      </w:r>
      <w:r w:rsidR="00940D6E" w:rsidRPr="001F35F3">
        <w:rPr>
          <w:bCs/>
          <w:iCs/>
          <w:lang w:val="en-US" w:eastAsia="en-US"/>
        </w:rPr>
        <w:t>ewly qualified consultant specialists</w:t>
      </w:r>
      <w:r>
        <w:rPr>
          <w:bCs/>
          <w:iCs/>
          <w:lang w:val="en-US" w:eastAsia="en-US"/>
        </w:rPr>
        <w:t>;</w:t>
      </w:r>
    </w:p>
    <w:p w14:paraId="3C5A44A4" w14:textId="77777777" w:rsidR="001F35F3" w:rsidRDefault="001F35F3" w:rsidP="001F35F3">
      <w:pPr>
        <w:pStyle w:val="ListParagraph"/>
        <w:numPr>
          <w:ilvl w:val="1"/>
          <w:numId w:val="92"/>
        </w:numPr>
        <w:rPr>
          <w:bCs/>
          <w:iCs/>
          <w:lang w:val="en-US" w:eastAsia="en-US"/>
        </w:rPr>
      </w:pPr>
      <w:r>
        <w:rPr>
          <w:bCs/>
          <w:iCs/>
          <w:lang w:val="en-US" w:eastAsia="en-US"/>
        </w:rPr>
        <w:t>c</w:t>
      </w:r>
      <w:r w:rsidR="00940D6E" w:rsidRPr="001F35F3">
        <w:rPr>
          <w:bCs/>
          <w:iCs/>
          <w:lang w:val="en-US" w:eastAsia="en-US"/>
        </w:rPr>
        <w:t>onsultant specialists returning from a long leave of absence</w:t>
      </w:r>
      <w:r>
        <w:rPr>
          <w:bCs/>
          <w:iCs/>
          <w:lang w:val="en-US" w:eastAsia="en-US"/>
        </w:rPr>
        <w:t>;</w:t>
      </w:r>
    </w:p>
    <w:p w14:paraId="6E08253C" w14:textId="77777777" w:rsidR="001F35F3" w:rsidRDefault="001F35F3" w:rsidP="001F35F3">
      <w:pPr>
        <w:pStyle w:val="ListParagraph"/>
        <w:numPr>
          <w:ilvl w:val="1"/>
          <w:numId w:val="92"/>
        </w:numPr>
        <w:rPr>
          <w:bCs/>
          <w:iCs/>
          <w:lang w:val="en-US" w:eastAsia="en-US"/>
        </w:rPr>
      </w:pPr>
      <w:r>
        <w:rPr>
          <w:bCs/>
          <w:iCs/>
          <w:lang w:val="en-US" w:eastAsia="en-US"/>
        </w:rPr>
        <w:t>t</w:t>
      </w:r>
      <w:r w:rsidR="00940D6E" w:rsidRPr="001F35F3">
        <w:rPr>
          <w:bCs/>
          <w:iCs/>
          <w:lang w:val="en-US" w:eastAsia="en-US"/>
        </w:rPr>
        <w:t>he effect of a complication where the incidence of that complication is extremely low</w:t>
      </w:r>
      <w:r>
        <w:rPr>
          <w:bCs/>
          <w:iCs/>
          <w:lang w:val="en-US" w:eastAsia="en-US"/>
        </w:rPr>
        <w:t>;</w:t>
      </w:r>
    </w:p>
    <w:p w14:paraId="498970F2" w14:textId="77777777" w:rsidR="001F35F3" w:rsidRDefault="001F35F3" w:rsidP="001F35F3">
      <w:pPr>
        <w:pStyle w:val="ListParagraph"/>
        <w:numPr>
          <w:ilvl w:val="1"/>
          <w:numId w:val="92"/>
        </w:numPr>
        <w:rPr>
          <w:bCs/>
          <w:iCs/>
          <w:lang w:val="en-US" w:eastAsia="en-US"/>
        </w:rPr>
      </w:pPr>
      <w:r>
        <w:rPr>
          <w:bCs/>
          <w:iCs/>
          <w:lang w:val="en-US" w:eastAsia="en-US"/>
        </w:rPr>
        <w:t>c</w:t>
      </w:r>
      <w:r w:rsidR="00940D6E" w:rsidRPr="001F35F3">
        <w:rPr>
          <w:bCs/>
          <w:iCs/>
          <w:lang w:val="en-US" w:eastAsia="en-US"/>
        </w:rPr>
        <w:t>onsultant specialists who treat low volume disease of high complexity</w:t>
      </w:r>
      <w:r>
        <w:rPr>
          <w:bCs/>
          <w:iCs/>
          <w:lang w:val="en-US" w:eastAsia="en-US"/>
        </w:rPr>
        <w:t>;</w:t>
      </w:r>
    </w:p>
    <w:p w14:paraId="38BEE163" w14:textId="77777777" w:rsidR="001F35F3" w:rsidRDefault="001F35F3" w:rsidP="001F35F3">
      <w:pPr>
        <w:pStyle w:val="ListParagraph"/>
        <w:numPr>
          <w:ilvl w:val="1"/>
          <w:numId w:val="92"/>
        </w:numPr>
        <w:rPr>
          <w:bCs/>
          <w:iCs/>
          <w:lang w:val="en-US" w:eastAsia="en-US"/>
        </w:rPr>
      </w:pPr>
      <w:r>
        <w:rPr>
          <w:bCs/>
          <w:iCs/>
          <w:lang w:val="en-US" w:eastAsia="en-US"/>
        </w:rPr>
        <w:t>t</w:t>
      </w:r>
      <w:r w:rsidR="00940D6E" w:rsidRPr="001F35F3">
        <w:rPr>
          <w:bCs/>
          <w:iCs/>
          <w:lang w:val="en-US" w:eastAsia="en-US"/>
        </w:rPr>
        <w:t>he introduction of new technologies for a service</w:t>
      </w:r>
      <w:r>
        <w:rPr>
          <w:bCs/>
          <w:iCs/>
          <w:lang w:val="en-US" w:eastAsia="en-US"/>
        </w:rPr>
        <w:t>;</w:t>
      </w:r>
    </w:p>
    <w:p w14:paraId="0DD954E8" w14:textId="54BB956D" w:rsidR="001F35F3" w:rsidRDefault="001F35F3" w:rsidP="001F35F3">
      <w:pPr>
        <w:pStyle w:val="ListParagraph"/>
        <w:numPr>
          <w:ilvl w:val="1"/>
          <w:numId w:val="92"/>
        </w:numPr>
        <w:rPr>
          <w:bCs/>
          <w:iCs/>
          <w:lang w:val="en-US" w:eastAsia="en-US"/>
        </w:rPr>
      </w:pPr>
      <w:r>
        <w:rPr>
          <w:bCs/>
          <w:iCs/>
          <w:lang w:val="en-US" w:eastAsia="en-US"/>
        </w:rPr>
        <w:t>t</w:t>
      </w:r>
      <w:r w:rsidR="00940D6E" w:rsidRPr="001F35F3">
        <w:rPr>
          <w:bCs/>
          <w:iCs/>
          <w:lang w:val="en-US" w:eastAsia="en-US"/>
        </w:rPr>
        <w:t xml:space="preserve">he opening of new units (e.g., new </w:t>
      </w:r>
      <w:r w:rsidR="00F67DAB">
        <w:rPr>
          <w:bCs/>
          <w:iCs/>
          <w:lang w:val="en-US" w:eastAsia="en-US"/>
        </w:rPr>
        <w:t>hospital developments</w:t>
      </w:r>
      <w:r w:rsidR="00940D6E" w:rsidRPr="001F35F3">
        <w:rPr>
          <w:bCs/>
          <w:iCs/>
          <w:lang w:val="en-US" w:eastAsia="en-US"/>
        </w:rPr>
        <w:t>)</w:t>
      </w:r>
      <w:r>
        <w:rPr>
          <w:bCs/>
          <w:iCs/>
          <w:lang w:val="en-US" w:eastAsia="en-US"/>
        </w:rPr>
        <w:t>;</w:t>
      </w:r>
    </w:p>
    <w:p w14:paraId="659AF5C3" w14:textId="3B605F20" w:rsidR="001F35F3" w:rsidRDefault="001F35F3" w:rsidP="001F35F3">
      <w:pPr>
        <w:pStyle w:val="ListParagraph"/>
        <w:numPr>
          <w:ilvl w:val="1"/>
          <w:numId w:val="92"/>
        </w:numPr>
        <w:rPr>
          <w:bCs/>
          <w:iCs/>
          <w:lang w:val="en-US" w:eastAsia="en-US"/>
        </w:rPr>
      </w:pPr>
      <w:r>
        <w:rPr>
          <w:bCs/>
          <w:iCs/>
          <w:lang w:val="en-US" w:eastAsia="en-US"/>
        </w:rPr>
        <w:t>c</w:t>
      </w:r>
      <w:r w:rsidR="00940D6E" w:rsidRPr="001F35F3">
        <w:rPr>
          <w:bCs/>
          <w:iCs/>
          <w:lang w:val="en-US" w:eastAsia="en-US"/>
        </w:rPr>
        <w:t xml:space="preserve">onsultant </w:t>
      </w:r>
      <w:r w:rsidR="00F67DAB">
        <w:rPr>
          <w:bCs/>
          <w:iCs/>
          <w:lang w:val="en-US" w:eastAsia="en-US"/>
        </w:rPr>
        <w:t>s</w:t>
      </w:r>
      <w:r w:rsidR="00940D6E" w:rsidRPr="001F35F3">
        <w:rPr>
          <w:bCs/>
          <w:iCs/>
          <w:lang w:val="en-US" w:eastAsia="en-US"/>
        </w:rPr>
        <w:t xml:space="preserve">pecialists whose referral base </w:t>
      </w:r>
      <w:r>
        <w:rPr>
          <w:bCs/>
          <w:iCs/>
          <w:lang w:val="en-US" w:eastAsia="en-US"/>
        </w:rPr>
        <w:t>provides high risk patients;</w:t>
      </w:r>
      <w:r w:rsidR="00940D6E" w:rsidRPr="001F35F3">
        <w:rPr>
          <w:bCs/>
          <w:iCs/>
          <w:lang w:val="en-US" w:eastAsia="en-US"/>
        </w:rPr>
        <w:t xml:space="preserve"> and</w:t>
      </w:r>
    </w:p>
    <w:p w14:paraId="04D31D80" w14:textId="77777777" w:rsidR="00940D6E" w:rsidRPr="001F35F3" w:rsidRDefault="001F35F3" w:rsidP="001F35F3">
      <w:pPr>
        <w:pStyle w:val="ListParagraph"/>
        <w:numPr>
          <w:ilvl w:val="1"/>
          <w:numId w:val="92"/>
        </w:numPr>
        <w:rPr>
          <w:bCs/>
          <w:iCs/>
          <w:lang w:val="en-US" w:eastAsia="en-US"/>
        </w:rPr>
      </w:pPr>
      <w:r>
        <w:rPr>
          <w:bCs/>
          <w:iCs/>
          <w:lang w:val="en-US" w:eastAsia="en-US"/>
        </w:rPr>
        <w:t>complication “clusters”.</w:t>
      </w:r>
    </w:p>
    <w:p w14:paraId="321F5AF1" w14:textId="77777777" w:rsidR="00940D6E" w:rsidRPr="00C65B0C" w:rsidRDefault="001F35F3" w:rsidP="000831A1">
      <w:pPr>
        <w:pStyle w:val="ListParagraph"/>
        <w:numPr>
          <w:ilvl w:val="0"/>
          <w:numId w:val="92"/>
        </w:numPr>
        <w:rPr>
          <w:bCs/>
          <w:iCs/>
          <w:lang w:val="en-US" w:eastAsia="en-US"/>
        </w:rPr>
      </w:pPr>
      <w:r>
        <w:rPr>
          <w:bCs/>
          <w:iCs/>
          <w:lang w:val="en-US" w:eastAsia="en-US"/>
        </w:rPr>
        <w:t>P</w:t>
      </w:r>
      <w:r w:rsidR="00940D6E" w:rsidRPr="00C65B0C">
        <w:rPr>
          <w:bCs/>
          <w:iCs/>
          <w:lang w:val="en-US" w:eastAsia="en-US"/>
        </w:rPr>
        <w:t xml:space="preserve">rogressing the minimum data set into a comprehensive data set, populated by data available from private health insurers </w:t>
      </w:r>
      <w:r>
        <w:rPr>
          <w:bCs/>
          <w:iCs/>
          <w:lang w:val="en-US" w:eastAsia="en-US"/>
        </w:rPr>
        <w:t>and state public health systems.</w:t>
      </w:r>
      <w:r w:rsidR="00940D6E" w:rsidRPr="00C65B0C">
        <w:rPr>
          <w:bCs/>
          <w:iCs/>
          <w:lang w:val="en-US" w:eastAsia="en-US"/>
        </w:rPr>
        <w:t xml:space="preserve"> </w:t>
      </w:r>
    </w:p>
    <w:p w14:paraId="77F0A62A" w14:textId="77777777" w:rsidR="00940D6E" w:rsidRPr="00C65B0C" w:rsidRDefault="001F35F3" w:rsidP="000831A1">
      <w:pPr>
        <w:pStyle w:val="ListParagraph"/>
        <w:numPr>
          <w:ilvl w:val="0"/>
          <w:numId w:val="92"/>
        </w:numPr>
        <w:rPr>
          <w:bCs/>
          <w:iCs/>
          <w:lang w:val="en-US" w:eastAsia="en-US"/>
        </w:rPr>
      </w:pPr>
      <w:r>
        <w:rPr>
          <w:bCs/>
          <w:iCs/>
          <w:lang w:val="en-US" w:eastAsia="en-US"/>
        </w:rPr>
        <w:t>U</w:t>
      </w:r>
      <w:r w:rsidR="00940D6E" w:rsidRPr="00C65B0C">
        <w:rPr>
          <w:bCs/>
          <w:iCs/>
          <w:lang w:val="en-US" w:eastAsia="en-US"/>
        </w:rPr>
        <w:t>sing the collection of homogenous data to inform colleges and peak bodies of trends in clinical practice so that CPD and other improvement levers can be more targeted.</w:t>
      </w:r>
    </w:p>
    <w:p w14:paraId="6623988F" w14:textId="77777777" w:rsidR="00940D6E" w:rsidRPr="00C65B0C" w:rsidRDefault="00940D6E" w:rsidP="000831A1">
      <w:pPr>
        <w:pStyle w:val="ListParagraph"/>
        <w:numPr>
          <w:ilvl w:val="0"/>
          <w:numId w:val="92"/>
        </w:numPr>
        <w:rPr>
          <w:bCs/>
          <w:iCs/>
          <w:lang w:val="en-US" w:eastAsia="en-US"/>
        </w:rPr>
      </w:pPr>
      <w:r w:rsidRPr="00C65B0C">
        <w:rPr>
          <w:bCs/>
          <w:iCs/>
          <w:lang w:val="en-US" w:eastAsia="en-US"/>
        </w:rPr>
        <w:t>Support clinical audits as a mandatory part of CPD and required attendance of 80 per cent of mortality and morbidity meetings.</w:t>
      </w:r>
    </w:p>
    <w:p w14:paraId="7EA0972A" w14:textId="77777777" w:rsidR="00940D6E" w:rsidRPr="00940D6E" w:rsidRDefault="00940D6E" w:rsidP="00940D6E">
      <w:pPr>
        <w:rPr>
          <w:b/>
          <w:bCs/>
          <w:iCs/>
          <w:lang w:val="en-US" w:eastAsia="en-US"/>
        </w:rPr>
      </w:pPr>
      <w:r w:rsidRPr="00940D6E">
        <w:rPr>
          <w:b/>
          <w:bCs/>
          <w:iCs/>
          <w:lang w:val="en-US" w:eastAsia="en-US"/>
        </w:rPr>
        <w:t>Recommendation 1</w:t>
      </w:r>
      <w:r w:rsidR="00FC6719">
        <w:rPr>
          <w:b/>
          <w:bCs/>
          <w:iCs/>
          <w:lang w:val="en-US" w:eastAsia="en-US"/>
        </w:rPr>
        <w:t>5</w:t>
      </w:r>
      <w:r w:rsidRPr="00940D6E">
        <w:rPr>
          <w:b/>
          <w:bCs/>
          <w:iCs/>
          <w:lang w:val="en-US" w:eastAsia="en-US"/>
        </w:rPr>
        <w:t xml:space="preserve"> – Provide transparency on the cost and quality of consultant specialist services</w:t>
      </w:r>
    </w:p>
    <w:p w14:paraId="71D411B4" w14:textId="77777777" w:rsidR="00940D6E" w:rsidRPr="00940D6E" w:rsidRDefault="00940D6E" w:rsidP="00940D6E">
      <w:pPr>
        <w:rPr>
          <w:bCs/>
          <w:iCs/>
          <w:lang w:val="en-US" w:eastAsia="en-US"/>
        </w:rPr>
      </w:pPr>
      <w:r w:rsidRPr="00940D6E">
        <w:rPr>
          <w:bCs/>
          <w:iCs/>
          <w:lang w:val="en-US" w:eastAsia="en-US"/>
        </w:rPr>
        <w:t>The Committee recommends that:</w:t>
      </w:r>
    </w:p>
    <w:p w14:paraId="6FB81282" w14:textId="77777777" w:rsidR="00940D6E" w:rsidRPr="00B35201" w:rsidRDefault="00940D6E" w:rsidP="000831A1">
      <w:pPr>
        <w:pStyle w:val="ListParagraph"/>
        <w:numPr>
          <w:ilvl w:val="0"/>
          <w:numId w:val="94"/>
        </w:numPr>
        <w:rPr>
          <w:bCs/>
          <w:iCs/>
          <w:lang w:val="en-US" w:eastAsia="en-US"/>
        </w:rPr>
      </w:pPr>
      <w:r w:rsidRPr="00B35201">
        <w:rPr>
          <w:bCs/>
          <w:iCs/>
          <w:lang w:val="en-US" w:eastAsia="en-US"/>
        </w:rPr>
        <w:t>MBS cost data, including data on out-of-pocket fees, is shared at an institutiona</w:t>
      </w:r>
      <w:r w:rsidR="0055162A">
        <w:rPr>
          <w:bCs/>
          <w:iCs/>
          <w:lang w:val="en-US" w:eastAsia="en-US"/>
        </w:rPr>
        <w:t>l and individual provider level;</w:t>
      </w:r>
      <w:r w:rsidRPr="00B35201">
        <w:rPr>
          <w:bCs/>
          <w:iCs/>
          <w:lang w:val="en-US" w:eastAsia="en-US"/>
        </w:rPr>
        <w:t xml:space="preserve"> </w:t>
      </w:r>
    </w:p>
    <w:p w14:paraId="03AB09A1" w14:textId="7B2E1102" w:rsidR="00940D6E" w:rsidRPr="00B35201" w:rsidRDefault="00940D6E" w:rsidP="000831A1">
      <w:pPr>
        <w:pStyle w:val="ListParagraph"/>
        <w:numPr>
          <w:ilvl w:val="0"/>
          <w:numId w:val="94"/>
        </w:numPr>
        <w:rPr>
          <w:bCs/>
          <w:iCs/>
          <w:lang w:val="en-US" w:eastAsia="en-US"/>
        </w:rPr>
      </w:pPr>
      <w:r w:rsidRPr="00B35201">
        <w:rPr>
          <w:bCs/>
          <w:iCs/>
          <w:lang w:val="en-US" w:eastAsia="en-US"/>
        </w:rPr>
        <w:t>consultant specialist risk-weighted outcome data discussed in Recommendation 1</w:t>
      </w:r>
      <w:r w:rsidR="00B46DC3">
        <w:rPr>
          <w:bCs/>
          <w:iCs/>
          <w:lang w:val="en-US" w:eastAsia="en-US"/>
        </w:rPr>
        <w:t>4</w:t>
      </w:r>
      <w:r w:rsidRPr="00B35201">
        <w:rPr>
          <w:bCs/>
          <w:iCs/>
          <w:lang w:val="en-US" w:eastAsia="en-US"/>
        </w:rPr>
        <w:t xml:space="preserve"> is shared at an institutiona</w:t>
      </w:r>
      <w:r w:rsidR="0055162A">
        <w:rPr>
          <w:bCs/>
          <w:iCs/>
          <w:lang w:val="en-US" w:eastAsia="en-US"/>
        </w:rPr>
        <w:t>l</w:t>
      </w:r>
      <w:r w:rsidR="00F67DAB">
        <w:rPr>
          <w:bCs/>
          <w:iCs/>
          <w:lang w:val="en-US" w:eastAsia="en-US"/>
        </w:rPr>
        <w:t xml:space="preserve">, disease-specific </w:t>
      </w:r>
      <w:r w:rsidR="0055162A">
        <w:rPr>
          <w:bCs/>
          <w:iCs/>
          <w:lang w:val="en-US" w:eastAsia="en-US"/>
        </w:rPr>
        <w:t>level;</w:t>
      </w:r>
    </w:p>
    <w:p w14:paraId="539D1777" w14:textId="7FF20E24" w:rsidR="00B46DC3" w:rsidRPr="00B35201" w:rsidRDefault="00B46DC3" w:rsidP="00B46DC3">
      <w:pPr>
        <w:pStyle w:val="ListParagraph"/>
        <w:numPr>
          <w:ilvl w:val="0"/>
          <w:numId w:val="94"/>
        </w:numPr>
        <w:rPr>
          <w:bCs/>
          <w:iCs/>
          <w:lang w:val="en-US" w:eastAsia="en-US"/>
        </w:rPr>
      </w:pPr>
      <w:r w:rsidRPr="00B35201">
        <w:rPr>
          <w:bCs/>
          <w:iCs/>
          <w:lang w:val="en-US" w:eastAsia="en-US"/>
        </w:rPr>
        <w:t xml:space="preserve">cost and outcome data are </w:t>
      </w:r>
      <w:r>
        <w:rPr>
          <w:bCs/>
          <w:iCs/>
          <w:lang w:val="en-US" w:eastAsia="en-US"/>
        </w:rPr>
        <w:t xml:space="preserve">publicly available </w:t>
      </w:r>
      <w:r w:rsidR="00F67DAB">
        <w:rPr>
          <w:bCs/>
          <w:iCs/>
          <w:lang w:val="en-US" w:eastAsia="en-US"/>
        </w:rPr>
        <w:t xml:space="preserve">to enable discussion with </w:t>
      </w:r>
      <w:r>
        <w:rPr>
          <w:bCs/>
          <w:iCs/>
          <w:lang w:val="en-US" w:eastAsia="en-US"/>
        </w:rPr>
        <w:t>the GP</w:t>
      </w:r>
      <w:r w:rsidR="00F67DAB">
        <w:rPr>
          <w:bCs/>
          <w:iCs/>
          <w:lang w:val="en-US" w:eastAsia="en-US"/>
        </w:rPr>
        <w:t xml:space="preserve"> </w:t>
      </w:r>
      <w:r>
        <w:rPr>
          <w:bCs/>
          <w:iCs/>
          <w:lang w:val="en-US" w:eastAsia="en-US"/>
        </w:rPr>
        <w:t xml:space="preserve">at the time of referral; </w:t>
      </w:r>
      <w:r w:rsidRPr="00B35201">
        <w:rPr>
          <w:bCs/>
          <w:iCs/>
          <w:lang w:val="en-US" w:eastAsia="en-US"/>
        </w:rPr>
        <w:t>and</w:t>
      </w:r>
    </w:p>
    <w:p w14:paraId="4C9A0FFD" w14:textId="77777777" w:rsidR="00940D6E" w:rsidRPr="00B35201" w:rsidRDefault="00940D6E" w:rsidP="000831A1">
      <w:pPr>
        <w:pStyle w:val="ListParagraph"/>
        <w:numPr>
          <w:ilvl w:val="0"/>
          <w:numId w:val="94"/>
        </w:numPr>
        <w:rPr>
          <w:bCs/>
          <w:iCs/>
          <w:lang w:val="en-US" w:eastAsia="en-US"/>
        </w:rPr>
      </w:pPr>
      <w:r w:rsidRPr="00B35201">
        <w:rPr>
          <w:bCs/>
          <w:iCs/>
          <w:lang w:val="en-US" w:eastAsia="en-US"/>
        </w:rPr>
        <w:t>the presentation of cost and outcome data should be co-designed with consumers and include a clear explanation of the data and its limitations.</w:t>
      </w:r>
    </w:p>
    <w:p w14:paraId="4D643BFE" w14:textId="77777777" w:rsidR="00940D6E" w:rsidRPr="00940D6E" w:rsidRDefault="00940D6E" w:rsidP="00940D6E">
      <w:pPr>
        <w:rPr>
          <w:b/>
          <w:bCs/>
          <w:iCs/>
          <w:lang w:val="en-US" w:eastAsia="en-US"/>
        </w:rPr>
      </w:pPr>
      <w:r w:rsidRPr="00940D6E">
        <w:rPr>
          <w:b/>
          <w:bCs/>
          <w:iCs/>
          <w:lang w:val="en-US" w:eastAsia="en-US"/>
        </w:rPr>
        <w:t>Recommendation 1</w:t>
      </w:r>
      <w:r w:rsidR="00B46DC3">
        <w:rPr>
          <w:b/>
          <w:bCs/>
          <w:iCs/>
          <w:lang w:val="en-US" w:eastAsia="en-US"/>
        </w:rPr>
        <w:t>6</w:t>
      </w:r>
      <w:r w:rsidRPr="00940D6E">
        <w:rPr>
          <w:b/>
          <w:bCs/>
          <w:iCs/>
          <w:lang w:val="en-US" w:eastAsia="en-US"/>
        </w:rPr>
        <w:t xml:space="preserve"> - Improve informed </w:t>
      </w:r>
      <w:r w:rsidR="00B46DC3">
        <w:rPr>
          <w:b/>
          <w:bCs/>
          <w:iCs/>
          <w:lang w:val="en-US" w:eastAsia="en-US"/>
        </w:rPr>
        <w:t xml:space="preserve">comprehensive </w:t>
      </w:r>
      <w:r w:rsidRPr="00940D6E">
        <w:rPr>
          <w:b/>
          <w:bCs/>
          <w:iCs/>
          <w:lang w:val="en-US" w:eastAsia="en-US"/>
        </w:rPr>
        <w:t>patient consent and shared decision-making practices</w:t>
      </w:r>
    </w:p>
    <w:p w14:paraId="195E6C5F" w14:textId="77777777" w:rsidR="00940D6E" w:rsidRPr="00940D6E" w:rsidRDefault="00940D6E" w:rsidP="00940D6E">
      <w:pPr>
        <w:rPr>
          <w:bCs/>
          <w:iCs/>
          <w:lang w:val="en-US" w:eastAsia="en-US"/>
        </w:rPr>
      </w:pPr>
      <w:r w:rsidRPr="00940D6E">
        <w:rPr>
          <w:bCs/>
          <w:iCs/>
          <w:lang w:val="en-US" w:eastAsia="en-US"/>
        </w:rPr>
        <w:t>The Committee recommends:</w:t>
      </w:r>
    </w:p>
    <w:p w14:paraId="56703DF8" w14:textId="77777777" w:rsidR="00940D6E" w:rsidRPr="00B35201" w:rsidRDefault="0055162A" w:rsidP="000831A1">
      <w:pPr>
        <w:pStyle w:val="ListParagraph"/>
        <w:numPr>
          <w:ilvl w:val="0"/>
          <w:numId w:val="96"/>
        </w:numPr>
        <w:rPr>
          <w:bCs/>
          <w:iCs/>
          <w:lang w:val="en-US" w:eastAsia="en-US"/>
        </w:rPr>
      </w:pPr>
      <w:r>
        <w:rPr>
          <w:bCs/>
          <w:iCs/>
          <w:lang w:val="en-US" w:eastAsia="en-US"/>
        </w:rPr>
        <w:t>I</w:t>
      </w:r>
      <w:r w:rsidR="00940D6E" w:rsidRPr="00B35201">
        <w:rPr>
          <w:bCs/>
          <w:iCs/>
          <w:lang w:val="en-US" w:eastAsia="en-US"/>
        </w:rPr>
        <w:t>ncluding the following in standard attendance item descriptors (refer to Recommendation 1) when multiple treatment options are available:</w:t>
      </w:r>
    </w:p>
    <w:p w14:paraId="2B063B8C" w14:textId="04157FB5" w:rsidR="00940D6E" w:rsidRPr="00B35201" w:rsidRDefault="0055162A" w:rsidP="000831A1">
      <w:pPr>
        <w:pStyle w:val="ListParagraph"/>
        <w:numPr>
          <w:ilvl w:val="0"/>
          <w:numId w:val="97"/>
        </w:numPr>
        <w:rPr>
          <w:bCs/>
          <w:iCs/>
          <w:lang w:val="en-US" w:eastAsia="en-US"/>
        </w:rPr>
      </w:pPr>
      <w:r>
        <w:rPr>
          <w:bCs/>
          <w:iCs/>
          <w:lang w:val="en-US" w:eastAsia="en-US"/>
        </w:rPr>
        <w:t>d</w:t>
      </w:r>
      <w:r w:rsidR="00940D6E" w:rsidRPr="00B35201">
        <w:rPr>
          <w:bCs/>
          <w:iCs/>
          <w:lang w:val="en-US" w:eastAsia="en-US"/>
        </w:rPr>
        <w:t>iscussion of patient treatment options to assess the risks and benefits of each option, given the patient’s characteristics</w:t>
      </w:r>
      <w:r w:rsidR="00F67DAB">
        <w:rPr>
          <w:bCs/>
          <w:iCs/>
          <w:lang w:val="en-US" w:eastAsia="en-US"/>
        </w:rPr>
        <w:t>,</w:t>
      </w:r>
      <w:r w:rsidR="00940D6E" w:rsidRPr="00B35201">
        <w:rPr>
          <w:bCs/>
          <w:iCs/>
          <w:lang w:val="en-US" w:eastAsia="en-US"/>
        </w:rPr>
        <w:t xml:space="preserve"> medical history</w:t>
      </w:r>
      <w:r w:rsidR="00F67DAB">
        <w:rPr>
          <w:bCs/>
          <w:iCs/>
          <w:lang w:val="en-US" w:eastAsia="en-US"/>
        </w:rPr>
        <w:t xml:space="preserve"> and life circumstance</w:t>
      </w:r>
      <w:r>
        <w:rPr>
          <w:bCs/>
          <w:iCs/>
          <w:lang w:val="en-US" w:eastAsia="en-US"/>
        </w:rPr>
        <w:t>;</w:t>
      </w:r>
    </w:p>
    <w:p w14:paraId="29272547" w14:textId="77777777" w:rsidR="00940D6E" w:rsidRPr="00B35201" w:rsidRDefault="0055162A" w:rsidP="000831A1">
      <w:pPr>
        <w:pStyle w:val="ListParagraph"/>
        <w:numPr>
          <w:ilvl w:val="0"/>
          <w:numId w:val="97"/>
        </w:numPr>
        <w:rPr>
          <w:bCs/>
          <w:iCs/>
          <w:lang w:val="en-US" w:eastAsia="en-US"/>
        </w:rPr>
      </w:pPr>
      <w:r>
        <w:rPr>
          <w:bCs/>
          <w:iCs/>
          <w:lang w:val="en-US" w:eastAsia="en-US"/>
        </w:rPr>
        <w:t>c</w:t>
      </w:r>
      <w:r w:rsidR="00940D6E" w:rsidRPr="00B35201">
        <w:rPr>
          <w:bCs/>
          <w:iCs/>
          <w:lang w:val="en-US" w:eastAsia="en-US"/>
        </w:rPr>
        <w:t>onsideration and discussion of referral</w:t>
      </w:r>
      <w:r>
        <w:rPr>
          <w:bCs/>
          <w:iCs/>
          <w:lang w:val="en-US" w:eastAsia="en-US"/>
        </w:rPr>
        <w:t>s to other health professionals</w:t>
      </w:r>
      <w:r w:rsidR="00F67DAB">
        <w:rPr>
          <w:bCs/>
          <w:iCs/>
          <w:lang w:val="en-US" w:eastAsia="en-US"/>
        </w:rPr>
        <w:t xml:space="preserve"> and services</w:t>
      </w:r>
      <w:r>
        <w:rPr>
          <w:bCs/>
          <w:iCs/>
          <w:lang w:val="en-US" w:eastAsia="en-US"/>
        </w:rPr>
        <w:t>;</w:t>
      </w:r>
      <w:r w:rsidR="00940D6E" w:rsidRPr="00B35201">
        <w:rPr>
          <w:bCs/>
          <w:iCs/>
          <w:lang w:val="en-US" w:eastAsia="en-US"/>
        </w:rPr>
        <w:t xml:space="preserve"> and</w:t>
      </w:r>
    </w:p>
    <w:p w14:paraId="5DCDF034" w14:textId="77777777" w:rsidR="00940D6E" w:rsidRPr="00B35201" w:rsidRDefault="0055162A" w:rsidP="000831A1">
      <w:pPr>
        <w:pStyle w:val="ListParagraph"/>
        <w:numPr>
          <w:ilvl w:val="0"/>
          <w:numId w:val="97"/>
        </w:numPr>
        <w:rPr>
          <w:bCs/>
          <w:iCs/>
          <w:lang w:val="en-US" w:eastAsia="en-US"/>
        </w:rPr>
      </w:pPr>
      <w:r>
        <w:rPr>
          <w:bCs/>
          <w:iCs/>
          <w:lang w:val="en-US" w:eastAsia="en-US"/>
        </w:rPr>
        <w:t>a</w:t>
      </w:r>
      <w:r w:rsidR="00940D6E" w:rsidRPr="00B35201">
        <w:rPr>
          <w:bCs/>
          <w:iCs/>
          <w:lang w:val="en-US" w:eastAsia="en-US"/>
        </w:rPr>
        <w:t xml:space="preserve"> requirement for written documentation, made available to the patient and/or carer, which outlines treatment options and information on associated risks and benefits.</w:t>
      </w:r>
    </w:p>
    <w:p w14:paraId="4084EBCF" w14:textId="77777777" w:rsidR="00940D6E" w:rsidRPr="00B35201" w:rsidRDefault="0055162A" w:rsidP="000831A1">
      <w:pPr>
        <w:pStyle w:val="ListParagraph"/>
        <w:numPr>
          <w:ilvl w:val="0"/>
          <w:numId w:val="96"/>
        </w:numPr>
        <w:rPr>
          <w:bCs/>
          <w:iCs/>
          <w:lang w:val="en-US" w:eastAsia="en-US"/>
        </w:rPr>
      </w:pPr>
      <w:r>
        <w:rPr>
          <w:bCs/>
          <w:iCs/>
          <w:lang w:val="en-US" w:eastAsia="en-US"/>
        </w:rPr>
        <w:t>T</w:t>
      </w:r>
      <w:r w:rsidR="00940D6E" w:rsidRPr="00B35201">
        <w:rPr>
          <w:bCs/>
          <w:iCs/>
          <w:lang w:val="en-US" w:eastAsia="en-US"/>
        </w:rPr>
        <w:t>hat provider education on the patient consent process be promoted through:</w:t>
      </w:r>
    </w:p>
    <w:p w14:paraId="465733C6" w14:textId="77777777" w:rsidR="00940D6E" w:rsidRPr="00940D6E" w:rsidRDefault="0055162A" w:rsidP="000831A1">
      <w:pPr>
        <w:pStyle w:val="ListParagraph"/>
        <w:numPr>
          <w:ilvl w:val="0"/>
          <w:numId w:val="98"/>
        </w:numPr>
        <w:rPr>
          <w:bCs/>
          <w:iCs/>
          <w:lang w:val="en-US" w:eastAsia="en-US"/>
        </w:rPr>
      </w:pPr>
      <w:r>
        <w:rPr>
          <w:bCs/>
          <w:iCs/>
          <w:lang w:val="en-US" w:eastAsia="en-US"/>
        </w:rPr>
        <w:t xml:space="preserve">colleges, using CPD as a lever; and </w:t>
      </w:r>
    </w:p>
    <w:p w14:paraId="1A6A0906" w14:textId="47D0E359" w:rsidR="00940D6E" w:rsidRPr="00940D6E" w:rsidRDefault="00B35201" w:rsidP="000831A1">
      <w:pPr>
        <w:pStyle w:val="ListParagraph"/>
        <w:numPr>
          <w:ilvl w:val="0"/>
          <w:numId w:val="98"/>
        </w:numPr>
        <w:rPr>
          <w:bCs/>
          <w:iCs/>
          <w:lang w:val="en-US" w:eastAsia="en-US"/>
        </w:rPr>
      </w:pPr>
      <w:r>
        <w:rPr>
          <w:bCs/>
          <w:iCs/>
          <w:lang w:val="en-US" w:eastAsia="en-US"/>
        </w:rPr>
        <w:t>i</w:t>
      </w:r>
      <w:r w:rsidR="00940D6E" w:rsidRPr="00940D6E">
        <w:rPr>
          <w:bCs/>
          <w:iCs/>
          <w:lang w:val="en-US" w:eastAsia="en-US"/>
        </w:rPr>
        <w:t xml:space="preserve">ncreased patient awareness of the Australian Commission on Safety and Quality in Health Care’s clinical standards, achieved via media campaigns and by informing </w:t>
      </w:r>
      <w:r w:rsidR="00F67DAB">
        <w:rPr>
          <w:bCs/>
          <w:iCs/>
          <w:lang w:val="en-US" w:eastAsia="en-US"/>
        </w:rPr>
        <w:t>general practice</w:t>
      </w:r>
      <w:r w:rsidR="00940D6E" w:rsidRPr="00940D6E">
        <w:rPr>
          <w:bCs/>
          <w:iCs/>
          <w:lang w:val="en-US" w:eastAsia="en-US"/>
        </w:rPr>
        <w:t xml:space="preserve">. </w:t>
      </w:r>
    </w:p>
    <w:p w14:paraId="70E8F9B4" w14:textId="77777777" w:rsidR="00940D6E" w:rsidRPr="00B35201" w:rsidRDefault="0055162A" w:rsidP="000831A1">
      <w:pPr>
        <w:pStyle w:val="ListParagraph"/>
        <w:numPr>
          <w:ilvl w:val="0"/>
          <w:numId w:val="96"/>
        </w:numPr>
        <w:rPr>
          <w:bCs/>
          <w:iCs/>
          <w:lang w:val="en-US" w:eastAsia="en-US"/>
        </w:rPr>
      </w:pPr>
      <w:r>
        <w:rPr>
          <w:bCs/>
          <w:iCs/>
          <w:lang w:val="en-US" w:eastAsia="en-US"/>
        </w:rPr>
        <w:t>I</w:t>
      </w:r>
      <w:r w:rsidR="00940D6E" w:rsidRPr="00B35201">
        <w:rPr>
          <w:bCs/>
          <w:iCs/>
          <w:lang w:val="en-US" w:eastAsia="en-US"/>
        </w:rPr>
        <w:t>mproving the consent process by including in provider education materials</w:t>
      </w:r>
      <w:r w:rsidR="00F67DAB">
        <w:rPr>
          <w:bCs/>
          <w:iCs/>
          <w:lang w:val="en-US" w:eastAsia="en-US"/>
        </w:rPr>
        <w:t>, consumer information</w:t>
      </w:r>
      <w:r w:rsidR="00940D6E" w:rsidRPr="00B35201">
        <w:rPr>
          <w:bCs/>
          <w:iCs/>
          <w:lang w:val="en-US" w:eastAsia="en-US"/>
        </w:rPr>
        <w:t xml:space="preserve"> and other relevant materials the following information:</w:t>
      </w:r>
    </w:p>
    <w:p w14:paraId="34C05604"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the aim of the informed consent discussion is to give a patient the information they need to make a decision about their treatment or procedure (if any)</w:t>
      </w:r>
      <w:r w:rsidR="00F67DAB">
        <w:rPr>
          <w:bCs/>
          <w:iCs/>
          <w:lang w:val="en-US" w:eastAsia="en-US"/>
        </w:rPr>
        <w:t xml:space="preserve"> and their overall care</w:t>
      </w:r>
      <w:r w:rsidR="0055162A">
        <w:rPr>
          <w:bCs/>
          <w:iCs/>
          <w:lang w:val="en-US" w:eastAsia="en-US"/>
        </w:rPr>
        <w:t>;</w:t>
      </w:r>
    </w:p>
    <w:p w14:paraId="51B0B962"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the discussion must be tailored to the individual patient</w:t>
      </w:r>
      <w:r w:rsidR="00F67DAB">
        <w:rPr>
          <w:bCs/>
          <w:iCs/>
          <w:lang w:val="en-US" w:eastAsia="en-US"/>
        </w:rPr>
        <w:t xml:space="preserve"> and their circumstances</w:t>
      </w:r>
      <w:r w:rsidR="0055162A">
        <w:rPr>
          <w:bCs/>
          <w:iCs/>
          <w:lang w:val="en-US" w:eastAsia="en-US"/>
        </w:rPr>
        <w:t>;</w:t>
      </w:r>
    </w:p>
    <w:p w14:paraId="03C4CDF4"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informed consent during medical practice—on both treatment options and financial costs—is an essential component</w:t>
      </w:r>
      <w:r w:rsidR="0055162A">
        <w:rPr>
          <w:bCs/>
          <w:iCs/>
          <w:lang w:val="en-US" w:eastAsia="en-US"/>
        </w:rPr>
        <w:t xml:space="preserve"> of comprehensive medical care. </w:t>
      </w:r>
      <w:r w:rsidRPr="00B35201">
        <w:rPr>
          <w:bCs/>
          <w:iCs/>
          <w:lang w:val="en-US" w:eastAsia="en-US"/>
        </w:rPr>
        <w:t>Patient authorisation is “informed” when the physician discloses and the patient understands the diagnosis, the relevant options for treatment (including no treatment) and any respective risks and benefits</w:t>
      </w:r>
      <w:r w:rsidR="0055162A">
        <w:rPr>
          <w:bCs/>
          <w:iCs/>
          <w:lang w:val="en-US" w:eastAsia="en-US"/>
        </w:rPr>
        <w:t>;</w:t>
      </w:r>
    </w:p>
    <w:p w14:paraId="301DCBF4" w14:textId="75222FA7" w:rsidR="00940D6E" w:rsidRPr="00B35201" w:rsidRDefault="00940D6E" w:rsidP="000831A1">
      <w:pPr>
        <w:pStyle w:val="ListParagraph"/>
        <w:numPr>
          <w:ilvl w:val="0"/>
          <w:numId w:val="99"/>
        </w:numPr>
        <w:rPr>
          <w:bCs/>
          <w:iCs/>
          <w:lang w:val="en-US" w:eastAsia="en-US"/>
        </w:rPr>
      </w:pPr>
      <w:r w:rsidRPr="00B35201">
        <w:rPr>
          <w:bCs/>
          <w:iCs/>
          <w:lang w:val="en-US" w:eastAsia="en-US"/>
        </w:rPr>
        <w:t>doctors should give advice</w:t>
      </w:r>
      <w:r w:rsidR="00F67DAB">
        <w:rPr>
          <w:bCs/>
          <w:iCs/>
          <w:lang w:val="en-US" w:eastAsia="en-US"/>
        </w:rPr>
        <w:t xml:space="preserve"> in accordance with their scope of practice.</w:t>
      </w:r>
      <w:r w:rsidRPr="00B35201">
        <w:rPr>
          <w:bCs/>
          <w:iCs/>
          <w:lang w:val="en-US" w:eastAsia="en-US"/>
        </w:rPr>
        <w:t xml:space="preserve"> </w:t>
      </w:r>
      <w:r w:rsidR="00F67DAB">
        <w:rPr>
          <w:bCs/>
          <w:iCs/>
          <w:lang w:val="en-US" w:eastAsia="en-US"/>
        </w:rPr>
        <w:t>T</w:t>
      </w:r>
      <w:r w:rsidRPr="00B35201">
        <w:rPr>
          <w:bCs/>
          <w:iCs/>
          <w:lang w:val="en-US" w:eastAsia="en-US"/>
        </w:rPr>
        <w:t xml:space="preserve">here should be no coercion. The patient </w:t>
      </w:r>
      <w:r w:rsidR="00F67DAB">
        <w:rPr>
          <w:bCs/>
          <w:iCs/>
          <w:lang w:val="en-US" w:eastAsia="en-US"/>
        </w:rPr>
        <w:t xml:space="preserve">is always </w:t>
      </w:r>
      <w:r w:rsidRPr="00B35201">
        <w:rPr>
          <w:bCs/>
          <w:iCs/>
          <w:lang w:val="en-US" w:eastAsia="en-US"/>
        </w:rPr>
        <w:t>free to accept or reject the advice offered</w:t>
      </w:r>
      <w:r w:rsidR="0055162A">
        <w:rPr>
          <w:bCs/>
          <w:iCs/>
          <w:lang w:val="en-US" w:eastAsia="en-US"/>
        </w:rPr>
        <w:t>;</w:t>
      </w:r>
    </w:p>
    <w:p w14:paraId="02261FF8"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clinicians should give information about the risks of any intervention, especially those that are likely to influence the patient’s decisions</w:t>
      </w:r>
      <w:r w:rsidR="0055162A">
        <w:rPr>
          <w:bCs/>
          <w:iCs/>
          <w:lang w:val="en-US" w:eastAsia="en-US"/>
        </w:rPr>
        <w:t>;</w:t>
      </w:r>
      <w:r w:rsidRPr="00B35201">
        <w:rPr>
          <w:bCs/>
          <w:iCs/>
          <w:lang w:val="en-US" w:eastAsia="en-US"/>
        </w:rPr>
        <w:t xml:space="preserve"> </w:t>
      </w:r>
    </w:p>
    <w:p w14:paraId="0BA515C9"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 xml:space="preserve">the informed consent process should be documented thoroughly, using an electronic medical record, procedure-specific consent forms, patient education materials and </w:t>
      </w:r>
      <w:r w:rsidR="0055162A">
        <w:rPr>
          <w:bCs/>
          <w:iCs/>
          <w:lang w:val="en-US" w:eastAsia="en-US"/>
        </w:rPr>
        <w:t>other options whenever possible;</w:t>
      </w:r>
      <w:r w:rsidRPr="00B35201">
        <w:rPr>
          <w:bCs/>
          <w:iCs/>
          <w:lang w:val="en-US" w:eastAsia="en-US"/>
        </w:rPr>
        <w:t xml:space="preserve"> and</w:t>
      </w:r>
    </w:p>
    <w:p w14:paraId="57416556"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mechanisms should be in place to monitor the quality of the patient consent process, such as peer review and patient reported outcomes.</w:t>
      </w:r>
    </w:p>
    <w:p w14:paraId="02D97040" w14:textId="77777777" w:rsidR="00940D6E" w:rsidRPr="00940D6E" w:rsidRDefault="00940D6E" w:rsidP="00940D6E">
      <w:pPr>
        <w:rPr>
          <w:b/>
          <w:bCs/>
          <w:iCs/>
          <w:lang w:val="en-US" w:eastAsia="en-US"/>
        </w:rPr>
      </w:pPr>
      <w:r w:rsidRPr="00940D6E">
        <w:rPr>
          <w:b/>
          <w:bCs/>
          <w:iCs/>
          <w:lang w:val="en-US" w:eastAsia="en-US"/>
        </w:rPr>
        <w:t>Recommendation 1</w:t>
      </w:r>
      <w:r w:rsidR="00B46DC3">
        <w:rPr>
          <w:b/>
          <w:bCs/>
          <w:iCs/>
          <w:lang w:val="en-US" w:eastAsia="en-US"/>
        </w:rPr>
        <w:t>7</w:t>
      </w:r>
      <w:r w:rsidRPr="00940D6E">
        <w:rPr>
          <w:b/>
          <w:bCs/>
          <w:iCs/>
          <w:lang w:val="en-US" w:eastAsia="en-US"/>
        </w:rPr>
        <w:t xml:space="preserve"> – Incentivise adoption of My Health Record</w:t>
      </w:r>
    </w:p>
    <w:p w14:paraId="6AB3ED89" w14:textId="77777777" w:rsidR="00940D6E" w:rsidRPr="00940D6E" w:rsidRDefault="00940D6E" w:rsidP="00940D6E">
      <w:pPr>
        <w:rPr>
          <w:bCs/>
          <w:iCs/>
          <w:lang w:val="en-US" w:eastAsia="en-US"/>
        </w:rPr>
      </w:pPr>
      <w:r w:rsidRPr="00940D6E">
        <w:rPr>
          <w:bCs/>
          <w:iCs/>
          <w:lang w:val="en-US" w:eastAsia="en-US"/>
        </w:rPr>
        <w:t>The Committee recommends:</w:t>
      </w:r>
    </w:p>
    <w:p w14:paraId="13AC9A02" w14:textId="77777777" w:rsidR="00940D6E" w:rsidRPr="0007488D" w:rsidRDefault="00940D6E" w:rsidP="000831A1">
      <w:pPr>
        <w:pStyle w:val="ListParagraph"/>
        <w:numPr>
          <w:ilvl w:val="0"/>
          <w:numId w:val="101"/>
        </w:numPr>
        <w:rPr>
          <w:bCs/>
          <w:iCs/>
          <w:lang w:val="en-US" w:eastAsia="en-US"/>
        </w:rPr>
      </w:pPr>
      <w:r w:rsidRPr="0007488D">
        <w:rPr>
          <w:bCs/>
          <w:iCs/>
          <w:lang w:val="en-US" w:eastAsia="en-US"/>
        </w:rPr>
        <w:t>introducing a single incentive payment to consultant specialists upon their adoption of My Health Record, triggered by achieving a volume of uploads that is proportional to the number of attenda</w:t>
      </w:r>
      <w:r w:rsidR="0055162A">
        <w:rPr>
          <w:bCs/>
          <w:iCs/>
          <w:lang w:val="en-US" w:eastAsia="en-US"/>
        </w:rPr>
        <w:t>nces that the provider performs;</w:t>
      </w:r>
      <w:r w:rsidRPr="0007488D">
        <w:rPr>
          <w:bCs/>
          <w:iCs/>
          <w:lang w:val="en-US" w:eastAsia="en-US"/>
        </w:rPr>
        <w:t xml:space="preserve"> and</w:t>
      </w:r>
    </w:p>
    <w:p w14:paraId="5F9D0528" w14:textId="77777777" w:rsidR="00B46DC3" w:rsidRDefault="00B46DC3" w:rsidP="00B46DC3">
      <w:pPr>
        <w:pStyle w:val="Bullet-green"/>
        <w:numPr>
          <w:ilvl w:val="0"/>
          <w:numId w:val="101"/>
        </w:numPr>
      </w:pPr>
      <w:r>
        <w:t>reviewing the effectiveness of the incentive payment after a defined period such as two years.</w:t>
      </w:r>
    </w:p>
    <w:p w14:paraId="25DBC5D8" w14:textId="77777777" w:rsidR="00B46DC3" w:rsidRPr="004A1AB0" w:rsidRDefault="00B46DC3" w:rsidP="00B46DC3">
      <w:pPr>
        <w:rPr>
          <w:b/>
          <w:bCs/>
          <w:iCs/>
          <w:lang w:val="en-US" w:eastAsia="en-US"/>
        </w:rPr>
      </w:pPr>
      <w:r>
        <w:rPr>
          <w:b/>
          <w:bCs/>
          <w:iCs/>
          <w:lang w:val="en-US" w:eastAsia="en-US"/>
        </w:rPr>
        <w:t>Recommendation 18</w:t>
      </w:r>
      <w:r w:rsidRPr="004A1AB0">
        <w:rPr>
          <w:b/>
          <w:bCs/>
          <w:iCs/>
          <w:lang w:val="en-US" w:eastAsia="en-US"/>
        </w:rPr>
        <w:t xml:space="preserve"> – Use of My Health Record for case conferences and complex plans</w:t>
      </w:r>
    </w:p>
    <w:p w14:paraId="7B41C209" w14:textId="77777777" w:rsidR="00B46DC3" w:rsidRDefault="00B46DC3" w:rsidP="00B46DC3">
      <w:pPr>
        <w:pStyle w:val="Bullet-green"/>
        <w:numPr>
          <w:ilvl w:val="0"/>
          <w:numId w:val="0"/>
        </w:numPr>
        <w:rPr>
          <w:lang w:val="en-US" w:eastAsia="en-US"/>
        </w:rPr>
      </w:pPr>
      <w:r>
        <w:rPr>
          <w:lang w:val="en-US" w:eastAsia="en-US"/>
        </w:rPr>
        <w:t>The Committee recommends that:</w:t>
      </w:r>
    </w:p>
    <w:p w14:paraId="24BDD9EB" w14:textId="77777777" w:rsidR="00B46DC3" w:rsidRDefault="00B46DC3" w:rsidP="00B46DC3">
      <w:pPr>
        <w:pStyle w:val="ListParagraph"/>
        <w:numPr>
          <w:ilvl w:val="0"/>
          <w:numId w:val="102"/>
        </w:numPr>
      </w:pPr>
      <w:r>
        <w:t>outcomes of case conferences are uploaded to My Health Record, unless patient consent is withdrawn, and where reasonably achievable, with:</w:t>
      </w:r>
    </w:p>
    <w:p w14:paraId="225DCF95" w14:textId="3B8B10E1" w:rsidR="00B46DC3" w:rsidRDefault="00B46DC3" w:rsidP="00B46DC3">
      <w:pPr>
        <w:pStyle w:val="ListParagraph"/>
        <w:numPr>
          <w:ilvl w:val="0"/>
          <w:numId w:val="103"/>
        </w:numPr>
      </w:pPr>
      <w:r>
        <w:t>for treatment planning case conferences, the specialist organising the conference responsible for the upload; and</w:t>
      </w:r>
    </w:p>
    <w:p w14:paraId="03F15E59" w14:textId="61136147" w:rsidR="00B46DC3" w:rsidRDefault="00B46DC3" w:rsidP="00B46DC3">
      <w:pPr>
        <w:pStyle w:val="ListParagraph"/>
        <w:numPr>
          <w:ilvl w:val="0"/>
          <w:numId w:val="103"/>
        </w:numPr>
      </w:pPr>
      <w:r>
        <w:t>for community and discharge case conferences, the GP participating in the case conference responsible for the upload.</w:t>
      </w:r>
    </w:p>
    <w:p w14:paraId="5DBD404A" w14:textId="77777777" w:rsidR="00B46DC3" w:rsidRDefault="00B46DC3" w:rsidP="00B46DC3">
      <w:pPr>
        <w:pStyle w:val="ListParagraph"/>
        <w:numPr>
          <w:ilvl w:val="0"/>
          <w:numId w:val="102"/>
        </w:numPr>
      </w:pPr>
      <w:r>
        <w:t>geriatric complex plans and paediatric complex plans be uploaded to My Health Record, with the geriatrician or paediatrician responsible for the upload, unless patient consent is withdrawn, and where reasonably achievable.</w:t>
      </w:r>
    </w:p>
    <w:p w14:paraId="40584D6B" w14:textId="77777777" w:rsidR="00940D6E" w:rsidRPr="00940D6E" w:rsidRDefault="00940D6E" w:rsidP="00940D6E">
      <w:pPr>
        <w:rPr>
          <w:b/>
          <w:bCs/>
          <w:iCs/>
          <w:lang w:val="en-US" w:eastAsia="en-US"/>
        </w:rPr>
      </w:pPr>
      <w:r w:rsidRPr="00940D6E">
        <w:rPr>
          <w:b/>
          <w:bCs/>
          <w:iCs/>
          <w:lang w:val="en-US" w:eastAsia="en-US"/>
        </w:rPr>
        <w:t>Recommendation 1</w:t>
      </w:r>
      <w:r w:rsidR="00B46DC3">
        <w:rPr>
          <w:b/>
          <w:bCs/>
          <w:iCs/>
          <w:lang w:val="en-US" w:eastAsia="en-US"/>
        </w:rPr>
        <w:t>9</w:t>
      </w:r>
      <w:r w:rsidRPr="00940D6E">
        <w:rPr>
          <w:b/>
          <w:bCs/>
          <w:iCs/>
          <w:lang w:val="en-US" w:eastAsia="en-US"/>
        </w:rPr>
        <w:t xml:space="preserve"> – Encourage adoption of My Health Record</w:t>
      </w:r>
    </w:p>
    <w:p w14:paraId="169EE95A" w14:textId="77777777" w:rsidR="00940D6E" w:rsidRPr="00940D6E" w:rsidRDefault="00940D6E" w:rsidP="00940D6E">
      <w:pPr>
        <w:rPr>
          <w:bCs/>
          <w:iCs/>
          <w:lang w:val="en-US" w:eastAsia="en-US"/>
        </w:rPr>
      </w:pPr>
      <w:r w:rsidRPr="00940D6E">
        <w:rPr>
          <w:bCs/>
          <w:iCs/>
          <w:lang w:val="en-US" w:eastAsia="en-US"/>
        </w:rPr>
        <w:t>The Committee recommends:</w:t>
      </w:r>
    </w:p>
    <w:p w14:paraId="696ACF40" w14:textId="3F87BCF5" w:rsidR="00940D6E" w:rsidRPr="0007488D" w:rsidRDefault="00940D6E" w:rsidP="00C035DF">
      <w:pPr>
        <w:pStyle w:val="ListParagraph"/>
        <w:numPr>
          <w:ilvl w:val="0"/>
          <w:numId w:val="115"/>
        </w:numPr>
        <w:rPr>
          <w:bCs/>
          <w:iCs/>
          <w:lang w:val="en-US" w:eastAsia="en-US"/>
        </w:rPr>
      </w:pPr>
      <w:r w:rsidRPr="0007488D">
        <w:rPr>
          <w:bCs/>
          <w:iCs/>
          <w:lang w:val="en-US" w:eastAsia="en-US"/>
        </w:rPr>
        <w:t>improving the functionality of My Health Record and educat</w:t>
      </w:r>
      <w:r w:rsidR="00F67DAB">
        <w:rPr>
          <w:bCs/>
          <w:iCs/>
          <w:lang w:val="en-US" w:eastAsia="en-US"/>
        </w:rPr>
        <w:t>ing</w:t>
      </w:r>
      <w:r w:rsidRPr="0007488D">
        <w:rPr>
          <w:bCs/>
          <w:iCs/>
          <w:lang w:val="en-US" w:eastAsia="en-US"/>
        </w:rPr>
        <w:t xml:space="preserve"> consultant special</w:t>
      </w:r>
      <w:r w:rsidR="0055162A">
        <w:rPr>
          <w:bCs/>
          <w:iCs/>
          <w:lang w:val="en-US" w:eastAsia="en-US"/>
        </w:rPr>
        <w:t>ists on the benefits of its use;</w:t>
      </w:r>
    </w:p>
    <w:p w14:paraId="419DB4E0" w14:textId="3CF4EF65" w:rsidR="00940D6E" w:rsidRPr="0007488D" w:rsidRDefault="00940D6E" w:rsidP="00C035DF">
      <w:pPr>
        <w:pStyle w:val="ListParagraph"/>
        <w:numPr>
          <w:ilvl w:val="0"/>
          <w:numId w:val="115"/>
        </w:numPr>
        <w:rPr>
          <w:bCs/>
          <w:iCs/>
          <w:lang w:val="en-US" w:eastAsia="en-US"/>
        </w:rPr>
      </w:pPr>
      <w:r w:rsidRPr="0007488D">
        <w:rPr>
          <w:bCs/>
          <w:iCs/>
          <w:lang w:val="en-US" w:eastAsia="en-US"/>
        </w:rPr>
        <w:t xml:space="preserve">continuing to develop and enhance the functionality and ability to search the data of My Health Record, so that it becomes a value-add tool for </w:t>
      </w:r>
      <w:r w:rsidR="00F67DAB">
        <w:rPr>
          <w:bCs/>
          <w:iCs/>
          <w:lang w:val="en-US" w:eastAsia="en-US"/>
        </w:rPr>
        <w:t xml:space="preserve">consumers and </w:t>
      </w:r>
      <w:r w:rsidRPr="0007488D">
        <w:rPr>
          <w:bCs/>
          <w:iCs/>
          <w:lang w:val="en-US" w:eastAsia="en-US"/>
        </w:rPr>
        <w:t xml:space="preserve">clinicians in day-to-day </w:t>
      </w:r>
      <w:r w:rsidR="0055162A">
        <w:rPr>
          <w:bCs/>
          <w:iCs/>
          <w:lang w:val="en-US" w:eastAsia="en-US"/>
        </w:rPr>
        <w:t>quality patient care;</w:t>
      </w:r>
    </w:p>
    <w:p w14:paraId="5A30BB0F" w14:textId="77777777" w:rsidR="00940D6E" w:rsidRPr="0007488D" w:rsidRDefault="00940D6E" w:rsidP="00C035DF">
      <w:pPr>
        <w:pStyle w:val="ListParagraph"/>
        <w:numPr>
          <w:ilvl w:val="0"/>
          <w:numId w:val="115"/>
        </w:numPr>
        <w:rPr>
          <w:bCs/>
          <w:iCs/>
          <w:lang w:val="en-US" w:eastAsia="en-US"/>
        </w:rPr>
      </w:pPr>
      <w:r w:rsidRPr="0007488D">
        <w:rPr>
          <w:bCs/>
          <w:iCs/>
          <w:lang w:val="en-US" w:eastAsia="en-US"/>
        </w:rPr>
        <w:t xml:space="preserve">broadening training for health care providers to include education about using the My Health Record system clinically, and about its benefits for </w:t>
      </w:r>
      <w:r w:rsidR="0055162A">
        <w:rPr>
          <w:bCs/>
          <w:iCs/>
          <w:lang w:val="en-US" w:eastAsia="en-US"/>
        </w:rPr>
        <w:t>patients and the health system;</w:t>
      </w:r>
    </w:p>
    <w:p w14:paraId="1A850572" w14:textId="77777777" w:rsidR="00940D6E" w:rsidRPr="0007488D" w:rsidRDefault="00940D6E" w:rsidP="006D43A0">
      <w:pPr>
        <w:pStyle w:val="ListParagraph"/>
        <w:numPr>
          <w:ilvl w:val="0"/>
          <w:numId w:val="155"/>
        </w:numPr>
        <w:rPr>
          <w:bCs/>
          <w:iCs/>
          <w:lang w:val="en-US" w:eastAsia="en-US"/>
        </w:rPr>
      </w:pPr>
      <w:r w:rsidRPr="0007488D">
        <w:rPr>
          <w:bCs/>
          <w:iCs/>
          <w:lang w:val="en-US" w:eastAsia="en-US"/>
        </w:rPr>
        <w:t>including the development of appropriate scenarios relevant to the full range of health care providers across di</w:t>
      </w:r>
      <w:r w:rsidR="0055162A">
        <w:rPr>
          <w:bCs/>
          <w:iCs/>
          <w:lang w:val="en-US" w:eastAsia="en-US"/>
        </w:rPr>
        <w:t>sciplines and clinical settings;</w:t>
      </w:r>
      <w:r w:rsidRPr="0007488D">
        <w:rPr>
          <w:bCs/>
          <w:iCs/>
          <w:lang w:val="en-US" w:eastAsia="en-US"/>
        </w:rPr>
        <w:t xml:space="preserve"> and</w:t>
      </w:r>
    </w:p>
    <w:p w14:paraId="7C2E9577" w14:textId="77777777" w:rsidR="00940D6E" w:rsidRPr="0007488D" w:rsidRDefault="00940D6E" w:rsidP="00C035DF">
      <w:pPr>
        <w:pStyle w:val="ListParagraph"/>
        <w:numPr>
          <w:ilvl w:val="0"/>
          <w:numId w:val="115"/>
        </w:numPr>
        <w:rPr>
          <w:bCs/>
          <w:iCs/>
          <w:lang w:val="en-US" w:eastAsia="en-US"/>
        </w:rPr>
      </w:pPr>
      <w:r w:rsidRPr="0007488D">
        <w:rPr>
          <w:bCs/>
          <w:iCs/>
          <w:lang w:val="en-US" w:eastAsia="en-US"/>
        </w:rPr>
        <w:t>working with academic institutions to embed digital health competencies into undergraduate and postgraduate training and CPD programmes.</w:t>
      </w:r>
    </w:p>
    <w:p w14:paraId="2228F922" w14:textId="50D22F22" w:rsidR="00940D6E" w:rsidRPr="00940D6E" w:rsidRDefault="00940D6E" w:rsidP="00940D6E">
      <w:pPr>
        <w:rPr>
          <w:b/>
          <w:bCs/>
          <w:iCs/>
          <w:lang w:val="en-US" w:eastAsia="en-US"/>
        </w:rPr>
      </w:pPr>
      <w:r w:rsidRPr="00940D6E">
        <w:rPr>
          <w:b/>
          <w:bCs/>
          <w:iCs/>
          <w:lang w:val="en-US" w:eastAsia="en-US"/>
        </w:rPr>
        <w:t xml:space="preserve">Recommendation </w:t>
      </w:r>
      <w:r w:rsidR="00B46DC3">
        <w:rPr>
          <w:b/>
          <w:bCs/>
          <w:iCs/>
          <w:lang w:val="en-US" w:eastAsia="en-US"/>
        </w:rPr>
        <w:t>20</w:t>
      </w:r>
      <w:r w:rsidR="006D43A0">
        <w:rPr>
          <w:b/>
          <w:bCs/>
          <w:iCs/>
          <w:lang w:val="en-US" w:eastAsia="en-US"/>
        </w:rPr>
        <w:t xml:space="preserve"> (Not agreed)</w:t>
      </w:r>
      <w:r w:rsidRPr="00940D6E">
        <w:rPr>
          <w:b/>
          <w:bCs/>
          <w:iCs/>
          <w:lang w:val="en-US" w:eastAsia="en-US"/>
        </w:rPr>
        <w:t xml:space="preserve"> – </w:t>
      </w:r>
      <w:r w:rsidR="008C214B">
        <w:rPr>
          <w:b/>
          <w:bCs/>
          <w:iCs/>
          <w:lang w:val="en-US" w:eastAsia="en-US"/>
        </w:rPr>
        <w:t>Extend</w:t>
      </w:r>
      <w:r w:rsidR="005C5EA3" w:rsidRPr="00940D6E">
        <w:rPr>
          <w:b/>
          <w:bCs/>
          <w:iCs/>
          <w:lang w:val="en-US" w:eastAsia="en-US"/>
        </w:rPr>
        <w:t xml:space="preserve"> </w:t>
      </w:r>
      <w:r w:rsidRPr="00940D6E">
        <w:rPr>
          <w:b/>
          <w:bCs/>
          <w:iCs/>
          <w:lang w:val="en-US" w:eastAsia="en-US"/>
        </w:rPr>
        <w:t>the specialist to specialist referral validity period</w:t>
      </w:r>
    </w:p>
    <w:p w14:paraId="18EA4D6B" w14:textId="1BE5476B" w:rsidR="005C5EA3" w:rsidRDefault="005C5EA3" w:rsidP="005C5EA3">
      <w:pPr>
        <w:rPr>
          <w:bCs/>
          <w:iCs/>
          <w:lang w:val="en-US" w:eastAsia="en-US"/>
        </w:rPr>
      </w:pPr>
      <w:r w:rsidRPr="00940D6E">
        <w:rPr>
          <w:bCs/>
          <w:iCs/>
          <w:lang w:val="en-US" w:eastAsia="en-US"/>
        </w:rPr>
        <w:t xml:space="preserve">The </w:t>
      </w:r>
      <w:r w:rsidR="008C214B">
        <w:rPr>
          <w:bCs/>
          <w:iCs/>
          <w:lang w:val="en-US" w:eastAsia="en-US"/>
        </w:rPr>
        <w:t xml:space="preserve">Taskforce did not </w:t>
      </w:r>
      <w:r w:rsidR="006D43A0">
        <w:rPr>
          <w:bCs/>
          <w:iCs/>
          <w:lang w:val="en-US" w:eastAsia="en-US"/>
        </w:rPr>
        <w:t>agree to the</w:t>
      </w:r>
      <w:r w:rsidR="008C214B">
        <w:rPr>
          <w:bCs/>
          <w:iCs/>
          <w:lang w:val="en-US" w:eastAsia="en-US"/>
        </w:rPr>
        <w:t xml:space="preserve"> </w:t>
      </w:r>
      <w:r w:rsidRPr="00940D6E">
        <w:rPr>
          <w:bCs/>
          <w:iCs/>
          <w:lang w:val="en-US" w:eastAsia="en-US"/>
        </w:rPr>
        <w:t>Committee</w:t>
      </w:r>
      <w:r w:rsidR="008C214B">
        <w:rPr>
          <w:bCs/>
          <w:iCs/>
          <w:lang w:val="en-US" w:eastAsia="en-US"/>
        </w:rPr>
        <w:t>’s</w:t>
      </w:r>
      <w:r w:rsidRPr="00940D6E">
        <w:rPr>
          <w:bCs/>
          <w:iCs/>
          <w:lang w:val="en-US" w:eastAsia="en-US"/>
        </w:rPr>
        <w:t xml:space="preserve"> recommend</w:t>
      </w:r>
      <w:r w:rsidR="008C214B">
        <w:rPr>
          <w:bCs/>
          <w:iCs/>
          <w:lang w:val="en-US" w:eastAsia="en-US"/>
        </w:rPr>
        <w:t xml:space="preserve">ation to extend </w:t>
      </w:r>
      <w:r w:rsidRPr="00940D6E">
        <w:rPr>
          <w:bCs/>
          <w:iCs/>
          <w:lang w:val="en-US" w:eastAsia="en-US"/>
        </w:rPr>
        <w:t>the specialist</w:t>
      </w:r>
      <w:r w:rsidR="008C214B">
        <w:rPr>
          <w:bCs/>
          <w:iCs/>
          <w:lang w:val="en-US" w:eastAsia="en-US"/>
        </w:rPr>
        <w:t xml:space="preserve"> </w:t>
      </w:r>
      <w:r w:rsidRPr="00940D6E">
        <w:rPr>
          <w:bCs/>
          <w:iCs/>
          <w:lang w:val="en-US" w:eastAsia="en-US"/>
        </w:rPr>
        <w:t>to</w:t>
      </w:r>
      <w:r w:rsidR="008C214B">
        <w:rPr>
          <w:bCs/>
          <w:iCs/>
          <w:lang w:val="en-US" w:eastAsia="en-US"/>
        </w:rPr>
        <w:t xml:space="preserve"> </w:t>
      </w:r>
      <w:r w:rsidRPr="00940D6E">
        <w:rPr>
          <w:bCs/>
          <w:iCs/>
          <w:lang w:val="en-US" w:eastAsia="en-US"/>
        </w:rPr>
        <w:t xml:space="preserve">specialist referral validity </w:t>
      </w:r>
      <w:r w:rsidR="008C214B">
        <w:rPr>
          <w:bCs/>
          <w:iCs/>
          <w:lang w:val="en-US" w:eastAsia="en-US"/>
        </w:rPr>
        <w:t>period from three months to six months. The Taskforce recommends maintaining the current arrangements to enable regular GP oversight of patient care by consultant specialists.</w:t>
      </w:r>
    </w:p>
    <w:p w14:paraId="37FF74F6" w14:textId="501E0119" w:rsidR="00940D6E" w:rsidRPr="00940D6E" w:rsidRDefault="00940D6E" w:rsidP="00940D6E">
      <w:pPr>
        <w:rPr>
          <w:b/>
          <w:bCs/>
          <w:iCs/>
          <w:lang w:val="en-US" w:eastAsia="en-US"/>
        </w:rPr>
      </w:pPr>
      <w:r w:rsidRPr="00940D6E">
        <w:rPr>
          <w:b/>
          <w:bCs/>
          <w:iCs/>
          <w:lang w:val="en-US" w:eastAsia="en-US"/>
        </w:rPr>
        <w:t xml:space="preserve">Recommendation </w:t>
      </w:r>
      <w:r w:rsidR="00B46DC3">
        <w:rPr>
          <w:b/>
          <w:bCs/>
          <w:iCs/>
          <w:lang w:val="en-US" w:eastAsia="en-US"/>
        </w:rPr>
        <w:t>21</w:t>
      </w:r>
      <w:r w:rsidRPr="00940D6E">
        <w:rPr>
          <w:b/>
          <w:bCs/>
          <w:iCs/>
          <w:lang w:val="en-US" w:eastAsia="en-US"/>
        </w:rPr>
        <w:t xml:space="preserve"> – Introducing a new AHP pathway</w:t>
      </w:r>
    </w:p>
    <w:p w14:paraId="5E36C1E1" w14:textId="36720C12" w:rsidR="00940D6E" w:rsidRPr="00940D6E" w:rsidRDefault="00940D6E" w:rsidP="00940D6E">
      <w:pPr>
        <w:rPr>
          <w:bCs/>
          <w:iCs/>
          <w:lang w:val="en-US" w:eastAsia="en-US"/>
        </w:rPr>
      </w:pPr>
      <w:r w:rsidRPr="00940D6E">
        <w:rPr>
          <w:bCs/>
          <w:iCs/>
          <w:lang w:val="en-US" w:eastAsia="en-US"/>
        </w:rPr>
        <w:t>The Committee recommends the consideration introducing an AHP pathway for consultant specialists under certain circumstances, but only after a full review of the evidence and the associated costs and benefits of any suggested pathway.</w:t>
      </w:r>
      <w:r w:rsidR="007A1A52">
        <w:rPr>
          <w:bCs/>
          <w:iCs/>
          <w:lang w:val="en-US" w:eastAsia="en-US"/>
        </w:rPr>
        <w:t xml:space="preserve"> </w:t>
      </w:r>
    </w:p>
    <w:p w14:paraId="75B8BDA3" w14:textId="77777777" w:rsidR="00940D6E" w:rsidRPr="00940D6E" w:rsidRDefault="00940D6E" w:rsidP="00940D6E">
      <w:pPr>
        <w:rPr>
          <w:lang w:val="en-GB" w:eastAsia="en-US"/>
        </w:rPr>
      </w:pPr>
    </w:p>
    <w:p w14:paraId="4B4FFB71" w14:textId="77777777" w:rsidR="00940D6E" w:rsidRDefault="00940D6E" w:rsidP="006620C7">
      <w:pPr>
        <w:pStyle w:val="AppendixStyle1"/>
        <w:spacing w:before="360"/>
        <w:rPr>
          <w:lang w:val="en-GB"/>
        </w:rPr>
        <w:sectPr w:rsidR="00940D6E" w:rsidSect="00DF09CD">
          <w:endnotePr>
            <w:numFmt w:val="decimal"/>
          </w:endnotePr>
          <w:pgSz w:w="11906" w:h="16838" w:code="9"/>
          <w:pgMar w:top="1440" w:right="1797" w:bottom="1440" w:left="1797" w:header="720" w:footer="720" w:gutter="0"/>
          <w:cols w:space="720"/>
          <w:docGrid w:linePitch="326"/>
        </w:sectPr>
      </w:pPr>
    </w:p>
    <w:p w14:paraId="566E072D" w14:textId="76F122B0" w:rsidR="000B2CCD" w:rsidRPr="00C33C0B" w:rsidRDefault="00E830BB" w:rsidP="006620C7">
      <w:pPr>
        <w:pStyle w:val="AppendixStyle1"/>
        <w:spacing w:before="360"/>
        <w:rPr>
          <w:lang w:val="en-GB"/>
        </w:rPr>
      </w:pPr>
      <w:bookmarkStart w:id="275" w:name="_Toc67952281"/>
      <w:r>
        <w:rPr>
          <w:lang w:val="en-GB"/>
        </w:rPr>
        <w:t>Working group m</w:t>
      </w:r>
      <w:r w:rsidR="000B2CCD" w:rsidRPr="00C33C0B">
        <w:rPr>
          <w:lang w:val="en-GB"/>
        </w:rPr>
        <w:t>embership</w:t>
      </w:r>
      <w:bookmarkEnd w:id="275"/>
      <w:r w:rsidR="000B2CCD" w:rsidRPr="00C33C0B">
        <w:rPr>
          <w:lang w:val="en-GB"/>
        </w:rPr>
        <w:t xml:space="preserve"> </w:t>
      </w:r>
      <w:bookmarkEnd w:id="273"/>
    </w:p>
    <w:p w14:paraId="0DA88F8A" w14:textId="77777777" w:rsidR="008A5CDC" w:rsidRPr="00C33C0B" w:rsidRDefault="008A5CDC" w:rsidP="008A5CDC">
      <w:pPr>
        <w:pStyle w:val="Heading2"/>
        <w:numPr>
          <w:ilvl w:val="0"/>
          <w:numId w:val="0"/>
        </w:numPr>
        <w:rPr>
          <w:lang w:val="en-GB"/>
        </w:rPr>
      </w:pPr>
      <w:bookmarkStart w:id="276" w:name="_Toc521442223"/>
      <w:bookmarkStart w:id="277" w:name="_Toc67952283"/>
      <w:bookmarkStart w:id="278" w:name="_Toc521442222"/>
      <w:bookmarkStart w:id="279" w:name="_Toc67952282"/>
      <w:r>
        <w:rPr>
          <w:lang w:val="en-GB"/>
        </w:rPr>
        <w:t>Table C.</w:t>
      </w:r>
      <w:r w:rsidRPr="00C33C0B">
        <w:rPr>
          <w:lang w:val="en-GB"/>
        </w:rPr>
        <w:t>1: Time</w:t>
      </w:r>
      <w:r>
        <w:rPr>
          <w:lang w:val="en-GB"/>
        </w:rPr>
        <w:t>-</w:t>
      </w:r>
      <w:r w:rsidRPr="00C33C0B">
        <w:rPr>
          <w:lang w:val="en-GB"/>
        </w:rPr>
        <w:t>tier</w:t>
      </w:r>
      <w:r>
        <w:rPr>
          <w:lang w:val="en-GB"/>
        </w:rPr>
        <w:t>ed attendances</w:t>
      </w:r>
      <w:bookmarkEnd w:id="278"/>
      <w:bookmarkEnd w:id="279"/>
    </w:p>
    <w:tbl>
      <w:tblPr>
        <w:tblStyle w:val="GridTable4-Accent3"/>
        <w:tblW w:w="0" w:type="auto"/>
        <w:tblLook w:val="04A0" w:firstRow="1" w:lastRow="0" w:firstColumn="1" w:lastColumn="0" w:noHBand="0" w:noVBand="1"/>
        <w:tblDescription w:val="Appendix C - Time Tiered Attendances Working Group Membership Table C.1 has 3 columns. Column 1 is the working group member. Column 2 is the member's position and/or organisation. Column 3 lists the member's declared conflicts of interests. "/>
      </w:tblPr>
      <w:tblGrid>
        <w:gridCol w:w="1838"/>
        <w:gridCol w:w="5387"/>
        <w:gridCol w:w="2025"/>
      </w:tblGrid>
      <w:tr w:rsidR="008A5CDC" w:rsidRPr="00C33C0B" w14:paraId="75792169" w14:textId="77777777" w:rsidTr="000236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6974E3E" w14:textId="77777777" w:rsidR="008A5CDC" w:rsidRPr="00C33C0B" w:rsidRDefault="008A5CDC" w:rsidP="00023621">
            <w:pPr>
              <w:pStyle w:val="Tableheading"/>
            </w:pPr>
            <w:r w:rsidRPr="00C33C0B">
              <w:t>Member</w:t>
            </w:r>
          </w:p>
        </w:tc>
        <w:tc>
          <w:tcPr>
            <w:tcW w:w="5387" w:type="dxa"/>
            <w:vAlign w:val="center"/>
          </w:tcPr>
          <w:p w14:paraId="45A16156" w14:textId="77777777" w:rsidR="008A5CDC" w:rsidRPr="00C33C0B" w:rsidRDefault="008A5CDC" w:rsidP="00023621">
            <w:pPr>
              <w:pStyle w:val="Tableheading"/>
              <w:cnfStyle w:val="100000000000" w:firstRow="1" w:lastRow="0" w:firstColumn="0" w:lastColumn="0" w:oddVBand="0" w:evenVBand="0" w:oddHBand="0" w:evenHBand="0" w:firstRowFirstColumn="0" w:firstRowLastColumn="0" w:lastRowFirstColumn="0" w:lastRowLastColumn="0"/>
            </w:pPr>
            <w:r>
              <w:t>Position/organisation</w:t>
            </w:r>
          </w:p>
        </w:tc>
        <w:tc>
          <w:tcPr>
            <w:tcW w:w="2025" w:type="dxa"/>
            <w:vAlign w:val="center"/>
          </w:tcPr>
          <w:p w14:paraId="5B1FFEA7" w14:textId="77777777" w:rsidR="008A5CDC" w:rsidRPr="00C33C0B" w:rsidRDefault="008A5CDC" w:rsidP="00023621">
            <w:pPr>
              <w:pStyle w:val="Tableheading"/>
              <w:cnfStyle w:val="100000000000" w:firstRow="1" w:lastRow="0" w:firstColumn="0" w:lastColumn="0" w:oddVBand="0" w:evenVBand="0" w:oddHBand="0" w:evenHBand="0" w:firstRowFirstColumn="0" w:firstRowLastColumn="0" w:lastRowFirstColumn="0" w:lastRowLastColumn="0"/>
            </w:pPr>
            <w:r w:rsidRPr="00C33C0B">
              <w:t>Declared</w:t>
            </w:r>
            <w:r>
              <w:t xml:space="preserve"> conflicts of</w:t>
            </w:r>
            <w:r w:rsidRPr="00C33C0B">
              <w:t xml:space="preserve"> interest</w:t>
            </w:r>
          </w:p>
        </w:tc>
      </w:tr>
      <w:tr w:rsidR="008A5CDC" w:rsidRPr="00C33C0B" w14:paraId="21CEABAC" w14:textId="77777777" w:rsidTr="00023621">
        <w:tc>
          <w:tcPr>
            <w:cnfStyle w:val="001000000000" w:firstRow="0" w:lastRow="0" w:firstColumn="1" w:lastColumn="0" w:oddVBand="0" w:evenVBand="0" w:oddHBand="0" w:evenHBand="0" w:firstRowFirstColumn="0" w:firstRowLastColumn="0" w:lastRowFirstColumn="0" w:lastRowLastColumn="0"/>
            <w:tcW w:w="1838" w:type="dxa"/>
          </w:tcPr>
          <w:p w14:paraId="4303A3B1" w14:textId="77777777" w:rsidR="008A5CDC" w:rsidRPr="00C33C0B" w:rsidRDefault="008A5CDC" w:rsidP="00023621">
            <w:pPr>
              <w:pStyle w:val="Tabletext"/>
              <w:rPr>
                <w:lang w:val="en-GB"/>
              </w:rPr>
            </w:pPr>
            <w:r w:rsidRPr="00C33C0B">
              <w:rPr>
                <w:lang w:val="en-GB"/>
              </w:rPr>
              <w:t>Dr Robert Carroll</w:t>
            </w:r>
          </w:p>
        </w:tc>
        <w:tc>
          <w:tcPr>
            <w:tcW w:w="5387" w:type="dxa"/>
          </w:tcPr>
          <w:p w14:paraId="7DABA287" w14:textId="77777777" w:rsidR="008A5CDC" w:rsidRPr="00C33C0B" w:rsidRDefault="008A5CDC" w:rsidP="00023621">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Nephrologist, University of Adelaide</w:t>
            </w:r>
          </w:p>
        </w:tc>
        <w:tc>
          <w:tcPr>
            <w:tcW w:w="2025" w:type="dxa"/>
          </w:tcPr>
          <w:p w14:paraId="3C86FE18" w14:textId="77777777" w:rsidR="008A5CDC" w:rsidRPr="00C33C0B" w:rsidRDefault="008A5CDC" w:rsidP="00023621">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r w:rsidR="008A5CDC" w:rsidRPr="00C33C0B" w14:paraId="14C2E17D" w14:textId="77777777" w:rsidTr="00023621">
        <w:tc>
          <w:tcPr>
            <w:cnfStyle w:val="001000000000" w:firstRow="0" w:lastRow="0" w:firstColumn="1" w:lastColumn="0" w:oddVBand="0" w:evenVBand="0" w:oddHBand="0" w:evenHBand="0" w:firstRowFirstColumn="0" w:firstRowLastColumn="0" w:lastRowFirstColumn="0" w:lastRowLastColumn="0"/>
            <w:tcW w:w="1838" w:type="dxa"/>
          </w:tcPr>
          <w:p w14:paraId="109CADDE" w14:textId="77777777" w:rsidR="008A5CDC" w:rsidRPr="00C33C0B" w:rsidRDefault="008A5CDC" w:rsidP="00023621">
            <w:pPr>
              <w:pStyle w:val="Tabletext"/>
              <w:rPr>
                <w:lang w:val="en-GB"/>
              </w:rPr>
            </w:pPr>
            <w:r w:rsidRPr="00C33C0B">
              <w:rPr>
                <w:lang w:val="en-GB"/>
              </w:rPr>
              <w:t>Dr Eleanor Chew (Ex-Officio)</w:t>
            </w:r>
          </w:p>
        </w:tc>
        <w:tc>
          <w:tcPr>
            <w:tcW w:w="5387" w:type="dxa"/>
          </w:tcPr>
          <w:p w14:paraId="65C6E2F5" w14:textId="77777777" w:rsidR="008A5CDC" w:rsidRPr="00C33C0B" w:rsidRDefault="008A5CDC" w:rsidP="00023621">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GP </w:t>
            </w:r>
            <w:r>
              <w:rPr>
                <w:lang w:val="en-GB"/>
              </w:rPr>
              <w:t>practising</w:t>
            </w:r>
            <w:r w:rsidRPr="00C33C0B">
              <w:rPr>
                <w:lang w:val="en-GB"/>
              </w:rPr>
              <w:t xml:space="preserve"> in Brisbane</w:t>
            </w:r>
            <w:r>
              <w:rPr>
                <w:lang w:val="en-GB"/>
              </w:rPr>
              <w:t xml:space="preserve">; </w:t>
            </w:r>
            <w:r w:rsidRPr="00C33C0B">
              <w:rPr>
                <w:lang w:val="en-GB"/>
              </w:rPr>
              <w:t xml:space="preserve">Member of the MBS </w:t>
            </w:r>
            <w:r>
              <w:rPr>
                <w:lang w:val="en-GB"/>
              </w:rPr>
              <w:t>R</w:t>
            </w:r>
            <w:r w:rsidRPr="00C33C0B">
              <w:rPr>
                <w:lang w:val="en-GB"/>
              </w:rPr>
              <w:t>eview Principles and Rules</w:t>
            </w:r>
            <w:r>
              <w:rPr>
                <w:lang w:val="en-GB"/>
              </w:rPr>
              <w:t xml:space="preserve"> Committee</w:t>
            </w:r>
            <w:r w:rsidRPr="00C33C0B">
              <w:rPr>
                <w:lang w:val="en-GB"/>
              </w:rPr>
              <w:t xml:space="preserve"> (PARC) and </w:t>
            </w:r>
            <w:r>
              <w:rPr>
                <w:lang w:val="en-GB"/>
              </w:rPr>
              <w:t>the</w:t>
            </w:r>
            <w:r w:rsidRPr="00C33C0B">
              <w:rPr>
                <w:lang w:val="en-GB"/>
              </w:rPr>
              <w:t xml:space="preserve"> GP and Primary Care Clinical Committee</w:t>
            </w:r>
          </w:p>
        </w:tc>
        <w:tc>
          <w:tcPr>
            <w:tcW w:w="2025" w:type="dxa"/>
          </w:tcPr>
          <w:p w14:paraId="19FDAB85" w14:textId="77777777" w:rsidR="008A5CDC" w:rsidRPr="00C33C0B" w:rsidRDefault="008A5CDC" w:rsidP="00023621">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MBS </w:t>
            </w:r>
            <w:r>
              <w:rPr>
                <w:lang w:val="en-GB"/>
              </w:rPr>
              <w:t>T</w:t>
            </w:r>
            <w:r w:rsidRPr="00C33C0B">
              <w:rPr>
                <w:lang w:val="en-GB"/>
              </w:rPr>
              <w:t>askforce</w:t>
            </w:r>
            <w:r>
              <w:rPr>
                <w:lang w:val="en-GB"/>
              </w:rPr>
              <w:t xml:space="preserve">; </w:t>
            </w:r>
            <w:r w:rsidRPr="00C33C0B">
              <w:rPr>
                <w:lang w:val="en-GB"/>
              </w:rPr>
              <w:t xml:space="preserve">Board </w:t>
            </w:r>
            <w:r>
              <w:rPr>
                <w:lang w:val="en-GB"/>
              </w:rPr>
              <w:t>M</w:t>
            </w:r>
            <w:r w:rsidRPr="00C33C0B">
              <w:rPr>
                <w:lang w:val="en-GB"/>
              </w:rPr>
              <w:t>ember of</w:t>
            </w:r>
            <w:r>
              <w:rPr>
                <w:lang w:val="en-GB"/>
              </w:rPr>
              <w:t xml:space="preserve"> the</w:t>
            </w:r>
            <w:r w:rsidRPr="00C33C0B">
              <w:rPr>
                <w:lang w:val="en-GB"/>
              </w:rPr>
              <w:t xml:space="preserve"> Australian Digital Health Agency</w:t>
            </w:r>
          </w:p>
          <w:p w14:paraId="33A9D0FA" w14:textId="77777777" w:rsidR="008A5CDC" w:rsidRPr="00C33C0B" w:rsidRDefault="008A5CDC" w:rsidP="00023621">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Member of Professional Services Review Panel</w:t>
            </w:r>
            <w:r>
              <w:rPr>
                <w:lang w:val="en-GB"/>
              </w:rPr>
              <w:t>;</w:t>
            </w:r>
            <w:r w:rsidRPr="00C33C0B">
              <w:rPr>
                <w:lang w:val="en-GB"/>
              </w:rPr>
              <w:t xml:space="preserve"> Member of</w:t>
            </w:r>
            <w:r>
              <w:rPr>
                <w:lang w:val="en-GB"/>
              </w:rPr>
              <w:t xml:space="preserve"> the</w:t>
            </w:r>
            <w:r w:rsidRPr="00C33C0B">
              <w:rPr>
                <w:lang w:val="en-GB"/>
              </w:rPr>
              <w:t xml:space="preserve"> Australian Health Practitioner Regulation Agency (A</w:t>
            </w:r>
            <w:r>
              <w:rPr>
                <w:lang w:val="en-GB"/>
              </w:rPr>
              <w:t>H</w:t>
            </w:r>
            <w:r w:rsidRPr="00C33C0B">
              <w:rPr>
                <w:lang w:val="en-GB"/>
              </w:rPr>
              <w:t>PRA) panel</w:t>
            </w:r>
          </w:p>
        </w:tc>
      </w:tr>
      <w:tr w:rsidR="008A5CDC" w:rsidRPr="00C33C0B" w14:paraId="065AF8BC" w14:textId="77777777" w:rsidTr="00023621">
        <w:tc>
          <w:tcPr>
            <w:cnfStyle w:val="001000000000" w:firstRow="0" w:lastRow="0" w:firstColumn="1" w:lastColumn="0" w:oddVBand="0" w:evenVBand="0" w:oddHBand="0" w:evenHBand="0" w:firstRowFirstColumn="0" w:firstRowLastColumn="0" w:lastRowFirstColumn="0" w:lastRowLastColumn="0"/>
            <w:tcW w:w="1838" w:type="dxa"/>
          </w:tcPr>
          <w:p w14:paraId="135123A6" w14:textId="77777777" w:rsidR="008A5CDC" w:rsidRPr="00C33C0B" w:rsidRDefault="008A5CDC" w:rsidP="00023621">
            <w:pPr>
              <w:pStyle w:val="Tabletext"/>
              <w:rPr>
                <w:lang w:val="en-GB"/>
              </w:rPr>
            </w:pPr>
            <w:r w:rsidRPr="00C33C0B">
              <w:rPr>
                <w:lang w:val="en-GB"/>
              </w:rPr>
              <w:t>Ms Debra Kay</w:t>
            </w:r>
          </w:p>
        </w:tc>
        <w:tc>
          <w:tcPr>
            <w:tcW w:w="5387" w:type="dxa"/>
          </w:tcPr>
          <w:p w14:paraId="2AD1435D" w14:textId="77777777" w:rsidR="008A5CDC" w:rsidRPr="00C33C0B" w:rsidRDefault="008A5CDC" w:rsidP="00023621">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Consumer Representative</w:t>
            </w:r>
          </w:p>
        </w:tc>
        <w:tc>
          <w:tcPr>
            <w:tcW w:w="2025" w:type="dxa"/>
          </w:tcPr>
          <w:p w14:paraId="39121922" w14:textId="77777777" w:rsidR="008A5CDC" w:rsidRPr="00531ECF" w:rsidRDefault="008A5CDC" w:rsidP="00023621">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Member of</w:t>
            </w:r>
            <w:r>
              <w:rPr>
                <w:lang w:val="en-GB"/>
              </w:rPr>
              <w:t xml:space="preserve"> the </w:t>
            </w:r>
            <w:r w:rsidRPr="00B774E9">
              <w:rPr>
                <w:lang w:val="en-GB"/>
              </w:rPr>
              <w:t>Consumer Issues Panel</w:t>
            </w:r>
            <w:r>
              <w:rPr>
                <w:lang w:val="en-GB"/>
              </w:rPr>
              <w:t xml:space="preserve"> and the </w:t>
            </w:r>
            <w:r w:rsidRPr="00B774E9">
              <w:rPr>
                <w:lang w:val="en-GB"/>
              </w:rPr>
              <w:t>Principles and Rules Committee</w:t>
            </w:r>
          </w:p>
        </w:tc>
      </w:tr>
      <w:tr w:rsidR="008A5CDC" w:rsidRPr="00C33C0B" w14:paraId="07E7867D" w14:textId="77777777" w:rsidTr="00023621">
        <w:tc>
          <w:tcPr>
            <w:cnfStyle w:val="001000000000" w:firstRow="0" w:lastRow="0" w:firstColumn="1" w:lastColumn="0" w:oddVBand="0" w:evenVBand="0" w:oddHBand="0" w:evenHBand="0" w:firstRowFirstColumn="0" w:firstRowLastColumn="0" w:lastRowFirstColumn="0" w:lastRowLastColumn="0"/>
            <w:tcW w:w="1838" w:type="dxa"/>
          </w:tcPr>
          <w:p w14:paraId="6B04ED6E" w14:textId="77777777" w:rsidR="008A5CDC" w:rsidRPr="00C33C0B" w:rsidRDefault="008A5CDC" w:rsidP="00023621">
            <w:pPr>
              <w:pStyle w:val="Tabletext"/>
              <w:rPr>
                <w:lang w:val="en-GB"/>
              </w:rPr>
            </w:pPr>
            <w:r w:rsidRPr="00C33C0B">
              <w:rPr>
                <w:lang w:val="en-GB"/>
              </w:rPr>
              <w:t>Dr Julie Thompson</w:t>
            </w:r>
          </w:p>
        </w:tc>
        <w:tc>
          <w:tcPr>
            <w:tcW w:w="5387" w:type="dxa"/>
          </w:tcPr>
          <w:p w14:paraId="37158A73" w14:textId="77777777" w:rsidR="008A5CDC" w:rsidRPr="00C33C0B" w:rsidRDefault="008A5CDC" w:rsidP="00023621">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General Practitioner</w:t>
            </w:r>
          </w:p>
        </w:tc>
        <w:tc>
          <w:tcPr>
            <w:tcW w:w="2025" w:type="dxa"/>
          </w:tcPr>
          <w:p w14:paraId="506D306C" w14:textId="77777777" w:rsidR="008A5CDC" w:rsidRPr="00C33C0B" w:rsidRDefault="008A5CDC" w:rsidP="00023621">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r w:rsidR="008A5CDC" w:rsidRPr="00C33C0B" w14:paraId="4C5B6342" w14:textId="77777777" w:rsidTr="00023621">
        <w:tc>
          <w:tcPr>
            <w:cnfStyle w:val="001000000000" w:firstRow="0" w:lastRow="0" w:firstColumn="1" w:lastColumn="0" w:oddVBand="0" w:evenVBand="0" w:oddHBand="0" w:evenHBand="0" w:firstRowFirstColumn="0" w:firstRowLastColumn="0" w:lastRowFirstColumn="0" w:lastRowLastColumn="0"/>
            <w:tcW w:w="1838" w:type="dxa"/>
          </w:tcPr>
          <w:p w14:paraId="581F286C" w14:textId="77777777" w:rsidR="008A5CDC" w:rsidRPr="00C33C0B" w:rsidRDefault="008A5CDC" w:rsidP="00023621">
            <w:pPr>
              <w:pStyle w:val="Tabletext"/>
              <w:rPr>
                <w:lang w:val="en-GB"/>
              </w:rPr>
            </w:pPr>
            <w:r w:rsidRPr="00C33C0B">
              <w:rPr>
                <w:lang w:val="en-GB"/>
              </w:rPr>
              <w:t xml:space="preserve">Dr </w:t>
            </w:r>
            <w:r>
              <w:rPr>
                <w:lang w:val="en-GB"/>
              </w:rPr>
              <w:t>Philip Truskett AM (</w:t>
            </w:r>
            <w:r w:rsidRPr="00C33C0B">
              <w:rPr>
                <w:lang w:val="en-GB"/>
              </w:rPr>
              <w:t>Co-</w:t>
            </w:r>
            <w:r>
              <w:rPr>
                <w:lang w:val="en-GB"/>
              </w:rPr>
              <w:t>C</w:t>
            </w:r>
            <w:r w:rsidRPr="00C33C0B">
              <w:rPr>
                <w:lang w:val="en-GB"/>
              </w:rPr>
              <w:t>hair)</w:t>
            </w:r>
          </w:p>
        </w:tc>
        <w:tc>
          <w:tcPr>
            <w:tcW w:w="5387" w:type="dxa"/>
          </w:tcPr>
          <w:p w14:paraId="3E5EAE39" w14:textId="77777777" w:rsidR="008A5CDC" w:rsidRPr="00C33C0B" w:rsidRDefault="008A5CDC" w:rsidP="00023621">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General </w:t>
            </w:r>
            <w:r>
              <w:rPr>
                <w:lang w:val="en-GB"/>
              </w:rPr>
              <w:t>S</w:t>
            </w:r>
            <w:r w:rsidRPr="00C33C0B">
              <w:rPr>
                <w:lang w:val="en-GB"/>
              </w:rPr>
              <w:t>urgeon at Prince of Wales Hospital</w:t>
            </w:r>
            <w:r>
              <w:rPr>
                <w:lang w:val="en-GB"/>
              </w:rPr>
              <w:t>,</w:t>
            </w:r>
            <w:r w:rsidRPr="00C33C0B">
              <w:rPr>
                <w:lang w:val="en-GB"/>
              </w:rPr>
              <w:t xml:space="preserve"> Sydney</w:t>
            </w:r>
          </w:p>
        </w:tc>
        <w:tc>
          <w:tcPr>
            <w:tcW w:w="2025" w:type="dxa"/>
          </w:tcPr>
          <w:p w14:paraId="514E8544" w14:textId="77777777" w:rsidR="008A5CDC" w:rsidRPr="00C33C0B" w:rsidRDefault="008A5CDC" w:rsidP="00023621">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bl>
    <w:p w14:paraId="10891B46" w14:textId="3FA73599" w:rsidR="000B2CCD" w:rsidRPr="00C33C0B" w:rsidRDefault="002355E9" w:rsidP="001671D2">
      <w:pPr>
        <w:pStyle w:val="Heading2"/>
        <w:numPr>
          <w:ilvl w:val="0"/>
          <w:numId w:val="0"/>
        </w:numPr>
        <w:rPr>
          <w:lang w:val="en-GB"/>
        </w:rPr>
      </w:pPr>
      <w:r>
        <w:rPr>
          <w:lang w:val="en-GB"/>
        </w:rPr>
        <w:t xml:space="preserve">Table </w:t>
      </w:r>
      <w:r w:rsidR="00C17B92">
        <w:rPr>
          <w:lang w:val="en-GB"/>
        </w:rPr>
        <w:t>C</w:t>
      </w:r>
      <w:r>
        <w:rPr>
          <w:lang w:val="en-GB"/>
        </w:rPr>
        <w:t>.</w:t>
      </w:r>
      <w:r w:rsidR="000B2CCD" w:rsidRPr="00C33C0B">
        <w:rPr>
          <w:lang w:val="en-GB"/>
        </w:rPr>
        <w:t xml:space="preserve">2: </w:t>
      </w:r>
      <w:r w:rsidR="005D1009">
        <w:rPr>
          <w:lang w:val="en-GB"/>
        </w:rPr>
        <w:t>T</w:t>
      </w:r>
      <w:r w:rsidR="000B2CCD" w:rsidRPr="00C33C0B">
        <w:rPr>
          <w:lang w:val="en-GB"/>
        </w:rPr>
        <w:t>elehealth</w:t>
      </w:r>
      <w:bookmarkEnd w:id="276"/>
      <w:bookmarkEnd w:id="277"/>
      <w:r w:rsidR="000B2CCD" w:rsidRPr="00C33C0B">
        <w:rPr>
          <w:lang w:val="en-GB"/>
        </w:rPr>
        <w:t xml:space="preserve"> </w:t>
      </w:r>
    </w:p>
    <w:tbl>
      <w:tblPr>
        <w:tblStyle w:val="GridTable4-Accent3"/>
        <w:tblW w:w="0" w:type="auto"/>
        <w:tblLook w:val="04A0" w:firstRow="1" w:lastRow="0" w:firstColumn="1" w:lastColumn="0" w:noHBand="0" w:noVBand="1"/>
        <w:tblDescription w:val="Appendix C - Telehealth Working Group Membership. Table C.2 has 3 columns. Column 1 is the working group member. Column 2 is the member's position and/or organisation. Column 3 lists the member's declared conflicts of interests. "/>
      </w:tblPr>
      <w:tblGrid>
        <w:gridCol w:w="1980"/>
        <w:gridCol w:w="5245"/>
        <w:gridCol w:w="2025"/>
      </w:tblGrid>
      <w:tr w:rsidR="008A5CDC" w:rsidRPr="000C5F9D" w14:paraId="5C4304E6"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6E80F56" w14:textId="77777777" w:rsidR="000B2CCD" w:rsidRPr="000C5F9D" w:rsidRDefault="000B2CCD" w:rsidP="000C5F9D">
            <w:pPr>
              <w:pStyle w:val="Tableheading"/>
            </w:pPr>
            <w:r w:rsidRPr="000C5F9D">
              <w:t>Member</w:t>
            </w:r>
          </w:p>
        </w:tc>
        <w:tc>
          <w:tcPr>
            <w:tcW w:w="5245" w:type="dxa"/>
            <w:vAlign w:val="center"/>
          </w:tcPr>
          <w:p w14:paraId="3FA15E50" w14:textId="77777777" w:rsidR="000B2CCD" w:rsidRPr="000C5F9D" w:rsidRDefault="00E17D3E" w:rsidP="000C5F9D">
            <w:pPr>
              <w:pStyle w:val="Tableheading"/>
              <w:cnfStyle w:val="100000000000" w:firstRow="1" w:lastRow="0" w:firstColumn="0" w:lastColumn="0" w:oddVBand="0" w:evenVBand="0" w:oddHBand="0" w:evenHBand="0" w:firstRowFirstColumn="0" w:firstRowLastColumn="0" w:lastRowFirstColumn="0" w:lastRowLastColumn="0"/>
            </w:pPr>
            <w:r w:rsidRPr="000C5F9D">
              <w:t>Position/organisation</w:t>
            </w:r>
          </w:p>
        </w:tc>
        <w:tc>
          <w:tcPr>
            <w:tcW w:w="2025" w:type="dxa"/>
            <w:vAlign w:val="center"/>
          </w:tcPr>
          <w:p w14:paraId="2CABF782" w14:textId="77777777" w:rsidR="000B2CCD" w:rsidRPr="000C5F9D" w:rsidRDefault="000B2CCD" w:rsidP="000C5F9D">
            <w:pPr>
              <w:pStyle w:val="Tableheading"/>
              <w:cnfStyle w:val="100000000000" w:firstRow="1" w:lastRow="0" w:firstColumn="0" w:lastColumn="0" w:oddVBand="0" w:evenVBand="0" w:oddHBand="0" w:evenHBand="0" w:firstRowFirstColumn="0" w:firstRowLastColumn="0" w:lastRowFirstColumn="0" w:lastRowLastColumn="0"/>
            </w:pPr>
            <w:r w:rsidRPr="000C5F9D">
              <w:t>Declared</w:t>
            </w:r>
            <w:r w:rsidR="00E17D3E" w:rsidRPr="000C5F9D">
              <w:t xml:space="preserve"> conflict</w:t>
            </w:r>
            <w:r w:rsidR="00D54263" w:rsidRPr="000C5F9D">
              <w:t xml:space="preserve">s </w:t>
            </w:r>
            <w:r w:rsidR="00E17D3E" w:rsidRPr="000C5F9D">
              <w:t>of</w:t>
            </w:r>
            <w:r w:rsidRPr="000C5F9D">
              <w:t xml:space="preserve"> interest</w:t>
            </w:r>
          </w:p>
        </w:tc>
      </w:tr>
      <w:tr w:rsidR="000B2CCD" w:rsidRPr="00C33C0B" w14:paraId="358DE9AC" w14:textId="77777777" w:rsidTr="008A5CDC">
        <w:tc>
          <w:tcPr>
            <w:cnfStyle w:val="001000000000" w:firstRow="0" w:lastRow="0" w:firstColumn="1" w:lastColumn="0" w:oddVBand="0" w:evenVBand="0" w:oddHBand="0" w:evenHBand="0" w:firstRowFirstColumn="0" w:firstRowLastColumn="0" w:lastRowFirstColumn="0" w:lastRowLastColumn="0"/>
            <w:tcW w:w="1980" w:type="dxa"/>
          </w:tcPr>
          <w:p w14:paraId="121FE11F" w14:textId="77777777" w:rsidR="000B2CCD" w:rsidRPr="00C33C0B" w:rsidRDefault="000B2CCD" w:rsidP="000C5F9D">
            <w:pPr>
              <w:pStyle w:val="Tabletext"/>
              <w:rPr>
                <w:lang w:val="en-GB"/>
              </w:rPr>
            </w:pPr>
            <w:r w:rsidRPr="00C33C0B">
              <w:rPr>
                <w:lang w:val="en-GB"/>
              </w:rPr>
              <w:t>Mr Adam Friederich</w:t>
            </w:r>
          </w:p>
        </w:tc>
        <w:tc>
          <w:tcPr>
            <w:tcW w:w="5245" w:type="dxa"/>
          </w:tcPr>
          <w:p w14:paraId="6C0C1583"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Consumer </w:t>
            </w:r>
            <w:r w:rsidR="00A95137">
              <w:rPr>
                <w:lang w:val="en-GB"/>
              </w:rPr>
              <w:t>R</w:t>
            </w:r>
            <w:r w:rsidRPr="00C33C0B">
              <w:rPr>
                <w:lang w:val="en-GB"/>
              </w:rPr>
              <w:t>epresentative</w:t>
            </w:r>
            <w:r w:rsidR="005445A2">
              <w:rPr>
                <w:lang w:val="en-GB"/>
              </w:rPr>
              <w:t xml:space="preserve">; </w:t>
            </w:r>
            <w:r w:rsidRPr="00C33C0B">
              <w:rPr>
                <w:lang w:val="en-GB"/>
              </w:rPr>
              <w:t xml:space="preserve">Works in </w:t>
            </w:r>
            <w:r w:rsidR="004700D9">
              <w:rPr>
                <w:lang w:val="en-GB"/>
              </w:rPr>
              <w:t xml:space="preserve">the </w:t>
            </w:r>
            <w:r w:rsidRPr="00C33C0B">
              <w:rPr>
                <w:lang w:val="en-GB"/>
              </w:rPr>
              <w:t>Australian public service</w:t>
            </w:r>
            <w:r w:rsidR="005445A2">
              <w:rPr>
                <w:lang w:val="en-GB"/>
              </w:rPr>
              <w:t xml:space="preserve">; </w:t>
            </w:r>
            <w:r w:rsidRPr="00C33C0B">
              <w:rPr>
                <w:lang w:val="en-GB"/>
              </w:rPr>
              <w:t>Strong interest in health consumer issues</w:t>
            </w:r>
            <w:r w:rsidR="005445A2">
              <w:rPr>
                <w:lang w:val="en-GB"/>
              </w:rPr>
              <w:t xml:space="preserve">; </w:t>
            </w:r>
            <w:r w:rsidRPr="00C33C0B">
              <w:rPr>
                <w:lang w:val="en-GB"/>
              </w:rPr>
              <w:t xml:space="preserve">Served on other committees for the MBS </w:t>
            </w:r>
            <w:r w:rsidR="003B3142">
              <w:rPr>
                <w:lang w:val="en-GB"/>
              </w:rPr>
              <w:t>R</w:t>
            </w:r>
            <w:r w:rsidRPr="00C33C0B">
              <w:rPr>
                <w:lang w:val="en-GB"/>
              </w:rPr>
              <w:t>eview</w:t>
            </w:r>
          </w:p>
        </w:tc>
        <w:tc>
          <w:tcPr>
            <w:tcW w:w="2025" w:type="dxa"/>
          </w:tcPr>
          <w:p w14:paraId="26A225B9"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color w:val="222222"/>
                <w:lang w:val="en-GB"/>
              </w:rPr>
              <w:t>None</w:t>
            </w:r>
          </w:p>
        </w:tc>
      </w:tr>
      <w:tr w:rsidR="000B2CCD" w:rsidRPr="00C33C0B" w14:paraId="073E4E9D" w14:textId="77777777" w:rsidTr="008A5CDC">
        <w:tc>
          <w:tcPr>
            <w:cnfStyle w:val="001000000000" w:firstRow="0" w:lastRow="0" w:firstColumn="1" w:lastColumn="0" w:oddVBand="0" w:evenVBand="0" w:oddHBand="0" w:evenHBand="0" w:firstRowFirstColumn="0" w:firstRowLastColumn="0" w:lastRowFirstColumn="0" w:lastRowLastColumn="0"/>
            <w:tcW w:w="1980" w:type="dxa"/>
          </w:tcPr>
          <w:p w14:paraId="204A3F8E" w14:textId="77777777" w:rsidR="000B2CCD" w:rsidRPr="00C33C0B" w:rsidRDefault="000B2CCD" w:rsidP="000C5F9D">
            <w:pPr>
              <w:pStyle w:val="Tabletext"/>
              <w:rPr>
                <w:lang w:val="en-GB"/>
              </w:rPr>
            </w:pPr>
            <w:r w:rsidRPr="00C33C0B">
              <w:rPr>
                <w:lang w:val="en-GB"/>
              </w:rPr>
              <w:t>Dr John North</w:t>
            </w:r>
          </w:p>
        </w:tc>
        <w:tc>
          <w:tcPr>
            <w:tcW w:w="5245" w:type="dxa"/>
          </w:tcPr>
          <w:p w14:paraId="5B74FCC8"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Senior </w:t>
            </w:r>
            <w:r w:rsidR="00A95137">
              <w:rPr>
                <w:lang w:val="en-GB"/>
              </w:rPr>
              <w:t>V</w:t>
            </w:r>
            <w:r w:rsidRPr="00C33C0B">
              <w:rPr>
                <w:lang w:val="en-GB"/>
              </w:rPr>
              <w:t xml:space="preserve">isiting </w:t>
            </w:r>
            <w:r w:rsidR="00A95137">
              <w:rPr>
                <w:lang w:val="en-GB"/>
              </w:rPr>
              <w:t>O</w:t>
            </w:r>
            <w:r w:rsidRPr="00C33C0B">
              <w:rPr>
                <w:lang w:val="en-GB"/>
              </w:rPr>
              <w:t xml:space="preserve">rthopaedic </w:t>
            </w:r>
            <w:r w:rsidR="00BF7427">
              <w:rPr>
                <w:lang w:val="en-GB"/>
              </w:rPr>
              <w:t>S</w:t>
            </w:r>
            <w:r w:rsidRPr="00C33C0B">
              <w:rPr>
                <w:lang w:val="en-GB"/>
              </w:rPr>
              <w:t>urgeon</w:t>
            </w:r>
            <w:r w:rsidR="00A95137">
              <w:rPr>
                <w:lang w:val="en-GB"/>
              </w:rPr>
              <w:t>,</w:t>
            </w:r>
            <w:r w:rsidRPr="00C33C0B">
              <w:rPr>
                <w:lang w:val="en-GB"/>
              </w:rPr>
              <w:t xml:space="preserve"> </w:t>
            </w:r>
            <w:r w:rsidRPr="00A95137">
              <w:rPr>
                <w:lang w:val="en-GB"/>
              </w:rPr>
              <w:t>Princess Alexandra Hospital</w:t>
            </w:r>
            <w:r w:rsidR="00673471">
              <w:rPr>
                <w:lang w:val="en-GB"/>
              </w:rPr>
              <w:t>,</w:t>
            </w:r>
            <w:r w:rsidRPr="00A95137">
              <w:rPr>
                <w:lang w:val="en-GB"/>
              </w:rPr>
              <w:t xml:space="preserve"> Brisbane</w:t>
            </w:r>
            <w:r w:rsidR="00BF7427">
              <w:rPr>
                <w:lang w:val="en-GB"/>
              </w:rPr>
              <w:t>;</w:t>
            </w:r>
            <w:r w:rsidRPr="00A95137">
              <w:rPr>
                <w:lang w:val="en-GB"/>
              </w:rPr>
              <w:t xml:space="preserve"> </w:t>
            </w:r>
            <w:r w:rsidRPr="00C33C0B">
              <w:rPr>
                <w:lang w:val="en-GB"/>
              </w:rPr>
              <w:t xml:space="preserve">Senior </w:t>
            </w:r>
            <w:r w:rsidR="00673471">
              <w:rPr>
                <w:lang w:val="en-GB"/>
              </w:rPr>
              <w:t>V</w:t>
            </w:r>
            <w:r w:rsidRPr="00C33C0B">
              <w:rPr>
                <w:lang w:val="en-GB"/>
              </w:rPr>
              <w:t xml:space="preserve">isiting </w:t>
            </w:r>
            <w:r w:rsidR="00673471">
              <w:rPr>
                <w:lang w:val="en-GB"/>
              </w:rPr>
              <w:t>O</w:t>
            </w:r>
            <w:r w:rsidRPr="00C33C0B">
              <w:rPr>
                <w:lang w:val="en-GB"/>
              </w:rPr>
              <w:t xml:space="preserve">rthopaedic </w:t>
            </w:r>
            <w:r w:rsidR="00673471">
              <w:rPr>
                <w:lang w:val="en-GB"/>
              </w:rPr>
              <w:t>S</w:t>
            </w:r>
            <w:r w:rsidRPr="00C33C0B">
              <w:rPr>
                <w:lang w:val="en-GB"/>
              </w:rPr>
              <w:t>urgeon (Telehealth)</w:t>
            </w:r>
            <w:r w:rsidR="00673471">
              <w:rPr>
                <w:lang w:val="en-GB"/>
              </w:rPr>
              <w:t>,</w:t>
            </w:r>
            <w:r w:rsidRPr="00C33C0B">
              <w:rPr>
                <w:lang w:val="en-GB"/>
              </w:rPr>
              <w:t xml:space="preserve"> Mt Isa Hospital and NWHHS</w:t>
            </w:r>
            <w:r w:rsidR="00BF7427">
              <w:rPr>
                <w:lang w:val="en-GB"/>
              </w:rPr>
              <w:t xml:space="preserve">; </w:t>
            </w:r>
            <w:r w:rsidRPr="00C33C0B">
              <w:rPr>
                <w:lang w:val="en-GB"/>
              </w:rPr>
              <w:t>Chair of the MBS Review Orthopaedic Committee</w:t>
            </w:r>
          </w:p>
        </w:tc>
        <w:tc>
          <w:tcPr>
            <w:tcW w:w="2025" w:type="dxa"/>
          </w:tcPr>
          <w:p w14:paraId="32126876"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Panel member </w:t>
            </w:r>
            <w:r w:rsidR="00BF7427">
              <w:rPr>
                <w:lang w:val="en-GB"/>
              </w:rPr>
              <w:t>of</w:t>
            </w:r>
            <w:r w:rsidR="00BF7427" w:rsidRPr="00C33C0B">
              <w:rPr>
                <w:lang w:val="en-GB"/>
              </w:rPr>
              <w:t xml:space="preserve"> </w:t>
            </w:r>
            <w:r w:rsidRPr="00C33C0B">
              <w:rPr>
                <w:lang w:val="en-GB"/>
              </w:rPr>
              <w:t>the Australian Health Practitioner Regulation Agency (A</w:t>
            </w:r>
            <w:r w:rsidR="00F85B29">
              <w:rPr>
                <w:lang w:val="en-GB"/>
              </w:rPr>
              <w:t>H</w:t>
            </w:r>
            <w:r w:rsidRPr="00C33C0B">
              <w:rPr>
                <w:lang w:val="en-GB"/>
              </w:rPr>
              <w:t>PRA)</w:t>
            </w:r>
          </w:p>
        </w:tc>
      </w:tr>
      <w:tr w:rsidR="000B2CCD" w:rsidRPr="00C33C0B" w14:paraId="4C385701" w14:textId="77777777" w:rsidTr="008A5CDC">
        <w:tc>
          <w:tcPr>
            <w:cnfStyle w:val="001000000000" w:firstRow="0" w:lastRow="0" w:firstColumn="1" w:lastColumn="0" w:oddVBand="0" w:evenVBand="0" w:oddHBand="0" w:evenHBand="0" w:firstRowFirstColumn="0" w:firstRowLastColumn="0" w:lastRowFirstColumn="0" w:lastRowLastColumn="0"/>
            <w:tcW w:w="1980" w:type="dxa"/>
          </w:tcPr>
          <w:p w14:paraId="7C5A850B" w14:textId="77777777" w:rsidR="000B2CCD" w:rsidRPr="00C33C0B" w:rsidRDefault="000B2CCD" w:rsidP="000C5F9D">
            <w:pPr>
              <w:pStyle w:val="Tabletext"/>
              <w:rPr>
                <w:lang w:val="en-GB"/>
              </w:rPr>
            </w:pPr>
            <w:r w:rsidRPr="00C33C0B">
              <w:rPr>
                <w:lang w:val="en-GB"/>
              </w:rPr>
              <w:t>Dr</w:t>
            </w:r>
            <w:r w:rsidR="007D74CA">
              <w:rPr>
                <w:lang w:val="en-GB"/>
              </w:rPr>
              <w:t xml:space="preserve"> </w:t>
            </w:r>
            <w:r w:rsidRPr="00C33C0B">
              <w:rPr>
                <w:lang w:val="en-GB"/>
              </w:rPr>
              <w:t>Julie Thompson</w:t>
            </w:r>
          </w:p>
        </w:tc>
        <w:tc>
          <w:tcPr>
            <w:tcW w:w="5245" w:type="dxa"/>
          </w:tcPr>
          <w:p w14:paraId="37AEF70D"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General Practitioner in Victoria</w:t>
            </w:r>
          </w:p>
        </w:tc>
        <w:tc>
          <w:tcPr>
            <w:tcW w:w="2025" w:type="dxa"/>
          </w:tcPr>
          <w:p w14:paraId="4E487188"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r w:rsidR="000B2CCD" w:rsidRPr="00C33C0B" w14:paraId="287E5ED3" w14:textId="77777777" w:rsidTr="008A5CDC">
        <w:tc>
          <w:tcPr>
            <w:cnfStyle w:val="001000000000" w:firstRow="0" w:lastRow="0" w:firstColumn="1" w:lastColumn="0" w:oddVBand="0" w:evenVBand="0" w:oddHBand="0" w:evenHBand="0" w:firstRowFirstColumn="0" w:firstRowLastColumn="0" w:lastRowFirstColumn="0" w:lastRowLastColumn="0"/>
            <w:tcW w:w="1980" w:type="dxa"/>
          </w:tcPr>
          <w:p w14:paraId="286EB115" w14:textId="77777777" w:rsidR="000B2CCD" w:rsidRPr="00C33C0B" w:rsidRDefault="000B2CCD" w:rsidP="000C5F9D">
            <w:pPr>
              <w:pStyle w:val="Tabletext"/>
              <w:rPr>
                <w:lang w:val="en-GB"/>
              </w:rPr>
            </w:pPr>
            <w:r w:rsidRPr="00C33C0B">
              <w:rPr>
                <w:lang w:val="en-GB"/>
              </w:rPr>
              <w:t xml:space="preserve">Dr </w:t>
            </w:r>
            <w:r w:rsidR="00885661">
              <w:rPr>
                <w:lang w:val="en-GB"/>
              </w:rPr>
              <w:t>Philip Truskett AM (</w:t>
            </w:r>
            <w:r w:rsidRPr="00C33C0B">
              <w:rPr>
                <w:lang w:val="en-GB"/>
              </w:rPr>
              <w:t>Co-</w:t>
            </w:r>
            <w:r w:rsidR="007D74CA">
              <w:rPr>
                <w:lang w:val="en-GB"/>
              </w:rPr>
              <w:t>C</w:t>
            </w:r>
            <w:r w:rsidRPr="00C33C0B">
              <w:rPr>
                <w:lang w:val="en-GB"/>
              </w:rPr>
              <w:t>hair)</w:t>
            </w:r>
          </w:p>
        </w:tc>
        <w:tc>
          <w:tcPr>
            <w:tcW w:w="5245" w:type="dxa"/>
          </w:tcPr>
          <w:p w14:paraId="398C45CD"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General </w:t>
            </w:r>
            <w:r w:rsidR="009E183A">
              <w:rPr>
                <w:lang w:val="en-GB"/>
              </w:rPr>
              <w:t>S</w:t>
            </w:r>
            <w:r w:rsidRPr="00C33C0B">
              <w:rPr>
                <w:lang w:val="en-GB"/>
              </w:rPr>
              <w:t xml:space="preserve">urgeon at </w:t>
            </w:r>
            <w:r w:rsidR="00184C23">
              <w:rPr>
                <w:lang w:val="en-GB"/>
              </w:rPr>
              <w:t xml:space="preserve">the </w:t>
            </w:r>
            <w:r w:rsidRPr="00C33C0B">
              <w:rPr>
                <w:lang w:val="en-GB"/>
              </w:rPr>
              <w:t>Prince of Wales Hospital</w:t>
            </w:r>
            <w:r w:rsidR="00011026">
              <w:rPr>
                <w:lang w:val="en-GB"/>
              </w:rPr>
              <w:t xml:space="preserve">, </w:t>
            </w:r>
            <w:r w:rsidRPr="00C33C0B">
              <w:rPr>
                <w:lang w:val="en-GB"/>
              </w:rPr>
              <w:t>Sydney</w:t>
            </w:r>
          </w:p>
        </w:tc>
        <w:tc>
          <w:tcPr>
            <w:tcW w:w="2025" w:type="dxa"/>
          </w:tcPr>
          <w:p w14:paraId="555E94C6"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bl>
    <w:p w14:paraId="72699D6C" w14:textId="77777777" w:rsidR="000B2CCD" w:rsidRPr="00C33C0B" w:rsidRDefault="002355E9" w:rsidP="001671D2">
      <w:pPr>
        <w:pStyle w:val="Heading2"/>
        <w:numPr>
          <w:ilvl w:val="0"/>
          <w:numId w:val="0"/>
        </w:numPr>
        <w:rPr>
          <w:lang w:val="en-GB"/>
        </w:rPr>
      </w:pPr>
      <w:bookmarkStart w:id="280" w:name="_Toc67952284"/>
      <w:r>
        <w:rPr>
          <w:lang w:val="en-GB"/>
        </w:rPr>
        <w:t xml:space="preserve">Table </w:t>
      </w:r>
      <w:r w:rsidR="00933553">
        <w:rPr>
          <w:lang w:val="en-GB"/>
        </w:rPr>
        <w:t>C</w:t>
      </w:r>
      <w:r>
        <w:rPr>
          <w:lang w:val="en-GB"/>
        </w:rPr>
        <w:t>.</w:t>
      </w:r>
      <w:r w:rsidR="000B2CCD" w:rsidRPr="00C33C0B">
        <w:rPr>
          <w:lang w:val="en-GB"/>
        </w:rPr>
        <w:t xml:space="preserve">3: </w:t>
      </w:r>
      <w:r w:rsidR="007704E0">
        <w:rPr>
          <w:lang w:val="en-GB"/>
        </w:rPr>
        <w:t>C</w:t>
      </w:r>
      <w:r w:rsidR="000B2CCD" w:rsidRPr="00C33C0B">
        <w:rPr>
          <w:lang w:val="en-GB"/>
        </w:rPr>
        <w:t xml:space="preserve">ontemporary roles </w:t>
      </w:r>
      <w:r w:rsidR="00D24FB3">
        <w:rPr>
          <w:lang w:val="en-GB"/>
        </w:rPr>
        <w:t>of medical practitioners</w:t>
      </w:r>
      <w:bookmarkEnd w:id="280"/>
    </w:p>
    <w:tbl>
      <w:tblPr>
        <w:tblStyle w:val="GridTable4-Accent3"/>
        <w:tblW w:w="0" w:type="auto"/>
        <w:tblLook w:val="04A0" w:firstRow="1" w:lastRow="0" w:firstColumn="1" w:lastColumn="0" w:noHBand="0" w:noVBand="1"/>
        <w:tblDescription w:val="Appendix C - Contemporary roles of medical practitioners working group membership. Table C.3 has 3 columns. Column 1 is the working group member. Column 2 is the member's position and/or organisation. Column 3 lists the member's declared conflicts of interests. "/>
      </w:tblPr>
      <w:tblGrid>
        <w:gridCol w:w="1555"/>
        <w:gridCol w:w="5670"/>
        <w:gridCol w:w="2025"/>
      </w:tblGrid>
      <w:tr w:rsidR="008A5CDC" w:rsidRPr="000C5F9D" w14:paraId="78C4D4F4"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8C93237" w14:textId="77777777" w:rsidR="000B2CCD" w:rsidRPr="000C5F9D" w:rsidRDefault="000B2CCD" w:rsidP="000C5F9D">
            <w:pPr>
              <w:pStyle w:val="Tableheading"/>
            </w:pPr>
            <w:r w:rsidRPr="000C5F9D">
              <w:t>Member</w:t>
            </w:r>
          </w:p>
        </w:tc>
        <w:tc>
          <w:tcPr>
            <w:tcW w:w="5670" w:type="dxa"/>
            <w:vAlign w:val="center"/>
          </w:tcPr>
          <w:p w14:paraId="39985D18" w14:textId="77777777" w:rsidR="000B2CCD" w:rsidRPr="000C5F9D" w:rsidRDefault="003B25F4" w:rsidP="000C5F9D">
            <w:pPr>
              <w:pStyle w:val="Tableheading"/>
              <w:cnfStyle w:val="100000000000" w:firstRow="1" w:lastRow="0" w:firstColumn="0" w:lastColumn="0" w:oddVBand="0" w:evenVBand="0" w:oddHBand="0" w:evenHBand="0" w:firstRowFirstColumn="0" w:firstRowLastColumn="0" w:lastRowFirstColumn="0" w:lastRowLastColumn="0"/>
            </w:pPr>
            <w:r w:rsidRPr="000C5F9D">
              <w:t>Position/organisation</w:t>
            </w:r>
          </w:p>
        </w:tc>
        <w:tc>
          <w:tcPr>
            <w:tcW w:w="2025" w:type="dxa"/>
            <w:vAlign w:val="center"/>
          </w:tcPr>
          <w:p w14:paraId="253837E3" w14:textId="77777777" w:rsidR="000B2CCD" w:rsidRPr="000C5F9D" w:rsidRDefault="000B2CCD" w:rsidP="000C5F9D">
            <w:pPr>
              <w:pStyle w:val="Tableheading"/>
              <w:cnfStyle w:val="100000000000" w:firstRow="1" w:lastRow="0" w:firstColumn="0" w:lastColumn="0" w:oddVBand="0" w:evenVBand="0" w:oddHBand="0" w:evenHBand="0" w:firstRowFirstColumn="0" w:firstRowLastColumn="0" w:lastRowFirstColumn="0" w:lastRowLastColumn="0"/>
            </w:pPr>
            <w:r w:rsidRPr="000C5F9D">
              <w:t>Declared</w:t>
            </w:r>
            <w:r w:rsidR="003B25F4" w:rsidRPr="000C5F9D">
              <w:t xml:space="preserve"> conflict</w:t>
            </w:r>
            <w:r w:rsidR="00BD2658" w:rsidRPr="000C5F9D">
              <w:t>s</w:t>
            </w:r>
            <w:r w:rsidR="003B25F4" w:rsidRPr="000C5F9D">
              <w:t xml:space="preserve"> of</w:t>
            </w:r>
            <w:r w:rsidRPr="000C5F9D">
              <w:t xml:space="preserve"> interest</w:t>
            </w:r>
          </w:p>
        </w:tc>
      </w:tr>
      <w:tr w:rsidR="008A5CDC" w:rsidRPr="00C33C0B" w14:paraId="0CC74DFB" w14:textId="77777777" w:rsidTr="008A5CDC">
        <w:tc>
          <w:tcPr>
            <w:cnfStyle w:val="001000000000" w:firstRow="0" w:lastRow="0" w:firstColumn="1" w:lastColumn="0" w:oddVBand="0" w:evenVBand="0" w:oddHBand="0" w:evenHBand="0" w:firstRowFirstColumn="0" w:firstRowLastColumn="0" w:lastRowFirstColumn="0" w:lastRowLastColumn="0"/>
            <w:tcW w:w="1555" w:type="dxa"/>
          </w:tcPr>
          <w:p w14:paraId="322A9E83" w14:textId="77777777" w:rsidR="000B2CCD" w:rsidRPr="00C33C0B" w:rsidRDefault="000B2CCD" w:rsidP="00BD6890">
            <w:pPr>
              <w:spacing w:before="20" w:after="20"/>
              <w:rPr>
                <w:rFonts w:cstheme="minorHAnsi"/>
                <w:sz w:val="18"/>
                <w:szCs w:val="18"/>
                <w:lang w:val="en-GB"/>
              </w:rPr>
            </w:pPr>
            <w:r w:rsidRPr="00C33C0B">
              <w:rPr>
                <w:rFonts w:cstheme="minorHAnsi"/>
                <w:sz w:val="18"/>
                <w:szCs w:val="18"/>
                <w:lang w:val="en-GB"/>
              </w:rPr>
              <w:t xml:space="preserve">Dr Paul Blackman </w:t>
            </w:r>
          </w:p>
        </w:tc>
        <w:tc>
          <w:tcPr>
            <w:tcW w:w="5670" w:type="dxa"/>
          </w:tcPr>
          <w:p w14:paraId="280FC376" w14:textId="77777777" w:rsidR="000B2CCD" w:rsidRPr="00A3113B" w:rsidRDefault="000B2CCD" w:rsidP="00C2224D">
            <w:pPr>
              <w:pStyle w:val="Bullet-green"/>
              <w:numPr>
                <w:ilvl w:val="0"/>
                <w:numId w:val="0"/>
              </w:numPr>
              <w:spacing w:before="20" w:after="20"/>
              <w:cnfStyle w:val="000000000000" w:firstRow="0" w:lastRow="0" w:firstColumn="0" w:lastColumn="0" w:oddVBand="0" w:evenVBand="0" w:oddHBand="0" w:evenHBand="0" w:firstRowFirstColumn="0" w:firstRowLastColumn="0" w:lastRowFirstColumn="0" w:lastRowLastColumn="0"/>
              <w:rPr>
                <w:sz w:val="18"/>
                <w:szCs w:val="18"/>
                <w:lang w:val="en-GB"/>
              </w:rPr>
            </w:pPr>
            <w:r w:rsidRPr="00C33C0B">
              <w:rPr>
                <w:sz w:val="18"/>
                <w:szCs w:val="18"/>
                <w:lang w:val="en-GB"/>
              </w:rPr>
              <w:t xml:space="preserve">Sport and </w:t>
            </w:r>
            <w:r w:rsidR="00A3113B">
              <w:rPr>
                <w:sz w:val="18"/>
                <w:szCs w:val="18"/>
                <w:lang w:val="en-GB"/>
              </w:rPr>
              <w:t>E</w:t>
            </w:r>
            <w:r w:rsidRPr="00C33C0B">
              <w:rPr>
                <w:sz w:val="18"/>
                <w:szCs w:val="18"/>
                <w:lang w:val="en-GB"/>
              </w:rPr>
              <w:t xml:space="preserve">xercise </w:t>
            </w:r>
            <w:r w:rsidR="00A3113B">
              <w:rPr>
                <w:sz w:val="18"/>
                <w:szCs w:val="18"/>
                <w:lang w:val="en-GB"/>
              </w:rPr>
              <w:t>P</w:t>
            </w:r>
            <w:r w:rsidRPr="00C33C0B">
              <w:rPr>
                <w:sz w:val="18"/>
                <w:szCs w:val="18"/>
                <w:lang w:val="en-GB"/>
              </w:rPr>
              <w:t>hysician</w:t>
            </w:r>
            <w:r w:rsidR="00A3113B">
              <w:rPr>
                <w:sz w:val="18"/>
                <w:szCs w:val="18"/>
                <w:lang w:val="en-GB"/>
              </w:rPr>
              <w:t xml:space="preserve">, </w:t>
            </w:r>
            <w:r w:rsidRPr="00A3113B">
              <w:rPr>
                <w:sz w:val="18"/>
                <w:szCs w:val="18"/>
                <w:lang w:val="en-GB"/>
              </w:rPr>
              <w:t>Olympic Park Sports Centre Medicine</w:t>
            </w:r>
          </w:p>
        </w:tc>
        <w:tc>
          <w:tcPr>
            <w:tcW w:w="2025" w:type="dxa"/>
          </w:tcPr>
          <w:p w14:paraId="7FCA3E5C" w14:textId="77777777" w:rsidR="000B2CCD" w:rsidRPr="00C33C0B" w:rsidRDefault="000B2CCD" w:rsidP="00C2224D">
            <w:pPr>
              <w:pStyle w:val="Bullet-green"/>
              <w:numPr>
                <w:ilvl w:val="0"/>
                <w:numId w:val="0"/>
              </w:numPr>
              <w:spacing w:before="20" w:after="20"/>
              <w:cnfStyle w:val="000000000000" w:firstRow="0" w:lastRow="0" w:firstColumn="0" w:lastColumn="0" w:oddVBand="0" w:evenVBand="0" w:oddHBand="0" w:evenHBand="0" w:firstRowFirstColumn="0" w:firstRowLastColumn="0" w:lastRowFirstColumn="0" w:lastRowLastColumn="0"/>
              <w:rPr>
                <w:sz w:val="18"/>
                <w:szCs w:val="18"/>
                <w:lang w:val="en-GB"/>
              </w:rPr>
            </w:pPr>
            <w:r w:rsidRPr="00C33C0B">
              <w:rPr>
                <w:sz w:val="18"/>
                <w:szCs w:val="18"/>
                <w:lang w:val="en-GB"/>
              </w:rPr>
              <w:t xml:space="preserve">Board Member of </w:t>
            </w:r>
            <w:r w:rsidR="00C2224D">
              <w:rPr>
                <w:sz w:val="18"/>
                <w:szCs w:val="18"/>
                <w:lang w:val="en-GB"/>
              </w:rPr>
              <w:t xml:space="preserve">the </w:t>
            </w:r>
            <w:r w:rsidRPr="00C33C0B">
              <w:rPr>
                <w:sz w:val="18"/>
                <w:szCs w:val="18"/>
                <w:lang w:val="en-GB"/>
              </w:rPr>
              <w:t xml:space="preserve">Australasian College of Sports and Exercise </w:t>
            </w:r>
            <w:r w:rsidR="00F34696" w:rsidRPr="00C33C0B">
              <w:rPr>
                <w:sz w:val="18"/>
                <w:szCs w:val="18"/>
                <w:lang w:val="en-GB"/>
              </w:rPr>
              <w:t>Physicians</w:t>
            </w:r>
          </w:p>
        </w:tc>
      </w:tr>
      <w:tr w:rsidR="008A5CDC" w:rsidRPr="00C33C0B" w14:paraId="758F7E68" w14:textId="77777777" w:rsidTr="008A5CDC">
        <w:tc>
          <w:tcPr>
            <w:cnfStyle w:val="001000000000" w:firstRow="0" w:lastRow="0" w:firstColumn="1" w:lastColumn="0" w:oddVBand="0" w:evenVBand="0" w:oddHBand="0" w:evenHBand="0" w:firstRowFirstColumn="0" w:firstRowLastColumn="0" w:lastRowFirstColumn="0" w:lastRowLastColumn="0"/>
            <w:tcW w:w="1555" w:type="dxa"/>
          </w:tcPr>
          <w:p w14:paraId="550741B7" w14:textId="77777777" w:rsidR="000B2CCD" w:rsidRPr="00C33C0B" w:rsidRDefault="000B2CCD" w:rsidP="00BD6890">
            <w:pPr>
              <w:spacing w:before="20" w:after="20"/>
              <w:rPr>
                <w:rFonts w:cstheme="minorHAnsi"/>
                <w:sz w:val="18"/>
                <w:szCs w:val="18"/>
                <w:lang w:val="en-GB"/>
              </w:rPr>
            </w:pPr>
            <w:r w:rsidRPr="00C33C0B">
              <w:rPr>
                <w:rFonts w:cstheme="minorHAnsi"/>
                <w:sz w:val="18"/>
                <w:szCs w:val="18"/>
                <w:lang w:val="en-GB"/>
              </w:rPr>
              <w:t xml:space="preserve">Ms Debra Kay PSM </w:t>
            </w:r>
          </w:p>
        </w:tc>
        <w:tc>
          <w:tcPr>
            <w:tcW w:w="5670" w:type="dxa"/>
          </w:tcPr>
          <w:p w14:paraId="1270F7C7"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Consumer </w:t>
            </w:r>
            <w:r w:rsidR="00463557">
              <w:rPr>
                <w:lang w:val="en-GB"/>
              </w:rPr>
              <w:t>M</w:t>
            </w:r>
            <w:r w:rsidRPr="00C33C0B">
              <w:rPr>
                <w:lang w:val="en-GB"/>
              </w:rPr>
              <w:t>ember, Medical Services Advisory Committee (MSAC) and Health Technology Assessment Consumer Consultative Committee (CCC)</w:t>
            </w:r>
            <w:r w:rsidR="00C2224D">
              <w:rPr>
                <w:lang w:val="en-GB"/>
              </w:rPr>
              <w:t>;</w:t>
            </w:r>
            <w:r w:rsidR="00E43B94">
              <w:rPr>
                <w:lang w:val="en-GB"/>
              </w:rPr>
              <w:t xml:space="preserve"> </w:t>
            </w:r>
            <w:r w:rsidRPr="00C33C0B">
              <w:rPr>
                <w:lang w:val="en-GB"/>
              </w:rPr>
              <w:t>Chair</w:t>
            </w:r>
            <w:r w:rsidR="00463557">
              <w:rPr>
                <w:lang w:val="en-GB"/>
              </w:rPr>
              <w:t>,</w:t>
            </w:r>
            <w:r w:rsidRPr="00C33C0B">
              <w:rPr>
                <w:lang w:val="en-GB"/>
              </w:rPr>
              <w:t xml:space="preserve"> MBS Review Consumer Panel</w:t>
            </w:r>
            <w:r w:rsidR="00463557">
              <w:rPr>
                <w:lang w:val="en-GB"/>
              </w:rPr>
              <w:t>; M</w:t>
            </w:r>
            <w:r w:rsidRPr="00C33C0B">
              <w:rPr>
                <w:lang w:val="en-GB"/>
              </w:rPr>
              <w:t>ember of</w:t>
            </w:r>
            <w:r w:rsidR="00463557">
              <w:rPr>
                <w:lang w:val="en-GB"/>
              </w:rPr>
              <w:t xml:space="preserve"> the</w:t>
            </w:r>
            <w:r w:rsidRPr="00C33C0B">
              <w:rPr>
                <w:lang w:val="en-GB"/>
              </w:rPr>
              <w:t xml:space="preserve"> MBS Review Principles and Rules Committee</w:t>
            </w:r>
          </w:p>
        </w:tc>
        <w:tc>
          <w:tcPr>
            <w:tcW w:w="2025" w:type="dxa"/>
          </w:tcPr>
          <w:p w14:paraId="12DE4F28"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r w:rsidR="008A5CDC" w:rsidRPr="00C33C0B" w14:paraId="528D2F4F" w14:textId="77777777" w:rsidTr="008A5CDC">
        <w:tc>
          <w:tcPr>
            <w:cnfStyle w:val="001000000000" w:firstRow="0" w:lastRow="0" w:firstColumn="1" w:lastColumn="0" w:oddVBand="0" w:evenVBand="0" w:oddHBand="0" w:evenHBand="0" w:firstRowFirstColumn="0" w:firstRowLastColumn="0" w:lastRowFirstColumn="0" w:lastRowLastColumn="0"/>
            <w:tcW w:w="1555" w:type="dxa"/>
          </w:tcPr>
          <w:p w14:paraId="1CF1438F" w14:textId="77777777" w:rsidR="000B2CCD" w:rsidRPr="00C33C0B" w:rsidRDefault="000B2CCD" w:rsidP="000C5F9D">
            <w:pPr>
              <w:pStyle w:val="Tabletext"/>
              <w:rPr>
                <w:lang w:val="en-GB"/>
              </w:rPr>
            </w:pPr>
            <w:r w:rsidRPr="00C33C0B">
              <w:rPr>
                <w:lang w:val="en-GB"/>
              </w:rPr>
              <w:t>Prof</w:t>
            </w:r>
            <w:r w:rsidR="00A3113B">
              <w:rPr>
                <w:lang w:val="en-GB"/>
              </w:rPr>
              <w:t xml:space="preserve">. </w:t>
            </w:r>
            <w:r w:rsidRPr="00C33C0B">
              <w:rPr>
                <w:lang w:val="en-GB"/>
              </w:rPr>
              <w:t>David Story</w:t>
            </w:r>
          </w:p>
        </w:tc>
        <w:tc>
          <w:tcPr>
            <w:tcW w:w="5670" w:type="dxa"/>
          </w:tcPr>
          <w:p w14:paraId="6EB98E74"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Professor and Chair of Anaesthesia, University of Melbourne</w:t>
            </w:r>
            <w:r w:rsidR="00C2224D">
              <w:rPr>
                <w:lang w:val="en-GB"/>
              </w:rPr>
              <w:t>;</w:t>
            </w:r>
            <w:r w:rsidR="00E43B94">
              <w:rPr>
                <w:lang w:val="en-GB"/>
              </w:rPr>
              <w:t xml:space="preserve"> </w:t>
            </w:r>
            <w:r w:rsidRPr="00C33C0B">
              <w:rPr>
                <w:lang w:val="en-GB"/>
              </w:rPr>
              <w:t>Staff Anaesthetist</w:t>
            </w:r>
            <w:r w:rsidR="00FA0C9B">
              <w:rPr>
                <w:lang w:val="en-GB"/>
              </w:rPr>
              <w:t xml:space="preserve">, </w:t>
            </w:r>
            <w:r w:rsidRPr="00C33C0B">
              <w:rPr>
                <w:lang w:val="en-GB"/>
              </w:rPr>
              <w:t>Austin Hospital, Melbourne</w:t>
            </w:r>
            <w:r w:rsidR="00C2224D">
              <w:rPr>
                <w:lang w:val="en-GB"/>
              </w:rPr>
              <w:t>;</w:t>
            </w:r>
            <w:r w:rsidR="00E43B94">
              <w:rPr>
                <w:lang w:val="en-GB"/>
              </w:rPr>
              <w:t xml:space="preserve"> </w:t>
            </w:r>
            <w:r w:rsidRPr="00C33C0B">
              <w:rPr>
                <w:lang w:val="en-GB"/>
              </w:rPr>
              <w:t xml:space="preserve">Part of the MBS </w:t>
            </w:r>
            <w:r w:rsidR="003E5D20">
              <w:rPr>
                <w:lang w:val="en-GB"/>
              </w:rPr>
              <w:t>R</w:t>
            </w:r>
            <w:r w:rsidRPr="00C33C0B">
              <w:rPr>
                <w:lang w:val="en-GB"/>
              </w:rPr>
              <w:t>eview for Urology</w:t>
            </w:r>
          </w:p>
        </w:tc>
        <w:tc>
          <w:tcPr>
            <w:tcW w:w="2025" w:type="dxa"/>
          </w:tcPr>
          <w:p w14:paraId="5F9AD93F"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r w:rsidR="008A5CDC" w:rsidRPr="00C33C0B" w14:paraId="0AD148BE" w14:textId="77777777" w:rsidTr="008A5CDC">
        <w:tc>
          <w:tcPr>
            <w:cnfStyle w:val="001000000000" w:firstRow="0" w:lastRow="0" w:firstColumn="1" w:lastColumn="0" w:oddVBand="0" w:evenVBand="0" w:oddHBand="0" w:evenHBand="0" w:firstRowFirstColumn="0" w:firstRowLastColumn="0" w:lastRowFirstColumn="0" w:lastRowLastColumn="0"/>
            <w:tcW w:w="1555" w:type="dxa"/>
          </w:tcPr>
          <w:p w14:paraId="0D5CD959" w14:textId="341E438B" w:rsidR="000B2CCD" w:rsidRPr="00C33C0B" w:rsidRDefault="000B2CCD" w:rsidP="000C5F9D">
            <w:pPr>
              <w:pStyle w:val="Tabletext"/>
              <w:rPr>
                <w:lang w:val="en-GB"/>
              </w:rPr>
            </w:pPr>
            <w:r w:rsidRPr="00C33C0B">
              <w:rPr>
                <w:lang w:val="en-GB"/>
              </w:rPr>
              <w:t>Prof</w:t>
            </w:r>
            <w:r w:rsidR="00A3113B">
              <w:rPr>
                <w:lang w:val="en-GB"/>
              </w:rPr>
              <w:t xml:space="preserve">. </w:t>
            </w:r>
            <w:r w:rsidR="00156D4B">
              <w:rPr>
                <w:lang w:val="en-GB"/>
              </w:rPr>
              <w:t>David Watters OBE</w:t>
            </w:r>
          </w:p>
        </w:tc>
        <w:tc>
          <w:tcPr>
            <w:tcW w:w="5670" w:type="dxa"/>
          </w:tcPr>
          <w:p w14:paraId="3E0AD12C"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Chair of </w:t>
            </w:r>
            <w:r w:rsidR="000B21A6">
              <w:rPr>
                <w:lang w:val="en-GB"/>
              </w:rPr>
              <w:t xml:space="preserve">the </w:t>
            </w:r>
            <w:r w:rsidRPr="00C33C0B">
              <w:rPr>
                <w:lang w:val="en-GB"/>
              </w:rPr>
              <w:t>Surgical and Critical Care Program</w:t>
            </w:r>
            <w:r w:rsidR="00630271">
              <w:rPr>
                <w:lang w:val="en-GB"/>
              </w:rPr>
              <w:t>me</w:t>
            </w:r>
            <w:r w:rsidRPr="00C33C0B">
              <w:rPr>
                <w:lang w:val="en-GB"/>
              </w:rPr>
              <w:t xml:space="preserve"> Safety and Quality Committee</w:t>
            </w:r>
            <w:r w:rsidR="00C2224D">
              <w:rPr>
                <w:lang w:val="en-GB"/>
              </w:rPr>
              <w:t>;</w:t>
            </w:r>
          </w:p>
          <w:p w14:paraId="40075469"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General and Endocrine Surgeon at University Hospital and St John of God Hospital, Geelong</w:t>
            </w:r>
            <w:r w:rsidR="00C2224D">
              <w:rPr>
                <w:lang w:val="en-GB"/>
              </w:rPr>
              <w:t>;</w:t>
            </w:r>
            <w:r w:rsidR="00E43B94">
              <w:rPr>
                <w:lang w:val="en-GB"/>
              </w:rPr>
              <w:t xml:space="preserve"> </w:t>
            </w:r>
            <w:r w:rsidRPr="00C33C0B">
              <w:rPr>
                <w:lang w:val="en-GB"/>
              </w:rPr>
              <w:t>Professor of Surgery, Deakin University</w:t>
            </w:r>
          </w:p>
        </w:tc>
        <w:tc>
          <w:tcPr>
            <w:tcW w:w="2025" w:type="dxa"/>
          </w:tcPr>
          <w:p w14:paraId="743E084C"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Member of </w:t>
            </w:r>
            <w:r w:rsidR="00181812">
              <w:rPr>
                <w:lang w:val="en-GB"/>
              </w:rPr>
              <w:t xml:space="preserve">the </w:t>
            </w:r>
            <w:r w:rsidRPr="00C33C0B">
              <w:rPr>
                <w:lang w:val="en-GB"/>
              </w:rPr>
              <w:t>Clinical Measurement and Reporting Group for the Victorian Agency of Health Information (VAHI)</w:t>
            </w:r>
          </w:p>
        </w:tc>
      </w:tr>
    </w:tbl>
    <w:p w14:paraId="19E061B0" w14:textId="78BE4E92" w:rsidR="000B2CCD" w:rsidRPr="00C33C0B" w:rsidRDefault="002355E9" w:rsidP="001671D2">
      <w:pPr>
        <w:pStyle w:val="Heading2"/>
        <w:numPr>
          <w:ilvl w:val="0"/>
          <w:numId w:val="0"/>
        </w:numPr>
        <w:rPr>
          <w:lang w:val="en-GB"/>
        </w:rPr>
      </w:pPr>
      <w:bookmarkStart w:id="281" w:name="_Toc521442224"/>
      <w:bookmarkStart w:id="282" w:name="_Toc67952285"/>
      <w:r>
        <w:rPr>
          <w:lang w:val="en-GB"/>
        </w:rPr>
        <w:t xml:space="preserve">Table </w:t>
      </w:r>
      <w:r w:rsidR="00933553">
        <w:rPr>
          <w:lang w:val="en-GB"/>
        </w:rPr>
        <w:t>C</w:t>
      </w:r>
      <w:r>
        <w:rPr>
          <w:lang w:val="en-GB"/>
        </w:rPr>
        <w:t>.</w:t>
      </w:r>
      <w:r w:rsidR="000B2CCD" w:rsidRPr="00C33C0B">
        <w:rPr>
          <w:lang w:val="en-GB"/>
        </w:rPr>
        <w:t xml:space="preserve">4: </w:t>
      </w:r>
      <w:r w:rsidR="00D404D8">
        <w:rPr>
          <w:lang w:val="en-GB"/>
        </w:rPr>
        <w:t>U</w:t>
      </w:r>
      <w:r w:rsidR="000B2CCD" w:rsidRPr="00C33C0B">
        <w:rPr>
          <w:lang w:val="en-GB"/>
        </w:rPr>
        <w:t xml:space="preserve">se of data to </w:t>
      </w:r>
      <w:r w:rsidR="001F6CB0">
        <w:rPr>
          <w:lang w:val="en-GB"/>
        </w:rPr>
        <w:t>inform</w:t>
      </w:r>
      <w:r w:rsidR="00D404D8">
        <w:rPr>
          <w:lang w:val="en-GB"/>
        </w:rPr>
        <w:t xml:space="preserve"> quality care and</w:t>
      </w:r>
      <w:r w:rsidR="00D404D8" w:rsidRPr="00C33C0B">
        <w:rPr>
          <w:lang w:val="en-GB"/>
        </w:rPr>
        <w:t xml:space="preserve"> </w:t>
      </w:r>
      <w:r w:rsidR="000B2CCD" w:rsidRPr="00C33C0B">
        <w:rPr>
          <w:lang w:val="en-GB"/>
        </w:rPr>
        <w:t>patient choice</w:t>
      </w:r>
      <w:bookmarkEnd w:id="281"/>
      <w:bookmarkEnd w:id="282"/>
      <w:r w:rsidR="000B2CCD" w:rsidRPr="00C33C0B">
        <w:rPr>
          <w:lang w:val="en-GB"/>
        </w:rPr>
        <w:t xml:space="preserve"> </w:t>
      </w:r>
    </w:p>
    <w:tbl>
      <w:tblPr>
        <w:tblStyle w:val="GridTable4-Accent3"/>
        <w:tblW w:w="0" w:type="auto"/>
        <w:tblLook w:val="04A0" w:firstRow="1" w:lastRow="0" w:firstColumn="1" w:lastColumn="0" w:noHBand="0" w:noVBand="1"/>
        <w:tblDescription w:val="Appendix C - Use of data to inform quality care and patient choice working group membership. Table C.4 has 3 columns. Column 1 is the working group member. Column 2 is the member's position and/or organisation. Column 3 lists the member's declared conflicts of interests. "/>
      </w:tblPr>
      <w:tblGrid>
        <w:gridCol w:w="1696"/>
        <w:gridCol w:w="5245"/>
        <w:gridCol w:w="2309"/>
      </w:tblGrid>
      <w:tr w:rsidR="001671D2" w:rsidRPr="00C33C0B" w14:paraId="610CDC24"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0106D69" w14:textId="77777777" w:rsidR="000B2CCD" w:rsidRPr="00C33C0B" w:rsidRDefault="000B2CCD" w:rsidP="000C5F9D">
            <w:pPr>
              <w:pStyle w:val="Tableheading"/>
            </w:pPr>
            <w:r w:rsidRPr="00C33C0B">
              <w:t>Member</w:t>
            </w:r>
          </w:p>
        </w:tc>
        <w:tc>
          <w:tcPr>
            <w:tcW w:w="5245" w:type="dxa"/>
            <w:vAlign w:val="center"/>
          </w:tcPr>
          <w:p w14:paraId="21423222" w14:textId="77777777" w:rsidR="000B2CCD" w:rsidRPr="00C33C0B" w:rsidRDefault="000708D6" w:rsidP="000C5F9D">
            <w:pPr>
              <w:pStyle w:val="Tableheading"/>
              <w:cnfStyle w:val="100000000000" w:firstRow="1" w:lastRow="0" w:firstColumn="0" w:lastColumn="0" w:oddVBand="0" w:evenVBand="0" w:oddHBand="0" w:evenHBand="0" w:firstRowFirstColumn="0" w:firstRowLastColumn="0" w:lastRowFirstColumn="0" w:lastRowLastColumn="0"/>
            </w:pPr>
            <w:r>
              <w:t>Position/organisation</w:t>
            </w:r>
          </w:p>
        </w:tc>
        <w:tc>
          <w:tcPr>
            <w:tcW w:w="2309" w:type="dxa"/>
            <w:vAlign w:val="center"/>
          </w:tcPr>
          <w:p w14:paraId="038A05CB" w14:textId="77777777" w:rsidR="000B2CCD" w:rsidRPr="00C33C0B" w:rsidRDefault="000B2CCD" w:rsidP="000C5F9D">
            <w:pPr>
              <w:pStyle w:val="Tableheading"/>
              <w:cnfStyle w:val="100000000000" w:firstRow="1" w:lastRow="0" w:firstColumn="0" w:lastColumn="0" w:oddVBand="0" w:evenVBand="0" w:oddHBand="0" w:evenHBand="0" w:firstRowFirstColumn="0" w:firstRowLastColumn="0" w:lastRowFirstColumn="0" w:lastRowLastColumn="0"/>
            </w:pPr>
            <w:r w:rsidRPr="00C33C0B">
              <w:t xml:space="preserve">Declared </w:t>
            </w:r>
            <w:r w:rsidR="000708D6">
              <w:t>conflict</w:t>
            </w:r>
            <w:r w:rsidR="0064480D">
              <w:t>s</w:t>
            </w:r>
            <w:r w:rsidR="000708D6">
              <w:t xml:space="preserve"> of </w:t>
            </w:r>
            <w:r w:rsidRPr="00C33C0B">
              <w:t>interest</w:t>
            </w:r>
          </w:p>
        </w:tc>
      </w:tr>
      <w:tr w:rsidR="000B2CCD" w:rsidRPr="00C33C0B" w14:paraId="1BC9E558" w14:textId="77777777" w:rsidTr="008A5CDC">
        <w:tc>
          <w:tcPr>
            <w:cnfStyle w:val="001000000000" w:firstRow="0" w:lastRow="0" w:firstColumn="1" w:lastColumn="0" w:oddVBand="0" w:evenVBand="0" w:oddHBand="0" w:evenHBand="0" w:firstRowFirstColumn="0" w:firstRowLastColumn="0" w:lastRowFirstColumn="0" w:lastRowLastColumn="0"/>
            <w:tcW w:w="1696" w:type="dxa"/>
          </w:tcPr>
          <w:p w14:paraId="45662F0A" w14:textId="77777777" w:rsidR="000B2CCD" w:rsidRPr="00C33C0B" w:rsidRDefault="000B2CCD" w:rsidP="000C5F9D">
            <w:pPr>
              <w:pStyle w:val="Tabletext"/>
              <w:rPr>
                <w:lang w:val="en-GB"/>
              </w:rPr>
            </w:pPr>
            <w:r w:rsidRPr="00C33C0B">
              <w:rPr>
                <w:lang w:val="en-GB"/>
              </w:rPr>
              <w:t>Dr Eleanor Chew (Ex-Officio)</w:t>
            </w:r>
          </w:p>
        </w:tc>
        <w:tc>
          <w:tcPr>
            <w:tcW w:w="5245" w:type="dxa"/>
          </w:tcPr>
          <w:p w14:paraId="7C2763ED"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GP </w:t>
            </w:r>
            <w:r w:rsidR="00396147">
              <w:rPr>
                <w:lang w:val="en-GB"/>
              </w:rPr>
              <w:t>practising</w:t>
            </w:r>
            <w:r w:rsidR="00396147" w:rsidRPr="00C33C0B">
              <w:rPr>
                <w:lang w:val="en-GB"/>
              </w:rPr>
              <w:t xml:space="preserve"> </w:t>
            </w:r>
            <w:r w:rsidRPr="00C33C0B">
              <w:rPr>
                <w:lang w:val="en-GB"/>
              </w:rPr>
              <w:t>in Brisbane</w:t>
            </w:r>
            <w:r w:rsidR="00E43B94">
              <w:rPr>
                <w:lang w:val="en-GB"/>
              </w:rPr>
              <w:t xml:space="preserve">; </w:t>
            </w:r>
            <w:r w:rsidRPr="00C33C0B">
              <w:rPr>
                <w:lang w:val="en-GB"/>
              </w:rPr>
              <w:t xml:space="preserve">Member of the MBS </w:t>
            </w:r>
            <w:r w:rsidR="00BC1CFB">
              <w:rPr>
                <w:lang w:val="en-GB"/>
              </w:rPr>
              <w:t>R</w:t>
            </w:r>
            <w:r w:rsidRPr="00C33C0B">
              <w:rPr>
                <w:lang w:val="en-GB"/>
              </w:rPr>
              <w:t>eview Principles and Rules</w:t>
            </w:r>
            <w:r w:rsidR="00BC1CFB">
              <w:rPr>
                <w:lang w:val="en-GB"/>
              </w:rPr>
              <w:t xml:space="preserve"> Committee</w:t>
            </w:r>
            <w:r w:rsidRPr="00C33C0B">
              <w:rPr>
                <w:lang w:val="en-GB"/>
              </w:rPr>
              <w:t xml:space="preserve"> (PARC) and GP and Primary Care Clinical Committee</w:t>
            </w:r>
          </w:p>
        </w:tc>
        <w:tc>
          <w:tcPr>
            <w:tcW w:w="2309" w:type="dxa"/>
          </w:tcPr>
          <w:p w14:paraId="0E317E60"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MBS </w:t>
            </w:r>
            <w:r w:rsidR="00F47E64">
              <w:rPr>
                <w:lang w:val="en-GB"/>
              </w:rPr>
              <w:t>T</w:t>
            </w:r>
            <w:r w:rsidRPr="00C33C0B">
              <w:rPr>
                <w:lang w:val="en-GB"/>
              </w:rPr>
              <w:t>askforce</w:t>
            </w:r>
            <w:r w:rsidR="00FD7B4D">
              <w:rPr>
                <w:lang w:val="en-GB"/>
              </w:rPr>
              <w:t xml:space="preserve">; </w:t>
            </w:r>
            <w:r w:rsidRPr="00C33C0B">
              <w:rPr>
                <w:lang w:val="en-GB"/>
              </w:rPr>
              <w:t xml:space="preserve">Board </w:t>
            </w:r>
            <w:r w:rsidR="00FD7B4D">
              <w:rPr>
                <w:lang w:val="en-GB"/>
              </w:rPr>
              <w:t>M</w:t>
            </w:r>
            <w:r w:rsidRPr="00C33C0B">
              <w:rPr>
                <w:lang w:val="en-GB"/>
              </w:rPr>
              <w:t xml:space="preserve">ember of </w:t>
            </w:r>
            <w:r w:rsidR="00F47E64">
              <w:rPr>
                <w:lang w:val="en-GB"/>
              </w:rPr>
              <w:t xml:space="preserve">the </w:t>
            </w:r>
            <w:r w:rsidRPr="00C33C0B">
              <w:rPr>
                <w:lang w:val="en-GB"/>
              </w:rPr>
              <w:t>Australian Digital Health Agency</w:t>
            </w:r>
            <w:r w:rsidR="00FD7B4D">
              <w:rPr>
                <w:lang w:val="en-GB"/>
              </w:rPr>
              <w:t xml:space="preserve">; </w:t>
            </w:r>
            <w:r w:rsidRPr="00C33C0B">
              <w:rPr>
                <w:lang w:val="en-GB"/>
              </w:rPr>
              <w:t xml:space="preserve">Member of </w:t>
            </w:r>
            <w:r w:rsidR="00F47E64">
              <w:rPr>
                <w:lang w:val="en-GB"/>
              </w:rPr>
              <w:t xml:space="preserve">the </w:t>
            </w:r>
            <w:r w:rsidRPr="00C33C0B">
              <w:rPr>
                <w:lang w:val="en-GB"/>
              </w:rPr>
              <w:t>Professional Services Review Panel</w:t>
            </w:r>
            <w:r w:rsidR="00FD7B4D">
              <w:rPr>
                <w:lang w:val="en-GB"/>
              </w:rPr>
              <w:t>;</w:t>
            </w:r>
            <w:r w:rsidRPr="00C33C0B">
              <w:rPr>
                <w:lang w:val="en-GB"/>
              </w:rPr>
              <w:t xml:space="preserve"> Member of </w:t>
            </w:r>
            <w:r w:rsidR="00F47E64">
              <w:rPr>
                <w:lang w:val="en-GB"/>
              </w:rPr>
              <w:t xml:space="preserve">the </w:t>
            </w:r>
            <w:r w:rsidRPr="00C33C0B">
              <w:rPr>
                <w:lang w:val="en-GB"/>
              </w:rPr>
              <w:t>A</w:t>
            </w:r>
            <w:r w:rsidR="00505FF1">
              <w:rPr>
                <w:lang w:val="en-GB"/>
              </w:rPr>
              <w:t>H</w:t>
            </w:r>
            <w:r w:rsidRPr="00C33C0B">
              <w:rPr>
                <w:lang w:val="en-GB"/>
              </w:rPr>
              <w:t>PRA panel</w:t>
            </w:r>
          </w:p>
        </w:tc>
      </w:tr>
      <w:tr w:rsidR="000B2CCD" w:rsidRPr="00C33C0B" w14:paraId="4B6E5E74" w14:textId="77777777" w:rsidTr="008A5CDC">
        <w:tc>
          <w:tcPr>
            <w:cnfStyle w:val="001000000000" w:firstRow="0" w:lastRow="0" w:firstColumn="1" w:lastColumn="0" w:oddVBand="0" w:evenVBand="0" w:oddHBand="0" w:evenHBand="0" w:firstRowFirstColumn="0" w:firstRowLastColumn="0" w:lastRowFirstColumn="0" w:lastRowLastColumn="0"/>
            <w:tcW w:w="1696" w:type="dxa"/>
          </w:tcPr>
          <w:p w14:paraId="2B702ADA" w14:textId="612A882A" w:rsidR="000B2CCD" w:rsidRPr="00C33C0B" w:rsidRDefault="000B2CCD" w:rsidP="000C5F9D">
            <w:pPr>
              <w:pStyle w:val="Tabletext"/>
              <w:rPr>
                <w:lang w:val="en-GB"/>
              </w:rPr>
            </w:pPr>
            <w:r w:rsidRPr="00C33C0B">
              <w:rPr>
                <w:lang w:val="en-GB"/>
              </w:rPr>
              <w:t>D</w:t>
            </w:r>
            <w:r w:rsidR="00396147">
              <w:rPr>
                <w:lang w:val="en-GB"/>
              </w:rPr>
              <w:t>r</w:t>
            </w:r>
            <w:r w:rsidRPr="00C33C0B">
              <w:rPr>
                <w:lang w:val="en-GB"/>
              </w:rPr>
              <w:t xml:space="preserve"> John North</w:t>
            </w:r>
          </w:p>
        </w:tc>
        <w:tc>
          <w:tcPr>
            <w:tcW w:w="5245" w:type="dxa"/>
          </w:tcPr>
          <w:p w14:paraId="0928A46C"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Senior </w:t>
            </w:r>
            <w:r w:rsidR="001F4ED5">
              <w:rPr>
                <w:lang w:val="en-GB"/>
              </w:rPr>
              <w:t>V</w:t>
            </w:r>
            <w:r w:rsidRPr="00C33C0B">
              <w:rPr>
                <w:lang w:val="en-GB"/>
              </w:rPr>
              <w:t xml:space="preserve">isiting </w:t>
            </w:r>
            <w:r w:rsidR="001F4ED5">
              <w:rPr>
                <w:lang w:val="en-GB"/>
              </w:rPr>
              <w:t>O</w:t>
            </w:r>
            <w:r w:rsidRPr="00C33C0B">
              <w:rPr>
                <w:lang w:val="en-GB"/>
              </w:rPr>
              <w:t xml:space="preserve">rthopaedic </w:t>
            </w:r>
            <w:r w:rsidR="001F4ED5">
              <w:rPr>
                <w:lang w:val="en-GB"/>
              </w:rPr>
              <w:t>S</w:t>
            </w:r>
            <w:r w:rsidRPr="00C33C0B">
              <w:rPr>
                <w:lang w:val="en-GB"/>
              </w:rPr>
              <w:t>urgeon</w:t>
            </w:r>
            <w:r w:rsidR="001F4ED5">
              <w:rPr>
                <w:lang w:val="en-GB"/>
              </w:rPr>
              <w:t>,</w:t>
            </w:r>
            <w:r w:rsidRPr="00C33C0B">
              <w:rPr>
                <w:lang w:val="en-GB"/>
              </w:rPr>
              <w:t xml:space="preserve"> </w:t>
            </w:r>
            <w:r w:rsidRPr="001F4ED5">
              <w:rPr>
                <w:lang w:val="en-GB"/>
              </w:rPr>
              <w:t>Princess Alexandra Hospital</w:t>
            </w:r>
            <w:r w:rsidR="001F4ED5">
              <w:rPr>
                <w:lang w:val="en-GB"/>
              </w:rPr>
              <w:t>,</w:t>
            </w:r>
            <w:r w:rsidRPr="001F4ED5">
              <w:rPr>
                <w:lang w:val="en-GB"/>
              </w:rPr>
              <w:t xml:space="preserve"> Brisbane</w:t>
            </w:r>
            <w:r w:rsidR="004F73A6">
              <w:rPr>
                <w:lang w:val="en-GB"/>
              </w:rPr>
              <w:t>;</w:t>
            </w:r>
            <w:r w:rsidRPr="001F4ED5">
              <w:rPr>
                <w:lang w:val="en-GB"/>
              </w:rPr>
              <w:t xml:space="preserve"> </w:t>
            </w:r>
            <w:r w:rsidRPr="00C33C0B">
              <w:rPr>
                <w:lang w:val="en-GB"/>
              </w:rPr>
              <w:t xml:space="preserve">Senior </w:t>
            </w:r>
            <w:r w:rsidR="001F4ED5">
              <w:rPr>
                <w:lang w:val="en-GB"/>
              </w:rPr>
              <w:t>V</w:t>
            </w:r>
            <w:r w:rsidRPr="00C33C0B">
              <w:rPr>
                <w:lang w:val="en-GB"/>
              </w:rPr>
              <w:t xml:space="preserve">isiting </w:t>
            </w:r>
            <w:r w:rsidR="001F4ED5">
              <w:rPr>
                <w:lang w:val="en-GB"/>
              </w:rPr>
              <w:t>O</w:t>
            </w:r>
            <w:r w:rsidRPr="00C33C0B">
              <w:rPr>
                <w:lang w:val="en-GB"/>
              </w:rPr>
              <w:t xml:space="preserve">rthopaedic </w:t>
            </w:r>
            <w:r w:rsidR="001F4ED5">
              <w:rPr>
                <w:lang w:val="en-GB"/>
              </w:rPr>
              <w:t>S</w:t>
            </w:r>
            <w:r w:rsidRPr="00C33C0B">
              <w:rPr>
                <w:lang w:val="en-GB"/>
              </w:rPr>
              <w:t>urgeon (Telehealth)</w:t>
            </w:r>
            <w:r w:rsidR="001F4ED5">
              <w:rPr>
                <w:lang w:val="en-GB"/>
              </w:rPr>
              <w:t>,</w:t>
            </w:r>
            <w:r w:rsidRPr="00C33C0B">
              <w:rPr>
                <w:lang w:val="en-GB"/>
              </w:rPr>
              <w:t xml:space="preserve"> Mt Isa Hospital and NWHHS</w:t>
            </w:r>
            <w:r w:rsidR="004F73A6">
              <w:rPr>
                <w:lang w:val="en-GB"/>
              </w:rPr>
              <w:t xml:space="preserve">; </w:t>
            </w:r>
            <w:r w:rsidRPr="00C33C0B">
              <w:rPr>
                <w:lang w:val="en-GB"/>
              </w:rPr>
              <w:t>Chair of the MBS Review Orthopaedic Committee</w:t>
            </w:r>
          </w:p>
        </w:tc>
        <w:tc>
          <w:tcPr>
            <w:tcW w:w="2309" w:type="dxa"/>
          </w:tcPr>
          <w:p w14:paraId="773871B0" w14:textId="77777777" w:rsidR="000B2CCD" w:rsidRPr="00367F67"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Panel member for A</w:t>
            </w:r>
            <w:r w:rsidR="00505FF1">
              <w:rPr>
                <w:lang w:val="en-GB"/>
              </w:rPr>
              <w:t>H</w:t>
            </w:r>
            <w:r w:rsidRPr="00C33C0B">
              <w:rPr>
                <w:lang w:val="en-GB"/>
              </w:rPr>
              <w:t>PRA</w:t>
            </w:r>
          </w:p>
        </w:tc>
      </w:tr>
      <w:tr w:rsidR="000B2CCD" w:rsidRPr="00C33C0B" w14:paraId="2A0C50F8" w14:textId="77777777" w:rsidTr="008A5CDC">
        <w:tc>
          <w:tcPr>
            <w:cnfStyle w:val="001000000000" w:firstRow="0" w:lastRow="0" w:firstColumn="1" w:lastColumn="0" w:oddVBand="0" w:evenVBand="0" w:oddHBand="0" w:evenHBand="0" w:firstRowFirstColumn="0" w:firstRowLastColumn="0" w:lastRowFirstColumn="0" w:lastRowLastColumn="0"/>
            <w:tcW w:w="1696" w:type="dxa"/>
          </w:tcPr>
          <w:p w14:paraId="642A692C" w14:textId="77777777" w:rsidR="000B2CCD" w:rsidRPr="00C33C0B" w:rsidRDefault="000B2CCD" w:rsidP="000C5F9D">
            <w:pPr>
              <w:pStyle w:val="Tabletext"/>
              <w:rPr>
                <w:lang w:val="en-GB"/>
              </w:rPr>
            </w:pPr>
            <w:r w:rsidRPr="00C33C0B">
              <w:rPr>
                <w:lang w:val="en-GB"/>
              </w:rPr>
              <w:t>Prof</w:t>
            </w:r>
            <w:r w:rsidR="00396147">
              <w:rPr>
                <w:lang w:val="en-GB"/>
              </w:rPr>
              <w:t>.</w:t>
            </w:r>
            <w:r w:rsidRPr="00C33C0B">
              <w:rPr>
                <w:lang w:val="en-GB"/>
              </w:rPr>
              <w:t xml:space="preserve"> Graeme Samuel AC</w:t>
            </w:r>
          </w:p>
        </w:tc>
        <w:tc>
          <w:tcPr>
            <w:tcW w:w="5245" w:type="dxa"/>
          </w:tcPr>
          <w:p w14:paraId="4A119F71"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Non-clinician</w:t>
            </w:r>
            <w:r w:rsidR="004F73A6">
              <w:rPr>
                <w:lang w:val="en-GB"/>
              </w:rPr>
              <w:t xml:space="preserve">; </w:t>
            </w:r>
            <w:r w:rsidRPr="00C33C0B">
              <w:rPr>
                <w:lang w:val="en-GB"/>
              </w:rPr>
              <w:t>Professional Fellow in Monash University’s Business School and School of Public Health and Preventative Medicine</w:t>
            </w:r>
          </w:p>
        </w:tc>
        <w:tc>
          <w:tcPr>
            <w:tcW w:w="2309" w:type="dxa"/>
          </w:tcPr>
          <w:p w14:paraId="211E7F74" w14:textId="4D8A5866" w:rsidR="000B2CCD" w:rsidRPr="00C33C0B" w:rsidRDefault="00B46DC3"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4A1AB0">
              <w:rPr>
                <w:lang w:val="en-GB"/>
              </w:rPr>
              <w:t>Member of the Sub-Committee on Specialist Out of Pocket Fees; Chair of South East Melbourne Primary Health Network; Chair of Dementia Australia; Director and Minority Shar</w:t>
            </w:r>
            <w:r w:rsidR="005C2C5F">
              <w:rPr>
                <w:lang w:val="en-GB"/>
              </w:rPr>
              <w:t>e</w:t>
            </w:r>
            <w:r w:rsidRPr="004A1AB0">
              <w:rPr>
                <w:lang w:val="en-GB"/>
              </w:rPr>
              <w:t>holder of Mupharma Pty Ltd; Chair of Lorica Health Pty Ltd.</w:t>
            </w:r>
          </w:p>
        </w:tc>
      </w:tr>
    </w:tbl>
    <w:p w14:paraId="76C19895" w14:textId="5B0C9974" w:rsidR="000B2CCD" w:rsidRPr="00C33C0B" w:rsidRDefault="002355E9" w:rsidP="001671D2">
      <w:pPr>
        <w:pStyle w:val="Heading2"/>
        <w:numPr>
          <w:ilvl w:val="0"/>
          <w:numId w:val="0"/>
        </w:numPr>
        <w:rPr>
          <w:lang w:val="en-GB"/>
        </w:rPr>
      </w:pPr>
      <w:bookmarkStart w:id="283" w:name="_Toc521442225"/>
      <w:bookmarkStart w:id="284" w:name="_Toc67952286"/>
      <w:r>
        <w:rPr>
          <w:lang w:val="en-GB"/>
        </w:rPr>
        <w:t xml:space="preserve">Table </w:t>
      </w:r>
      <w:r w:rsidR="00933553">
        <w:rPr>
          <w:lang w:val="en-GB"/>
        </w:rPr>
        <w:t>C</w:t>
      </w:r>
      <w:r>
        <w:rPr>
          <w:lang w:val="en-GB"/>
        </w:rPr>
        <w:t>.</w:t>
      </w:r>
      <w:r w:rsidR="000B2CCD" w:rsidRPr="00C33C0B">
        <w:rPr>
          <w:lang w:val="en-GB"/>
        </w:rPr>
        <w:t xml:space="preserve">5: </w:t>
      </w:r>
      <w:r w:rsidR="00506ADC">
        <w:rPr>
          <w:lang w:val="en-GB"/>
        </w:rPr>
        <w:t>Encouraging</w:t>
      </w:r>
      <w:r w:rsidR="00506ADC" w:rsidRPr="00C33C0B">
        <w:rPr>
          <w:lang w:val="en-GB"/>
        </w:rPr>
        <w:t xml:space="preserve"> </w:t>
      </w:r>
      <w:r w:rsidR="000B2CCD" w:rsidRPr="00C33C0B">
        <w:rPr>
          <w:lang w:val="en-GB"/>
        </w:rPr>
        <w:t xml:space="preserve">use of </w:t>
      </w:r>
      <w:r w:rsidR="00337E9D" w:rsidRPr="00C33C0B">
        <w:rPr>
          <w:lang w:val="en-GB"/>
        </w:rPr>
        <w:t>case conferenc</w:t>
      </w:r>
      <w:bookmarkEnd w:id="283"/>
      <w:r w:rsidR="00337E9D" w:rsidRPr="00C33C0B">
        <w:rPr>
          <w:lang w:val="en-GB"/>
        </w:rPr>
        <w:t>e items</w:t>
      </w:r>
      <w:bookmarkEnd w:id="284"/>
      <w:r w:rsidR="000B2CCD" w:rsidRPr="00C33C0B">
        <w:rPr>
          <w:lang w:val="en-GB"/>
        </w:rPr>
        <w:t xml:space="preserve"> </w:t>
      </w:r>
    </w:p>
    <w:tbl>
      <w:tblPr>
        <w:tblStyle w:val="GridTable4-Accent3"/>
        <w:tblW w:w="0" w:type="auto"/>
        <w:tblLook w:val="04A0" w:firstRow="1" w:lastRow="0" w:firstColumn="1" w:lastColumn="0" w:noHBand="0" w:noVBand="1"/>
        <w:tblDescription w:val="Appendix c - Encouraging use of case conference items working group membership. Table C.5 has 3 columns. Column 1 is the working group member. Column 2 is the member's position and/or organisation. Column 3 lists the member's declared conflicts of interests. "/>
      </w:tblPr>
      <w:tblGrid>
        <w:gridCol w:w="1838"/>
        <w:gridCol w:w="5547"/>
        <w:gridCol w:w="1865"/>
      </w:tblGrid>
      <w:tr w:rsidR="001671D2" w:rsidRPr="00C33C0B" w14:paraId="7A52FC3E"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C07849C" w14:textId="77777777" w:rsidR="000B2CCD" w:rsidRPr="00C33C0B" w:rsidRDefault="000B2CCD" w:rsidP="000C5F9D">
            <w:pPr>
              <w:pStyle w:val="Tableheading"/>
            </w:pPr>
            <w:r w:rsidRPr="00C33C0B">
              <w:t>Member</w:t>
            </w:r>
          </w:p>
        </w:tc>
        <w:tc>
          <w:tcPr>
            <w:tcW w:w="5547" w:type="dxa"/>
            <w:vAlign w:val="center"/>
          </w:tcPr>
          <w:p w14:paraId="477757DF" w14:textId="77777777" w:rsidR="000B2CCD" w:rsidRPr="00C33C0B" w:rsidRDefault="00890B83" w:rsidP="000C5F9D">
            <w:pPr>
              <w:pStyle w:val="Tableheading"/>
              <w:cnfStyle w:val="100000000000" w:firstRow="1" w:lastRow="0" w:firstColumn="0" w:lastColumn="0" w:oddVBand="0" w:evenVBand="0" w:oddHBand="0" w:evenHBand="0" w:firstRowFirstColumn="0" w:firstRowLastColumn="0" w:lastRowFirstColumn="0" w:lastRowLastColumn="0"/>
            </w:pPr>
            <w:r>
              <w:t>Position/organisation</w:t>
            </w:r>
          </w:p>
        </w:tc>
        <w:tc>
          <w:tcPr>
            <w:tcW w:w="0" w:type="auto"/>
            <w:vAlign w:val="center"/>
          </w:tcPr>
          <w:p w14:paraId="4872E1F3" w14:textId="77777777" w:rsidR="000B2CCD" w:rsidRPr="00C33C0B" w:rsidRDefault="000B2CCD" w:rsidP="000C5F9D">
            <w:pPr>
              <w:pStyle w:val="Tableheading"/>
              <w:cnfStyle w:val="100000000000" w:firstRow="1" w:lastRow="0" w:firstColumn="0" w:lastColumn="0" w:oddVBand="0" w:evenVBand="0" w:oddHBand="0" w:evenHBand="0" w:firstRowFirstColumn="0" w:firstRowLastColumn="0" w:lastRowFirstColumn="0" w:lastRowLastColumn="0"/>
            </w:pPr>
            <w:r w:rsidRPr="00C33C0B">
              <w:t xml:space="preserve">Declared </w:t>
            </w:r>
            <w:r w:rsidR="00A12967">
              <w:t>conflict</w:t>
            </w:r>
            <w:r w:rsidR="00C352D4">
              <w:t>s</w:t>
            </w:r>
            <w:r w:rsidR="00A12967">
              <w:t xml:space="preserve"> of </w:t>
            </w:r>
            <w:r w:rsidRPr="00C33C0B">
              <w:t>interest</w:t>
            </w:r>
          </w:p>
        </w:tc>
      </w:tr>
      <w:tr w:rsidR="000B2CCD" w:rsidRPr="00C33C0B" w14:paraId="25BB0519" w14:textId="77777777" w:rsidTr="008A5CDC">
        <w:tc>
          <w:tcPr>
            <w:cnfStyle w:val="001000000000" w:firstRow="0" w:lastRow="0" w:firstColumn="1" w:lastColumn="0" w:oddVBand="0" w:evenVBand="0" w:oddHBand="0" w:evenHBand="0" w:firstRowFirstColumn="0" w:firstRowLastColumn="0" w:lastRowFirstColumn="0" w:lastRowLastColumn="0"/>
            <w:tcW w:w="1838" w:type="dxa"/>
          </w:tcPr>
          <w:p w14:paraId="5CA3D5FA" w14:textId="77777777" w:rsidR="000B2CCD" w:rsidRPr="00C33C0B" w:rsidRDefault="000B2CCD" w:rsidP="000C5F9D">
            <w:pPr>
              <w:pStyle w:val="Tabletext"/>
              <w:rPr>
                <w:lang w:val="en-GB"/>
              </w:rPr>
            </w:pPr>
            <w:r w:rsidRPr="00C33C0B">
              <w:rPr>
                <w:lang w:val="en-GB"/>
              </w:rPr>
              <w:t>Prof</w:t>
            </w:r>
            <w:r w:rsidR="003221B8">
              <w:rPr>
                <w:lang w:val="en-GB"/>
              </w:rPr>
              <w:t>.</w:t>
            </w:r>
            <w:r w:rsidRPr="00C33C0B">
              <w:rPr>
                <w:lang w:val="en-GB"/>
              </w:rPr>
              <w:t xml:space="preserve"> Derek Chew</w:t>
            </w:r>
          </w:p>
        </w:tc>
        <w:tc>
          <w:tcPr>
            <w:tcW w:w="5547" w:type="dxa"/>
          </w:tcPr>
          <w:p w14:paraId="1454B09D"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Director of Cardiology, Flinders Medical Centre and </w:t>
            </w:r>
            <w:r w:rsidR="003221B8">
              <w:rPr>
                <w:lang w:val="en-GB"/>
              </w:rPr>
              <w:t>A</w:t>
            </w:r>
            <w:r w:rsidRPr="00C33C0B">
              <w:rPr>
                <w:lang w:val="en-GB"/>
              </w:rPr>
              <w:t>cademic at Flinders University</w:t>
            </w:r>
            <w:r w:rsidR="007624B1">
              <w:rPr>
                <w:lang w:val="en-GB"/>
              </w:rPr>
              <w:t>;</w:t>
            </w:r>
            <w:r w:rsidRPr="00C33C0B">
              <w:rPr>
                <w:lang w:val="en-GB"/>
              </w:rPr>
              <w:t xml:space="preserve"> Committee </w:t>
            </w:r>
            <w:r w:rsidR="007624B1">
              <w:rPr>
                <w:lang w:val="en-GB"/>
              </w:rPr>
              <w:t>M</w:t>
            </w:r>
            <w:r w:rsidRPr="00C33C0B">
              <w:rPr>
                <w:lang w:val="en-GB"/>
              </w:rPr>
              <w:t>ember of the Cardiac Services Clinical Committee</w:t>
            </w:r>
          </w:p>
        </w:tc>
        <w:tc>
          <w:tcPr>
            <w:tcW w:w="0" w:type="auto"/>
          </w:tcPr>
          <w:p w14:paraId="100833E1"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r w:rsidR="000B2CCD" w:rsidRPr="00C33C0B" w14:paraId="361C2F97" w14:textId="77777777" w:rsidTr="008A5CDC">
        <w:tc>
          <w:tcPr>
            <w:cnfStyle w:val="001000000000" w:firstRow="0" w:lastRow="0" w:firstColumn="1" w:lastColumn="0" w:oddVBand="0" w:evenVBand="0" w:oddHBand="0" w:evenHBand="0" w:firstRowFirstColumn="0" w:firstRowLastColumn="0" w:lastRowFirstColumn="0" w:lastRowLastColumn="0"/>
            <w:tcW w:w="1838" w:type="dxa"/>
          </w:tcPr>
          <w:p w14:paraId="12BF5911" w14:textId="77777777" w:rsidR="000B2CCD" w:rsidRPr="00C33C0B" w:rsidRDefault="000B2CCD" w:rsidP="000C5F9D">
            <w:pPr>
              <w:pStyle w:val="Tabletext"/>
              <w:rPr>
                <w:lang w:val="en-GB"/>
              </w:rPr>
            </w:pPr>
            <w:r w:rsidRPr="00C33C0B">
              <w:rPr>
                <w:lang w:val="en-GB"/>
              </w:rPr>
              <w:t>Dr Steve De Graaf, Chair</w:t>
            </w:r>
          </w:p>
        </w:tc>
        <w:tc>
          <w:tcPr>
            <w:tcW w:w="5547" w:type="dxa"/>
          </w:tcPr>
          <w:p w14:paraId="51C89181"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Senior Rehabilitation Physician and Director of Pain Services, Epworth HealthCare</w:t>
            </w:r>
            <w:r w:rsidR="007624B1">
              <w:rPr>
                <w:lang w:val="en-GB"/>
              </w:rPr>
              <w:t xml:space="preserve">; </w:t>
            </w:r>
            <w:r w:rsidRPr="00C33C0B">
              <w:rPr>
                <w:lang w:val="en-GB"/>
              </w:rPr>
              <w:t>Past President, Australasian Faculty of Rehabilitation Medicine (RACP)</w:t>
            </w:r>
          </w:p>
        </w:tc>
        <w:tc>
          <w:tcPr>
            <w:tcW w:w="0" w:type="auto"/>
          </w:tcPr>
          <w:p w14:paraId="1682E1C6" w14:textId="77777777" w:rsidR="000B2CCD" w:rsidRPr="00C33C0B" w:rsidRDefault="00337E9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Wife is a</w:t>
            </w:r>
            <w:r w:rsidR="003221B8">
              <w:rPr>
                <w:lang w:val="en-GB"/>
              </w:rPr>
              <w:t>n</w:t>
            </w:r>
            <w:r w:rsidRPr="00C33C0B">
              <w:rPr>
                <w:lang w:val="en-GB"/>
              </w:rPr>
              <w:t xml:space="preserve"> </w:t>
            </w:r>
            <w:r w:rsidR="00D557D2">
              <w:rPr>
                <w:lang w:val="en-GB"/>
              </w:rPr>
              <w:t>a</w:t>
            </w:r>
            <w:r w:rsidRPr="00C33C0B">
              <w:rPr>
                <w:lang w:val="en-GB"/>
              </w:rPr>
              <w:t xml:space="preserve">llied </w:t>
            </w:r>
            <w:r w:rsidR="00D557D2">
              <w:rPr>
                <w:lang w:val="en-GB"/>
              </w:rPr>
              <w:t>h</w:t>
            </w:r>
            <w:r w:rsidRPr="00C33C0B">
              <w:rPr>
                <w:lang w:val="en-GB"/>
              </w:rPr>
              <w:t xml:space="preserve">ealth </w:t>
            </w:r>
            <w:r w:rsidR="00D557D2">
              <w:rPr>
                <w:lang w:val="en-GB"/>
              </w:rPr>
              <w:t>p</w:t>
            </w:r>
            <w:r w:rsidRPr="00C33C0B">
              <w:rPr>
                <w:lang w:val="en-GB"/>
              </w:rPr>
              <w:t>rofessional</w:t>
            </w:r>
          </w:p>
        </w:tc>
      </w:tr>
      <w:tr w:rsidR="000B2CCD" w:rsidRPr="00C33C0B" w14:paraId="3E8F95F0" w14:textId="77777777" w:rsidTr="008A5CDC">
        <w:tc>
          <w:tcPr>
            <w:cnfStyle w:val="001000000000" w:firstRow="0" w:lastRow="0" w:firstColumn="1" w:lastColumn="0" w:oddVBand="0" w:evenVBand="0" w:oddHBand="0" w:evenHBand="0" w:firstRowFirstColumn="0" w:firstRowLastColumn="0" w:lastRowFirstColumn="0" w:lastRowLastColumn="0"/>
            <w:tcW w:w="1838" w:type="dxa"/>
          </w:tcPr>
          <w:p w14:paraId="725A7258" w14:textId="77777777" w:rsidR="000B2CCD" w:rsidRPr="00C33C0B" w:rsidRDefault="000B2CCD" w:rsidP="000C5F9D">
            <w:pPr>
              <w:pStyle w:val="Tabletext"/>
              <w:rPr>
                <w:lang w:val="en-GB"/>
              </w:rPr>
            </w:pPr>
            <w:r w:rsidRPr="00C33C0B">
              <w:rPr>
                <w:lang w:val="en-GB"/>
              </w:rPr>
              <w:t>Mr Adam Friederich</w:t>
            </w:r>
          </w:p>
        </w:tc>
        <w:tc>
          <w:tcPr>
            <w:tcW w:w="5547" w:type="dxa"/>
          </w:tcPr>
          <w:p w14:paraId="12E1868B" w14:textId="77777777" w:rsidR="000B2CCD" w:rsidRPr="004F5595"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Consumer </w:t>
            </w:r>
            <w:r w:rsidR="003221B8">
              <w:rPr>
                <w:lang w:val="en-GB"/>
              </w:rPr>
              <w:t>R</w:t>
            </w:r>
            <w:r w:rsidRPr="00C33C0B">
              <w:rPr>
                <w:lang w:val="en-GB"/>
              </w:rPr>
              <w:t>epresentative</w:t>
            </w:r>
            <w:r w:rsidR="00D557D2">
              <w:rPr>
                <w:lang w:val="en-GB"/>
              </w:rPr>
              <w:t xml:space="preserve">; </w:t>
            </w:r>
            <w:r w:rsidRPr="00C33C0B">
              <w:rPr>
                <w:lang w:val="en-GB"/>
              </w:rPr>
              <w:t xml:space="preserve">Works in </w:t>
            </w:r>
            <w:r w:rsidR="003221B8">
              <w:rPr>
                <w:lang w:val="en-GB"/>
              </w:rPr>
              <w:t xml:space="preserve">the </w:t>
            </w:r>
            <w:r w:rsidRPr="00C33C0B">
              <w:rPr>
                <w:lang w:val="en-GB"/>
              </w:rPr>
              <w:t>Australian public service</w:t>
            </w:r>
            <w:r w:rsidR="00D557D2">
              <w:rPr>
                <w:lang w:val="en-GB"/>
              </w:rPr>
              <w:t xml:space="preserve">; </w:t>
            </w:r>
            <w:r w:rsidRPr="00C33C0B">
              <w:rPr>
                <w:lang w:val="en-GB"/>
              </w:rPr>
              <w:t>Strong interest in health consumer issues</w:t>
            </w:r>
            <w:r w:rsidR="00D557D2">
              <w:rPr>
                <w:lang w:val="en-GB"/>
              </w:rPr>
              <w:t xml:space="preserve">; </w:t>
            </w:r>
            <w:r w:rsidRPr="004F5595">
              <w:rPr>
                <w:lang w:val="en-GB"/>
              </w:rPr>
              <w:t xml:space="preserve">Served on other committees for the MBS </w:t>
            </w:r>
            <w:r w:rsidR="004F5595">
              <w:rPr>
                <w:lang w:val="en-GB"/>
              </w:rPr>
              <w:t>R</w:t>
            </w:r>
            <w:r w:rsidRPr="004F5595">
              <w:rPr>
                <w:lang w:val="en-GB"/>
              </w:rPr>
              <w:t>eview</w:t>
            </w:r>
          </w:p>
        </w:tc>
        <w:tc>
          <w:tcPr>
            <w:tcW w:w="0" w:type="auto"/>
          </w:tcPr>
          <w:p w14:paraId="70F33D9D"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color w:val="222222"/>
                <w:lang w:val="en-GB"/>
              </w:rPr>
              <w:t>None</w:t>
            </w:r>
          </w:p>
        </w:tc>
      </w:tr>
      <w:tr w:rsidR="000B2CCD" w:rsidRPr="00C33C0B" w14:paraId="4B2470FB" w14:textId="77777777" w:rsidTr="008A5CDC">
        <w:tc>
          <w:tcPr>
            <w:cnfStyle w:val="001000000000" w:firstRow="0" w:lastRow="0" w:firstColumn="1" w:lastColumn="0" w:oddVBand="0" w:evenVBand="0" w:oddHBand="0" w:evenHBand="0" w:firstRowFirstColumn="0" w:firstRowLastColumn="0" w:lastRowFirstColumn="0" w:lastRowLastColumn="0"/>
            <w:tcW w:w="1838" w:type="dxa"/>
          </w:tcPr>
          <w:p w14:paraId="2577F33A" w14:textId="77777777" w:rsidR="000B2CCD" w:rsidRPr="00C33C0B" w:rsidRDefault="000B2CCD" w:rsidP="000C5F9D">
            <w:pPr>
              <w:pStyle w:val="Tabletext"/>
              <w:rPr>
                <w:lang w:val="en-GB"/>
              </w:rPr>
            </w:pPr>
            <w:r w:rsidRPr="00C33C0B">
              <w:rPr>
                <w:lang w:val="en-GB"/>
              </w:rPr>
              <w:t>Dr Julie Thompson</w:t>
            </w:r>
          </w:p>
        </w:tc>
        <w:tc>
          <w:tcPr>
            <w:tcW w:w="5547" w:type="dxa"/>
          </w:tcPr>
          <w:p w14:paraId="05BAC626"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General Practitioner in Victoria</w:t>
            </w:r>
          </w:p>
        </w:tc>
        <w:tc>
          <w:tcPr>
            <w:tcW w:w="0" w:type="auto"/>
          </w:tcPr>
          <w:p w14:paraId="69505D9E" w14:textId="77777777" w:rsidR="000B2CCD" w:rsidRPr="00C33C0B" w:rsidRDefault="000B2CCD"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bl>
    <w:p w14:paraId="500F2D51" w14:textId="484ABB90" w:rsidR="000B2CCD" w:rsidRPr="00C33C0B" w:rsidRDefault="002355E9" w:rsidP="002345D8">
      <w:pPr>
        <w:pStyle w:val="Heading2"/>
        <w:numPr>
          <w:ilvl w:val="0"/>
          <w:numId w:val="0"/>
        </w:numPr>
        <w:rPr>
          <w:lang w:val="en-GB"/>
        </w:rPr>
      </w:pPr>
      <w:bookmarkStart w:id="285" w:name="_Toc521442226"/>
      <w:bookmarkStart w:id="286" w:name="_Toc67952287"/>
      <w:r>
        <w:rPr>
          <w:lang w:val="en-GB"/>
        </w:rPr>
        <w:t xml:space="preserve">Table </w:t>
      </w:r>
      <w:r w:rsidR="00933553">
        <w:rPr>
          <w:lang w:val="en-GB"/>
        </w:rPr>
        <w:t>C</w:t>
      </w:r>
      <w:r>
        <w:rPr>
          <w:lang w:val="en-GB"/>
        </w:rPr>
        <w:t>.</w:t>
      </w:r>
      <w:r w:rsidR="000B2CCD" w:rsidRPr="00C33C0B">
        <w:rPr>
          <w:lang w:val="en-GB"/>
        </w:rPr>
        <w:t xml:space="preserve">6: Acute </w:t>
      </w:r>
      <w:bookmarkEnd w:id="285"/>
      <w:r w:rsidR="005E6B44" w:rsidRPr="00C33C0B">
        <w:rPr>
          <w:lang w:val="en-GB"/>
        </w:rPr>
        <w:t>attendances</w:t>
      </w:r>
      <w:bookmarkEnd w:id="286"/>
    </w:p>
    <w:tbl>
      <w:tblPr>
        <w:tblStyle w:val="GridTable4-Accent3"/>
        <w:tblW w:w="0" w:type="auto"/>
        <w:tblLook w:val="04A0" w:firstRow="1" w:lastRow="0" w:firstColumn="1" w:lastColumn="0" w:noHBand="0" w:noVBand="1"/>
        <w:tblDescription w:val="Appendix C - Acute attendances working group membership. Table C.6 has 3 columns. Column 1 is the working group member. Column 2 is the member's position and/or organisation. Column 3 lists the member's declared conflicts of interests. "/>
      </w:tblPr>
      <w:tblGrid>
        <w:gridCol w:w="1838"/>
        <w:gridCol w:w="5387"/>
        <w:gridCol w:w="2025"/>
      </w:tblGrid>
      <w:tr w:rsidR="00995E1F" w:rsidRPr="00C33C0B" w14:paraId="35F01F77" w14:textId="77777777" w:rsidTr="008A5CD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14A57FC" w14:textId="77777777" w:rsidR="00995E1F" w:rsidRPr="00C33C0B" w:rsidRDefault="00995E1F" w:rsidP="000C5F9D">
            <w:pPr>
              <w:pStyle w:val="Tableheading"/>
            </w:pPr>
            <w:r w:rsidRPr="00C33C0B">
              <w:t>Member</w:t>
            </w:r>
          </w:p>
        </w:tc>
        <w:tc>
          <w:tcPr>
            <w:tcW w:w="5387" w:type="dxa"/>
            <w:vAlign w:val="center"/>
          </w:tcPr>
          <w:p w14:paraId="4C1E5D66" w14:textId="77777777" w:rsidR="00995E1F" w:rsidRPr="00C33C0B" w:rsidRDefault="00EF3655" w:rsidP="000C5F9D">
            <w:pPr>
              <w:pStyle w:val="Tableheading"/>
              <w:cnfStyle w:val="100000000000" w:firstRow="1" w:lastRow="0" w:firstColumn="0" w:lastColumn="0" w:oddVBand="0" w:evenVBand="0" w:oddHBand="0" w:evenHBand="0" w:firstRowFirstColumn="0" w:firstRowLastColumn="0" w:lastRowFirstColumn="0" w:lastRowLastColumn="0"/>
            </w:pPr>
            <w:r>
              <w:t>Position/organisation</w:t>
            </w:r>
          </w:p>
        </w:tc>
        <w:tc>
          <w:tcPr>
            <w:tcW w:w="2025" w:type="dxa"/>
            <w:vAlign w:val="center"/>
          </w:tcPr>
          <w:p w14:paraId="43F1FFD3" w14:textId="77777777" w:rsidR="00995E1F" w:rsidRPr="00C33C0B" w:rsidRDefault="00995E1F" w:rsidP="000C5F9D">
            <w:pPr>
              <w:pStyle w:val="Tableheading"/>
              <w:cnfStyle w:val="100000000000" w:firstRow="1" w:lastRow="0" w:firstColumn="0" w:lastColumn="0" w:oddVBand="0" w:evenVBand="0" w:oddHBand="0" w:evenHBand="0" w:firstRowFirstColumn="0" w:firstRowLastColumn="0" w:lastRowFirstColumn="0" w:lastRowLastColumn="0"/>
            </w:pPr>
            <w:r w:rsidRPr="00C33C0B">
              <w:t>Declared</w:t>
            </w:r>
            <w:r w:rsidR="00EF3655">
              <w:t xml:space="preserve"> conflict</w:t>
            </w:r>
            <w:r w:rsidR="00FE670C">
              <w:t>s</w:t>
            </w:r>
            <w:r w:rsidR="00EF3655">
              <w:t xml:space="preserve"> of</w:t>
            </w:r>
            <w:r w:rsidRPr="00C33C0B">
              <w:t xml:space="preserve"> interest</w:t>
            </w:r>
          </w:p>
        </w:tc>
      </w:tr>
      <w:tr w:rsidR="00995E1F" w:rsidRPr="00C33C0B" w14:paraId="22770920" w14:textId="77777777" w:rsidTr="008A5CDC">
        <w:tc>
          <w:tcPr>
            <w:cnfStyle w:val="001000000000" w:firstRow="0" w:lastRow="0" w:firstColumn="1" w:lastColumn="0" w:oddVBand="0" w:evenVBand="0" w:oddHBand="0" w:evenHBand="0" w:firstRowFirstColumn="0" w:firstRowLastColumn="0" w:lastRowFirstColumn="0" w:lastRowLastColumn="0"/>
            <w:tcW w:w="1838" w:type="dxa"/>
          </w:tcPr>
          <w:p w14:paraId="57F3DB97" w14:textId="77777777" w:rsidR="00995E1F" w:rsidRPr="00C33C0B" w:rsidRDefault="00995E1F" w:rsidP="000C5F9D">
            <w:pPr>
              <w:pStyle w:val="Tabletext"/>
              <w:rPr>
                <w:lang w:val="en-GB"/>
              </w:rPr>
            </w:pPr>
            <w:r w:rsidRPr="00C33C0B">
              <w:rPr>
                <w:lang w:val="en-GB"/>
              </w:rPr>
              <w:t>Prof</w:t>
            </w:r>
            <w:r w:rsidR="00C5215F">
              <w:rPr>
                <w:lang w:val="en-GB"/>
              </w:rPr>
              <w:t>.</w:t>
            </w:r>
            <w:r w:rsidRPr="00C33C0B">
              <w:rPr>
                <w:lang w:val="en-GB"/>
              </w:rPr>
              <w:t xml:space="preserve"> Derek Chew</w:t>
            </w:r>
          </w:p>
        </w:tc>
        <w:tc>
          <w:tcPr>
            <w:tcW w:w="5387" w:type="dxa"/>
          </w:tcPr>
          <w:p w14:paraId="413C1502" w14:textId="77777777" w:rsidR="00995E1F" w:rsidRPr="00C33C0B" w:rsidRDefault="00995E1F"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Director of Cardiology, Flinders Medical Centre and </w:t>
            </w:r>
            <w:r w:rsidR="00C5215F">
              <w:rPr>
                <w:lang w:val="en-GB"/>
              </w:rPr>
              <w:t>A</w:t>
            </w:r>
            <w:r w:rsidRPr="00C33C0B">
              <w:rPr>
                <w:lang w:val="en-GB"/>
              </w:rPr>
              <w:t>cademic at Flinders University</w:t>
            </w:r>
            <w:r w:rsidR="00DA7B48">
              <w:rPr>
                <w:lang w:val="en-GB"/>
              </w:rPr>
              <w:t xml:space="preserve">; </w:t>
            </w:r>
            <w:r w:rsidRPr="00C33C0B">
              <w:rPr>
                <w:lang w:val="en-GB"/>
              </w:rPr>
              <w:t xml:space="preserve">Committee </w:t>
            </w:r>
            <w:r w:rsidR="00DA7B48">
              <w:rPr>
                <w:lang w:val="en-GB"/>
              </w:rPr>
              <w:t>M</w:t>
            </w:r>
            <w:r w:rsidRPr="00C33C0B">
              <w:rPr>
                <w:lang w:val="en-GB"/>
              </w:rPr>
              <w:t>ember of the Cardiac Services Clinical Committee</w:t>
            </w:r>
          </w:p>
        </w:tc>
        <w:tc>
          <w:tcPr>
            <w:tcW w:w="2025" w:type="dxa"/>
          </w:tcPr>
          <w:p w14:paraId="38FECFCF" w14:textId="77777777" w:rsidR="00995E1F" w:rsidRPr="00C33C0B" w:rsidRDefault="00995E1F"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r w:rsidR="00995E1F" w:rsidRPr="00C33C0B" w14:paraId="4D47F1F3" w14:textId="77777777" w:rsidTr="008A5CDC">
        <w:tc>
          <w:tcPr>
            <w:cnfStyle w:val="001000000000" w:firstRow="0" w:lastRow="0" w:firstColumn="1" w:lastColumn="0" w:oddVBand="0" w:evenVBand="0" w:oddHBand="0" w:evenHBand="0" w:firstRowFirstColumn="0" w:firstRowLastColumn="0" w:lastRowFirstColumn="0" w:lastRowLastColumn="0"/>
            <w:tcW w:w="1838" w:type="dxa"/>
          </w:tcPr>
          <w:p w14:paraId="4BA5CAB2" w14:textId="77777777" w:rsidR="00995E1F" w:rsidRPr="00C33C0B" w:rsidRDefault="005E6B44" w:rsidP="000C5F9D">
            <w:pPr>
              <w:pStyle w:val="Tabletext"/>
              <w:rPr>
                <w:lang w:val="en-GB"/>
              </w:rPr>
            </w:pPr>
            <w:r w:rsidRPr="00C33C0B">
              <w:rPr>
                <w:lang w:val="en-GB"/>
              </w:rPr>
              <w:t>Dr</w:t>
            </w:r>
            <w:r w:rsidR="00995E1F" w:rsidRPr="00C33C0B">
              <w:rPr>
                <w:lang w:val="en-GB"/>
              </w:rPr>
              <w:t xml:space="preserve"> Robert Carroll</w:t>
            </w:r>
          </w:p>
        </w:tc>
        <w:tc>
          <w:tcPr>
            <w:tcW w:w="5387" w:type="dxa"/>
          </w:tcPr>
          <w:p w14:paraId="325DDFBD" w14:textId="77777777" w:rsidR="00995E1F" w:rsidRPr="00C33C0B" w:rsidRDefault="005E6B44"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Nephrologist, University of Adelaide</w:t>
            </w:r>
          </w:p>
        </w:tc>
        <w:tc>
          <w:tcPr>
            <w:tcW w:w="2025" w:type="dxa"/>
          </w:tcPr>
          <w:p w14:paraId="565D1DAA" w14:textId="77777777" w:rsidR="00995E1F" w:rsidRPr="00C33C0B" w:rsidRDefault="00995E1F"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r w:rsidR="005E6B44" w:rsidRPr="00C33C0B" w14:paraId="3A70BAC6" w14:textId="77777777" w:rsidTr="008A5CDC">
        <w:tc>
          <w:tcPr>
            <w:cnfStyle w:val="001000000000" w:firstRow="0" w:lastRow="0" w:firstColumn="1" w:lastColumn="0" w:oddVBand="0" w:evenVBand="0" w:oddHBand="0" w:evenHBand="0" w:firstRowFirstColumn="0" w:firstRowLastColumn="0" w:lastRowFirstColumn="0" w:lastRowLastColumn="0"/>
            <w:tcW w:w="1838" w:type="dxa"/>
          </w:tcPr>
          <w:p w14:paraId="5C19E665" w14:textId="77777777" w:rsidR="005E6B44" w:rsidRPr="00C33C0B" w:rsidRDefault="005E6B44" w:rsidP="000C5F9D">
            <w:pPr>
              <w:pStyle w:val="Tabletext"/>
              <w:rPr>
                <w:lang w:val="en-GB"/>
              </w:rPr>
            </w:pPr>
            <w:r w:rsidRPr="00C33C0B">
              <w:rPr>
                <w:lang w:val="en-GB"/>
              </w:rPr>
              <w:t>Prof</w:t>
            </w:r>
            <w:r w:rsidR="00C5215F">
              <w:rPr>
                <w:lang w:val="en-GB"/>
              </w:rPr>
              <w:t>.</w:t>
            </w:r>
            <w:r w:rsidRPr="00C33C0B">
              <w:rPr>
                <w:lang w:val="en-GB"/>
              </w:rPr>
              <w:t xml:space="preserve"> David Watters OBE</w:t>
            </w:r>
          </w:p>
        </w:tc>
        <w:tc>
          <w:tcPr>
            <w:tcW w:w="5387" w:type="dxa"/>
          </w:tcPr>
          <w:p w14:paraId="68A898D7" w14:textId="77777777" w:rsidR="005E6B44" w:rsidRPr="00C33C0B" w:rsidRDefault="005E6B44"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Chair of Surgical and Critical Care Program</w:t>
            </w:r>
            <w:r w:rsidR="00630271">
              <w:rPr>
                <w:lang w:val="en-GB"/>
              </w:rPr>
              <w:t>me</w:t>
            </w:r>
            <w:r w:rsidRPr="00C33C0B">
              <w:rPr>
                <w:lang w:val="en-GB"/>
              </w:rPr>
              <w:t xml:space="preserve"> Safety and Quality Committee</w:t>
            </w:r>
            <w:r w:rsidR="00DA7B48">
              <w:rPr>
                <w:lang w:val="en-GB"/>
              </w:rPr>
              <w:t xml:space="preserve">; </w:t>
            </w:r>
            <w:r w:rsidRPr="00C33C0B">
              <w:rPr>
                <w:lang w:val="en-GB"/>
              </w:rPr>
              <w:t>General and Endocrine Surgeon at University Hospital and St John of God Hospital</w:t>
            </w:r>
            <w:r w:rsidR="007526F1">
              <w:rPr>
                <w:lang w:val="en-GB"/>
              </w:rPr>
              <w:t>,</w:t>
            </w:r>
            <w:r w:rsidRPr="00C33C0B">
              <w:rPr>
                <w:lang w:val="en-GB"/>
              </w:rPr>
              <w:t xml:space="preserve"> Geelong</w:t>
            </w:r>
            <w:r w:rsidR="00DA7B48">
              <w:rPr>
                <w:lang w:val="en-GB"/>
              </w:rPr>
              <w:t xml:space="preserve">; </w:t>
            </w:r>
            <w:r w:rsidRPr="00C33C0B">
              <w:rPr>
                <w:lang w:val="en-GB"/>
              </w:rPr>
              <w:t>Professor of Surgery, Deakin University</w:t>
            </w:r>
          </w:p>
        </w:tc>
        <w:tc>
          <w:tcPr>
            <w:tcW w:w="2025" w:type="dxa"/>
          </w:tcPr>
          <w:p w14:paraId="26FC5C61" w14:textId="77777777" w:rsidR="005E6B44" w:rsidRPr="00C33C0B" w:rsidRDefault="005E6B44"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Member of </w:t>
            </w:r>
            <w:r w:rsidR="007526F1">
              <w:rPr>
                <w:lang w:val="en-GB"/>
              </w:rPr>
              <w:t xml:space="preserve">the </w:t>
            </w:r>
            <w:r w:rsidRPr="00C33C0B">
              <w:rPr>
                <w:lang w:val="en-GB"/>
              </w:rPr>
              <w:t>Clinical Measurement and Reporting Group for the Victorian Agency of Health Information (VAHI)</w:t>
            </w:r>
          </w:p>
        </w:tc>
      </w:tr>
    </w:tbl>
    <w:p w14:paraId="11BA06FD" w14:textId="5F254970" w:rsidR="00337E9D" w:rsidRPr="00C33C0B" w:rsidRDefault="002355E9" w:rsidP="00337E9D">
      <w:pPr>
        <w:pStyle w:val="Heading2"/>
        <w:numPr>
          <w:ilvl w:val="0"/>
          <w:numId w:val="0"/>
        </w:numPr>
        <w:rPr>
          <w:lang w:val="en-GB"/>
        </w:rPr>
      </w:pPr>
      <w:bookmarkStart w:id="287" w:name="_Toc67952288"/>
      <w:r>
        <w:rPr>
          <w:lang w:val="en-GB"/>
        </w:rPr>
        <w:t xml:space="preserve">Table </w:t>
      </w:r>
      <w:r w:rsidR="00933553">
        <w:rPr>
          <w:lang w:val="en-GB"/>
        </w:rPr>
        <w:t>C</w:t>
      </w:r>
      <w:r>
        <w:rPr>
          <w:lang w:val="en-GB"/>
        </w:rPr>
        <w:t>.</w:t>
      </w:r>
      <w:r w:rsidR="00337E9D" w:rsidRPr="00C33C0B">
        <w:rPr>
          <w:lang w:val="en-GB"/>
        </w:rPr>
        <w:t>7: Case conference cost-shifting</w:t>
      </w:r>
      <w:bookmarkEnd w:id="287"/>
    </w:p>
    <w:tbl>
      <w:tblPr>
        <w:tblStyle w:val="GridTable4-Accent3"/>
        <w:tblW w:w="0" w:type="auto"/>
        <w:tblLook w:val="04A0" w:firstRow="1" w:lastRow="0" w:firstColumn="1" w:lastColumn="0" w:noHBand="0" w:noVBand="1"/>
        <w:tblDescription w:val="Appendix C - Case conference cost-shifting working group membership. Table C.7 has 3 columns. Column 1 is the working group member. Column 2 is the member's position and/or organisation. Column 3 lists the member's declared conflicts of interests. "/>
      </w:tblPr>
      <w:tblGrid>
        <w:gridCol w:w="1838"/>
        <w:gridCol w:w="5551"/>
        <w:gridCol w:w="1861"/>
      </w:tblGrid>
      <w:tr w:rsidR="00337E9D" w:rsidRPr="00C33C0B" w14:paraId="7F3586DF"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8AACF36" w14:textId="77777777" w:rsidR="00337E9D" w:rsidRPr="00C33C0B" w:rsidRDefault="00337E9D" w:rsidP="000C5F9D">
            <w:pPr>
              <w:pStyle w:val="Tableheading"/>
            </w:pPr>
            <w:r w:rsidRPr="00C33C0B">
              <w:t>Member</w:t>
            </w:r>
          </w:p>
        </w:tc>
        <w:tc>
          <w:tcPr>
            <w:tcW w:w="5551" w:type="dxa"/>
            <w:vAlign w:val="center"/>
          </w:tcPr>
          <w:p w14:paraId="3BDC000B" w14:textId="77777777" w:rsidR="00337E9D" w:rsidRPr="00C33C0B" w:rsidRDefault="00D12D87" w:rsidP="000C5F9D">
            <w:pPr>
              <w:pStyle w:val="Tableheading"/>
              <w:cnfStyle w:val="100000000000" w:firstRow="1" w:lastRow="0" w:firstColumn="0" w:lastColumn="0" w:oddVBand="0" w:evenVBand="0" w:oddHBand="0" w:evenHBand="0" w:firstRowFirstColumn="0" w:firstRowLastColumn="0" w:lastRowFirstColumn="0" w:lastRowLastColumn="0"/>
            </w:pPr>
            <w:r>
              <w:t>Position/organisation</w:t>
            </w:r>
          </w:p>
        </w:tc>
        <w:tc>
          <w:tcPr>
            <w:tcW w:w="0" w:type="auto"/>
            <w:vAlign w:val="center"/>
          </w:tcPr>
          <w:p w14:paraId="01FA6D08" w14:textId="77777777" w:rsidR="00337E9D" w:rsidRPr="00C33C0B" w:rsidRDefault="00337E9D" w:rsidP="000C5F9D">
            <w:pPr>
              <w:pStyle w:val="Tableheading"/>
              <w:cnfStyle w:val="100000000000" w:firstRow="1" w:lastRow="0" w:firstColumn="0" w:lastColumn="0" w:oddVBand="0" w:evenVBand="0" w:oddHBand="0" w:evenHBand="0" w:firstRowFirstColumn="0" w:firstRowLastColumn="0" w:lastRowFirstColumn="0" w:lastRowLastColumn="0"/>
            </w:pPr>
            <w:r w:rsidRPr="00C33C0B">
              <w:t>Declared</w:t>
            </w:r>
            <w:r w:rsidR="00D12D87">
              <w:t xml:space="preserve"> conflict</w:t>
            </w:r>
            <w:r w:rsidR="006D36F2">
              <w:t xml:space="preserve">s </w:t>
            </w:r>
            <w:r w:rsidR="00D12D87">
              <w:t>of</w:t>
            </w:r>
            <w:r w:rsidRPr="00C33C0B">
              <w:t xml:space="preserve"> interest</w:t>
            </w:r>
          </w:p>
        </w:tc>
      </w:tr>
      <w:tr w:rsidR="00235E50" w:rsidRPr="00C33C0B" w14:paraId="120D42EF" w14:textId="77777777" w:rsidTr="008A5CDC">
        <w:tc>
          <w:tcPr>
            <w:cnfStyle w:val="001000000000" w:firstRow="0" w:lastRow="0" w:firstColumn="1" w:lastColumn="0" w:oddVBand="0" w:evenVBand="0" w:oddHBand="0" w:evenHBand="0" w:firstRowFirstColumn="0" w:firstRowLastColumn="0" w:lastRowFirstColumn="0" w:lastRowLastColumn="0"/>
            <w:tcW w:w="1838" w:type="dxa"/>
          </w:tcPr>
          <w:p w14:paraId="43841758" w14:textId="77777777" w:rsidR="00235E50" w:rsidRPr="00C33C0B" w:rsidRDefault="00235E50" w:rsidP="000C5F9D">
            <w:pPr>
              <w:pStyle w:val="Tabletext"/>
              <w:rPr>
                <w:lang w:val="en-GB"/>
              </w:rPr>
            </w:pPr>
            <w:r w:rsidRPr="00C33C0B">
              <w:rPr>
                <w:lang w:val="en-GB"/>
              </w:rPr>
              <w:t>Dr Steve De Graaf, Chair</w:t>
            </w:r>
          </w:p>
        </w:tc>
        <w:tc>
          <w:tcPr>
            <w:tcW w:w="5551" w:type="dxa"/>
          </w:tcPr>
          <w:p w14:paraId="3D805EF7" w14:textId="77777777" w:rsidR="00235E50" w:rsidRPr="00C33C0B" w:rsidRDefault="00235E50"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Senior Rehabilitation Physician and Director of Pain Services, Epworth HealthCare</w:t>
            </w:r>
            <w:r w:rsidR="00DA7B48">
              <w:rPr>
                <w:lang w:val="en-GB"/>
              </w:rPr>
              <w:t xml:space="preserve">; </w:t>
            </w:r>
            <w:r w:rsidRPr="00C33C0B">
              <w:rPr>
                <w:lang w:val="en-GB"/>
              </w:rPr>
              <w:t>Past President, Australasian Faculty of Rehabilitation Medicine (RACP)</w:t>
            </w:r>
          </w:p>
        </w:tc>
        <w:tc>
          <w:tcPr>
            <w:tcW w:w="0" w:type="auto"/>
          </w:tcPr>
          <w:p w14:paraId="00C7F4F6" w14:textId="77777777" w:rsidR="00235E50" w:rsidRPr="00C33C0B" w:rsidRDefault="00235E50"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Wife is a</w:t>
            </w:r>
            <w:r w:rsidR="002821CA">
              <w:rPr>
                <w:lang w:val="en-GB"/>
              </w:rPr>
              <w:t>n</w:t>
            </w:r>
            <w:r w:rsidRPr="00C33C0B">
              <w:rPr>
                <w:lang w:val="en-GB"/>
              </w:rPr>
              <w:t xml:space="preserve"> </w:t>
            </w:r>
            <w:r w:rsidR="00DA7B48">
              <w:rPr>
                <w:lang w:val="en-GB"/>
              </w:rPr>
              <w:t>a</w:t>
            </w:r>
            <w:r w:rsidRPr="00C33C0B">
              <w:rPr>
                <w:lang w:val="en-GB"/>
              </w:rPr>
              <w:t xml:space="preserve">llied </w:t>
            </w:r>
            <w:r w:rsidR="00DA7B48">
              <w:rPr>
                <w:lang w:val="en-GB"/>
              </w:rPr>
              <w:t>h</w:t>
            </w:r>
            <w:r w:rsidRPr="00C33C0B">
              <w:rPr>
                <w:lang w:val="en-GB"/>
              </w:rPr>
              <w:t xml:space="preserve">ealth </w:t>
            </w:r>
            <w:r w:rsidR="00DA7B48">
              <w:rPr>
                <w:lang w:val="en-GB"/>
              </w:rPr>
              <w:t>p</w:t>
            </w:r>
            <w:r w:rsidRPr="00C33C0B">
              <w:rPr>
                <w:lang w:val="en-GB"/>
              </w:rPr>
              <w:t>rofessional</w:t>
            </w:r>
          </w:p>
        </w:tc>
      </w:tr>
      <w:tr w:rsidR="00235E50" w:rsidRPr="00C33C0B" w14:paraId="71B60297" w14:textId="77777777" w:rsidTr="008A5CDC">
        <w:tc>
          <w:tcPr>
            <w:cnfStyle w:val="001000000000" w:firstRow="0" w:lastRow="0" w:firstColumn="1" w:lastColumn="0" w:oddVBand="0" w:evenVBand="0" w:oddHBand="0" w:evenHBand="0" w:firstRowFirstColumn="0" w:firstRowLastColumn="0" w:lastRowFirstColumn="0" w:lastRowLastColumn="0"/>
            <w:tcW w:w="1838" w:type="dxa"/>
          </w:tcPr>
          <w:p w14:paraId="21CD7BD5" w14:textId="77777777" w:rsidR="00235E50" w:rsidRPr="00C33C0B" w:rsidRDefault="00235E50" w:rsidP="000C5F9D">
            <w:pPr>
              <w:pStyle w:val="Tabletext"/>
              <w:rPr>
                <w:lang w:val="en-GB"/>
              </w:rPr>
            </w:pPr>
            <w:r w:rsidRPr="00C33C0B">
              <w:rPr>
                <w:lang w:val="en-GB"/>
              </w:rPr>
              <w:t xml:space="preserve">Dr </w:t>
            </w:r>
            <w:r w:rsidR="00885661">
              <w:rPr>
                <w:lang w:val="en-GB"/>
              </w:rPr>
              <w:t>Philip Truskett AM (</w:t>
            </w:r>
            <w:r w:rsidRPr="00C33C0B">
              <w:rPr>
                <w:lang w:val="en-GB"/>
              </w:rPr>
              <w:t>Co-chair)</w:t>
            </w:r>
          </w:p>
        </w:tc>
        <w:tc>
          <w:tcPr>
            <w:tcW w:w="5551" w:type="dxa"/>
          </w:tcPr>
          <w:p w14:paraId="63145169" w14:textId="77777777" w:rsidR="00235E50" w:rsidRPr="00C33C0B" w:rsidRDefault="00235E50"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General </w:t>
            </w:r>
            <w:r w:rsidR="00D27D35">
              <w:rPr>
                <w:lang w:val="en-GB"/>
              </w:rPr>
              <w:t>S</w:t>
            </w:r>
            <w:r w:rsidRPr="00C33C0B">
              <w:rPr>
                <w:lang w:val="en-GB"/>
              </w:rPr>
              <w:t>urgeon at</w:t>
            </w:r>
            <w:r w:rsidR="00D27D35">
              <w:rPr>
                <w:lang w:val="en-GB"/>
              </w:rPr>
              <w:t xml:space="preserve"> the</w:t>
            </w:r>
            <w:r w:rsidRPr="00C33C0B">
              <w:rPr>
                <w:lang w:val="en-GB"/>
              </w:rPr>
              <w:t xml:space="preserve"> Prince of Wales Hospital</w:t>
            </w:r>
            <w:r w:rsidR="00D27D35">
              <w:rPr>
                <w:lang w:val="en-GB"/>
              </w:rPr>
              <w:t>,</w:t>
            </w:r>
            <w:r w:rsidRPr="00C33C0B">
              <w:rPr>
                <w:lang w:val="en-GB"/>
              </w:rPr>
              <w:t xml:space="preserve"> Sydney</w:t>
            </w:r>
          </w:p>
        </w:tc>
        <w:tc>
          <w:tcPr>
            <w:tcW w:w="0" w:type="auto"/>
          </w:tcPr>
          <w:p w14:paraId="1D842617" w14:textId="77777777" w:rsidR="00235E50" w:rsidRPr="00C33C0B" w:rsidRDefault="00235E50"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None</w:t>
            </w:r>
          </w:p>
        </w:tc>
      </w:tr>
      <w:tr w:rsidR="00337E9D" w:rsidRPr="00C33C0B" w14:paraId="39E953DC" w14:textId="77777777" w:rsidTr="008A5CDC">
        <w:tc>
          <w:tcPr>
            <w:cnfStyle w:val="001000000000" w:firstRow="0" w:lastRow="0" w:firstColumn="1" w:lastColumn="0" w:oddVBand="0" w:evenVBand="0" w:oddHBand="0" w:evenHBand="0" w:firstRowFirstColumn="0" w:firstRowLastColumn="0" w:lastRowFirstColumn="0" w:lastRowLastColumn="0"/>
            <w:tcW w:w="1838" w:type="dxa"/>
          </w:tcPr>
          <w:p w14:paraId="6E8E4A92" w14:textId="77777777" w:rsidR="00337E9D" w:rsidRPr="00C33C0B" w:rsidRDefault="00235E50" w:rsidP="000C5F9D">
            <w:pPr>
              <w:pStyle w:val="Tabletext"/>
              <w:rPr>
                <w:lang w:val="en-GB"/>
              </w:rPr>
            </w:pPr>
            <w:r w:rsidRPr="00C33C0B">
              <w:rPr>
                <w:lang w:val="en-GB"/>
              </w:rPr>
              <w:t>Dr Andrew Singer</w:t>
            </w:r>
          </w:p>
        </w:tc>
        <w:tc>
          <w:tcPr>
            <w:tcW w:w="5551" w:type="dxa"/>
          </w:tcPr>
          <w:p w14:paraId="63CFBCA5" w14:textId="77777777" w:rsidR="00BF1DDB" w:rsidRPr="00C33C0B" w:rsidRDefault="00235E50"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Principle Medical Adviser </w:t>
            </w:r>
            <w:r w:rsidR="00BF1DDB" w:rsidRPr="00C33C0B">
              <w:rPr>
                <w:lang w:val="en-GB"/>
              </w:rPr>
              <w:t>in the Department of Health</w:t>
            </w:r>
            <w:r w:rsidR="00DA7B48">
              <w:rPr>
                <w:lang w:val="en-GB"/>
              </w:rPr>
              <w:t xml:space="preserve">; </w:t>
            </w:r>
            <w:r w:rsidR="00BF1DDB" w:rsidRPr="00C33C0B">
              <w:rPr>
                <w:lang w:val="en-GB"/>
              </w:rPr>
              <w:t>Adjunct Associate Professor in the Australian National University Medical School</w:t>
            </w:r>
            <w:r w:rsidR="00DA7B48">
              <w:rPr>
                <w:lang w:val="en-GB"/>
              </w:rPr>
              <w:t>;</w:t>
            </w:r>
          </w:p>
          <w:p w14:paraId="3384FEA7" w14:textId="77777777" w:rsidR="00BF1DDB" w:rsidRPr="00C33C0B" w:rsidRDefault="00BF1DDB"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lang w:val="en-GB"/>
              </w:rPr>
              <w:t xml:space="preserve">Emergency Medicine </w:t>
            </w:r>
            <w:r w:rsidR="0097261F">
              <w:rPr>
                <w:lang w:val="en-GB"/>
              </w:rPr>
              <w:t>P</w:t>
            </w:r>
            <w:r w:rsidRPr="00C33C0B">
              <w:rPr>
                <w:lang w:val="en-GB"/>
              </w:rPr>
              <w:t>hysician</w:t>
            </w:r>
          </w:p>
        </w:tc>
        <w:tc>
          <w:tcPr>
            <w:tcW w:w="0" w:type="auto"/>
          </w:tcPr>
          <w:p w14:paraId="102A180D" w14:textId="77777777" w:rsidR="00337E9D" w:rsidRPr="00C33C0B" w:rsidRDefault="00BF1DDB"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C33C0B">
              <w:rPr>
                <w:color w:val="222222"/>
                <w:lang w:val="en-GB"/>
              </w:rPr>
              <w:t xml:space="preserve">Department of Health </w:t>
            </w:r>
            <w:r w:rsidR="00521625">
              <w:rPr>
                <w:color w:val="222222"/>
                <w:lang w:val="en-GB"/>
              </w:rPr>
              <w:t>E</w:t>
            </w:r>
            <w:r w:rsidRPr="00C33C0B">
              <w:rPr>
                <w:color w:val="222222"/>
                <w:lang w:val="en-GB"/>
              </w:rPr>
              <w:t>mployee</w:t>
            </w:r>
          </w:p>
        </w:tc>
      </w:tr>
    </w:tbl>
    <w:p w14:paraId="4742EE0C" w14:textId="3A5D0DFC" w:rsidR="00D16F8B" w:rsidRPr="00C33C0B" w:rsidRDefault="002355E9" w:rsidP="00D16F8B">
      <w:pPr>
        <w:pStyle w:val="Heading2"/>
        <w:numPr>
          <w:ilvl w:val="0"/>
          <w:numId w:val="0"/>
        </w:numPr>
        <w:rPr>
          <w:lang w:val="en-GB"/>
        </w:rPr>
      </w:pPr>
      <w:bookmarkStart w:id="288" w:name="_Toc67952289"/>
      <w:r>
        <w:rPr>
          <w:lang w:val="en-GB"/>
        </w:rPr>
        <w:t>Table C.</w:t>
      </w:r>
      <w:r w:rsidR="00F32D7B">
        <w:rPr>
          <w:lang w:val="en-GB"/>
        </w:rPr>
        <w:t xml:space="preserve">8: </w:t>
      </w:r>
      <w:r w:rsidR="00976FA2">
        <w:rPr>
          <w:lang w:val="en-GB"/>
        </w:rPr>
        <w:t>Fetal alcohol spectrum disorder and other complex neurodevelopmental disorders</w:t>
      </w:r>
      <w:bookmarkEnd w:id="288"/>
    </w:p>
    <w:tbl>
      <w:tblPr>
        <w:tblStyle w:val="GridTable4-Accent3"/>
        <w:tblW w:w="0" w:type="auto"/>
        <w:tblLook w:val="04A0" w:firstRow="1" w:lastRow="0" w:firstColumn="1" w:lastColumn="0" w:noHBand="0" w:noVBand="1"/>
        <w:tblDescription w:val="Appendix C - Fetal alcohol spectrum disorder and other complex neurodevelopmental disorders working group membership. Table C.8 has 3 columns. Column 1 is the working group member. Column 2 is the member's position and/or organisation. Column 3 lists the member's declared conflicts of interests. "/>
      </w:tblPr>
      <w:tblGrid>
        <w:gridCol w:w="2263"/>
        <w:gridCol w:w="3261"/>
        <w:gridCol w:w="3726"/>
      </w:tblGrid>
      <w:tr w:rsidR="00D16F8B" w:rsidRPr="000C5F9D" w14:paraId="4E254CDF" w14:textId="77777777" w:rsidTr="00972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6DB31501" w14:textId="77777777" w:rsidR="00D16F8B" w:rsidRPr="000C5F9D" w:rsidRDefault="00D16F8B" w:rsidP="000C5F9D">
            <w:pPr>
              <w:pStyle w:val="Tableheading"/>
            </w:pPr>
            <w:r w:rsidRPr="000C5F9D">
              <w:t>Member</w:t>
            </w:r>
          </w:p>
        </w:tc>
        <w:tc>
          <w:tcPr>
            <w:tcW w:w="3261" w:type="dxa"/>
          </w:tcPr>
          <w:p w14:paraId="0A39AE9E" w14:textId="77777777" w:rsidR="00D16F8B" w:rsidRPr="000C5F9D" w:rsidRDefault="00D16F8B" w:rsidP="000C5F9D">
            <w:pPr>
              <w:pStyle w:val="Tableheading"/>
              <w:cnfStyle w:val="100000000000" w:firstRow="1" w:lastRow="0" w:firstColumn="0" w:lastColumn="0" w:oddVBand="0" w:evenVBand="0" w:oddHBand="0" w:evenHBand="0" w:firstRowFirstColumn="0" w:firstRowLastColumn="0" w:lastRowFirstColumn="0" w:lastRowLastColumn="0"/>
            </w:pPr>
            <w:r w:rsidRPr="000C5F9D">
              <w:t>Position/organisation</w:t>
            </w:r>
          </w:p>
        </w:tc>
        <w:tc>
          <w:tcPr>
            <w:tcW w:w="3726" w:type="dxa"/>
          </w:tcPr>
          <w:p w14:paraId="61ECA290" w14:textId="77777777" w:rsidR="00D16F8B" w:rsidRPr="000C5F9D" w:rsidRDefault="00D16F8B" w:rsidP="000C5F9D">
            <w:pPr>
              <w:pStyle w:val="Tableheading"/>
              <w:cnfStyle w:val="100000000000" w:firstRow="1" w:lastRow="0" w:firstColumn="0" w:lastColumn="0" w:oddVBand="0" w:evenVBand="0" w:oddHBand="0" w:evenHBand="0" w:firstRowFirstColumn="0" w:firstRowLastColumn="0" w:lastRowFirstColumn="0" w:lastRowLastColumn="0"/>
            </w:pPr>
            <w:r w:rsidRPr="000C5F9D">
              <w:t>Declared conflicts of interest</w:t>
            </w:r>
          </w:p>
        </w:tc>
      </w:tr>
      <w:tr w:rsidR="00976FA2" w:rsidRPr="00C33C0B" w14:paraId="4EC0E7DC" w14:textId="77777777" w:rsidTr="00972B45">
        <w:tc>
          <w:tcPr>
            <w:cnfStyle w:val="001000000000" w:firstRow="0" w:lastRow="0" w:firstColumn="1" w:lastColumn="0" w:oddVBand="0" w:evenVBand="0" w:oddHBand="0" w:evenHBand="0" w:firstRowFirstColumn="0" w:firstRowLastColumn="0" w:lastRowFirstColumn="0" w:lastRowLastColumn="0"/>
            <w:tcW w:w="2263" w:type="dxa"/>
          </w:tcPr>
          <w:p w14:paraId="0802E9B2" w14:textId="77777777" w:rsidR="00976FA2" w:rsidRPr="00A66484" w:rsidRDefault="00976FA2" w:rsidP="000C5F9D">
            <w:pPr>
              <w:pStyle w:val="Tabletext"/>
              <w:rPr>
                <w:rFonts w:cstheme="minorHAnsi"/>
                <w:lang w:val="en-GB"/>
              </w:rPr>
            </w:pPr>
            <w:r w:rsidRPr="00A66484">
              <w:rPr>
                <w:lang w:val="en-GB"/>
              </w:rPr>
              <w:t>Prof. Anthony Lawler (Co-Chair)</w:t>
            </w:r>
          </w:p>
        </w:tc>
        <w:tc>
          <w:tcPr>
            <w:tcW w:w="3261" w:type="dxa"/>
          </w:tcPr>
          <w:p w14:paraId="72CC0D9B" w14:textId="77777777" w:rsidR="00976FA2" w:rsidRPr="00A66484" w:rsidRDefault="00976FA2"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A66484">
              <w:rPr>
                <w:lang w:val="en-GB"/>
              </w:rPr>
              <w:t>Emergency Physician; Past President of the Australasian College for Emergency Medicine (ACEM); Chief Medical Officer in Tasmania</w:t>
            </w:r>
          </w:p>
        </w:tc>
        <w:tc>
          <w:tcPr>
            <w:tcW w:w="3726" w:type="dxa"/>
          </w:tcPr>
          <w:p w14:paraId="1932D924" w14:textId="77777777" w:rsidR="00976FA2" w:rsidRPr="00A66484" w:rsidRDefault="00976FA2"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A66484">
              <w:rPr>
                <w:rFonts w:cstheme="minorHAnsi"/>
                <w:lang w:val="en-GB"/>
              </w:rPr>
              <w:t>Board member of ACEM; Jurisdictional employee in Tasmania</w:t>
            </w:r>
          </w:p>
        </w:tc>
      </w:tr>
      <w:tr w:rsidR="002337EE" w:rsidRPr="00C33C0B" w14:paraId="5C6A7195" w14:textId="77777777" w:rsidTr="00972B45">
        <w:tc>
          <w:tcPr>
            <w:cnfStyle w:val="001000000000" w:firstRow="0" w:lastRow="0" w:firstColumn="1" w:lastColumn="0" w:oddVBand="0" w:evenVBand="0" w:oddHBand="0" w:evenHBand="0" w:firstRowFirstColumn="0" w:firstRowLastColumn="0" w:lastRowFirstColumn="0" w:lastRowLastColumn="0"/>
            <w:tcW w:w="2263" w:type="dxa"/>
          </w:tcPr>
          <w:p w14:paraId="598BBC16" w14:textId="77777777" w:rsidR="002337EE" w:rsidRPr="002337EE" w:rsidRDefault="002337EE" w:rsidP="000C5F9D">
            <w:pPr>
              <w:pStyle w:val="Tabletext"/>
              <w:rPr>
                <w:rFonts w:cstheme="minorHAnsi"/>
                <w:lang w:val="en-GB"/>
              </w:rPr>
            </w:pPr>
            <w:r w:rsidRPr="002337EE">
              <w:rPr>
                <w:lang w:val="en-GB"/>
              </w:rPr>
              <w:t xml:space="preserve">Dr </w:t>
            </w:r>
            <w:r w:rsidR="00885661">
              <w:rPr>
                <w:lang w:val="en-GB"/>
              </w:rPr>
              <w:t>Philip Truskett AM (</w:t>
            </w:r>
            <w:r w:rsidRPr="002337EE">
              <w:rPr>
                <w:lang w:val="en-GB"/>
              </w:rPr>
              <w:t>Co-Chair)</w:t>
            </w:r>
          </w:p>
        </w:tc>
        <w:tc>
          <w:tcPr>
            <w:tcW w:w="3261" w:type="dxa"/>
          </w:tcPr>
          <w:p w14:paraId="60BB77AD" w14:textId="77777777" w:rsidR="002337EE" w:rsidRPr="002337EE" w:rsidRDefault="002337EE"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2337EE">
              <w:rPr>
                <w:lang w:val="en-GB"/>
              </w:rPr>
              <w:t>General Surgeon at the Prince of Wales Hospital, Sydney</w:t>
            </w:r>
          </w:p>
        </w:tc>
        <w:tc>
          <w:tcPr>
            <w:tcW w:w="3726" w:type="dxa"/>
          </w:tcPr>
          <w:p w14:paraId="12EAFFF7" w14:textId="77777777" w:rsidR="002337EE" w:rsidRPr="002337EE" w:rsidRDefault="002337EE"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2337EE">
              <w:rPr>
                <w:lang w:val="en-GB"/>
              </w:rPr>
              <w:t>None</w:t>
            </w:r>
          </w:p>
        </w:tc>
      </w:tr>
      <w:tr w:rsidR="002337EE" w:rsidRPr="00C33C0B" w14:paraId="4A9CA1F7" w14:textId="77777777" w:rsidTr="00972B45">
        <w:tc>
          <w:tcPr>
            <w:cnfStyle w:val="001000000000" w:firstRow="0" w:lastRow="0" w:firstColumn="1" w:lastColumn="0" w:oddVBand="0" w:evenVBand="0" w:oddHBand="0" w:evenHBand="0" w:firstRowFirstColumn="0" w:firstRowLastColumn="0" w:lastRowFirstColumn="0" w:lastRowLastColumn="0"/>
            <w:tcW w:w="2263" w:type="dxa"/>
          </w:tcPr>
          <w:p w14:paraId="7A944C93" w14:textId="77777777" w:rsidR="002337EE" w:rsidRPr="00A66484" w:rsidRDefault="002337EE" w:rsidP="000C5F9D">
            <w:pPr>
              <w:pStyle w:val="Tabletext"/>
              <w:rPr>
                <w:rFonts w:cstheme="minorHAnsi"/>
                <w:lang w:val="en-GB"/>
              </w:rPr>
            </w:pPr>
            <w:r w:rsidRPr="00A66484">
              <w:rPr>
                <w:rFonts w:cstheme="minorHAnsi"/>
                <w:lang w:val="en-GB"/>
              </w:rPr>
              <w:t>Prof. Malcolm Hopwood</w:t>
            </w:r>
            <w:r>
              <w:rPr>
                <w:rFonts w:cstheme="minorHAnsi"/>
                <w:lang w:val="en-GB"/>
              </w:rPr>
              <w:t xml:space="preserve"> (Chair of Psychiatry Clinical Committee)</w:t>
            </w:r>
          </w:p>
        </w:tc>
        <w:tc>
          <w:tcPr>
            <w:tcW w:w="3261" w:type="dxa"/>
          </w:tcPr>
          <w:p w14:paraId="264A8F60" w14:textId="77777777" w:rsidR="002337EE" w:rsidRPr="00A66484" w:rsidRDefault="002337EE"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B75BD4">
              <w:rPr>
                <w:lang w:val="en-GB"/>
              </w:rPr>
              <w:t>Professor of Psychiatry, Ramsay Health Care; Member of the Board of the Sumner Foundation; Member of the Board of Phoenix Australia</w:t>
            </w:r>
          </w:p>
        </w:tc>
        <w:tc>
          <w:tcPr>
            <w:tcW w:w="3726" w:type="dxa"/>
          </w:tcPr>
          <w:p w14:paraId="156B25FA" w14:textId="77777777" w:rsidR="002337EE" w:rsidRPr="00A66484" w:rsidRDefault="002337EE"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None</w:t>
            </w:r>
          </w:p>
        </w:tc>
      </w:tr>
      <w:tr w:rsidR="00A66484" w:rsidRPr="00C33C0B" w14:paraId="5425A0D1" w14:textId="77777777" w:rsidTr="00972B45">
        <w:tc>
          <w:tcPr>
            <w:cnfStyle w:val="001000000000" w:firstRow="0" w:lastRow="0" w:firstColumn="1" w:lastColumn="0" w:oddVBand="0" w:evenVBand="0" w:oddHBand="0" w:evenHBand="0" w:firstRowFirstColumn="0" w:firstRowLastColumn="0" w:lastRowFirstColumn="0" w:lastRowLastColumn="0"/>
            <w:tcW w:w="2263" w:type="dxa"/>
          </w:tcPr>
          <w:p w14:paraId="39A067D1" w14:textId="179CD6D1" w:rsidR="00A66484" w:rsidRPr="00EB4527" w:rsidRDefault="00A66484" w:rsidP="000C5F9D">
            <w:pPr>
              <w:pStyle w:val="Tabletext"/>
              <w:rPr>
                <w:lang w:val="en-GB"/>
              </w:rPr>
            </w:pPr>
            <w:r w:rsidRPr="00A66484">
              <w:rPr>
                <w:lang w:val="en-GB"/>
              </w:rPr>
              <w:t>Prof. Elizabeth Elliott</w:t>
            </w:r>
          </w:p>
        </w:tc>
        <w:tc>
          <w:tcPr>
            <w:tcW w:w="3261" w:type="dxa"/>
          </w:tcPr>
          <w:p w14:paraId="59BB8648" w14:textId="77777777" w:rsidR="00A66484" w:rsidRPr="00A66484" w:rsidRDefault="00A66484"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A66484">
              <w:rPr>
                <w:lang w:val="en-GB"/>
              </w:rPr>
              <w:t>Clinical Academic at the University of Sydney; Consultant Paediatrician Sydney Children’s Hospital Network (Westmead); Recent research focus on fetal alcohol spectrum disorders</w:t>
            </w:r>
          </w:p>
        </w:tc>
        <w:tc>
          <w:tcPr>
            <w:tcW w:w="3726" w:type="dxa"/>
          </w:tcPr>
          <w:p w14:paraId="0A1B4B55" w14:textId="77777777" w:rsidR="00A66484" w:rsidRPr="00A66484" w:rsidRDefault="00A66484"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A66484">
              <w:rPr>
                <w:rFonts w:cstheme="minorHAnsi"/>
                <w:lang w:val="en-GB"/>
              </w:rPr>
              <w:t>None</w:t>
            </w:r>
          </w:p>
        </w:tc>
      </w:tr>
      <w:tr w:rsidR="00B75BD4" w:rsidRPr="00C33C0B" w14:paraId="17A2DF69" w14:textId="77777777" w:rsidTr="00972B45">
        <w:tc>
          <w:tcPr>
            <w:cnfStyle w:val="001000000000" w:firstRow="0" w:lastRow="0" w:firstColumn="1" w:lastColumn="0" w:oddVBand="0" w:evenVBand="0" w:oddHBand="0" w:evenHBand="0" w:firstRowFirstColumn="0" w:firstRowLastColumn="0" w:lastRowFirstColumn="0" w:lastRowLastColumn="0"/>
            <w:tcW w:w="2263" w:type="dxa"/>
          </w:tcPr>
          <w:p w14:paraId="429760D2" w14:textId="77777777" w:rsidR="00B75BD4" w:rsidRPr="00A66484" w:rsidRDefault="00B75BD4" w:rsidP="000C5F9D">
            <w:pPr>
              <w:pStyle w:val="Tabletext"/>
              <w:rPr>
                <w:rFonts w:cstheme="minorHAnsi"/>
                <w:lang w:val="en-GB"/>
              </w:rPr>
            </w:pPr>
            <w:r w:rsidRPr="00B75BD4">
              <w:rPr>
                <w:rFonts w:cstheme="minorHAnsi"/>
                <w:lang w:val="en-GB"/>
              </w:rPr>
              <w:t>Dr James Oldham</w:t>
            </w:r>
            <w:r w:rsidR="002337EE">
              <w:rPr>
                <w:rFonts w:cstheme="minorHAnsi"/>
                <w:lang w:val="en-GB"/>
              </w:rPr>
              <w:t xml:space="preserve"> (Member of Psychiatry Clinical Committee)</w:t>
            </w:r>
          </w:p>
        </w:tc>
        <w:tc>
          <w:tcPr>
            <w:tcW w:w="3261" w:type="dxa"/>
          </w:tcPr>
          <w:p w14:paraId="446A2B89" w14:textId="77777777" w:rsidR="00B75BD4" w:rsidRPr="00B75BD4" w:rsidRDefault="002337EE"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2337EE">
              <w:rPr>
                <w:lang w:val="en-GB"/>
              </w:rPr>
              <w:t>Senior Staff Specialist Psychiatrist, Child and Mental Health Services, Adolescent Inpatient Service &amp; Adolescent Day Unit, Shellharbour Hospital</w:t>
            </w:r>
          </w:p>
        </w:tc>
        <w:tc>
          <w:tcPr>
            <w:tcW w:w="3726" w:type="dxa"/>
          </w:tcPr>
          <w:p w14:paraId="3814F90B" w14:textId="77777777" w:rsidR="00B75BD4" w:rsidRPr="00A66484" w:rsidRDefault="002337EE"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None</w:t>
            </w:r>
          </w:p>
        </w:tc>
      </w:tr>
      <w:tr w:rsidR="00DE2B4E" w:rsidRPr="00C33C0B" w14:paraId="483B07E1" w14:textId="77777777" w:rsidTr="00972B45">
        <w:tc>
          <w:tcPr>
            <w:cnfStyle w:val="001000000000" w:firstRow="0" w:lastRow="0" w:firstColumn="1" w:lastColumn="0" w:oddVBand="0" w:evenVBand="0" w:oddHBand="0" w:evenHBand="0" w:firstRowFirstColumn="0" w:firstRowLastColumn="0" w:lastRowFirstColumn="0" w:lastRowLastColumn="0"/>
            <w:tcW w:w="2263" w:type="dxa"/>
          </w:tcPr>
          <w:p w14:paraId="5A887A2B" w14:textId="393CB292" w:rsidR="00DE2B4E" w:rsidRPr="00885661" w:rsidRDefault="00A95950" w:rsidP="000C5F9D">
            <w:pPr>
              <w:pStyle w:val="Tabletext"/>
              <w:rPr>
                <w:lang w:val="en-GB"/>
              </w:rPr>
            </w:pPr>
            <w:r w:rsidRPr="00885661">
              <w:rPr>
                <w:lang w:val="en-GB"/>
              </w:rPr>
              <w:t>A/Professor Beth Kotze (Member of Psychiatry Clinical Committee)</w:t>
            </w:r>
          </w:p>
        </w:tc>
        <w:tc>
          <w:tcPr>
            <w:tcW w:w="3261" w:type="dxa"/>
          </w:tcPr>
          <w:p w14:paraId="40C399CA" w14:textId="77777777" w:rsidR="00DE2B4E" w:rsidRPr="002337EE" w:rsidRDefault="00885661"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885661">
              <w:rPr>
                <w:lang w:val="en-GB"/>
              </w:rPr>
              <w:t>Executive Director Mental Health, Western Sydney Local Health District</w:t>
            </w:r>
          </w:p>
        </w:tc>
        <w:tc>
          <w:tcPr>
            <w:tcW w:w="3726" w:type="dxa"/>
          </w:tcPr>
          <w:p w14:paraId="2AEFAFE1" w14:textId="77777777" w:rsidR="00DE2B4E" w:rsidRDefault="005051F0"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None</w:t>
            </w:r>
          </w:p>
        </w:tc>
      </w:tr>
      <w:tr w:rsidR="00885661" w:rsidRPr="00C33C0B" w14:paraId="36328134" w14:textId="77777777" w:rsidTr="00972B45">
        <w:tc>
          <w:tcPr>
            <w:cnfStyle w:val="001000000000" w:firstRow="0" w:lastRow="0" w:firstColumn="1" w:lastColumn="0" w:oddVBand="0" w:evenVBand="0" w:oddHBand="0" w:evenHBand="0" w:firstRowFirstColumn="0" w:firstRowLastColumn="0" w:lastRowFirstColumn="0" w:lastRowLastColumn="0"/>
            <w:tcW w:w="2263" w:type="dxa"/>
          </w:tcPr>
          <w:p w14:paraId="1BAA24F9" w14:textId="77777777" w:rsidR="00885661" w:rsidRPr="00885661" w:rsidRDefault="00885661" w:rsidP="000C5F9D">
            <w:pPr>
              <w:pStyle w:val="Tabletext"/>
              <w:rPr>
                <w:lang w:val="en-GB"/>
              </w:rPr>
            </w:pPr>
            <w:r w:rsidRPr="00885661">
              <w:rPr>
                <w:lang w:val="en-GB"/>
              </w:rPr>
              <w:t>Dr Peter Jenkins (Member of Psychiatry Clinical Committee)</w:t>
            </w:r>
          </w:p>
        </w:tc>
        <w:tc>
          <w:tcPr>
            <w:tcW w:w="3261" w:type="dxa"/>
          </w:tcPr>
          <w:p w14:paraId="69591CF3" w14:textId="77777777" w:rsidR="00885661" w:rsidRPr="00885661" w:rsidRDefault="00885661"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885661">
              <w:rPr>
                <w:lang w:val="en-GB"/>
              </w:rPr>
              <w:t>Psychiatrist</w:t>
            </w:r>
          </w:p>
        </w:tc>
        <w:tc>
          <w:tcPr>
            <w:tcW w:w="3726" w:type="dxa"/>
          </w:tcPr>
          <w:p w14:paraId="1AB894D5" w14:textId="77777777" w:rsidR="00885661" w:rsidRDefault="00885661" w:rsidP="000C5F9D">
            <w:pPr>
              <w:pStyle w:val="Tabletext"/>
              <w:cnfStyle w:val="000000000000" w:firstRow="0" w:lastRow="0" w:firstColumn="0" w:lastColumn="0" w:oddVBand="0" w:evenVBand="0" w:oddHBand="0" w:evenHBand="0" w:firstRowFirstColumn="0" w:firstRowLastColumn="0" w:lastRowFirstColumn="0" w:lastRowLastColumn="0"/>
              <w:rPr>
                <w:lang w:val="en-GB"/>
              </w:rPr>
            </w:pPr>
            <w:r w:rsidRPr="00885661">
              <w:rPr>
                <w:lang w:val="en-GB"/>
              </w:rPr>
              <w:t>Board Director of RANZCP; Chair of the MBS Review Working Group of RANZCP</w:t>
            </w:r>
          </w:p>
        </w:tc>
      </w:tr>
    </w:tbl>
    <w:p w14:paraId="142A5F8B" w14:textId="77777777" w:rsidR="00C70F2D" w:rsidRPr="00EB4527" w:rsidRDefault="00235E50" w:rsidP="00EB4527">
      <w:bookmarkStart w:id="289" w:name="_Toc521442227"/>
      <w:r w:rsidRPr="00C33C0B">
        <w:rPr>
          <w:lang w:val="en-GB"/>
        </w:rPr>
        <w:br w:type="page"/>
      </w:r>
      <w:bookmarkEnd w:id="289"/>
    </w:p>
    <w:p w14:paraId="38A02400" w14:textId="41F9D002" w:rsidR="00313E1E" w:rsidRPr="0086743C" w:rsidRDefault="00313E1E" w:rsidP="00313E1E">
      <w:pPr>
        <w:pStyle w:val="AppendixStyle1"/>
      </w:pPr>
      <w:bookmarkStart w:id="290" w:name="_Toc522617046"/>
      <w:bookmarkStart w:id="291" w:name="_Toc67952290"/>
      <w:r w:rsidRPr="0086743C">
        <w:t>Summary for consumers</w:t>
      </w:r>
      <w:bookmarkEnd w:id="290"/>
      <w:bookmarkEnd w:id="291"/>
    </w:p>
    <w:p w14:paraId="603C26DC" w14:textId="351665AE" w:rsidR="00313E1E" w:rsidRDefault="00313E1E" w:rsidP="00313E1E">
      <w:r>
        <w:t xml:space="preserve">This table describes the medical service, the recommendation(s) of the </w:t>
      </w:r>
      <w:r w:rsidR="00DB4B6E">
        <w:t xml:space="preserve">Committee </w:t>
      </w:r>
      <w:r>
        <w:t>and why the recommendation(s) has been made.</w:t>
      </w:r>
    </w:p>
    <w:p w14:paraId="7EAB9E42" w14:textId="77777777" w:rsidR="00313E1E" w:rsidRPr="00C33C0B" w:rsidRDefault="002355E9" w:rsidP="00313E1E">
      <w:pPr>
        <w:pStyle w:val="Heading2"/>
        <w:numPr>
          <w:ilvl w:val="0"/>
          <w:numId w:val="0"/>
        </w:numPr>
        <w:rPr>
          <w:lang w:val="en-GB"/>
        </w:rPr>
      </w:pPr>
      <w:bookmarkStart w:id="292" w:name="_Toc67952291"/>
      <w:r>
        <w:rPr>
          <w:lang w:val="en-GB"/>
        </w:rPr>
        <w:t xml:space="preserve">Table </w:t>
      </w:r>
      <w:r w:rsidR="00C52816">
        <w:rPr>
          <w:lang w:val="en-GB"/>
        </w:rPr>
        <w:t>D</w:t>
      </w:r>
      <w:r w:rsidR="00313E1E" w:rsidRPr="00C33C0B">
        <w:rPr>
          <w:lang w:val="en-GB"/>
        </w:rPr>
        <w:t>.1. Standard attendance items</w:t>
      </w:r>
      <w:bookmarkEnd w:id="292"/>
    </w:p>
    <w:tbl>
      <w:tblPr>
        <w:tblStyle w:val="GridTable1Light-Accent6"/>
        <w:tblW w:w="0" w:type="auto"/>
        <w:tblLayout w:type="fixed"/>
        <w:tblLook w:val="04A0" w:firstRow="1" w:lastRow="0" w:firstColumn="1" w:lastColumn="0" w:noHBand="0" w:noVBand="1"/>
        <w:tblDescription w:val="Appendix D - Standard attendance items summary for consumers. Table D.1 is a 5 column table. Column 1 is the item number. Column 2 describes what the item does. Column 3 is the committee's recommendation. Column 4 describes what would be different about the item. Column 5 describes why it would be different. "/>
      </w:tblPr>
      <w:tblGrid>
        <w:gridCol w:w="704"/>
        <w:gridCol w:w="3969"/>
        <w:gridCol w:w="1559"/>
        <w:gridCol w:w="1701"/>
        <w:gridCol w:w="1317"/>
      </w:tblGrid>
      <w:tr w:rsidR="008A5CDC" w:rsidRPr="00C33C0B" w14:paraId="50589DCF"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hideMark/>
          </w:tcPr>
          <w:p w14:paraId="18E3501A" w14:textId="77777777" w:rsidR="00313E1E" w:rsidRPr="00C33C0B" w:rsidRDefault="00313E1E" w:rsidP="00313E1E">
            <w:pPr>
              <w:spacing w:before="20" w:after="20"/>
              <w:rPr>
                <w:rFonts w:ascii="Calibri" w:hAnsi="Calibri" w:cs="Calibri"/>
                <w:b w:val="0"/>
                <w:color w:val="FFFFFF" w:themeColor="background1"/>
                <w:sz w:val="17"/>
                <w:szCs w:val="17"/>
                <w:lang w:val="en-GB"/>
              </w:rPr>
            </w:pPr>
            <w:r w:rsidRPr="00C33C0B">
              <w:rPr>
                <w:rFonts w:ascii="Calibri" w:hAnsi="Calibri" w:cs="Calibri"/>
                <w:color w:val="FFFFFF" w:themeColor="background1"/>
                <w:sz w:val="17"/>
                <w:szCs w:val="17"/>
                <w:lang w:val="en-GB"/>
              </w:rPr>
              <w:t xml:space="preserve">Item </w:t>
            </w:r>
          </w:p>
        </w:tc>
        <w:tc>
          <w:tcPr>
            <w:tcW w:w="3969" w:type="dxa"/>
            <w:hideMark/>
          </w:tcPr>
          <w:p w14:paraId="6384AE50"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What it does</w:t>
            </w:r>
          </w:p>
        </w:tc>
        <w:tc>
          <w:tcPr>
            <w:tcW w:w="1559" w:type="dxa"/>
            <w:hideMark/>
          </w:tcPr>
          <w:p w14:paraId="74202E18"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Committee recommendation</w:t>
            </w:r>
          </w:p>
        </w:tc>
        <w:tc>
          <w:tcPr>
            <w:tcW w:w="1701" w:type="dxa"/>
            <w:hideMark/>
          </w:tcPr>
          <w:p w14:paraId="1195324D"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What would be different</w:t>
            </w:r>
          </w:p>
        </w:tc>
        <w:tc>
          <w:tcPr>
            <w:tcW w:w="1317" w:type="dxa"/>
            <w:hideMark/>
          </w:tcPr>
          <w:p w14:paraId="23B776E3"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 xml:space="preserve">Why </w:t>
            </w:r>
          </w:p>
        </w:tc>
      </w:tr>
      <w:tr w:rsidR="008A5CDC" w:rsidRPr="00C33C0B" w14:paraId="729DED67"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72AAE2A4"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104</w:t>
            </w:r>
          </w:p>
        </w:tc>
        <w:tc>
          <w:tcPr>
            <w:tcW w:w="3969" w:type="dxa"/>
            <w:noWrap/>
            <w:hideMark/>
          </w:tcPr>
          <w:p w14:paraId="20C5A29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in the practice of his or her specialty after referral of the patient to him or her—each attendance, other than a second or subsequent attendance, in a single course of treatment, other than a service to which item 106, 109 or 16401 applies</w:t>
            </w:r>
          </w:p>
        </w:tc>
        <w:tc>
          <w:tcPr>
            <w:tcW w:w="1559" w:type="dxa"/>
            <w:noWrap/>
            <w:hideMark/>
          </w:tcPr>
          <w:p w14:paraId="58FC56B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hideMark/>
          </w:tcPr>
          <w:p w14:paraId="6398C4F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hideMark/>
          </w:tcPr>
          <w:p w14:paraId="76C8061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15E20C46"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2FA974D7" w14:textId="77777777" w:rsidR="00313E1E" w:rsidRPr="00C33C0B" w:rsidRDefault="00313E1E" w:rsidP="00313E1E">
            <w:pPr>
              <w:spacing w:before="20" w:after="20"/>
              <w:rPr>
                <w:rFonts w:ascii="Calibri" w:hAnsi="Calibri" w:cs="Calibri"/>
                <w:bCs w:val="0"/>
                <w:color w:val="000000"/>
                <w:sz w:val="17"/>
                <w:szCs w:val="17"/>
                <w:lang w:val="en-GB"/>
              </w:rPr>
            </w:pPr>
            <w:r w:rsidRPr="00C33C0B">
              <w:rPr>
                <w:rFonts w:ascii="Calibri" w:hAnsi="Calibri" w:cs="Calibri"/>
                <w:bCs w:val="0"/>
                <w:color w:val="000000"/>
                <w:sz w:val="17"/>
                <w:szCs w:val="17"/>
                <w:lang w:val="en-GB"/>
              </w:rPr>
              <w:t>105</w:t>
            </w:r>
          </w:p>
        </w:tc>
        <w:tc>
          <w:tcPr>
            <w:tcW w:w="3969" w:type="dxa"/>
            <w:noWrap/>
            <w:hideMark/>
          </w:tcPr>
          <w:p w14:paraId="12F42FA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her—an attendance after the first in a single course of treatment, if that attendance is at consulting rooms or hospital</w:t>
            </w:r>
          </w:p>
        </w:tc>
        <w:tc>
          <w:tcPr>
            <w:tcW w:w="1559" w:type="dxa"/>
            <w:noWrap/>
          </w:tcPr>
          <w:p w14:paraId="3CD4E17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4DD9D31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3883084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1AD8ECBB"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1BFDA9E8"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106</w:t>
            </w:r>
          </w:p>
        </w:tc>
        <w:tc>
          <w:tcPr>
            <w:tcW w:w="3969" w:type="dxa"/>
            <w:noWrap/>
            <w:hideMark/>
          </w:tcPr>
          <w:p w14:paraId="6D6BDFE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of ophthalmology and following referral of the patient to him or her—an attendance (other than a second or subsequent attendance in a single course of treatment) at which the only service provided is refraction testing for the issue of a prescription for spectacles or contact lenses, if that attendance is at consulting rooms or hospital (other than a service to which any of items 104, 109 and 10801 to 10816 applies)</w:t>
            </w:r>
          </w:p>
        </w:tc>
        <w:tc>
          <w:tcPr>
            <w:tcW w:w="1559" w:type="dxa"/>
            <w:noWrap/>
          </w:tcPr>
          <w:p w14:paraId="5E798AB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77CB7A9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542B43E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463316F9"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0EFE866C"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107</w:t>
            </w:r>
          </w:p>
        </w:tc>
        <w:tc>
          <w:tcPr>
            <w:tcW w:w="3969" w:type="dxa"/>
            <w:noWrap/>
            <w:hideMark/>
          </w:tcPr>
          <w:p w14:paraId="5577917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her—an attendance (other than a second or subsequent attendance in a single course of treatment), if that attendance is at a place other than consulting rooms or hospital</w:t>
            </w:r>
          </w:p>
        </w:tc>
        <w:tc>
          <w:tcPr>
            <w:tcW w:w="1559" w:type="dxa"/>
            <w:noWrap/>
          </w:tcPr>
          <w:p w14:paraId="6714267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0B15ACA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598E612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771BE18B"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31053290" w14:textId="77777777" w:rsidR="00313E1E" w:rsidRPr="00C33C0B" w:rsidRDefault="00313E1E" w:rsidP="00313E1E">
            <w:pPr>
              <w:spacing w:before="20" w:after="20"/>
              <w:rPr>
                <w:rFonts w:ascii="Calibri" w:hAnsi="Calibri" w:cs="Calibri"/>
                <w:bCs w:val="0"/>
                <w:color w:val="000000"/>
                <w:sz w:val="17"/>
                <w:szCs w:val="17"/>
                <w:lang w:val="en-GB"/>
              </w:rPr>
            </w:pPr>
            <w:r w:rsidRPr="00C33C0B">
              <w:rPr>
                <w:rFonts w:ascii="Calibri" w:hAnsi="Calibri" w:cs="Calibri"/>
                <w:bCs w:val="0"/>
                <w:color w:val="000000"/>
                <w:sz w:val="17"/>
                <w:szCs w:val="17"/>
                <w:lang w:val="en-GB"/>
              </w:rPr>
              <w:t>108</w:t>
            </w:r>
          </w:p>
        </w:tc>
        <w:tc>
          <w:tcPr>
            <w:tcW w:w="3969" w:type="dxa"/>
            <w:noWrap/>
            <w:hideMark/>
          </w:tcPr>
          <w:p w14:paraId="2F718B9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her—each attendance after the first in a single course of treatment, if that attendance is at a place other than consulting rooms or hospital</w:t>
            </w:r>
          </w:p>
        </w:tc>
        <w:tc>
          <w:tcPr>
            <w:tcW w:w="1559" w:type="dxa"/>
            <w:noWrap/>
          </w:tcPr>
          <w:p w14:paraId="3203F79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5D3D50D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14540A4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0DEBD153"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03A88CD5"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109</w:t>
            </w:r>
          </w:p>
        </w:tc>
        <w:tc>
          <w:tcPr>
            <w:tcW w:w="3969" w:type="dxa"/>
            <w:noWrap/>
            <w:hideMark/>
          </w:tcPr>
          <w:p w14:paraId="742F7A4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of ophthalmology following referral of the patient to him or her—an attendance (other than a second or subsequent attendance in a single course of treatment) at which a comprehensive eye examination, including pupil dilation, is performed on: (a) a patient aged 9 years or younger; or (b) a patient aged 14 years or younger with developmental delay;(other than a service to which any of items 104, 106 and 10801 to 10816 applies)</w:t>
            </w:r>
          </w:p>
        </w:tc>
        <w:tc>
          <w:tcPr>
            <w:tcW w:w="1559" w:type="dxa"/>
            <w:noWrap/>
          </w:tcPr>
          <w:p w14:paraId="5C71F64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1B0162D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1F39F80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0BE19336"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2ACA0EE8"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110</w:t>
            </w:r>
          </w:p>
        </w:tc>
        <w:tc>
          <w:tcPr>
            <w:tcW w:w="3969" w:type="dxa"/>
            <w:noWrap/>
            <w:hideMark/>
          </w:tcPr>
          <w:p w14:paraId="24AAA52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practitioner—initial attendance in a single course of treatment</w:t>
            </w:r>
          </w:p>
        </w:tc>
        <w:tc>
          <w:tcPr>
            <w:tcW w:w="1559" w:type="dxa"/>
            <w:noWrap/>
          </w:tcPr>
          <w:p w14:paraId="418DF4C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7DF5221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40294FA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6AEDEF31"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67D9346A"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111</w:t>
            </w:r>
          </w:p>
        </w:tc>
        <w:tc>
          <w:tcPr>
            <w:tcW w:w="3969" w:type="dxa"/>
            <w:noWrap/>
            <w:hideMark/>
          </w:tcPr>
          <w:p w14:paraId="12BCB06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specialist in the practice of his or her specialty following referral of the patient to him or her by a referring practitioner—an attendance after the first attendance in a single course of treatment, if: (a) during the attendance, the specialist determines the need to perform an operation on the patient that had not otherwise been scheduled; and (b) the specialist subsequently performs the operation on the patient, on the same day; and (c) the operation is a service to which an item in Group T8 applies; and (d) the amount specified in the item in Group T8 as the fee for a service to which that item applies is$300 or more For any particular patient, once only on the same day</w:t>
            </w:r>
          </w:p>
        </w:tc>
        <w:tc>
          <w:tcPr>
            <w:tcW w:w="1559" w:type="dxa"/>
            <w:noWrap/>
          </w:tcPr>
          <w:p w14:paraId="6BC76C53" w14:textId="77777777" w:rsidR="00313E1E" w:rsidRPr="001528CD"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5C93AC5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2847F0C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02AA761A"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44FE1B45"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116</w:t>
            </w:r>
          </w:p>
        </w:tc>
        <w:tc>
          <w:tcPr>
            <w:tcW w:w="3969" w:type="dxa"/>
            <w:noWrap/>
            <w:hideMark/>
          </w:tcPr>
          <w:p w14:paraId="6368F24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practitioner—each attendance (other than a service to which item 119 applies) after the first in a single course of treatment</w:t>
            </w:r>
          </w:p>
        </w:tc>
        <w:tc>
          <w:tcPr>
            <w:tcW w:w="1559" w:type="dxa"/>
            <w:noWrap/>
          </w:tcPr>
          <w:p w14:paraId="4C23107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783C79E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431E763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2389E06F"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60816D8E"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117</w:t>
            </w:r>
          </w:p>
        </w:tc>
        <w:tc>
          <w:tcPr>
            <w:tcW w:w="3969" w:type="dxa"/>
            <w:noWrap/>
            <w:hideMark/>
          </w:tcPr>
          <w:p w14:paraId="6054BD9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consultant physician in the practice of his or her specialty (other than psychiatry) following referral of the patient to him or her by a referring practitioner—an attendance after the first attendance in a single course of treatment, if: (a) the attendance is not a minor attendance; and (b) during the attendance, the consultant physician determines the need to perform an operation on the patient that had not otherwise been scheduled; and (c) the consultant physician subsequently performs the operation on the patient, on the same day; and (d) the operation is a service to which an item in Group T8 applies; and (e) the amount specified in the item in Group T8 as the fee for a service to which that item applies is$300 or more For any particular patient, once only on the same day</w:t>
            </w:r>
          </w:p>
        </w:tc>
        <w:tc>
          <w:tcPr>
            <w:tcW w:w="1559" w:type="dxa"/>
            <w:noWrap/>
          </w:tcPr>
          <w:p w14:paraId="2DF98AD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59503D2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76472CA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5DB268E6"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7B73D843"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119</w:t>
            </w:r>
          </w:p>
        </w:tc>
        <w:tc>
          <w:tcPr>
            <w:tcW w:w="3969" w:type="dxa"/>
            <w:noWrap/>
            <w:hideMark/>
          </w:tcPr>
          <w:p w14:paraId="263C8FA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practitioner—each minor attendance after the first in a single course of treatment</w:t>
            </w:r>
          </w:p>
        </w:tc>
        <w:tc>
          <w:tcPr>
            <w:tcW w:w="1559" w:type="dxa"/>
            <w:noWrap/>
          </w:tcPr>
          <w:p w14:paraId="7C5FE9A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0694CD9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15A107B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04D791B9"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206F22D6"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120</w:t>
            </w:r>
          </w:p>
        </w:tc>
        <w:tc>
          <w:tcPr>
            <w:tcW w:w="3969" w:type="dxa"/>
            <w:noWrap/>
            <w:hideMark/>
          </w:tcPr>
          <w:p w14:paraId="6298391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consultant physician in the practice of his or her specialty (other than psychiatry) following referral of the patient to him or her by a referring practitioner—an attendance after the first attendance in a single course of treatment, if: (a) the attendance is a minor attendance; and (b) during the attendance, the consultant physician determines the need to perform an operation on the patient that had not otherwise been scheduled; and (c) the consultant physician subsequently performs the operation on the patient, on the same day; and (d) the operation is a service to which an item in Group T8 applies; and (e) the amount specified in the item in Group T8 as the fee for a service to which that item applies is$300 or more For any particular patient, once only on the same day</w:t>
            </w:r>
          </w:p>
        </w:tc>
        <w:tc>
          <w:tcPr>
            <w:tcW w:w="1559" w:type="dxa"/>
            <w:noWrap/>
          </w:tcPr>
          <w:p w14:paraId="04D22C6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0DFE1C2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6889ADA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181D33ED"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5CFE2692"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122</w:t>
            </w:r>
          </w:p>
        </w:tc>
        <w:tc>
          <w:tcPr>
            <w:tcW w:w="3969" w:type="dxa"/>
            <w:noWrap/>
            <w:hideMark/>
          </w:tcPr>
          <w:p w14:paraId="1D1A8A0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practitioner—initial attendance in a single course of treatment</w:t>
            </w:r>
          </w:p>
        </w:tc>
        <w:tc>
          <w:tcPr>
            <w:tcW w:w="1559" w:type="dxa"/>
            <w:noWrap/>
          </w:tcPr>
          <w:p w14:paraId="1E2D0F7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41B756E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318D630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650D3936"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335DD4E7"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128</w:t>
            </w:r>
          </w:p>
        </w:tc>
        <w:tc>
          <w:tcPr>
            <w:tcW w:w="3969" w:type="dxa"/>
            <w:noWrap/>
            <w:hideMark/>
          </w:tcPr>
          <w:p w14:paraId="31BD788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practitioner—each attendance (other than a service to which item 131 applies) after the first in a single course of treatment</w:t>
            </w:r>
          </w:p>
        </w:tc>
        <w:tc>
          <w:tcPr>
            <w:tcW w:w="1559" w:type="dxa"/>
            <w:noWrap/>
          </w:tcPr>
          <w:p w14:paraId="4CC5F8B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61E328E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62A4BDA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33644025"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4758C2A1"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131</w:t>
            </w:r>
          </w:p>
        </w:tc>
        <w:tc>
          <w:tcPr>
            <w:tcW w:w="3969" w:type="dxa"/>
            <w:noWrap/>
            <w:hideMark/>
          </w:tcPr>
          <w:p w14:paraId="332F778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practitioner—each minor attendance after the first in a single course of treatment</w:t>
            </w:r>
          </w:p>
        </w:tc>
        <w:tc>
          <w:tcPr>
            <w:tcW w:w="1559" w:type="dxa"/>
            <w:noWrap/>
          </w:tcPr>
          <w:p w14:paraId="3F0A26A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0378B02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480999F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1A0B704C"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27FD93C0"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160</w:t>
            </w:r>
          </w:p>
        </w:tc>
        <w:tc>
          <w:tcPr>
            <w:tcW w:w="3969" w:type="dxa"/>
            <w:noWrap/>
            <w:hideMark/>
          </w:tcPr>
          <w:p w14:paraId="4619EB1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1 hour but less than 2 hours (other than a service to which another item applies) on a patient in imminent danger of death</w:t>
            </w:r>
          </w:p>
        </w:tc>
        <w:tc>
          <w:tcPr>
            <w:tcW w:w="1559" w:type="dxa"/>
            <w:noWrap/>
          </w:tcPr>
          <w:p w14:paraId="6B5CAFF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701" w:type="dxa"/>
            <w:noWrap/>
          </w:tcPr>
          <w:p w14:paraId="5DD8668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w:t>
            </w:r>
          </w:p>
        </w:tc>
        <w:tc>
          <w:tcPr>
            <w:tcW w:w="1317" w:type="dxa"/>
            <w:noWrap/>
          </w:tcPr>
          <w:p w14:paraId="51E35A4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w:t>
            </w:r>
          </w:p>
        </w:tc>
      </w:tr>
      <w:tr w:rsidR="008A5CDC" w:rsidRPr="00C33C0B" w14:paraId="7E027E40"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43DFDBEA"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161</w:t>
            </w:r>
          </w:p>
        </w:tc>
        <w:tc>
          <w:tcPr>
            <w:tcW w:w="3969" w:type="dxa"/>
            <w:noWrap/>
            <w:hideMark/>
          </w:tcPr>
          <w:p w14:paraId="7E0484B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2 hours but less than 3 hours (other than a service to which another item applies) on a patient in imminent danger of death</w:t>
            </w:r>
          </w:p>
        </w:tc>
        <w:tc>
          <w:tcPr>
            <w:tcW w:w="1559" w:type="dxa"/>
            <w:noWrap/>
          </w:tcPr>
          <w:p w14:paraId="0E6418C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701" w:type="dxa"/>
            <w:noWrap/>
          </w:tcPr>
          <w:p w14:paraId="3116677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w:t>
            </w:r>
          </w:p>
        </w:tc>
        <w:tc>
          <w:tcPr>
            <w:tcW w:w="1317" w:type="dxa"/>
            <w:noWrap/>
          </w:tcPr>
          <w:p w14:paraId="438C721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w:t>
            </w:r>
          </w:p>
        </w:tc>
      </w:tr>
      <w:tr w:rsidR="008A5CDC" w:rsidRPr="00C33C0B" w14:paraId="106C8F88"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40B25489"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162</w:t>
            </w:r>
          </w:p>
        </w:tc>
        <w:tc>
          <w:tcPr>
            <w:tcW w:w="3969" w:type="dxa"/>
            <w:noWrap/>
            <w:hideMark/>
          </w:tcPr>
          <w:p w14:paraId="1461EC3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3 hours but less than 4 hours (other than a service to which another item applies) on a patient in imminent danger of death</w:t>
            </w:r>
          </w:p>
        </w:tc>
        <w:tc>
          <w:tcPr>
            <w:tcW w:w="1559" w:type="dxa"/>
            <w:noWrap/>
          </w:tcPr>
          <w:p w14:paraId="0BAF57F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701" w:type="dxa"/>
            <w:noWrap/>
          </w:tcPr>
          <w:p w14:paraId="60CE66B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w:t>
            </w:r>
          </w:p>
        </w:tc>
        <w:tc>
          <w:tcPr>
            <w:tcW w:w="1317" w:type="dxa"/>
            <w:noWrap/>
          </w:tcPr>
          <w:p w14:paraId="6948297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w:t>
            </w:r>
          </w:p>
        </w:tc>
      </w:tr>
      <w:tr w:rsidR="008A5CDC" w:rsidRPr="00C33C0B" w14:paraId="78042482"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2FCB1632"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163</w:t>
            </w:r>
          </w:p>
        </w:tc>
        <w:tc>
          <w:tcPr>
            <w:tcW w:w="3969" w:type="dxa"/>
            <w:noWrap/>
            <w:hideMark/>
          </w:tcPr>
          <w:p w14:paraId="1D1F421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4 hours but less than 5 hours (other than a service to which another item applies) on a patient in imminent danger of death</w:t>
            </w:r>
          </w:p>
        </w:tc>
        <w:tc>
          <w:tcPr>
            <w:tcW w:w="1559" w:type="dxa"/>
            <w:noWrap/>
          </w:tcPr>
          <w:p w14:paraId="5336986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701" w:type="dxa"/>
            <w:noWrap/>
          </w:tcPr>
          <w:p w14:paraId="7082C9B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w:t>
            </w:r>
          </w:p>
        </w:tc>
        <w:tc>
          <w:tcPr>
            <w:tcW w:w="1317" w:type="dxa"/>
            <w:noWrap/>
          </w:tcPr>
          <w:p w14:paraId="64825BA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w:t>
            </w:r>
          </w:p>
        </w:tc>
      </w:tr>
      <w:tr w:rsidR="008A5CDC" w:rsidRPr="00C33C0B" w14:paraId="79560B70"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51F98A8F"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164</w:t>
            </w:r>
          </w:p>
        </w:tc>
        <w:tc>
          <w:tcPr>
            <w:tcW w:w="3969" w:type="dxa"/>
            <w:noWrap/>
            <w:hideMark/>
          </w:tcPr>
          <w:p w14:paraId="6D45693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5 hours or more (other than a service to which another item applies) on a patient in imminent danger of death</w:t>
            </w:r>
          </w:p>
        </w:tc>
        <w:tc>
          <w:tcPr>
            <w:tcW w:w="1559" w:type="dxa"/>
            <w:noWrap/>
          </w:tcPr>
          <w:p w14:paraId="1AE13D1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701" w:type="dxa"/>
            <w:noWrap/>
          </w:tcPr>
          <w:p w14:paraId="4DF16F8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w:t>
            </w:r>
          </w:p>
        </w:tc>
        <w:tc>
          <w:tcPr>
            <w:tcW w:w="1317" w:type="dxa"/>
            <w:noWrap/>
          </w:tcPr>
          <w:p w14:paraId="424F5AA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w:t>
            </w:r>
          </w:p>
        </w:tc>
      </w:tr>
      <w:tr w:rsidR="008A5CDC" w:rsidRPr="00C33C0B" w14:paraId="41E1C070"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7501C62A"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385</w:t>
            </w:r>
          </w:p>
        </w:tc>
        <w:tc>
          <w:tcPr>
            <w:tcW w:w="3969" w:type="dxa"/>
            <w:noWrap/>
            <w:hideMark/>
          </w:tcPr>
          <w:p w14:paraId="601C2A7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occupational physician in the practice of his or her specialty of occupational medicine following referral of the patient to him or her by a referring practitioner--initial attendance in a single course of treatment</w:t>
            </w:r>
          </w:p>
        </w:tc>
        <w:tc>
          <w:tcPr>
            <w:tcW w:w="1559" w:type="dxa"/>
            <w:noWrap/>
          </w:tcPr>
          <w:p w14:paraId="33964F7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2873EE4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02884C3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017547B7"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0CA06155"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386</w:t>
            </w:r>
          </w:p>
        </w:tc>
        <w:tc>
          <w:tcPr>
            <w:tcW w:w="3969" w:type="dxa"/>
            <w:noWrap/>
            <w:hideMark/>
          </w:tcPr>
          <w:p w14:paraId="7FC2BFC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occupational physician in the practice of his or her specialty of occupational medicine following referral of the patient to him or her by a referring practitioner--each attendance after the first in a single course of treatment</w:t>
            </w:r>
          </w:p>
        </w:tc>
        <w:tc>
          <w:tcPr>
            <w:tcW w:w="1559" w:type="dxa"/>
            <w:noWrap/>
          </w:tcPr>
          <w:p w14:paraId="6D446DE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7539996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3DBFC85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34D141CF"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0B4CDB00"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387</w:t>
            </w:r>
          </w:p>
        </w:tc>
        <w:tc>
          <w:tcPr>
            <w:tcW w:w="3969" w:type="dxa"/>
            <w:noWrap/>
            <w:hideMark/>
          </w:tcPr>
          <w:p w14:paraId="1E7A463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occupational physician in the practice of his or her specialty of occupational medicine following referral of the patient to him or her by a referring practitioner--initial attendance in a single course of treatment</w:t>
            </w:r>
          </w:p>
        </w:tc>
        <w:tc>
          <w:tcPr>
            <w:tcW w:w="1559" w:type="dxa"/>
            <w:noWrap/>
          </w:tcPr>
          <w:p w14:paraId="53E4D90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0D66BB5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392E006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662CB09E"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5AD6815B"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388</w:t>
            </w:r>
          </w:p>
        </w:tc>
        <w:tc>
          <w:tcPr>
            <w:tcW w:w="3969" w:type="dxa"/>
            <w:noWrap/>
            <w:hideMark/>
          </w:tcPr>
          <w:p w14:paraId="722D741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occupational physician in the practice of his or her specialty of occupational medicine following referral of the patient to him or her by a referring practitioner--each attendance after the first in a single course of treatment</w:t>
            </w:r>
          </w:p>
        </w:tc>
        <w:tc>
          <w:tcPr>
            <w:tcW w:w="1559" w:type="dxa"/>
            <w:noWrap/>
          </w:tcPr>
          <w:p w14:paraId="54CCB0F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4BADB63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6233540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7CE3001A"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5B809030"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410</w:t>
            </w:r>
          </w:p>
        </w:tc>
        <w:tc>
          <w:tcPr>
            <w:tcW w:w="3969" w:type="dxa"/>
            <w:noWrap/>
            <w:hideMark/>
          </w:tcPr>
          <w:p w14:paraId="6E2865C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by a public health physician in the practice of his or her specialty of public health medicine--attendance for an obvious problem characterised by the straightforward nature of the task that requires a short patient history and, if required, limited examination and management.</w:t>
            </w:r>
          </w:p>
        </w:tc>
        <w:tc>
          <w:tcPr>
            <w:tcW w:w="1559" w:type="dxa"/>
            <w:noWrap/>
          </w:tcPr>
          <w:p w14:paraId="1ED4F25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6A628B7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618D181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6DCE7848"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2B87D10B"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411</w:t>
            </w:r>
          </w:p>
        </w:tc>
        <w:tc>
          <w:tcPr>
            <w:tcW w:w="3969" w:type="dxa"/>
            <w:noWrap/>
            <w:hideMark/>
          </w:tcPr>
          <w:p w14:paraId="146B668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less than 20 minutes and including any of the following that are clinically relevant: (a) taking a patient history; (b) performing a clinical examination; (c) arranging any necessary investigation; (d) implementing a management plan; (e) providing appropriate preventive health care; for one or more health-related issues, with appropriate documentation.</w:t>
            </w:r>
          </w:p>
        </w:tc>
        <w:tc>
          <w:tcPr>
            <w:tcW w:w="1559" w:type="dxa"/>
            <w:noWrap/>
          </w:tcPr>
          <w:p w14:paraId="7749AA4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6016401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50A53AD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42E96063"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24E954E0"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412</w:t>
            </w:r>
          </w:p>
        </w:tc>
        <w:tc>
          <w:tcPr>
            <w:tcW w:w="3969" w:type="dxa"/>
            <w:noWrap/>
            <w:hideMark/>
          </w:tcPr>
          <w:p w14:paraId="2669CC7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at least 20 minutes and including any of the following that are clinically relevant: (a) taking a detailed patient history; (b) performing a clinical examination; (c) arranging any necessary investigation; (d) implementing a management plan; (e) providing appropriate preventive health care; for one or more health-related issues, with appropriate documentation</w:t>
            </w:r>
          </w:p>
        </w:tc>
        <w:tc>
          <w:tcPr>
            <w:tcW w:w="1559" w:type="dxa"/>
            <w:noWrap/>
          </w:tcPr>
          <w:p w14:paraId="43D51EA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62060CC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1D25819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78BE4A8B"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0E238A56"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413</w:t>
            </w:r>
          </w:p>
        </w:tc>
        <w:tc>
          <w:tcPr>
            <w:tcW w:w="3969" w:type="dxa"/>
            <w:noWrap/>
            <w:hideMark/>
          </w:tcPr>
          <w:p w14:paraId="047ECCF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at least 40 minutes and including any of the following that are clinically relevant: (a) taking an extensive patient history; (b) performing a clinical examination; (c) arranging any necessary investigation; (d) implementing a management plan; (e) providing appropriate preventive health care; for one or more health-related issues, with appropriate documentation</w:t>
            </w:r>
          </w:p>
        </w:tc>
        <w:tc>
          <w:tcPr>
            <w:tcW w:w="1559" w:type="dxa"/>
            <w:noWrap/>
          </w:tcPr>
          <w:p w14:paraId="0F89599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233F1BD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471B2DF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67E869BE"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373EA817"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414</w:t>
            </w:r>
          </w:p>
        </w:tc>
        <w:tc>
          <w:tcPr>
            <w:tcW w:w="3969" w:type="dxa"/>
            <w:noWrap/>
            <w:hideMark/>
          </w:tcPr>
          <w:p w14:paraId="79C33BE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other than consulting rooms by a public health physician in the practice of his or her specialty of public health medicine--attendance for an obvious problem characterised by the straightforward nature of the task that requires a short patient history and, if required, limited examination and management</w:t>
            </w:r>
          </w:p>
        </w:tc>
        <w:tc>
          <w:tcPr>
            <w:tcW w:w="1559" w:type="dxa"/>
            <w:noWrap/>
          </w:tcPr>
          <w:p w14:paraId="51DE7DB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5F8A8DB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616B2E9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06196EF4"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5A2D9203"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415</w:t>
            </w:r>
          </w:p>
        </w:tc>
        <w:tc>
          <w:tcPr>
            <w:tcW w:w="3969" w:type="dxa"/>
            <w:noWrap/>
            <w:hideMark/>
          </w:tcPr>
          <w:p w14:paraId="21475DD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less than 20 minutes and including any of the following that are clinically relevant: (a) taking a patient history; (b) performing a clinical examination; (c) arranging any necessary investigation; (d) implementing a management plan; (e) providing appropriate preventive health care; for one or more health-related issues, with appropriate documentation</w:t>
            </w:r>
          </w:p>
        </w:tc>
        <w:tc>
          <w:tcPr>
            <w:tcW w:w="1559" w:type="dxa"/>
            <w:noWrap/>
          </w:tcPr>
          <w:p w14:paraId="49E72E3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44E591A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3612B0E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102DD906"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18C242BC"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416</w:t>
            </w:r>
          </w:p>
        </w:tc>
        <w:tc>
          <w:tcPr>
            <w:tcW w:w="3969" w:type="dxa"/>
            <w:noWrap/>
            <w:hideMark/>
          </w:tcPr>
          <w:p w14:paraId="6F86F3B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at least 20 minutes and including any of the following that are clinically relevant: (a) taking a detailed patient history; (b) performing a clinical examination; (c) arranging any necessary investigation; (d) implementing a management plan; (e) providing appropriate preventive health care; for one or more health-related issues, with appropriate documentation</w:t>
            </w:r>
          </w:p>
        </w:tc>
        <w:tc>
          <w:tcPr>
            <w:tcW w:w="1559" w:type="dxa"/>
            <w:noWrap/>
          </w:tcPr>
          <w:p w14:paraId="273FE5D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5961D58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194892A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6E9FDB2C"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49EB66F0"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417</w:t>
            </w:r>
          </w:p>
        </w:tc>
        <w:tc>
          <w:tcPr>
            <w:tcW w:w="3969" w:type="dxa"/>
            <w:noWrap/>
            <w:hideMark/>
          </w:tcPr>
          <w:p w14:paraId="66D8E20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at least 40 minutes and including any of the following that are clinically relevant: (a) taking an extensive patient history; (b) performing a clinical examination; (c) arranging any necessary investigation; (d) implementing a management plan; (e) providing appropriate preventive health care; for one or more health-related issues, with appropriate documentation</w:t>
            </w:r>
          </w:p>
        </w:tc>
        <w:tc>
          <w:tcPr>
            <w:tcW w:w="1559" w:type="dxa"/>
            <w:noWrap/>
          </w:tcPr>
          <w:p w14:paraId="2963DC0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76FD5FF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715896D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437F833B"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05A806D2"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2801</w:t>
            </w:r>
          </w:p>
        </w:tc>
        <w:tc>
          <w:tcPr>
            <w:tcW w:w="3969" w:type="dxa"/>
            <w:noWrap/>
            <w:hideMark/>
          </w:tcPr>
          <w:p w14:paraId="1A1A660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practitioner--initial attendance in a single course of treatment</w:t>
            </w:r>
          </w:p>
        </w:tc>
        <w:tc>
          <w:tcPr>
            <w:tcW w:w="1559" w:type="dxa"/>
            <w:noWrap/>
          </w:tcPr>
          <w:p w14:paraId="01C9F0A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3B2291D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38417DA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33D45C65"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0DDA546A"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2806</w:t>
            </w:r>
          </w:p>
        </w:tc>
        <w:tc>
          <w:tcPr>
            <w:tcW w:w="3969" w:type="dxa"/>
            <w:noWrap/>
            <w:hideMark/>
          </w:tcPr>
          <w:p w14:paraId="0BE5222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practitioner--each attendance (other than a service to which item 2814 applies) after the first in a single course of treatment</w:t>
            </w:r>
          </w:p>
        </w:tc>
        <w:tc>
          <w:tcPr>
            <w:tcW w:w="1559" w:type="dxa"/>
            <w:noWrap/>
          </w:tcPr>
          <w:p w14:paraId="705BFC1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13E415D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3025C3C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0DE166B7"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74E963E2"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2814</w:t>
            </w:r>
          </w:p>
        </w:tc>
        <w:tc>
          <w:tcPr>
            <w:tcW w:w="3969" w:type="dxa"/>
            <w:noWrap/>
            <w:hideMark/>
          </w:tcPr>
          <w:p w14:paraId="38A9C31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practitioner--each minor attendance after the first attendance in a single course of treatment</w:t>
            </w:r>
          </w:p>
        </w:tc>
        <w:tc>
          <w:tcPr>
            <w:tcW w:w="1559" w:type="dxa"/>
            <w:noWrap/>
          </w:tcPr>
          <w:p w14:paraId="63AE626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340319B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75FD34D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02575557"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1B2E33F4"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2824</w:t>
            </w:r>
          </w:p>
        </w:tc>
        <w:tc>
          <w:tcPr>
            <w:tcW w:w="3969" w:type="dxa"/>
            <w:noWrap/>
            <w:hideMark/>
          </w:tcPr>
          <w:p w14:paraId="568BD75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practitioner--initial attendance in a single course of treatment</w:t>
            </w:r>
          </w:p>
        </w:tc>
        <w:tc>
          <w:tcPr>
            <w:tcW w:w="1559" w:type="dxa"/>
            <w:noWrap/>
          </w:tcPr>
          <w:p w14:paraId="4DD09A7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56C3999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28E8B43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08D10AD0"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6B71A187"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2832</w:t>
            </w:r>
          </w:p>
        </w:tc>
        <w:tc>
          <w:tcPr>
            <w:tcW w:w="3969" w:type="dxa"/>
            <w:noWrap/>
            <w:hideMark/>
          </w:tcPr>
          <w:p w14:paraId="014E975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practitioner--each attendance (other than a service to which item 2840 applies) after the first in a single course of treatment</w:t>
            </w:r>
          </w:p>
        </w:tc>
        <w:tc>
          <w:tcPr>
            <w:tcW w:w="1559" w:type="dxa"/>
            <w:noWrap/>
          </w:tcPr>
          <w:p w14:paraId="3F114A6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15607B8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316EF59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54FB63A4"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56987653"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2840</w:t>
            </w:r>
          </w:p>
        </w:tc>
        <w:tc>
          <w:tcPr>
            <w:tcW w:w="3969" w:type="dxa"/>
            <w:noWrap/>
            <w:hideMark/>
          </w:tcPr>
          <w:p w14:paraId="320020C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practitioner--each minor attendance after the first attendance in a single course of treatment</w:t>
            </w:r>
          </w:p>
        </w:tc>
        <w:tc>
          <w:tcPr>
            <w:tcW w:w="1559" w:type="dxa"/>
            <w:noWrap/>
          </w:tcPr>
          <w:p w14:paraId="49F7195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2794C3C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1128601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22386B6E"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4B2A6C22"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3005</w:t>
            </w:r>
          </w:p>
        </w:tc>
        <w:tc>
          <w:tcPr>
            <w:tcW w:w="3969" w:type="dxa"/>
            <w:noWrap/>
            <w:hideMark/>
          </w:tcPr>
          <w:p w14:paraId="3583413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practitioner--initial attendance in a single course of treatment</w:t>
            </w:r>
          </w:p>
        </w:tc>
        <w:tc>
          <w:tcPr>
            <w:tcW w:w="1559" w:type="dxa"/>
            <w:noWrap/>
          </w:tcPr>
          <w:p w14:paraId="0769FEA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085A0E9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01EDFE1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203655C7"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697E169B"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3010</w:t>
            </w:r>
          </w:p>
        </w:tc>
        <w:tc>
          <w:tcPr>
            <w:tcW w:w="3969" w:type="dxa"/>
            <w:noWrap/>
            <w:hideMark/>
          </w:tcPr>
          <w:p w14:paraId="2536194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practitioner--each attendance (other than a service to which item 3014 applies) after the first in a single course of treatment</w:t>
            </w:r>
          </w:p>
        </w:tc>
        <w:tc>
          <w:tcPr>
            <w:tcW w:w="1559" w:type="dxa"/>
            <w:noWrap/>
          </w:tcPr>
          <w:p w14:paraId="2774213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2D2A265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450D099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6FA8D601"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5F857E4B"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3014</w:t>
            </w:r>
          </w:p>
        </w:tc>
        <w:tc>
          <w:tcPr>
            <w:tcW w:w="3969" w:type="dxa"/>
            <w:noWrap/>
            <w:hideMark/>
          </w:tcPr>
          <w:p w14:paraId="1F4AFCA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practitioner--each minor attendance after the first attendance in a single course of treatment</w:t>
            </w:r>
          </w:p>
        </w:tc>
        <w:tc>
          <w:tcPr>
            <w:tcW w:w="1559" w:type="dxa"/>
            <w:noWrap/>
          </w:tcPr>
          <w:p w14:paraId="1ACA903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680B851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1CFEA26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3F5611D1"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3B26D1FC"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3018</w:t>
            </w:r>
          </w:p>
        </w:tc>
        <w:tc>
          <w:tcPr>
            <w:tcW w:w="3969" w:type="dxa"/>
            <w:noWrap/>
            <w:hideMark/>
          </w:tcPr>
          <w:p w14:paraId="5B52807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practitioner--initial attendance in a single course of treatment</w:t>
            </w:r>
          </w:p>
        </w:tc>
        <w:tc>
          <w:tcPr>
            <w:tcW w:w="1559" w:type="dxa"/>
            <w:noWrap/>
          </w:tcPr>
          <w:p w14:paraId="07185AB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4C5CB20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1B26ECC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642821A1"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63F64701"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3023</w:t>
            </w:r>
          </w:p>
        </w:tc>
        <w:tc>
          <w:tcPr>
            <w:tcW w:w="3969" w:type="dxa"/>
            <w:noWrap/>
            <w:hideMark/>
          </w:tcPr>
          <w:p w14:paraId="7A0EE78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practitioner--each attendance (other than a service to which item 3028 applies) after the first in a single course of treatment</w:t>
            </w:r>
          </w:p>
        </w:tc>
        <w:tc>
          <w:tcPr>
            <w:tcW w:w="1559" w:type="dxa"/>
            <w:noWrap/>
          </w:tcPr>
          <w:p w14:paraId="28D4EAA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0B3BD76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11C2404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2F94BBB1"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729F0EC7"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3028</w:t>
            </w:r>
          </w:p>
        </w:tc>
        <w:tc>
          <w:tcPr>
            <w:tcW w:w="3969" w:type="dxa"/>
            <w:noWrap/>
            <w:hideMark/>
          </w:tcPr>
          <w:p w14:paraId="5B06DAB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practitioner--each minor attendance after the first attendance in a single course of treatment</w:t>
            </w:r>
          </w:p>
        </w:tc>
        <w:tc>
          <w:tcPr>
            <w:tcW w:w="1559" w:type="dxa"/>
            <w:noWrap/>
          </w:tcPr>
          <w:p w14:paraId="310139A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170E9F9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270CC2A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016411B9"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77F13729"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6007</w:t>
            </w:r>
          </w:p>
        </w:tc>
        <w:tc>
          <w:tcPr>
            <w:tcW w:w="3969" w:type="dxa"/>
            <w:noWrap/>
            <w:hideMark/>
          </w:tcPr>
          <w:p w14:paraId="7BDE132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(other than a second or subsequent attendance in a single course of treatment) at consulting rooms or hospital</w:t>
            </w:r>
          </w:p>
        </w:tc>
        <w:tc>
          <w:tcPr>
            <w:tcW w:w="1559" w:type="dxa"/>
            <w:noWrap/>
          </w:tcPr>
          <w:p w14:paraId="1190E74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7F05663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0D2FE4A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48CD9884"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77089004"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6009</w:t>
            </w:r>
          </w:p>
        </w:tc>
        <w:tc>
          <w:tcPr>
            <w:tcW w:w="3969" w:type="dxa"/>
            <w:noWrap/>
            <w:hideMark/>
          </w:tcPr>
          <w:p w14:paraId="1E89D0E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 minor attendance after the first in a single course of treatment at consulting rooms or hospital</w:t>
            </w:r>
          </w:p>
        </w:tc>
        <w:tc>
          <w:tcPr>
            <w:tcW w:w="1559" w:type="dxa"/>
            <w:noWrap/>
          </w:tcPr>
          <w:p w14:paraId="282119F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18EF15D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2724C60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4DA2AA67"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1260CC9C"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6011</w:t>
            </w:r>
          </w:p>
        </w:tc>
        <w:tc>
          <w:tcPr>
            <w:tcW w:w="3969" w:type="dxa"/>
            <w:noWrap/>
            <w:hideMark/>
          </w:tcPr>
          <w:p w14:paraId="2696292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an extensive and comprehensive examination, arranging any necessary investigations in relation to one or more complex problems and of more than 15 minutes in duration but not more than 30 minutes in duration at consulting rooms or hospital</w:t>
            </w:r>
          </w:p>
        </w:tc>
        <w:tc>
          <w:tcPr>
            <w:tcW w:w="1559" w:type="dxa"/>
            <w:noWrap/>
          </w:tcPr>
          <w:p w14:paraId="69B69F8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1E11F0E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3152B97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42D9C6DA"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747021E2"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6013</w:t>
            </w:r>
          </w:p>
        </w:tc>
        <w:tc>
          <w:tcPr>
            <w:tcW w:w="3969" w:type="dxa"/>
            <w:noWrap/>
            <w:hideMark/>
          </w:tcPr>
          <w:p w14:paraId="0CD0CD9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 detailed and comprehensive examination, arranging any necessary investigations in relation to one or more complex problems and of more than 30 minutes in duration but not more than 45 minutes in duration at consulting rooms or hospital</w:t>
            </w:r>
          </w:p>
        </w:tc>
        <w:tc>
          <w:tcPr>
            <w:tcW w:w="1559" w:type="dxa"/>
            <w:noWrap/>
          </w:tcPr>
          <w:p w14:paraId="416C08A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6895A11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4F531F0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5113A7C7" w14:textId="77777777" w:rsidTr="008A5CDC">
        <w:tc>
          <w:tcPr>
            <w:cnfStyle w:val="001000000000" w:firstRow="0" w:lastRow="0" w:firstColumn="1" w:lastColumn="0" w:oddVBand="0" w:evenVBand="0" w:oddHBand="0" w:evenHBand="0" w:firstRowFirstColumn="0" w:firstRowLastColumn="0" w:lastRowFirstColumn="0" w:lastRowLastColumn="0"/>
            <w:tcW w:w="704" w:type="dxa"/>
            <w:noWrap/>
            <w:hideMark/>
          </w:tcPr>
          <w:p w14:paraId="37AE7056"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6015</w:t>
            </w:r>
          </w:p>
        </w:tc>
        <w:tc>
          <w:tcPr>
            <w:tcW w:w="3969" w:type="dxa"/>
            <w:noWrap/>
            <w:hideMark/>
          </w:tcPr>
          <w:p w14:paraId="3A18769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an exhaustive and comprehensive examination, arranging any necessary investigations in relation to one or more complex problems and of more than 45 minutes in duration at consulting rooms or hospital</w:t>
            </w:r>
          </w:p>
        </w:tc>
        <w:tc>
          <w:tcPr>
            <w:tcW w:w="1559" w:type="dxa"/>
            <w:noWrap/>
          </w:tcPr>
          <w:p w14:paraId="578A9FE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7C243B7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150A8EC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18852F97" w14:textId="77777777" w:rsidTr="008A5CDC">
        <w:tc>
          <w:tcPr>
            <w:cnfStyle w:val="001000000000" w:firstRow="0" w:lastRow="0" w:firstColumn="1" w:lastColumn="0" w:oddVBand="0" w:evenVBand="0" w:oddHBand="0" w:evenHBand="0" w:firstRowFirstColumn="0" w:firstRowLastColumn="0" w:lastRowFirstColumn="0" w:lastRowLastColumn="0"/>
            <w:tcW w:w="704" w:type="dxa"/>
            <w:noWrap/>
          </w:tcPr>
          <w:p w14:paraId="7A186E6E"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6018</w:t>
            </w:r>
          </w:p>
        </w:tc>
        <w:tc>
          <w:tcPr>
            <w:tcW w:w="3969" w:type="dxa"/>
            <w:noWrap/>
          </w:tcPr>
          <w:p w14:paraId="16517CC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following referral of the patient to him or her by a referring practitioner, if the attendance: (a) includes a comprehensive assessment; and (b) is the first or only time in a single course of treatment that a comprehensive assessment is provided</w:t>
            </w:r>
          </w:p>
        </w:tc>
        <w:tc>
          <w:tcPr>
            <w:tcW w:w="1559" w:type="dxa"/>
            <w:noWrap/>
          </w:tcPr>
          <w:p w14:paraId="4F2DB4A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2777CE3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3A2E2D1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04B0276A" w14:textId="77777777" w:rsidTr="008A5CDC">
        <w:tc>
          <w:tcPr>
            <w:cnfStyle w:val="001000000000" w:firstRow="0" w:lastRow="0" w:firstColumn="1" w:lastColumn="0" w:oddVBand="0" w:evenVBand="0" w:oddHBand="0" w:evenHBand="0" w:firstRowFirstColumn="0" w:firstRowLastColumn="0" w:lastRowFirstColumn="0" w:lastRowLastColumn="0"/>
            <w:tcW w:w="704" w:type="dxa"/>
            <w:noWrap/>
          </w:tcPr>
          <w:p w14:paraId="487F71F9"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6019</w:t>
            </w:r>
          </w:p>
        </w:tc>
        <w:tc>
          <w:tcPr>
            <w:tcW w:w="3969" w:type="dxa"/>
            <w:noWrap/>
          </w:tcPr>
          <w:p w14:paraId="5C44272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following referral of the patient to him or her by a referring practitioner, if the attendance is a patient assessment: (a) before or after a comprehensive assessment under item 6018 in a single course of treatment; or (b) that follows an initial assessment under item 6023 in a single course of treatment; or (c) that follows a review under item 6024 in a single course of treatment</w:t>
            </w:r>
          </w:p>
        </w:tc>
        <w:tc>
          <w:tcPr>
            <w:tcW w:w="1559" w:type="dxa"/>
            <w:noWrap/>
          </w:tcPr>
          <w:p w14:paraId="3DA02C1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44C8250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4D42547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38B3FD2B" w14:textId="77777777" w:rsidTr="008A5CDC">
        <w:tc>
          <w:tcPr>
            <w:cnfStyle w:val="001000000000" w:firstRow="0" w:lastRow="0" w:firstColumn="1" w:lastColumn="0" w:oddVBand="0" w:evenVBand="0" w:oddHBand="0" w:evenHBand="0" w:firstRowFirstColumn="0" w:firstRowLastColumn="0" w:lastRowFirstColumn="0" w:lastRowLastColumn="0"/>
            <w:tcW w:w="704" w:type="dxa"/>
            <w:noWrap/>
          </w:tcPr>
          <w:p w14:paraId="74E4C57A"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6051</w:t>
            </w:r>
          </w:p>
        </w:tc>
        <w:tc>
          <w:tcPr>
            <w:tcW w:w="3969" w:type="dxa"/>
            <w:noWrap/>
          </w:tcPr>
          <w:p w14:paraId="0778CD7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following referral of the patient to him or her by a referring practitioner, if the attendance: (a) includes a comprehensive assessment; and (b) is the first or only time in a single course of treatment that a comprehensive assessment is provided</w:t>
            </w:r>
          </w:p>
        </w:tc>
        <w:tc>
          <w:tcPr>
            <w:tcW w:w="1559" w:type="dxa"/>
            <w:noWrap/>
          </w:tcPr>
          <w:p w14:paraId="406EF05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7B066C6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407A8E5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2252CE02" w14:textId="77777777" w:rsidTr="008A5CDC">
        <w:tc>
          <w:tcPr>
            <w:cnfStyle w:val="001000000000" w:firstRow="0" w:lastRow="0" w:firstColumn="1" w:lastColumn="0" w:oddVBand="0" w:evenVBand="0" w:oddHBand="0" w:evenHBand="0" w:firstRowFirstColumn="0" w:firstRowLastColumn="0" w:lastRowFirstColumn="0" w:lastRowLastColumn="0"/>
            <w:tcW w:w="704" w:type="dxa"/>
            <w:noWrap/>
          </w:tcPr>
          <w:p w14:paraId="6C0438BB"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6052</w:t>
            </w:r>
          </w:p>
        </w:tc>
        <w:tc>
          <w:tcPr>
            <w:tcW w:w="3969" w:type="dxa"/>
            <w:noWrap/>
          </w:tcPr>
          <w:p w14:paraId="79013D2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following referral of the patient to him or her by a referring practitioner, if the attendance is a patient assessment: (a) before or after a comprehensive assessment under item 6051 in a single course of treatment; or (b) that follows an initial assessment under item 6057 in a single course of treatment; or (c) that follows a review under item 6058 in a single course of treatment</w:t>
            </w:r>
          </w:p>
        </w:tc>
        <w:tc>
          <w:tcPr>
            <w:tcW w:w="1559" w:type="dxa"/>
            <w:noWrap/>
          </w:tcPr>
          <w:p w14:paraId="3F946F5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3C812D6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42B7DAD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104DD7C4" w14:textId="77777777" w:rsidTr="008A5CDC">
        <w:tc>
          <w:tcPr>
            <w:cnfStyle w:val="001000000000" w:firstRow="0" w:lastRow="0" w:firstColumn="1" w:lastColumn="0" w:oddVBand="0" w:evenVBand="0" w:oddHBand="0" w:evenHBand="0" w:firstRowFirstColumn="0" w:firstRowLastColumn="0" w:lastRowFirstColumn="0" w:lastRowLastColumn="0"/>
            <w:tcW w:w="704" w:type="dxa"/>
            <w:noWrap/>
          </w:tcPr>
          <w:p w14:paraId="5DB5F825"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6062</w:t>
            </w:r>
          </w:p>
        </w:tc>
        <w:tc>
          <w:tcPr>
            <w:tcW w:w="3969" w:type="dxa"/>
            <w:noWrap/>
          </w:tcPr>
          <w:p w14:paraId="28FD7FF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a hospital by a sexual health medicine specialist in the practice of his or her specialty following referral of the patient to him or her by a referring practitioner--initial attendance in a single course of treatment</w:t>
            </w:r>
          </w:p>
        </w:tc>
        <w:tc>
          <w:tcPr>
            <w:tcW w:w="1559" w:type="dxa"/>
            <w:noWrap/>
          </w:tcPr>
          <w:p w14:paraId="2023802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0CF8F67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4614354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287F8997" w14:textId="77777777" w:rsidTr="008A5CDC">
        <w:tc>
          <w:tcPr>
            <w:cnfStyle w:val="001000000000" w:firstRow="0" w:lastRow="0" w:firstColumn="1" w:lastColumn="0" w:oddVBand="0" w:evenVBand="0" w:oddHBand="0" w:evenHBand="0" w:firstRowFirstColumn="0" w:firstRowLastColumn="0" w:lastRowFirstColumn="0" w:lastRowLastColumn="0"/>
            <w:tcW w:w="704" w:type="dxa"/>
            <w:noWrap/>
          </w:tcPr>
          <w:p w14:paraId="155B394C"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6063</w:t>
            </w:r>
          </w:p>
        </w:tc>
        <w:tc>
          <w:tcPr>
            <w:tcW w:w="3969" w:type="dxa"/>
            <w:noWrap/>
          </w:tcPr>
          <w:p w14:paraId="67B1C9D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a hospital by a sexual health medicine specialist in the practice of his or her specialty following referral of the patient to him or her by a referring practitioner--each attendance after the attendance under item 6062 in a single course of treatment</w:t>
            </w:r>
          </w:p>
        </w:tc>
        <w:tc>
          <w:tcPr>
            <w:tcW w:w="1559" w:type="dxa"/>
            <w:noWrap/>
          </w:tcPr>
          <w:p w14:paraId="2A98FD8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701" w:type="dxa"/>
            <w:noWrap/>
          </w:tcPr>
          <w:p w14:paraId="4A439F6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1317" w:type="dxa"/>
            <w:noWrap/>
          </w:tcPr>
          <w:p w14:paraId="1F4801F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7857539E" w14:textId="77777777" w:rsidTr="008A5CDC">
        <w:tc>
          <w:tcPr>
            <w:cnfStyle w:val="001000000000" w:firstRow="0" w:lastRow="0" w:firstColumn="1" w:lastColumn="0" w:oddVBand="0" w:evenVBand="0" w:oddHBand="0" w:evenHBand="0" w:firstRowFirstColumn="0" w:firstRowLastColumn="0" w:lastRowFirstColumn="0" w:lastRowLastColumn="0"/>
            <w:tcW w:w="704" w:type="dxa"/>
            <w:noWrap/>
          </w:tcPr>
          <w:p w14:paraId="3FCE362E" w14:textId="77777777" w:rsidR="00313E1E" w:rsidRPr="00C33C0B" w:rsidRDefault="00313E1E" w:rsidP="00313E1E">
            <w:pPr>
              <w:spacing w:before="20" w:after="20"/>
              <w:rPr>
                <w:rFonts w:ascii="Calibri" w:hAnsi="Calibri" w:cs="Calibri"/>
                <w:color w:val="000000"/>
                <w:sz w:val="17"/>
                <w:szCs w:val="17"/>
                <w:lang w:val="en-GB"/>
              </w:rPr>
            </w:pPr>
            <w:r>
              <w:rPr>
                <w:rFonts w:ascii="Calibri" w:hAnsi="Calibri" w:cs="Calibri"/>
                <w:color w:val="000000"/>
                <w:sz w:val="17"/>
                <w:szCs w:val="17"/>
                <w:lang w:val="en-GB"/>
              </w:rPr>
              <w:t>Recommendation 2</w:t>
            </w:r>
          </w:p>
        </w:tc>
        <w:tc>
          <w:tcPr>
            <w:tcW w:w="3969" w:type="dxa"/>
            <w:noWrap/>
          </w:tcPr>
          <w:p w14:paraId="650151C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Introduce new attendance items for acute, urgent and unplanned attendances</w:t>
            </w:r>
          </w:p>
        </w:tc>
        <w:tc>
          <w:tcPr>
            <w:tcW w:w="1559" w:type="dxa"/>
            <w:noWrap/>
          </w:tcPr>
          <w:p w14:paraId="7EAA7184"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 xml:space="preserve">Introduce the new items </w:t>
            </w:r>
          </w:p>
        </w:tc>
        <w:tc>
          <w:tcPr>
            <w:tcW w:w="1701" w:type="dxa"/>
            <w:noWrap/>
          </w:tcPr>
          <w:p w14:paraId="6BD1C053"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There would be four new time-tiered attendance items which could only be used in specific situations where the attendance is acute, urgent, unplanned, and does not take place in consulting rooms or in the ED of a public hospital</w:t>
            </w:r>
          </w:p>
        </w:tc>
        <w:tc>
          <w:tcPr>
            <w:tcW w:w="1317" w:type="dxa"/>
            <w:noWrap/>
          </w:tcPr>
          <w:p w14:paraId="68CC153A"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To reimburse acute, urgent and unplanned attendances at a fee higher than the schedule fee for standard time-tiered attendances of an equivalent duration, recognising that they may result in a consultant specialist postponing or cancelling a previously scheduled procedural risk, and that these attendances often involve multiple face-to-face patient interactions, conversations with other medical professionals and liaising with carers to access patient information</w:t>
            </w:r>
          </w:p>
        </w:tc>
      </w:tr>
      <w:tr w:rsidR="008A5CDC" w:rsidRPr="00C33C0B" w14:paraId="0D0673DD" w14:textId="77777777" w:rsidTr="008A5CDC">
        <w:tc>
          <w:tcPr>
            <w:cnfStyle w:val="001000000000" w:firstRow="0" w:lastRow="0" w:firstColumn="1" w:lastColumn="0" w:oddVBand="0" w:evenVBand="0" w:oddHBand="0" w:evenHBand="0" w:firstRowFirstColumn="0" w:firstRowLastColumn="0" w:lastRowFirstColumn="0" w:lastRowLastColumn="0"/>
            <w:tcW w:w="704" w:type="dxa"/>
            <w:noWrap/>
          </w:tcPr>
          <w:p w14:paraId="492FD6C6" w14:textId="77777777" w:rsidR="00313E1E" w:rsidRDefault="00313E1E" w:rsidP="00313E1E">
            <w:pPr>
              <w:spacing w:before="20" w:after="20"/>
              <w:rPr>
                <w:rFonts w:ascii="Calibri" w:hAnsi="Calibri" w:cs="Calibri"/>
                <w:color w:val="000000"/>
                <w:sz w:val="17"/>
                <w:szCs w:val="17"/>
                <w:lang w:val="en-GB"/>
              </w:rPr>
            </w:pPr>
            <w:r>
              <w:rPr>
                <w:rFonts w:ascii="Calibri" w:hAnsi="Calibri" w:cs="Calibri"/>
                <w:color w:val="000000"/>
                <w:sz w:val="17"/>
                <w:szCs w:val="17"/>
                <w:lang w:val="en-GB"/>
              </w:rPr>
              <w:t>Recommendation 3</w:t>
            </w:r>
          </w:p>
        </w:tc>
        <w:tc>
          <w:tcPr>
            <w:tcW w:w="3969" w:type="dxa"/>
            <w:noWrap/>
          </w:tcPr>
          <w:p w14:paraId="4B4F45DE"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Consider further issues when implementing time-tiering</w:t>
            </w:r>
          </w:p>
        </w:tc>
        <w:tc>
          <w:tcPr>
            <w:tcW w:w="1559" w:type="dxa"/>
            <w:noWrap/>
          </w:tcPr>
          <w:p w14:paraId="3B382A9E" w14:textId="7193ED4B"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 xml:space="preserve">Consider: (a) collecting data on the duration of attendances across specialties, and activities performed; (b) using this data to model the impact of time-tiering on service volume and benefits; (c) investing in change management; (d) making the model </w:t>
            </w:r>
            <w:r w:rsidR="0081460D">
              <w:rPr>
                <w:rFonts w:ascii="Calibri" w:hAnsi="Calibri" w:cs="Calibri"/>
                <w:color w:val="000000"/>
                <w:sz w:val="17"/>
                <w:szCs w:val="17"/>
                <w:lang w:val="en-GB"/>
              </w:rPr>
              <w:t>clear</w:t>
            </w:r>
            <w:r>
              <w:rPr>
                <w:rFonts w:ascii="Calibri" w:hAnsi="Calibri" w:cs="Calibri"/>
                <w:color w:val="000000"/>
                <w:sz w:val="17"/>
                <w:szCs w:val="17"/>
                <w:lang w:val="en-GB"/>
              </w:rPr>
              <w:t xml:space="preserve">; </w:t>
            </w:r>
            <w:r w:rsidR="0081460D">
              <w:rPr>
                <w:rFonts w:ascii="Calibri" w:hAnsi="Calibri" w:cs="Calibri"/>
                <w:color w:val="000000"/>
                <w:sz w:val="17"/>
                <w:szCs w:val="17"/>
                <w:lang w:val="en-GB"/>
              </w:rPr>
              <w:t>(e)</w:t>
            </w:r>
            <w:r>
              <w:rPr>
                <w:rFonts w:ascii="Calibri" w:hAnsi="Calibri" w:cs="Calibri"/>
                <w:color w:val="000000"/>
                <w:sz w:val="17"/>
                <w:szCs w:val="17"/>
                <w:lang w:val="en-GB"/>
              </w:rPr>
              <w:t xml:space="preserve"> adding a longer time tier should the need be identified; (f) regular reviews of items post-implementation; (g) making descriptors detailed to enable auditing; (h) harmonising time-tiers in the MBS that apply to other consultant specialists; and (i) setting time-tiers that </w:t>
            </w:r>
            <w:r w:rsidR="0081460D">
              <w:rPr>
                <w:rFonts w:ascii="Calibri" w:hAnsi="Calibri" w:cs="Calibri"/>
                <w:color w:val="000000"/>
                <w:sz w:val="17"/>
                <w:szCs w:val="17"/>
                <w:lang w:val="en-GB"/>
              </w:rPr>
              <w:t>have the most common attendance times near the middle of each tier, to support fair and reasonable practice</w:t>
            </w:r>
          </w:p>
        </w:tc>
        <w:tc>
          <w:tcPr>
            <w:tcW w:w="1701" w:type="dxa"/>
            <w:noWrap/>
          </w:tcPr>
          <w:p w14:paraId="74C7C87C"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Ensures that time-tiering is effective in achieving its goals</w:t>
            </w:r>
          </w:p>
        </w:tc>
        <w:tc>
          <w:tcPr>
            <w:tcW w:w="1317" w:type="dxa"/>
            <w:noWrap/>
          </w:tcPr>
          <w:p w14:paraId="2F633C20"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To ensure that relevant considerations are addressed when time-tiering is implemented</w:t>
            </w:r>
          </w:p>
        </w:tc>
      </w:tr>
      <w:tr w:rsidR="008A5CDC" w:rsidRPr="00C33C0B" w14:paraId="570FD1CF" w14:textId="77777777" w:rsidTr="008A5CDC">
        <w:tc>
          <w:tcPr>
            <w:cnfStyle w:val="001000000000" w:firstRow="0" w:lastRow="0" w:firstColumn="1" w:lastColumn="0" w:oddVBand="0" w:evenVBand="0" w:oddHBand="0" w:evenHBand="0" w:firstRowFirstColumn="0" w:firstRowLastColumn="0" w:lastRowFirstColumn="0" w:lastRowLastColumn="0"/>
            <w:tcW w:w="704" w:type="dxa"/>
            <w:noWrap/>
          </w:tcPr>
          <w:p w14:paraId="4B97AFC3" w14:textId="77777777" w:rsidR="00313E1E" w:rsidRDefault="00313E1E" w:rsidP="00313E1E">
            <w:pPr>
              <w:spacing w:before="20" w:after="20"/>
              <w:rPr>
                <w:rFonts w:ascii="Calibri" w:hAnsi="Calibri" w:cs="Calibri"/>
                <w:color w:val="000000"/>
                <w:sz w:val="17"/>
                <w:szCs w:val="17"/>
                <w:lang w:val="en-GB"/>
              </w:rPr>
            </w:pPr>
            <w:r>
              <w:rPr>
                <w:rFonts w:ascii="Calibri" w:hAnsi="Calibri" w:cs="Calibri"/>
                <w:color w:val="000000"/>
                <w:sz w:val="17"/>
                <w:szCs w:val="17"/>
                <w:lang w:val="en-GB"/>
              </w:rPr>
              <w:t>Recommendation 4</w:t>
            </w:r>
          </w:p>
        </w:tc>
        <w:tc>
          <w:tcPr>
            <w:tcW w:w="3969" w:type="dxa"/>
            <w:noWrap/>
          </w:tcPr>
          <w:p w14:paraId="153EBAD0"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Approach to fee-setting</w:t>
            </w:r>
          </w:p>
        </w:tc>
        <w:tc>
          <w:tcPr>
            <w:tcW w:w="1559" w:type="dxa"/>
            <w:noWrap/>
          </w:tcPr>
          <w:p w14:paraId="2291716A"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Consider the approach to fee-setting, including building support for the principles of time-tiering before introducing schedule fees; ensuring a linear relationship between attendance time tiers and schedule fees from the outset; recognising the non-face-to-face time spent on each attendance; and recognising the lack of current data</w:t>
            </w:r>
          </w:p>
        </w:tc>
        <w:tc>
          <w:tcPr>
            <w:tcW w:w="1701" w:type="dxa"/>
            <w:noWrap/>
          </w:tcPr>
          <w:p w14:paraId="40B8BDA9"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Ensure that fees are supported and appropriately reflect the new workload for clinicians</w:t>
            </w:r>
          </w:p>
        </w:tc>
        <w:tc>
          <w:tcPr>
            <w:tcW w:w="1317" w:type="dxa"/>
            <w:noWrap/>
          </w:tcPr>
          <w:p w14:paraId="0A50C12F"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To assist the fee setting process to set appropriate fees</w:t>
            </w:r>
          </w:p>
        </w:tc>
      </w:tr>
      <w:tr w:rsidR="008A5CDC" w:rsidRPr="00C33C0B" w14:paraId="570648B7" w14:textId="77777777" w:rsidTr="008A5CDC">
        <w:tc>
          <w:tcPr>
            <w:cnfStyle w:val="001000000000" w:firstRow="0" w:lastRow="0" w:firstColumn="1" w:lastColumn="0" w:oddVBand="0" w:evenVBand="0" w:oddHBand="0" w:evenHBand="0" w:firstRowFirstColumn="0" w:firstRowLastColumn="0" w:lastRowFirstColumn="0" w:lastRowLastColumn="0"/>
            <w:tcW w:w="704" w:type="dxa"/>
            <w:noWrap/>
          </w:tcPr>
          <w:p w14:paraId="14F0D2B6" w14:textId="77777777" w:rsidR="002A185C" w:rsidRDefault="002A185C" w:rsidP="00313E1E">
            <w:pPr>
              <w:spacing w:before="20" w:after="20"/>
              <w:rPr>
                <w:rFonts w:ascii="Calibri" w:hAnsi="Calibri" w:cs="Calibri"/>
                <w:color w:val="000000"/>
                <w:sz w:val="17"/>
                <w:szCs w:val="17"/>
                <w:lang w:val="en-GB"/>
              </w:rPr>
            </w:pPr>
            <w:r>
              <w:rPr>
                <w:rFonts w:ascii="Calibri" w:hAnsi="Calibri" w:cs="Calibri"/>
                <w:color w:val="000000"/>
                <w:sz w:val="17"/>
                <w:szCs w:val="17"/>
                <w:lang w:val="en-GB"/>
              </w:rPr>
              <w:t>Recommendation 5</w:t>
            </w:r>
          </w:p>
        </w:tc>
        <w:tc>
          <w:tcPr>
            <w:tcW w:w="3969" w:type="dxa"/>
            <w:noWrap/>
          </w:tcPr>
          <w:p w14:paraId="75D041CB" w14:textId="77777777" w:rsidR="002A185C" w:rsidRDefault="002A185C"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Impact of time</w:t>
            </w:r>
            <w:r>
              <w:rPr>
                <w:rFonts w:ascii="Calibri" w:hAnsi="Calibri" w:cs="Calibri"/>
                <w:color w:val="000000"/>
                <w:sz w:val="17"/>
                <w:szCs w:val="17"/>
                <w:lang w:val="en-GB"/>
              </w:rPr>
              <w:noBreakHyphen/>
              <w:t>tiering on distant outreach services</w:t>
            </w:r>
          </w:p>
        </w:tc>
        <w:tc>
          <w:tcPr>
            <w:tcW w:w="1559" w:type="dxa"/>
            <w:noWrap/>
          </w:tcPr>
          <w:p w14:paraId="5178F2FE" w14:textId="77777777" w:rsidR="002A185C" w:rsidRDefault="002A185C" w:rsidP="002A185C">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To address the potential concerns of time</w:t>
            </w:r>
            <w:r>
              <w:rPr>
                <w:rFonts w:ascii="Calibri" w:hAnsi="Calibri" w:cs="Calibri"/>
                <w:color w:val="000000"/>
                <w:sz w:val="17"/>
                <w:szCs w:val="17"/>
                <w:lang w:val="en-GB"/>
              </w:rPr>
              <w:noBreakHyphen/>
              <w:t>tiering on distant outreach services: data will need to be collected; if such a problem exists a non</w:t>
            </w:r>
            <w:r>
              <w:rPr>
                <w:rFonts w:ascii="Calibri" w:hAnsi="Calibri" w:cs="Calibri"/>
                <w:color w:val="000000"/>
                <w:sz w:val="17"/>
                <w:szCs w:val="17"/>
                <w:lang w:val="en-GB"/>
              </w:rPr>
              <w:noBreakHyphen/>
              <w:t xml:space="preserve">MBS process will need to be identified; </w:t>
            </w:r>
            <w:r w:rsidR="00C26764">
              <w:rPr>
                <w:rFonts w:ascii="Calibri" w:hAnsi="Calibri" w:cs="Calibri"/>
                <w:color w:val="000000"/>
                <w:sz w:val="17"/>
                <w:szCs w:val="17"/>
                <w:lang w:val="en-GB"/>
              </w:rPr>
              <w:t>any such process should continue to support patient access; and a community need demonstrated.</w:t>
            </w:r>
          </w:p>
        </w:tc>
        <w:tc>
          <w:tcPr>
            <w:tcW w:w="1701" w:type="dxa"/>
            <w:noWrap/>
          </w:tcPr>
          <w:p w14:paraId="280EE9FE" w14:textId="77777777" w:rsidR="002A185C"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Ensure time</w:t>
            </w:r>
            <w:r>
              <w:rPr>
                <w:rFonts w:ascii="Calibri" w:hAnsi="Calibri" w:cs="Calibri"/>
                <w:color w:val="000000"/>
                <w:sz w:val="17"/>
                <w:szCs w:val="17"/>
                <w:lang w:val="en-GB"/>
              </w:rPr>
              <w:noBreakHyphen/>
              <w:t>tiering is effective in achieving its goals</w:t>
            </w:r>
          </w:p>
        </w:tc>
        <w:tc>
          <w:tcPr>
            <w:tcW w:w="1317" w:type="dxa"/>
            <w:noWrap/>
          </w:tcPr>
          <w:p w14:paraId="5F338871" w14:textId="77777777" w:rsidR="002A185C" w:rsidRDefault="00C26764"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To ensure that relevant considerations are addressed when time-tiering is implemented</w:t>
            </w:r>
          </w:p>
        </w:tc>
      </w:tr>
    </w:tbl>
    <w:p w14:paraId="255CCD1F" w14:textId="77777777" w:rsidR="00313E1E" w:rsidRPr="00C33C0B" w:rsidRDefault="002355E9" w:rsidP="00313E1E">
      <w:pPr>
        <w:pStyle w:val="Heading2"/>
        <w:numPr>
          <w:ilvl w:val="0"/>
          <w:numId w:val="0"/>
        </w:numPr>
        <w:rPr>
          <w:lang w:val="en-GB"/>
        </w:rPr>
      </w:pPr>
      <w:bookmarkStart w:id="293" w:name="_Toc67952292"/>
      <w:r>
        <w:rPr>
          <w:lang w:val="en-GB"/>
        </w:rPr>
        <w:t>Table D</w:t>
      </w:r>
      <w:r w:rsidR="00313E1E">
        <w:rPr>
          <w:lang w:val="en-GB"/>
        </w:rPr>
        <w:t>.2</w:t>
      </w:r>
      <w:r w:rsidR="00313E1E" w:rsidRPr="00C33C0B">
        <w:rPr>
          <w:lang w:val="en-GB"/>
        </w:rPr>
        <w:t>. Complex management plans attendance items</w:t>
      </w:r>
      <w:bookmarkEnd w:id="293"/>
    </w:p>
    <w:tbl>
      <w:tblPr>
        <w:tblStyle w:val="GridTable1Light-Accent6"/>
        <w:tblW w:w="0" w:type="auto"/>
        <w:tblLayout w:type="fixed"/>
        <w:tblLook w:val="04A0" w:firstRow="1" w:lastRow="0" w:firstColumn="1" w:lastColumn="0" w:noHBand="0" w:noVBand="1"/>
        <w:tblDescription w:val="Appendix D - Complex management plans attendance items summary for consumers. Table D.2 is a 5 column table. Column 1 is the item number. Column 2 describes what the item does. Column 3 is the committee's recommendation. Column 4 describes what would be different about the item. Column 5 describes why it would be different. "/>
      </w:tblPr>
      <w:tblGrid>
        <w:gridCol w:w="562"/>
        <w:gridCol w:w="3544"/>
        <w:gridCol w:w="1559"/>
        <w:gridCol w:w="1985"/>
        <w:gridCol w:w="1600"/>
      </w:tblGrid>
      <w:tr w:rsidR="008A5CDC" w:rsidRPr="00C33C0B" w14:paraId="4425A7BA"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hideMark/>
          </w:tcPr>
          <w:p w14:paraId="7435F088" w14:textId="77777777" w:rsidR="00313E1E" w:rsidRPr="00C33C0B" w:rsidRDefault="00313E1E" w:rsidP="00313E1E">
            <w:pPr>
              <w:spacing w:before="20" w:after="20"/>
              <w:rPr>
                <w:rFonts w:ascii="Calibri" w:hAnsi="Calibri" w:cs="Calibri"/>
                <w:b w:val="0"/>
                <w:color w:val="FFFFFF" w:themeColor="background1"/>
                <w:sz w:val="17"/>
                <w:szCs w:val="17"/>
                <w:lang w:val="en-GB"/>
              </w:rPr>
            </w:pPr>
            <w:r w:rsidRPr="00C33C0B">
              <w:rPr>
                <w:rFonts w:ascii="Calibri" w:hAnsi="Calibri" w:cs="Calibri"/>
                <w:color w:val="FFFFFF" w:themeColor="background1"/>
                <w:sz w:val="17"/>
                <w:szCs w:val="17"/>
                <w:lang w:val="en-GB"/>
              </w:rPr>
              <w:t xml:space="preserve">Item </w:t>
            </w:r>
          </w:p>
        </w:tc>
        <w:tc>
          <w:tcPr>
            <w:tcW w:w="3544" w:type="dxa"/>
            <w:hideMark/>
          </w:tcPr>
          <w:p w14:paraId="54597C2E"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What it does</w:t>
            </w:r>
          </w:p>
        </w:tc>
        <w:tc>
          <w:tcPr>
            <w:tcW w:w="1559" w:type="dxa"/>
            <w:hideMark/>
          </w:tcPr>
          <w:p w14:paraId="07FDC469"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Committee recommendation</w:t>
            </w:r>
          </w:p>
        </w:tc>
        <w:tc>
          <w:tcPr>
            <w:tcW w:w="1985" w:type="dxa"/>
            <w:hideMark/>
          </w:tcPr>
          <w:p w14:paraId="2D649F80"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What would be different</w:t>
            </w:r>
          </w:p>
        </w:tc>
        <w:tc>
          <w:tcPr>
            <w:tcW w:w="1600" w:type="dxa"/>
            <w:hideMark/>
          </w:tcPr>
          <w:p w14:paraId="0847C38D"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 xml:space="preserve">Why </w:t>
            </w:r>
          </w:p>
        </w:tc>
      </w:tr>
      <w:tr w:rsidR="008A5CDC" w:rsidRPr="00C33C0B" w14:paraId="39FBDE6E"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73A06A8D"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132</w:t>
            </w:r>
          </w:p>
        </w:tc>
        <w:tc>
          <w:tcPr>
            <w:tcW w:w="3544" w:type="dxa"/>
            <w:noWrap/>
            <w:hideMark/>
          </w:tcPr>
          <w:p w14:paraId="6C24973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consultant physician in the practice of his or her specialty (other than psychiatry) of at least 45 minutes in duration for an initial assessment of a patient with at least 2 morbidities (which may include complex congenital, developmental and behavioural disorders) following referral of the patient to him or her by a referring practitioner, if: (a) an assessment is undertaken that covers: (i) a comprehensive history, including psychosocial history and medication review; and (ii) comprehensive multi or detailed single organ system assessment; and (iii) the formulation of differential diagnoses; and (b) a consultant physician treatment and management plan of significant complexity is prepared and provided to the referring practitioner, which involves: (i) an opinion on diagnosis and risk assessment; and (ii) treatment options and decisions; and (iii) medication recommendations; and (c) an attendance on the patient to which item 110, 116 or 119 applies did not take place on the same day by the same consultant physician; and (d) this item has not applied to an attendance on the patient in the preceding 12 months by the same consultant physician</w:t>
            </w:r>
          </w:p>
        </w:tc>
        <w:tc>
          <w:tcPr>
            <w:tcW w:w="1559" w:type="dxa"/>
            <w:noWrap/>
          </w:tcPr>
          <w:p w14:paraId="52C9D35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985" w:type="dxa"/>
            <w:noWrap/>
          </w:tcPr>
          <w:p w14:paraId="23BDEA5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600" w:type="dxa"/>
            <w:noWrap/>
          </w:tcPr>
          <w:p w14:paraId="47D4638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71BAD71E"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0E91035F"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133</w:t>
            </w:r>
          </w:p>
        </w:tc>
        <w:tc>
          <w:tcPr>
            <w:tcW w:w="3544" w:type="dxa"/>
            <w:noWrap/>
            <w:hideMark/>
          </w:tcPr>
          <w:p w14:paraId="6C3B0C1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at least 20 minutes duration subsequent to the first attendance in a single course of treatment for a review of a patient with at least two morbidities (this can include complex congenital, developmental and behavioural disorders), where</w:t>
            </w:r>
            <w:r>
              <w:rPr>
                <w:rFonts w:ascii="Calibri" w:hAnsi="Calibri" w:cs="Calibri"/>
                <w:color w:val="000000"/>
                <w:sz w:val="17"/>
                <w:szCs w:val="17"/>
                <w:lang w:val="en-GB"/>
              </w:rPr>
              <w:t xml:space="preserve"> </w:t>
            </w:r>
            <w:r w:rsidRPr="00C33C0B">
              <w:rPr>
                <w:rFonts w:ascii="Calibri" w:hAnsi="Calibri" w:cs="Calibri"/>
                <w:color w:val="000000"/>
                <w:sz w:val="17"/>
                <w:szCs w:val="17"/>
                <w:lang w:val="en-GB"/>
              </w:rPr>
              <w:t>a) a review is undertaken that covers:- review of initial presenting problem/s and results of diagnostic investigations- review of responses to treatment and medication plans initiated at time of initial consultation comprehensive multi or detailed single organ system assessment,- review of original and differential diagnoses; and b) a modified consultant physician treatment and management plan is provided to the referring practitioner that involves, where appropriate:- a revised opinion on the diagnosis and risk assessment - treatment options and decisions- revised medication recommendations not being an attendance on a patient in respect of whom, an attendance under item 110, 116 and 119 has been received on the same day by the same consultant physician or locum tenens. being an attendance on a patient in respect of whom, in the preceding 12 months, payment has been made under item 132. item 133 can be provided by either the same consultant physician or a locum tenens. payable no more than twice in any 12 month period.</w:t>
            </w:r>
          </w:p>
        </w:tc>
        <w:tc>
          <w:tcPr>
            <w:tcW w:w="1559" w:type="dxa"/>
            <w:noWrap/>
          </w:tcPr>
          <w:p w14:paraId="304B60C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985" w:type="dxa"/>
            <w:noWrap/>
          </w:tcPr>
          <w:p w14:paraId="56CCF33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600" w:type="dxa"/>
            <w:noWrap/>
          </w:tcPr>
          <w:p w14:paraId="0F9C141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64139F7D"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7DB9F46"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135</w:t>
            </w:r>
          </w:p>
        </w:tc>
        <w:tc>
          <w:tcPr>
            <w:tcW w:w="3544" w:type="dxa"/>
            <w:noWrap/>
            <w:hideMark/>
          </w:tcPr>
          <w:p w14:paraId="2F7A003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at least 45 minutes 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13 years with autism or another pervasive developmental disorder, if the consultant paediatrician does all of the following: (a) undertakes a comprehensive assessment and makes a diagnosis (if appropriate, using information provided by an eligible allied health provider); (b) develops a treatment and management plan, which must include the following: (i) an assessment and diagnosis of the patient's condition; (ii) a risk assessment; (iii) treatment options and decisions; (iv) if necessary—medical recommendations; (c) provides a copy of the treatment and management plan to: (i) the referring practitioner; and (ii) one or more allied health providers, if appropriate, for the treatment of the patient;(other than attendance on a patient for whom payment has previously been made under this item or item 137, 139 or 289)</w:t>
            </w:r>
          </w:p>
        </w:tc>
        <w:tc>
          <w:tcPr>
            <w:tcW w:w="1559" w:type="dxa"/>
            <w:noWrap/>
          </w:tcPr>
          <w:p w14:paraId="766647B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Change item descriptor to ensure paediatric complex plans are performed by a consultant paediatrician including an assessment ‘</w:t>
            </w:r>
            <w:r w:rsidRPr="00D609C7">
              <w:rPr>
                <w:rFonts w:ascii="Calibri" w:hAnsi="Calibri" w:cs="Calibri"/>
                <w:i/>
                <w:color w:val="000000"/>
                <w:sz w:val="17"/>
                <w:szCs w:val="17"/>
                <w:lang w:val="en-GB"/>
              </w:rPr>
              <w:t>for the purposes of making a diagnosis</w:t>
            </w:r>
            <w:r>
              <w:rPr>
                <w:rFonts w:ascii="Calibri" w:hAnsi="Calibri" w:cs="Calibri"/>
                <w:i/>
                <w:color w:val="000000"/>
                <w:sz w:val="17"/>
                <w:szCs w:val="17"/>
                <w:lang w:val="en-GB"/>
              </w:rPr>
              <w:t>’</w:t>
            </w:r>
            <w:r>
              <w:rPr>
                <w:rFonts w:ascii="Calibri" w:hAnsi="Calibri" w:cs="Calibri"/>
                <w:color w:val="000000"/>
                <w:sz w:val="17"/>
                <w:szCs w:val="17"/>
                <w:lang w:val="en-GB"/>
              </w:rPr>
              <w:t xml:space="preserve"> of the patient’s condition</w:t>
            </w:r>
          </w:p>
        </w:tc>
        <w:tc>
          <w:tcPr>
            <w:tcW w:w="1985" w:type="dxa"/>
            <w:noWrap/>
          </w:tcPr>
          <w:p w14:paraId="4CDB2C19" w14:textId="759D761C"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item for paediatric complex plans remains in place with a strengthened descriptor</w:t>
            </w:r>
          </w:p>
        </w:tc>
        <w:tc>
          <w:tcPr>
            <w:tcW w:w="1600" w:type="dxa"/>
            <w:noWrap/>
          </w:tcPr>
          <w:p w14:paraId="0F37A07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To allow appropriate access to paediatric complex plan items and their associated AHP services for appropriate patients, including children with fetal alcohol spectrum disorder and other complex neurodevelopmental disorders</w:t>
            </w:r>
          </w:p>
        </w:tc>
      </w:tr>
      <w:tr w:rsidR="008A5CDC" w:rsidRPr="00C33C0B" w14:paraId="29E23F00"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FDA6955"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137</w:t>
            </w:r>
          </w:p>
        </w:tc>
        <w:tc>
          <w:tcPr>
            <w:tcW w:w="3544" w:type="dxa"/>
            <w:noWrap/>
            <w:hideMark/>
          </w:tcPr>
          <w:p w14:paraId="5907C36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Specialist or consultant physician, referred consultation for assessment, diagnosis and development of a treatment and management plan for a child with an eligible disability - surgery or hospital professional attendance of at least 45 minutes duration, at consulting rooms or hospital, by a specialist or consultant physician, for assessment, diagnosis and the preparation of a treatment and management plan for a child aged under 13 years, with an eligible disability, who has been referred to the specialist or consultant physician by a referring practitioner, if the specialist or consultant physician does the following:(a) undertakes a comprehensive assessment of the child and forms a diagnosis (using the assistance of one or more allied health providers where appropriate)(b) develops a treatment and management plan which must include the following: (i) the outcomes of the assessment; (ii) the diagnosis or diagnoses; (iii) opinion on risk assessment; (iv) treatment options and decisions; (v) appropriate medication recommendations, where necessary.(c) provides a copy of the treatment and management plan to the: (i) referring practitioner; and (ii) relevant allied health providers (where appropriate).not being an attendance on a child in respect of whom payment has previously been made under this item or items 135, 139 or 289.</w:t>
            </w:r>
          </w:p>
        </w:tc>
        <w:tc>
          <w:tcPr>
            <w:tcW w:w="1559" w:type="dxa"/>
            <w:noWrap/>
          </w:tcPr>
          <w:p w14:paraId="19E1663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Change item descriptor to ensure paediatric complex plans are performed by a consultant paediatrician including an assessment ‘</w:t>
            </w:r>
            <w:r w:rsidRPr="00D609C7">
              <w:rPr>
                <w:rFonts w:ascii="Calibri" w:hAnsi="Calibri" w:cs="Calibri"/>
                <w:i/>
                <w:color w:val="000000"/>
                <w:sz w:val="17"/>
                <w:szCs w:val="17"/>
                <w:lang w:val="en-GB"/>
              </w:rPr>
              <w:t>for the purposes of making a diagnosis</w:t>
            </w:r>
            <w:r>
              <w:rPr>
                <w:rFonts w:ascii="Calibri" w:hAnsi="Calibri" w:cs="Calibri"/>
                <w:i/>
                <w:color w:val="000000"/>
                <w:sz w:val="17"/>
                <w:szCs w:val="17"/>
                <w:lang w:val="en-GB"/>
              </w:rPr>
              <w:t>’</w:t>
            </w:r>
            <w:r>
              <w:rPr>
                <w:rFonts w:ascii="Calibri" w:hAnsi="Calibri" w:cs="Calibri"/>
                <w:color w:val="000000"/>
                <w:sz w:val="17"/>
                <w:szCs w:val="17"/>
                <w:lang w:val="en-GB"/>
              </w:rPr>
              <w:t xml:space="preserve"> of the patient’s condition</w:t>
            </w:r>
          </w:p>
        </w:tc>
        <w:tc>
          <w:tcPr>
            <w:tcW w:w="1985" w:type="dxa"/>
            <w:noWrap/>
          </w:tcPr>
          <w:p w14:paraId="771A6314" w14:textId="34C9170B"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item for paediatric complex plans remains in place with a strengthened descriptor</w:t>
            </w:r>
          </w:p>
        </w:tc>
        <w:tc>
          <w:tcPr>
            <w:tcW w:w="1600" w:type="dxa"/>
            <w:noWrap/>
          </w:tcPr>
          <w:p w14:paraId="4A57EB1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To allow appropriate access to paediatric complex plan items and their associated AHP services for appropriate patients, including children with fetal alcohol spectrum disorder and other complex neurodevelopmental disorders</w:t>
            </w:r>
          </w:p>
        </w:tc>
      </w:tr>
      <w:tr w:rsidR="008A5CDC" w:rsidRPr="00C33C0B" w14:paraId="75FC8117"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6797A995"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141</w:t>
            </w:r>
          </w:p>
        </w:tc>
        <w:tc>
          <w:tcPr>
            <w:tcW w:w="3544" w:type="dxa"/>
            <w:noWrap/>
            <w:hideMark/>
          </w:tcPr>
          <w:p w14:paraId="4051970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60 minutes in duration at consulting rooms or hospital by a consultant physician or specialist in the practice of his or her specialty of geriatric medicine, if: (a) the patient is at least 65 years old and referred by a medical practitioner practising in general practice (including a general practitioner, but not including a specialist or consultant physician) or a participating nurse practitioner; and (b) the attendance is initiated by the referring practitioner for the provision of a comprehensive assessment and management plan; and (c) during the attendance: (i) the medical, physical, psychological and social aspects of the patient's health are evaluated in detail using appropriately validated assessment tools if indicated (the assessment); and (ii) the patient's various health problems and care needs are identified and prioritised (the formulation); and (iii) a detailed management plan is prepared (the management plan) setting out: (a) the prioritised list of health problems and care needs; and (b) short and longer term management goals; and (c) recommended actions or intervention strategies to be undertaken by the patient's general practitioner or another relevant health care provider that are likely to improve or maintain health status and are readily available and acceptable to the patient and the patient's family and carers; and (iv) the management plan is explained and discussed with the patient and, if appropriate, the patient's family and any carers; and (v) the management plan is communicated in writing to the referring practitioner; and (d) an attendance to which item 104, 105, 107, 108, 110, 116 or 119 applies has not been provided to the patient on the same day by the same practitioner; and (e) an attendance to which this item or item 145 applies has not been provided to the patient by the same practitioner in the preceding 12 months</w:t>
            </w:r>
          </w:p>
        </w:tc>
        <w:tc>
          <w:tcPr>
            <w:tcW w:w="1559" w:type="dxa"/>
            <w:noWrap/>
          </w:tcPr>
          <w:p w14:paraId="151B3EC9" w14:textId="2185D90A" w:rsidR="00313E1E" w:rsidRPr="00C33C0B" w:rsidRDefault="00C26764"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00313E1E" w:rsidRPr="00C33C0B">
              <w:rPr>
                <w:rFonts w:ascii="Calibri" w:hAnsi="Calibri" w:cs="Calibri"/>
                <w:color w:val="000000"/>
                <w:sz w:val="17"/>
                <w:szCs w:val="17"/>
                <w:lang w:val="en-GB"/>
              </w:rPr>
              <w:t xml:space="preserve"> </w:t>
            </w:r>
            <w:r>
              <w:rPr>
                <w:rFonts w:ascii="Calibri" w:hAnsi="Calibri" w:cs="Calibri"/>
                <w:color w:val="000000"/>
                <w:sz w:val="17"/>
                <w:szCs w:val="17"/>
                <w:lang w:val="en-GB"/>
              </w:rPr>
              <w:t>as per Recommendation 8</w:t>
            </w:r>
          </w:p>
        </w:tc>
        <w:tc>
          <w:tcPr>
            <w:tcW w:w="1985" w:type="dxa"/>
            <w:noWrap/>
          </w:tcPr>
          <w:p w14:paraId="51445FB0" w14:textId="178D6F86" w:rsidR="00313E1E" w:rsidRPr="00C33C0B" w:rsidRDefault="00C26764"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00313E1E" w:rsidRPr="00C33C0B">
              <w:rPr>
                <w:rFonts w:ascii="Calibri" w:hAnsi="Calibri" w:cs="Calibri"/>
                <w:color w:val="000000"/>
                <w:sz w:val="17"/>
                <w:szCs w:val="17"/>
                <w:lang w:val="en-GB"/>
              </w:rPr>
              <w:t xml:space="preserve"> </w:t>
            </w:r>
          </w:p>
        </w:tc>
        <w:tc>
          <w:tcPr>
            <w:tcW w:w="1600" w:type="dxa"/>
            <w:noWrap/>
          </w:tcPr>
          <w:p w14:paraId="4717C565" w14:textId="1053E08E" w:rsidR="00313E1E" w:rsidRPr="00C33C0B" w:rsidRDefault="00C26764"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 xml:space="preserve">The Committee agreed to retain these items </w:t>
            </w:r>
          </w:p>
        </w:tc>
      </w:tr>
      <w:tr w:rsidR="008A5CDC" w:rsidRPr="00C33C0B" w14:paraId="7FFB1129"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72F1418B" w14:textId="77777777" w:rsidR="00C26764" w:rsidRPr="00C33C0B" w:rsidRDefault="00C26764" w:rsidP="00C2676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143</w:t>
            </w:r>
          </w:p>
        </w:tc>
        <w:tc>
          <w:tcPr>
            <w:tcW w:w="3544" w:type="dxa"/>
            <w:noWrap/>
            <w:hideMark/>
          </w:tcPr>
          <w:p w14:paraId="2C6C6ACE" w14:textId="77777777"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30 minutes in duration at consulting rooms or hospital by a consultant physician or specialist in the practice of his or her specialty of geriatric medicine to review a management plan previously prepared by that consultant physician or specialist under item 141 or 145, if: (a) the review is initiated by the referring medical practitioner practising in general practice or a participating nurse practitioner; and (b) during the attendance: (i) the patient's health status is reassessed; and (ii) a management plan prepared under item 141 or 145 is reviewed and revised; and (iii) the revised management plan is explained to the patient and (if appropriate) the patient's family and any carers and communicated in writing to the referring practitioner; and (c) an attendance to which item 104, 105, 107, 108, 110, 116 or 119 applies was not provided to the patient on the same day by the same practitioner; and (d) an attendance to which item 141 or 145 applies has been provided to the patient by the same practitioner in the preceding 12 months; and (e) an attendance to which this item or item 147 applies has not been provided to the patient in the preceding 12 months, unless there has been a significant change in the patient's clinical condition or care circumstances that requires a further review</w:t>
            </w:r>
          </w:p>
        </w:tc>
        <w:tc>
          <w:tcPr>
            <w:tcW w:w="1559" w:type="dxa"/>
            <w:noWrap/>
          </w:tcPr>
          <w:p w14:paraId="564A3DAC" w14:textId="62EF436F"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r>
              <w:rPr>
                <w:rFonts w:ascii="Calibri" w:hAnsi="Calibri" w:cs="Calibri"/>
                <w:color w:val="000000"/>
                <w:sz w:val="17"/>
                <w:szCs w:val="17"/>
                <w:lang w:val="en-GB"/>
              </w:rPr>
              <w:t>as per Recommendation 8</w:t>
            </w:r>
          </w:p>
        </w:tc>
        <w:tc>
          <w:tcPr>
            <w:tcW w:w="1985" w:type="dxa"/>
            <w:noWrap/>
          </w:tcPr>
          <w:p w14:paraId="792CCB58" w14:textId="45C67DA6"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600" w:type="dxa"/>
            <w:noWrap/>
          </w:tcPr>
          <w:p w14:paraId="4681E355" w14:textId="280B2E09"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 xml:space="preserve">The Committee agreed to retain these items </w:t>
            </w:r>
          </w:p>
        </w:tc>
      </w:tr>
      <w:tr w:rsidR="008A5CDC" w:rsidRPr="00C33C0B" w14:paraId="04D24632"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DCE5791" w14:textId="77777777" w:rsidR="00C26764" w:rsidRPr="00C33C0B" w:rsidRDefault="00C26764" w:rsidP="00C2676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145</w:t>
            </w:r>
          </w:p>
        </w:tc>
        <w:tc>
          <w:tcPr>
            <w:tcW w:w="3544" w:type="dxa"/>
            <w:noWrap/>
            <w:hideMark/>
          </w:tcPr>
          <w:p w14:paraId="50023150" w14:textId="77777777"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60 minutes in duration at a place other than consulting rooms or hospital by a consultant physician or specialist in the practice of his or her specialty of geriatric medicine, if: (a) the patient is at least 65 years old and referred by a medical practitioner practising in general practice (including a general practitioner, but not including a specialist or consultant physician) or a participating nurse practitioner; and (b) the attendance is initiated by the referring practitioner for the provision of a comprehensive assessment and management plan; and(c) during the attendance: (i) the medical, physical, psychological and social aspects of the patient's health are evaluated in detail utilising appropriately validated assessment tools if indicated (the assessment); and (ii) the patient's various health problems and care needs are identified and prioritised (the formulation); and (iii) a detailed management plan is prepared (the management plan) setting out: (a) the prioritised list of health problems and care needs; and (b) short and longer term management goals; and (c) recommended actions or intervention strategies, to be undertaken by the patient's general practitioner or another relevant health care provider that are likely to improve or maintain health status and are readily available and acceptable to the patient, the patient's family and any carers; and (iv) the management plan is explained and discussed with the patient and, if appropriate, the patient's family and any carers; and (v) the management plan is communicated in writing to the referring practitioner; and (d) an attendance to which item 104, 105, 107, 108, 110, 116 or 119 applies has not been provided to the patient on the same day by the same practitioner; and (e) an attendance to which this item or item 141 applies has not been provided to the patient by the same practitioner in the preceding 12 months</w:t>
            </w:r>
          </w:p>
        </w:tc>
        <w:tc>
          <w:tcPr>
            <w:tcW w:w="1559" w:type="dxa"/>
            <w:noWrap/>
          </w:tcPr>
          <w:p w14:paraId="7F2AA985" w14:textId="0E326CBA"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r>
              <w:rPr>
                <w:rFonts w:ascii="Calibri" w:hAnsi="Calibri" w:cs="Calibri"/>
                <w:color w:val="000000"/>
                <w:sz w:val="17"/>
                <w:szCs w:val="17"/>
                <w:lang w:val="en-GB"/>
              </w:rPr>
              <w:t>as per Recommendation 8</w:t>
            </w:r>
          </w:p>
        </w:tc>
        <w:tc>
          <w:tcPr>
            <w:tcW w:w="1985" w:type="dxa"/>
            <w:noWrap/>
          </w:tcPr>
          <w:p w14:paraId="22B63CE4" w14:textId="73274310"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600" w:type="dxa"/>
            <w:noWrap/>
          </w:tcPr>
          <w:p w14:paraId="444ACE1F" w14:textId="06F9E739"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 xml:space="preserve">The Committee agreed to retain these items </w:t>
            </w:r>
          </w:p>
        </w:tc>
      </w:tr>
      <w:tr w:rsidR="008A5CDC" w:rsidRPr="00C33C0B" w14:paraId="4AE3190C"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11DB91DB" w14:textId="77777777" w:rsidR="00C26764" w:rsidRPr="00C33C0B" w:rsidRDefault="00C26764" w:rsidP="00C26764">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147</w:t>
            </w:r>
          </w:p>
        </w:tc>
        <w:tc>
          <w:tcPr>
            <w:tcW w:w="3544" w:type="dxa"/>
            <w:noWrap/>
            <w:hideMark/>
          </w:tcPr>
          <w:p w14:paraId="2F77400C" w14:textId="77777777"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30 minutes in duration at a place other than consulting rooms or hospital by a consultant physician or specialist in the practice of his or her specialty of geriatric medicine to review a management plan previously prepared by that consultant physician or specialist under items 141 or 145, if: (a) the review is initiated by the referring medical practitioner practising in general practice or a participating nurse practitioner; and (b) during the attendance: (i) the patient's health status is reassessed; and (ii) a management plan that was prepared under item 141 or 145 is reviewed and revised; and (iii) the revised management plan is explained to the patient and (if appropriate) the patient's family and any carers and communicated in writing to the referring practitioner; and (c) an attendance to which item 104, 105, 107, 108, 110, 116 or 119 applies has not been provided to the patient on the same day by the same practitioner; and (d) an attendance to which item 141 or 145 applies has been provided to the patient by the same practitioner in the preceding 12 months; and (e) an attendance to which this item or 143 applies has not been provided by the same practitioner in the preceding 12 months, unless there has been a significant change in the patient's clinical condition or care circumstances that requires a further review</w:t>
            </w:r>
          </w:p>
        </w:tc>
        <w:tc>
          <w:tcPr>
            <w:tcW w:w="1559" w:type="dxa"/>
            <w:noWrap/>
          </w:tcPr>
          <w:p w14:paraId="0CE0DCC3" w14:textId="41B8A874"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r>
              <w:rPr>
                <w:rFonts w:ascii="Calibri" w:hAnsi="Calibri" w:cs="Calibri"/>
                <w:color w:val="000000"/>
                <w:sz w:val="17"/>
                <w:szCs w:val="17"/>
                <w:lang w:val="en-GB"/>
              </w:rPr>
              <w:t>as per Recommendation 8</w:t>
            </w:r>
          </w:p>
        </w:tc>
        <w:tc>
          <w:tcPr>
            <w:tcW w:w="1985" w:type="dxa"/>
            <w:noWrap/>
          </w:tcPr>
          <w:p w14:paraId="2981D47F" w14:textId="39C29109"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600" w:type="dxa"/>
            <w:noWrap/>
          </w:tcPr>
          <w:p w14:paraId="74C1D3B1" w14:textId="41803E19" w:rsidR="00C26764" w:rsidRPr="00C33C0B" w:rsidRDefault="00C26764" w:rsidP="00C26764">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 xml:space="preserve">The Committee agreed to retain these items </w:t>
            </w:r>
          </w:p>
        </w:tc>
      </w:tr>
      <w:tr w:rsidR="008A5CDC" w:rsidRPr="00C33C0B" w14:paraId="50ABE57D"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0544C2FF"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6023</w:t>
            </w:r>
          </w:p>
        </w:tc>
        <w:tc>
          <w:tcPr>
            <w:tcW w:w="3544" w:type="dxa"/>
            <w:noWrap/>
          </w:tcPr>
          <w:p w14:paraId="39F957C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of at least 45 minutes for an initial assessment of a patient with at least 2 morbidities, following referral of the patient to him or her by a referring practitioner, if: (a) an assessment is undertaken that covers: (i) a comprehensive history, including psychosocial history and medication review; and (ii) a comprehensive multi or detailed single organ system assessment; and (iii) the formulation of differential diagnoses; and (b) an addiction medicine specialist treatment and management plan of significant complexity that includes the following is prepared and provided to the referring practitioner: (i) an opinion on diagnosis and risk assessment; (ii) treatment options and decisions; (iii) medication recommendations; and (c) an attendance on the patient to which item 104, 105, 110, 116, 119, 132, 133, 6018 or 6019 applies did not take place on the same day by the same addiction medicine specialist; and (d) neither this item nor item 132 has applied to an attendance on the patient in the preceding 12 months by the same addiction medicine specialist</w:t>
            </w:r>
          </w:p>
        </w:tc>
        <w:tc>
          <w:tcPr>
            <w:tcW w:w="1559" w:type="dxa"/>
            <w:noWrap/>
          </w:tcPr>
          <w:p w14:paraId="2DA8338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985" w:type="dxa"/>
            <w:noWrap/>
          </w:tcPr>
          <w:p w14:paraId="28CE50B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600" w:type="dxa"/>
            <w:noWrap/>
          </w:tcPr>
          <w:p w14:paraId="0DFA26B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461483CB"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6D8FD04A"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6024</w:t>
            </w:r>
          </w:p>
        </w:tc>
        <w:tc>
          <w:tcPr>
            <w:tcW w:w="3544" w:type="dxa"/>
            <w:noWrap/>
          </w:tcPr>
          <w:p w14:paraId="4136859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of at least 20 minutes, after the first attendance in a single course of treatment, for a review of a patient with at least 2 morbidities if: (a) a review is undertaken that covers: (i) review of initial presenting problems and results of diagnostic investigations; and (ii) review of responses to treatment and medication plans initiated at time of initial consultation; and (iii) comprehensive multi or detailed single organ system assessment; and (iv) review of original and differential diagnoses; and (b) the modified addiction medicine specialist treatment and management plan is provided to the referring practitioner, which involves, if appropriate: (i) a revised opinion on diagnosis and risk assessment; and (ii) treatment options and decisions; and (iii) revised medication recommendations; and (c) an attendance on the patient to which item 104, 105, 110, 116, 119, 132, 133, 6018 or 6019 applies did not take place on the same day by the same addiction medicine specialist; and (d) item 6023 applied to an attendance claimed in the preceding 12 months; and (e) the attendance under this item is claimed by the same addiction medicine specialist who claimed item 6023 or by a locum tenens; and (f) this item has not applied more than twice in any 12 month period</w:t>
            </w:r>
          </w:p>
        </w:tc>
        <w:tc>
          <w:tcPr>
            <w:tcW w:w="1559" w:type="dxa"/>
            <w:noWrap/>
          </w:tcPr>
          <w:p w14:paraId="63AFE27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985" w:type="dxa"/>
            <w:noWrap/>
          </w:tcPr>
          <w:p w14:paraId="6D90160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600" w:type="dxa"/>
            <w:noWrap/>
          </w:tcPr>
          <w:p w14:paraId="4BA9A46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74240B44"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1C10D911"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6057</w:t>
            </w:r>
          </w:p>
        </w:tc>
        <w:tc>
          <w:tcPr>
            <w:tcW w:w="3544" w:type="dxa"/>
            <w:noWrap/>
          </w:tcPr>
          <w:p w14:paraId="4D641E3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of at least 45 minutes for an initial assessment of a patient with at least 2 morbidities, following referral of the patient to him or her by a referring practitioner, if: (a) an assessment is undertaken that covers: (i) a comprehensive history, including psychosocial history and medication review; and (ii) a comprehensive multi or detailed single organ system assessment; and (iii) the formulation of differential diagnoses; and (b) a sexual health medicine specialist treatment and management plan of significant complexity that includes the following is prepared and provided to the referring practitioner: (i) an opinion on diagnosis and risk assessment; (ii) treatment options and decisions; (iii) medication recommendations; and (c) an attendance on the patient to which item 104, 105, 110, 116, 119, 132, 133, 6051 or 6052 applies did not take place on the same day by the same sexual health medicine specialist; and (d) neither this item nor item 132 has applied to an attendance on the patient in the preceding 12 months by the same sexual health medicine specialist</w:t>
            </w:r>
          </w:p>
        </w:tc>
        <w:tc>
          <w:tcPr>
            <w:tcW w:w="1559" w:type="dxa"/>
            <w:noWrap/>
          </w:tcPr>
          <w:p w14:paraId="14E90BC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985" w:type="dxa"/>
            <w:noWrap/>
          </w:tcPr>
          <w:p w14:paraId="4B76010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600" w:type="dxa"/>
            <w:noWrap/>
          </w:tcPr>
          <w:p w14:paraId="091134D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8A5CDC" w:rsidRPr="00C33C0B" w14:paraId="656077DB"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25D12BA3" w14:textId="77777777" w:rsidR="00313E1E" w:rsidRPr="00C33C0B" w:rsidRDefault="00313E1E" w:rsidP="00313E1E">
            <w:pPr>
              <w:spacing w:before="20" w:after="20"/>
              <w:rPr>
                <w:rFonts w:ascii="Calibri" w:hAnsi="Calibri" w:cs="Calibri"/>
                <w:color w:val="000000"/>
                <w:sz w:val="17"/>
                <w:szCs w:val="17"/>
                <w:lang w:val="en-GB"/>
              </w:rPr>
            </w:pPr>
            <w:r w:rsidRPr="00C33C0B">
              <w:rPr>
                <w:rFonts w:ascii="Calibri" w:hAnsi="Calibri" w:cs="Calibri"/>
                <w:color w:val="000000"/>
                <w:sz w:val="17"/>
                <w:szCs w:val="17"/>
                <w:lang w:val="en-GB"/>
              </w:rPr>
              <w:t>6058</w:t>
            </w:r>
          </w:p>
        </w:tc>
        <w:tc>
          <w:tcPr>
            <w:tcW w:w="3544" w:type="dxa"/>
            <w:noWrap/>
          </w:tcPr>
          <w:p w14:paraId="6483D07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of at least 20 minutes, after the first attendance in a single course of treatment, for a review of a patient with at least 2 morbidities if: (a) a review is undertaken that covers: (i) review of initial presenting problems and results of diagnostic investigations; and (ii) review of responses to treatment and medication plans initiated at time of initial consultation; and (iii) comprehensive multi or detailed single organ system assessment; and (iv) review of original and differential diagnoses; and (b) the modified sexual health medicine specialist treatment and management plan is provided to the referring practitioner, which involves, if appropriate: (i) a revised opinion on diagnosis and risk assessment; and (ii) treatment options and decisions; and (iii) revised medication recommendations; and (c) an attendance on the patient, being an attendance to which item 104, 105, 110, 116, 119, 132, 133, 6051 or 6052 applies did not take place on the same day by the same sexual health medicine specialist; and (d) item 6057 applied to an attendance claimed in the preceding 12 months; and (e) the attendance under this item is claimed by the same sexual health medicine specialist who claimed item 6057 or by a locum tenens; and (f) this item has not applied more than twice in any 12 month period</w:t>
            </w:r>
          </w:p>
        </w:tc>
        <w:tc>
          <w:tcPr>
            <w:tcW w:w="1559" w:type="dxa"/>
            <w:noWrap/>
          </w:tcPr>
          <w:p w14:paraId="2FE19E0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985" w:type="dxa"/>
            <w:noWrap/>
          </w:tcPr>
          <w:p w14:paraId="7D77635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600" w:type="dxa"/>
            <w:noWrap/>
          </w:tcPr>
          <w:p w14:paraId="682B6F7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bl>
    <w:p w14:paraId="40E2F2E9" w14:textId="30763535" w:rsidR="00313E1E" w:rsidRPr="00C33C0B" w:rsidRDefault="00A77BBA" w:rsidP="00313E1E">
      <w:pPr>
        <w:pStyle w:val="Heading2"/>
        <w:numPr>
          <w:ilvl w:val="0"/>
          <w:numId w:val="0"/>
        </w:numPr>
        <w:rPr>
          <w:lang w:val="en-GB"/>
        </w:rPr>
      </w:pPr>
      <w:bookmarkStart w:id="294" w:name="_Toc67952293"/>
      <w:r>
        <w:rPr>
          <w:lang w:val="en-GB"/>
        </w:rPr>
        <w:t xml:space="preserve">Table </w:t>
      </w:r>
      <w:r w:rsidR="00C52816">
        <w:rPr>
          <w:lang w:val="en-GB"/>
        </w:rPr>
        <w:t>D</w:t>
      </w:r>
      <w:r w:rsidR="00313E1E" w:rsidRPr="00C33C0B">
        <w:rPr>
          <w:lang w:val="en-GB"/>
        </w:rPr>
        <w:t>.3. Telehealth attendance items</w:t>
      </w:r>
      <w:r w:rsidR="008C214B">
        <w:rPr>
          <w:lang w:val="en-GB"/>
        </w:rPr>
        <w:t xml:space="preserve"> (</w:t>
      </w:r>
      <w:r w:rsidR="00F17DD4">
        <w:rPr>
          <w:lang w:val="en-GB"/>
        </w:rPr>
        <w:t>r</w:t>
      </w:r>
      <w:r w:rsidR="008C214B">
        <w:rPr>
          <w:lang w:val="en-GB"/>
        </w:rPr>
        <w:t xml:space="preserve">eferred </w:t>
      </w:r>
      <w:r w:rsidR="00F17DD4">
        <w:rPr>
          <w:lang w:val="en-GB"/>
        </w:rPr>
        <w:t>to the Taskforce’s Telehealth Working Group for consideration</w:t>
      </w:r>
      <w:r w:rsidR="008C214B">
        <w:rPr>
          <w:lang w:val="en-GB"/>
        </w:rPr>
        <w:t>)</w:t>
      </w:r>
      <w:bookmarkEnd w:id="294"/>
    </w:p>
    <w:tbl>
      <w:tblPr>
        <w:tblStyle w:val="GridTable1Light-Accent6"/>
        <w:tblW w:w="0" w:type="auto"/>
        <w:tblLayout w:type="fixed"/>
        <w:tblLook w:val="04A0" w:firstRow="1" w:lastRow="0" w:firstColumn="1" w:lastColumn="0" w:noHBand="0" w:noVBand="1"/>
        <w:tblDescription w:val="Appendix D - Telehealth attendance items summary for consumers. Table D.3 is a 5 column table. Column 1 is the item number. Column 2 describes what the item does. Column 3 is the committee's recommendation. Column 4 describes what would be different about the item. Column 5 describes why it would be different. "/>
      </w:tblPr>
      <w:tblGrid>
        <w:gridCol w:w="562"/>
        <w:gridCol w:w="2694"/>
        <w:gridCol w:w="1984"/>
        <w:gridCol w:w="2268"/>
        <w:gridCol w:w="1742"/>
      </w:tblGrid>
      <w:tr w:rsidR="008A5CDC" w:rsidRPr="00C33C0B" w14:paraId="22B5C201"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hideMark/>
          </w:tcPr>
          <w:p w14:paraId="5D8DB321" w14:textId="77777777" w:rsidR="00313E1E" w:rsidRPr="00C33C0B" w:rsidRDefault="00313E1E" w:rsidP="00313E1E">
            <w:pPr>
              <w:spacing w:beforeLines="20" w:before="48" w:afterLines="20" w:after="48" w:line="20" w:lineRule="atLeast"/>
              <w:rPr>
                <w:rFonts w:ascii="Calibri" w:hAnsi="Calibri" w:cs="Calibri"/>
                <w:b w:val="0"/>
                <w:color w:val="FFFFFF" w:themeColor="background1"/>
                <w:sz w:val="17"/>
                <w:szCs w:val="17"/>
                <w:lang w:val="en-GB"/>
              </w:rPr>
            </w:pPr>
            <w:r w:rsidRPr="00C33C0B">
              <w:rPr>
                <w:rFonts w:ascii="Calibri" w:hAnsi="Calibri" w:cs="Calibri"/>
                <w:color w:val="FFFFFF" w:themeColor="background1"/>
                <w:sz w:val="17"/>
                <w:szCs w:val="17"/>
                <w:lang w:val="en-GB"/>
              </w:rPr>
              <w:t xml:space="preserve">Item </w:t>
            </w:r>
          </w:p>
        </w:tc>
        <w:tc>
          <w:tcPr>
            <w:tcW w:w="2694" w:type="dxa"/>
            <w:hideMark/>
          </w:tcPr>
          <w:p w14:paraId="201DD4B4" w14:textId="77777777" w:rsidR="00313E1E" w:rsidRPr="00C33C0B" w:rsidRDefault="00313E1E" w:rsidP="00313E1E">
            <w:pPr>
              <w:spacing w:beforeLines="20" w:before="48" w:afterLines="20" w:after="48" w:line="2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What it does</w:t>
            </w:r>
          </w:p>
        </w:tc>
        <w:tc>
          <w:tcPr>
            <w:tcW w:w="1984" w:type="dxa"/>
            <w:hideMark/>
          </w:tcPr>
          <w:p w14:paraId="3375BD75" w14:textId="77777777" w:rsidR="00313E1E" w:rsidRPr="00C33C0B" w:rsidRDefault="00313E1E" w:rsidP="00313E1E">
            <w:pPr>
              <w:spacing w:beforeLines="20" w:before="48" w:afterLines="20" w:after="48" w:line="2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Committee recommendation</w:t>
            </w:r>
          </w:p>
        </w:tc>
        <w:tc>
          <w:tcPr>
            <w:tcW w:w="2268" w:type="dxa"/>
            <w:hideMark/>
          </w:tcPr>
          <w:p w14:paraId="46F1F098" w14:textId="77777777" w:rsidR="00313E1E" w:rsidRPr="00C33C0B" w:rsidRDefault="00313E1E" w:rsidP="00313E1E">
            <w:pPr>
              <w:spacing w:beforeLines="20" w:before="48" w:afterLines="20" w:after="48" w:line="2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What would be different</w:t>
            </w:r>
          </w:p>
        </w:tc>
        <w:tc>
          <w:tcPr>
            <w:tcW w:w="1742" w:type="dxa"/>
            <w:hideMark/>
          </w:tcPr>
          <w:p w14:paraId="4AA7CECF" w14:textId="77777777" w:rsidR="00313E1E" w:rsidRPr="00C33C0B" w:rsidRDefault="00313E1E" w:rsidP="00313E1E">
            <w:pPr>
              <w:spacing w:beforeLines="20" w:before="48" w:afterLines="20" w:after="48" w:line="20" w:lineRule="atLeast"/>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7"/>
                <w:szCs w:val="17"/>
                <w:lang w:val="en-GB"/>
              </w:rPr>
            </w:pPr>
            <w:r>
              <w:rPr>
                <w:rFonts w:ascii="Calibri" w:hAnsi="Calibri" w:cs="Calibri"/>
                <w:color w:val="FFFFFF" w:themeColor="background1"/>
                <w:sz w:val="17"/>
                <w:szCs w:val="17"/>
                <w:lang w:val="en-GB"/>
              </w:rPr>
              <w:t>Why</w:t>
            </w:r>
          </w:p>
        </w:tc>
      </w:tr>
      <w:tr w:rsidR="008A5CDC" w:rsidRPr="00C33C0B" w14:paraId="65E1B0F1"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31E05BEF"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99</w:t>
            </w:r>
          </w:p>
        </w:tc>
        <w:tc>
          <w:tcPr>
            <w:tcW w:w="2694" w:type="dxa"/>
            <w:noWrap/>
            <w:hideMark/>
          </w:tcPr>
          <w:p w14:paraId="0733A2D0"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practising in his or her specialty if: (a) the attendance is by video conference; and (b) the attendance is for a service: (i) provided with item 104 lasting more than 10 minutes; or (ii) provided with item 105; and (c) the patient is not an admitted patient; and (d)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w:t>
            </w:r>
          </w:p>
        </w:tc>
        <w:tc>
          <w:tcPr>
            <w:tcW w:w="1984" w:type="dxa"/>
            <w:noWrap/>
          </w:tcPr>
          <w:p w14:paraId="62F9C7DF"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2268" w:type="dxa"/>
            <w:noWrap/>
          </w:tcPr>
          <w:p w14:paraId="2375ACB3" w14:textId="77777777" w:rsidR="00313E1E" w:rsidRPr="00C33C0B" w:rsidRDefault="00313E1E" w:rsidP="0055162A">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incrementally redu</w:t>
            </w:r>
            <w:r w:rsidR="0055162A">
              <w:rPr>
                <w:rFonts w:ascii="Calibri" w:hAnsi="Calibri" w:cs="Calibri"/>
                <w:color w:val="000000"/>
                <w:sz w:val="17"/>
                <w:szCs w:val="17"/>
                <w:lang w:val="en-GB"/>
              </w:rPr>
              <w:t xml:space="preserve">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1742" w:type="dxa"/>
            <w:noWrap/>
          </w:tcPr>
          <w:p w14:paraId="746F1E13"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09A64A82"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1E4DF913"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112</w:t>
            </w:r>
          </w:p>
        </w:tc>
        <w:tc>
          <w:tcPr>
            <w:tcW w:w="2694" w:type="dxa"/>
            <w:noWrap/>
          </w:tcPr>
          <w:p w14:paraId="30591A7B"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physician practising in his or her specialty if: (a) the attendance is by video conference; and (b) the attendance is for a service: (i) provided with item 110 lasting more than 10 minutes; or (ii) provided with item 116, 119, 132 or 133; and (c) the patient is not an admitted patient; and (d)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w:t>
            </w:r>
          </w:p>
        </w:tc>
        <w:tc>
          <w:tcPr>
            <w:tcW w:w="1984" w:type="dxa"/>
            <w:noWrap/>
          </w:tcPr>
          <w:p w14:paraId="6559AC96"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2268" w:type="dxa"/>
            <w:noWrap/>
          </w:tcPr>
          <w:p w14:paraId="3C3ED068" w14:textId="77777777" w:rsidR="00313E1E" w:rsidRPr="00C33C0B" w:rsidRDefault="00313E1E" w:rsidP="0055162A">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w:t>
            </w:r>
            <w:r w:rsidR="0055162A">
              <w:rPr>
                <w:rFonts w:ascii="Calibri" w:hAnsi="Calibri" w:cs="Calibri"/>
                <w:color w:val="000000"/>
                <w:sz w:val="17"/>
                <w:szCs w:val="17"/>
                <w:lang w:val="en-GB"/>
              </w:rPr>
              <w:t xml:space="preserve">crementally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1742" w:type="dxa"/>
            <w:noWrap/>
          </w:tcPr>
          <w:p w14:paraId="50CDFE6C"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223D67AE"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4B850576"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113</w:t>
            </w:r>
          </w:p>
        </w:tc>
        <w:tc>
          <w:tcPr>
            <w:tcW w:w="2694" w:type="dxa"/>
            <w:noWrap/>
            <w:hideMark/>
          </w:tcPr>
          <w:p w14:paraId="492F6E76"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in the practice of his or her speciality if: (a) the attendance is by video conference; and (b) the patient is not an admitted patient; and (c)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984" w:type="dxa"/>
            <w:noWrap/>
          </w:tcPr>
          <w:p w14:paraId="3BAD829A"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2268" w:type="dxa"/>
            <w:noWrap/>
          </w:tcPr>
          <w:p w14:paraId="0A7830B4"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1742" w:type="dxa"/>
            <w:noWrap/>
          </w:tcPr>
          <w:p w14:paraId="3FF12C4D"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643D33C6"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8BF52A8"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114</w:t>
            </w:r>
          </w:p>
        </w:tc>
        <w:tc>
          <w:tcPr>
            <w:tcW w:w="2694" w:type="dxa"/>
            <w:noWrap/>
            <w:hideMark/>
          </w:tcPr>
          <w:p w14:paraId="4ED2C5B5"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consultant physician practising in his or her specialty if: (a) the attendance is by video conference; and (b) the patient is not an admitted patient; and (c)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984" w:type="dxa"/>
            <w:noWrap/>
          </w:tcPr>
          <w:p w14:paraId="06F77FF5"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2268" w:type="dxa"/>
            <w:noWrap/>
          </w:tcPr>
          <w:p w14:paraId="5FF48D41"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1742" w:type="dxa"/>
            <w:noWrap/>
          </w:tcPr>
          <w:p w14:paraId="43DBD9BE"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69E3D562"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1AF82666"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149</w:t>
            </w:r>
          </w:p>
        </w:tc>
        <w:tc>
          <w:tcPr>
            <w:tcW w:w="2694" w:type="dxa"/>
            <w:noWrap/>
            <w:hideMark/>
          </w:tcPr>
          <w:p w14:paraId="3CE5C702"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physician or specialist practising in his or her specialty of geriatric medicine if: (a) the attendance is by video conference; and (b) item 141 or 143 applies to the attendance; and (c) the patient is not an admitted patient; and (d) the patient: (i) is located both: (a) within a telehealth eligible area; and (b) at the time of the attendance--at least 15 kms by road from the physician or specialist; or (ii) is a care recipient in a residential care service; or (iii) is a patient of: (a) an aboriginal medical service; or (b) an aboriginal community controlled health service: for which a direction made under subsection 19(2) of the act applies</w:t>
            </w:r>
          </w:p>
        </w:tc>
        <w:tc>
          <w:tcPr>
            <w:tcW w:w="1984" w:type="dxa"/>
            <w:noWrap/>
          </w:tcPr>
          <w:p w14:paraId="56107B28"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2268" w:type="dxa"/>
            <w:noWrap/>
          </w:tcPr>
          <w:p w14:paraId="515188CB" w14:textId="77777777" w:rsidR="00313E1E" w:rsidRPr="00C33C0B" w:rsidRDefault="00313E1E" w:rsidP="0055162A">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incr</w:t>
            </w:r>
            <w:r w:rsidR="0055162A">
              <w:rPr>
                <w:rFonts w:ascii="Calibri" w:hAnsi="Calibri" w:cs="Calibri"/>
                <w:color w:val="000000"/>
                <w:sz w:val="17"/>
                <w:szCs w:val="17"/>
                <w:lang w:val="en-GB"/>
              </w:rPr>
              <w:t xml:space="preserve">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1742" w:type="dxa"/>
            <w:noWrap/>
          </w:tcPr>
          <w:p w14:paraId="3FF9B6BA"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3C751D54"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647E0C4E"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384</w:t>
            </w:r>
          </w:p>
        </w:tc>
        <w:tc>
          <w:tcPr>
            <w:tcW w:w="2694" w:type="dxa"/>
            <w:noWrap/>
            <w:hideMark/>
          </w:tcPr>
          <w:p w14:paraId="52AB0844"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consultant occupational physician practising in his or her specialty of occupational medicine if: (a) the attendance is by video conference; and (b) the patient is not an admitted patient; and (c)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984" w:type="dxa"/>
            <w:noWrap/>
          </w:tcPr>
          <w:p w14:paraId="0669032E"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2268" w:type="dxa"/>
            <w:noWrap/>
          </w:tcPr>
          <w:p w14:paraId="05ABB376"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1742" w:type="dxa"/>
            <w:noWrap/>
          </w:tcPr>
          <w:p w14:paraId="27106EBD"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7F339C16"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73F30318"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389</w:t>
            </w:r>
          </w:p>
        </w:tc>
        <w:tc>
          <w:tcPr>
            <w:tcW w:w="2694" w:type="dxa"/>
            <w:noWrap/>
            <w:hideMark/>
          </w:tcPr>
          <w:p w14:paraId="4CCA98EB"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occupational physician practising in his or her specialty of occupational medicine if: (a) the attendance is by video conference; and (b) the attendance is for a service: (i) provided with item 385 lasting more than 10 minutes; or (ii) provided with item 386; and (c) the patient is not an admitted patient; and (d)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w:t>
            </w:r>
          </w:p>
        </w:tc>
        <w:tc>
          <w:tcPr>
            <w:tcW w:w="1984" w:type="dxa"/>
            <w:noWrap/>
          </w:tcPr>
          <w:p w14:paraId="13594A1D"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2268" w:type="dxa"/>
            <w:noWrap/>
          </w:tcPr>
          <w:p w14:paraId="637CECBC" w14:textId="77777777" w:rsidR="00313E1E" w:rsidRPr="00C33C0B" w:rsidRDefault="00313E1E" w:rsidP="0055162A">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incr</w:t>
            </w:r>
            <w:r w:rsidR="0055162A">
              <w:rPr>
                <w:rFonts w:ascii="Calibri" w:hAnsi="Calibri" w:cs="Calibri"/>
                <w:color w:val="000000"/>
                <w:sz w:val="17"/>
                <w:szCs w:val="17"/>
                <w:lang w:val="en-GB"/>
              </w:rPr>
              <w:t xml:space="preserve">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1742" w:type="dxa"/>
            <w:noWrap/>
          </w:tcPr>
          <w:p w14:paraId="4A92DCF6"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7041A10F"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79F7E635"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2799</w:t>
            </w:r>
          </w:p>
        </w:tc>
        <w:tc>
          <w:tcPr>
            <w:tcW w:w="2694" w:type="dxa"/>
            <w:noWrap/>
            <w:hideMark/>
          </w:tcPr>
          <w:p w14:paraId="364786F3"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or consultant physician practising in his or her specialty of pain medicine if: (a) the attendance is by video conference; and (b) the patient is not an admitted patient; and (c)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984" w:type="dxa"/>
            <w:noWrap/>
          </w:tcPr>
          <w:p w14:paraId="7110F051"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2268" w:type="dxa"/>
            <w:noWrap/>
          </w:tcPr>
          <w:p w14:paraId="31E03DAD"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1742" w:type="dxa"/>
            <w:noWrap/>
          </w:tcPr>
          <w:p w14:paraId="02AADF35"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4B56D20B"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20CCAE1F"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2820</w:t>
            </w:r>
          </w:p>
        </w:tc>
        <w:tc>
          <w:tcPr>
            <w:tcW w:w="2694" w:type="dxa"/>
            <w:noWrap/>
            <w:hideMark/>
          </w:tcPr>
          <w:p w14:paraId="6740946E"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or consultant physician practising in his or her specialty of pain medicine if: (a) the attendance is by video conference; and (b) the attendance is for a service: (i) provided with item 2801 lasting more than 10 minutes; or (ii) provided with item 2806 or 2814; and (c) the patient is not an admitted patient; and (d)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w:t>
            </w:r>
          </w:p>
        </w:tc>
        <w:tc>
          <w:tcPr>
            <w:tcW w:w="1984" w:type="dxa"/>
            <w:noWrap/>
          </w:tcPr>
          <w:p w14:paraId="338B3081"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2268" w:type="dxa"/>
            <w:noWrap/>
          </w:tcPr>
          <w:p w14:paraId="7DD097F5" w14:textId="77777777" w:rsidR="00313E1E" w:rsidRPr="00C33C0B" w:rsidRDefault="00313E1E" w:rsidP="0055162A">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incrementa</w:t>
            </w:r>
            <w:r w:rsidR="0055162A">
              <w:rPr>
                <w:rFonts w:ascii="Calibri" w:hAnsi="Calibri" w:cs="Calibri"/>
                <w:color w:val="000000"/>
                <w:sz w:val="17"/>
                <w:szCs w:val="17"/>
                <w:lang w:val="en-GB"/>
              </w:rPr>
              <w:t xml:space="preserve">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1742" w:type="dxa"/>
            <w:noWrap/>
          </w:tcPr>
          <w:p w14:paraId="46627CB4"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7C11A9D2"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5CC4C2DE"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3003</w:t>
            </w:r>
          </w:p>
        </w:tc>
        <w:tc>
          <w:tcPr>
            <w:tcW w:w="2694" w:type="dxa"/>
            <w:noWrap/>
            <w:hideMark/>
          </w:tcPr>
          <w:p w14:paraId="03749472"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or consultant physician practising in his or her specialty of palliative medicine if: (a) the attendance is by video conference; and (b) the patient is not an admitted patient; and (c)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984" w:type="dxa"/>
            <w:noWrap/>
          </w:tcPr>
          <w:p w14:paraId="2A6F8C11"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2268" w:type="dxa"/>
            <w:noWrap/>
          </w:tcPr>
          <w:p w14:paraId="145D39ED"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1742" w:type="dxa"/>
            <w:noWrap/>
          </w:tcPr>
          <w:p w14:paraId="5783F317"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1497B6C7"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4CACCFC7"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3015</w:t>
            </w:r>
          </w:p>
        </w:tc>
        <w:tc>
          <w:tcPr>
            <w:tcW w:w="2694" w:type="dxa"/>
            <w:noWrap/>
            <w:hideMark/>
          </w:tcPr>
          <w:p w14:paraId="1CABF41D"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or consultant physician practising in his or her specialty of palliative medicine if: (a) the attendance is by video conference; and (b) the attendance is for a service: (i) provided with item 3005 lasting more than 10 minutes; or (ii) provided with item 3010 or 3014; and (c) the patient is not an admitted patient; and (d)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w:t>
            </w:r>
          </w:p>
        </w:tc>
        <w:tc>
          <w:tcPr>
            <w:tcW w:w="1984" w:type="dxa"/>
            <w:noWrap/>
          </w:tcPr>
          <w:p w14:paraId="0BC0C8D1"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2268" w:type="dxa"/>
            <w:noWrap/>
          </w:tcPr>
          <w:p w14:paraId="7DE4A9F4" w14:textId="77777777" w:rsidR="00313E1E" w:rsidRPr="00C33C0B" w:rsidRDefault="00313E1E" w:rsidP="0055162A">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w:t>
            </w:r>
            <w:r w:rsidR="0055162A">
              <w:rPr>
                <w:rFonts w:ascii="Calibri" w:hAnsi="Calibri" w:cs="Calibri"/>
                <w:color w:val="000000"/>
                <w:sz w:val="17"/>
                <w:szCs w:val="17"/>
                <w:lang w:val="en-GB"/>
              </w:rPr>
              <w:t xml:space="preserve">crementally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1742" w:type="dxa"/>
            <w:noWrap/>
          </w:tcPr>
          <w:p w14:paraId="4858E00A"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6E486F80"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1B4BAD4A"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6004</w:t>
            </w:r>
          </w:p>
        </w:tc>
        <w:tc>
          <w:tcPr>
            <w:tcW w:w="2694" w:type="dxa"/>
            <w:noWrap/>
            <w:hideMark/>
          </w:tcPr>
          <w:p w14:paraId="41439DD0"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practising in his or her specialty of neurosurgery if: (a) the attendance is by video conference; and (b) the patient is not an admitted patient; and (c)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984" w:type="dxa"/>
            <w:noWrap/>
          </w:tcPr>
          <w:p w14:paraId="5A0A1BAA"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2268" w:type="dxa"/>
            <w:noWrap/>
          </w:tcPr>
          <w:p w14:paraId="50D42033"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1742" w:type="dxa"/>
            <w:noWrap/>
          </w:tcPr>
          <w:p w14:paraId="74E41D64"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158D4F99" w14:textId="77777777" w:rsidTr="008A5CDC">
        <w:tc>
          <w:tcPr>
            <w:cnfStyle w:val="001000000000" w:firstRow="0" w:lastRow="0" w:firstColumn="1" w:lastColumn="0" w:oddVBand="0" w:evenVBand="0" w:oddHBand="0" w:evenHBand="0" w:firstRowFirstColumn="0" w:firstRowLastColumn="0" w:lastRowFirstColumn="0" w:lastRowLastColumn="0"/>
            <w:tcW w:w="562" w:type="dxa"/>
            <w:noWrap/>
            <w:hideMark/>
          </w:tcPr>
          <w:p w14:paraId="6BEA6A2C"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6016</w:t>
            </w:r>
          </w:p>
        </w:tc>
        <w:tc>
          <w:tcPr>
            <w:tcW w:w="2694" w:type="dxa"/>
            <w:noWrap/>
            <w:hideMark/>
          </w:tcPr>
          <w:p w14:paraId="1AF810C0"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practising in his or her specialty of neurosurgery if: (a) the attendance is by video conference; and (b) the attendance is for a service: (i) provided with item 6007 lasting more than 10 minutes; or (ii) provided with item 6009, 6011, 6013 or 6015; and (c) the patient is not an admitted patient; and (d)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w:t>
            </w:r>
          </w:p>
        </w:tc>
        <w:tc>
          <w:tcPr>
            <w:tcW w:w="1984" w:type="dxa"/>
            <w:noWrap/>
          </w:tcPr>
          <w:p w14:paraId="39A7457B"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2268" w:type="dxa"/>
            <w:noWrap/>
          </w:tcPr>
          <w:p w14:paraId="61214E35" w14:textId="77777777" w:rsidR="00313E1E" w:rsidRPr="00C33C0B" w:rsidRDefault="00313E1E" w:rsidP="0055162A">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w:t>
            </w:r>
            <w:r w:rsidR="0055162A">
              <w:rPr>
                <w:rFonts w:ascii="Calibri" w:hAnsi="Calibri" w:cs="Calibri"/>
                <w:color w:val="000000"/>
                <w:sz w:val="17"/>
                <w:szCs w:val="17"/>
                <w:lang w:val="en-GB"/>
              </w:rPr>
              <w:t xml:space="preserve">crementally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1742" w:type="dxa"/>
            <w:noWrap/>
          </w:tcPr>
          <w:p w14:paraId="55C22EE1"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10A0E011"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69335C99"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6025</w:t>
            </w:r>
          </w:p>
        </w:tc>
        <w:tc>
          <w:tcPr>
            <w:tcW w:w="2694" w:type="dxa"/>
            <w:noWrap/>
          </w:tcPr>
          <w:p w14:paraId="72744660"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on a patient by an addiction medicine specialist in the practice of his or her specialty, if: (a) the attendance is by video conference; and (b) the patient is not an admitted patient; and (c) the patient: (i) is located both: (a) within a telehealth eligible area; and (b) at the time of the attendance--at least 15 km by road from the addiction medicine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984" w:type="dxa"/>
            <w:noWrap/>
          </w:tcPr>
          <w:p w14:paraId="71BCC72F"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2268" w:type="dxa"/>
            <w:noWrap/>
          </w:tcPr>
          <w:p w14:paraId="72324F15"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1742" w:type="dxa"/>
            <w:noWrap/>
          </w:tcPr>
          <w:p w14:paraId="0F10BFF5"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737C2F8F"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06C09949"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6026</w:t>
            </w:r>
          </w:p>
        </w:tc>
        <w:tc>
          <w:tcPr>
            <w:tcW w:w="2694" w:type="dxa"/>
            <w:noWrap/>
          </w:tcPr>
          <w:p w14:paraId="25C54656"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an addiction medicine specialist in the practice of his or her specialty, if: (a) the attendance is by video conference; and (b) the attendance is for a service: (i) provided with item 6018 or 6019 and lasting more than 10 minutes; or (ii) provided with item 6023 or 6024; and (c) the patient is not an admitted patient; and (d) the patient: (i) is located both: (a) within a telehealth eligible area; and (b) at the time of the attendance--at least 15 km by road from the addiction medicine specialist; or (ii) is a care recipient in a residential care service; or (iii) is a patient of: (a) an aboriginal medical service; or (b) an aboriginal community controlled health service; for which a direction made under subsection 19 (2) of the act applies</w:t>
            </w:r>
          </w:p>
        </w:tc>
        <w:tc>
          <w:tcPr>
            <w:tcW w:w="1984" w:type="dxa"/>
            <w:noWrap/>
          </w:tcPr>
          <w:p w14:paraId="1C28094B"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2268" w:type="dxa"/>
            <w:noWrap/>
          </w:tcPr>
          <w:p w14:paraId="46F930A0" w14:textId="77777777" w:rsidR="00313E1E" w:rsidRPr="00C33C0B" w:rsidRDefault="00313E1E" w:rsidP="0055162A">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w:t>
            </w:r>
            <w:r w:rsidR="0055162A">
              <w:rPr>
                <w:rFonts w:ascii="Calibri" w:hAnsi="Calibri" w:cs="Calibri"/>
                <w:color w:val="000000"/>
                <w:sz w:val="17"/>
                <w:szCs w:val="17"/>
                <w:lang w:val="en-GB"/>
              </w:rPr>
              <w:t xml:space="preserve">ncrementally reduced to zero </w:t>
            </w:r>
            <w:r>
              <w:rPr>
                <w:rFonts w:ascii="Calibri" w:hAnsi="Calibri" w:cs="Calibri"/>
                <w:color w:val="000000"/>
                <w:sz w:val="17"/>
                <w:szCs w:val="17"/>
                <w:lang w:val="en-GB"/>
              </w:rPr>
              <w:t xml:space="preserve"> and new telehealth-specific attendance items would be introduced that mirror the standard time-tiered attendance items</w:t>
            </w:r>
          </w:p>
        </w:tc>
        <w:tc>
          <w:tcPr>
            <w:tcW w:w="1742" w:type="dxa"/>
            <w:noWrap/>
          </w:tcPr>
          <w:p w14:paraId="60CB54AC"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6350559C"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7E39826C"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6059</w:t>
            </w:r>
          </w:p>
        </w:tc>
        <w:tc>
          <w:tcPr>
            <w:tcW w:w="2694" w:type="dxa"/>
            <w:noWrap/>
          </w:tcPr>
          <w:p w14:paraId="7F4D64A3"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on a patient by a sexual health medicine specialist in the practice of his or her specialty, if: (a) the attendance is by video conference; and (b) the patient is not an admitted patient; and (c) the patient: (i) is located both: (a) within a telehealth eligible area; and (b) at the time of the attendance--at least 15 km by road from the sexual health medicine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984" w:type="dxa"/>
            <w:noWrap/>
          </w:tcPr>
          <w:p w14:paraId="571AC7B6"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2268" w:type="dxa"/>
            <w:noWrap/>
          </w:tcPr>
          <w:p w14:paraId="396C6CC1"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1742" w:type="dxa"/>
            <w:noWrap/>
          </w:tcPr>
          <w:p w14:paraId="0F950793"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285B4BA8"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1BF13F41"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6060</w:t>
            </w:r>
          </w:p>
        </w:tc>
        <w:tc>
          <w:tcPr>
            <w:tcW w:w="2694" w:type="dxa"/>
            <w:noWrap/>
          </w:tcPr>
          <w:p w14:paraId="11146494"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sexual health medicine specialist in the practice of his or her specialty if: (a) the attendance is by video conference; and (b) the attendance is for a service: (i) provided with item 6051 or 6052 and lasting more than 10 minutes; or (ii) provided with item 6057 or 6058; and (c) the patient is not an admitted patient; and (d) the patient: (i) is located both: (a) within a telehealth eligible area; and (b) at the time of the attendance--at least 15 km by road from the sexual health medicine specialist; or (ii) is a care recipient in a residential care service; or (iii) is a patient of: (a) an aboriginal medical service; or (b) an aboriginal community controlled health service; for which a direction made under subsection 19 (2) of the act applies</w:t>
            </w:r>
          </w:p>
        </w:tc>
        <w:tc>
          <w:tcPr>
            <w:tcW w:w="1984" w:type="dxa"/>
            <w:noWrap/>
          </w:tcPr>
          <w:p w14:paraId="56632B93"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2268" w:type="dxa"/>
            <w:noWrap/>
          </w:tcPr>
          <w:p w14:paraId="358B8DE1" w14:textId="77777777" w:rsidR="00313E1E" w:rsidRPr="00C33C0B" w:rsidRDefault="00313E1E" w:rsidP="0055162A">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 xml:space="preserve">The derived fee on loading items would be </w:t>
            </w:r>
            <w:r w:rsidR="0055162A">
              <w:rPr>
                <w:rFonts w:ascii="Calibri" w:hAnsi="Calibri" w:cs="Calibri"/>
                <w:color w:val="000000"/>
                <w:sz w:val="17"/>
                <w:szCs w:val="17"/>
                <w:lang w:val="en-GB"/>
              </w:rPr>
              <w:t xml:space="preserve">incrementally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1742" w:type="dxa"/>
            <w:noWrap/>
          </w:tcPr>
          <w:p w14:paraId="45CEC4A8"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8A5CDC" w:rsidRPr="00C33C0B" w14:paraId="38941A9F" w14:textId="77777777" w:rsidTr="008A5CDC">
        <w:tc>
          <w:tcPr>
            <w:cnfStyle w:val="001000000000" w:firstRow="0" w:lastRow="0" w:firstColumn="1" w:lastColumn="0" w:oddVBand="0" w:evenVBand="0" w:oddHBand="0" w:evenHBand="0" w:firstRowFirstColumn="0" w:firstRowLastColumn="0" w:lastRowFirstColumn="0" w:lastRowLastColumn="0"/>
            <w:tcW w:w="562" w:type="dxa"/>
            <w:noWrap/>
          </w:tcPr>
          <w:p w14:paraId="517231B7" w14:textId="59D878A4"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 xml:space="preserve">Recommendation </w:t>
            </w:r>
            <w:r w:rsidR="00C26764">
              <w:rPr>
                <w:rFonts w:ascii="Calibri" w:hAnsi="Calibri" w:cs="Calibri"/>
                <w:color w:val="000000"/>
                <w:sz w:val="17"/>
                <w:szCs w:val="17"/>
                <w:lang w:val="en-GB"/>
              </w:rPr>
              <w:t>10</w:t>
            </w:r>
          </w:p>
        </w:tc>
        <w:tc>
          <w:tcPr>
            <w:tcW w:w="2694" w:type="dxa"/>
            <w:noWrap/>
          </w:tcPr>
          <w:p w14:paraId="24EA1079" w14:textId="77777777" w:rsidR="00313E1E" w:rsidRPr="00C33C0B"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Reinvest in telehealth</w:t>
            </w:r>
          </w:p>
        </w:tc>
        <w:tc>
          <w:tcPr>
            <w:tcW w:w="1984" w:type="dxa"/>
            <w:noWrap/>
          </w:tcPr>
          <w:p w14:paraId="4286C760" w14:textId="77777777" w:rsidR="00313E1E"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 xml:space="preserve">Reinvesting all savings from removing the telehealth loading towards non-MBS mechanisms that increase uptake of telehealth services in Australia </w:t>
            </w:r>
          </w:p>
        </w:tc>
        <w:tc>
          <w:tcPr>
            <w:tcW w:w="2268" w:type="dxa"/>
            <w:noWrap/>
          </w:tcPr>
          <w:p w14:paraId="479B8A69" w14:textId="44C8DE4E" w:rsidR="00313E1E"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 xml:space="preserve">There would be increased investment in </w:t>
            </w:r>
            <w:r w:rsidR="0081460D">
              <w:rPr>
                <w:rFonts w:ascii="Calibri" w:hAnsi="Calibri" w:cs="Calibri"/>
                <w:color w:val="000000"/>
                <w:sz w:val="17"/>
                <w:szCs w:val="17"/>
                <w:lang w:val="en-GB"/>
              </w:rPr>
              <w:t xml:space="preserve">MBS or </w:t>
            </w:r>
            <w:r>
              <w:rPr>
                <w:rFonts w:ascii="Calibri" w:hAnsi="Calibri" w:cs="Calibri"/>
                <w:color w:val="000000"/>
                <w:sz w:val="17"/>
                <w:szCs w:val="17"/>
                <w:lang w:val="en-GB"/>
              </w:rPr>
              <w:t>non-MBS mechanisms to increase the uptake of telehealth</w:t>
            </w:r>
          </w:p>
        </w:tc>
        <w:tc>
          <w:tcPr>
            <w:tcW w:w="1742" w:type="dxa"/>
            <w:noWrap/>
          </w:tcPr>
          <w:p w14:paraId="3519C47F" w14:textId="77777777" w:rsidR="00313E1E" w:rsidRDefault="00313E1E" w:rsidP="00313E1E">
            <w:pPr>
              <w:spacing w:beforeLines="20" w:before="48" w:afterLines="20" w:after="48" w:line="20" w:lineRule="atLeas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val="en-GB"/>
              </w:rPr>
            </w:pPr>
            <w:r>
              <w:rPr>
                <w:rFonts w:ascii="Calibri" w:hAnsi="Calibri" w:cs="Calibri"/>
                <w:color w:val="000000"/>
                <w:sz w:val="17"/>
                <w:szCs w:val="17"/>
                <w:lang w:val="en-GB"/>
              </w:rPr>
              <w:t>Focuses on increasing uptake of telehealth services using the optimal mechanisms to incentivise physician uptake</w:t>
            </w:r>
          </w:p>
        </w:tc>
      </w:tr>
    </w:tbl>
    <w:p w14:paraId="24CE217A" w14:textId="77777777" w:rsidR="00313E1E" w:rsidRPr="00C33C0B" w:rsidRDefault="002355E9" w:rsidP="00313E1E">
      <w:pPr>
        <w:pStyle w:val="Heading2"/>
        <w:numPr>
          <w:ilvl w:val="0"/>
          <w:numId w:val="0"/>
        </w:numPr>
        <w:rPr>
          <w:lang w:val="en-GB"/>
        </w:rPr>
      </w:pPr>
      <w:bookmarkStart w:id="295" w:name="_Toc67952294"/>
      <w:r>
        <w:rPr>
          <w:lang w:val="en-GB"/>
        </w:rPr>
        <w:t xml:space="preserve">Table </w:t>
      </w:r>
      <w:r w:rsidR="00C52816">
        <w:rPr>
          <w:lang w:val="en-GB"/>
        </w:rPr>
        <w:t>D</w:t>
      </w:r>
      <w:r w:rsidR="00313E1E">
        <w:rPr>
          <w:lang w:val="en-GB"/>
        </w:rPr>
        <w:t>.4</w:t>
      </w:r>
      <w:r w:rsidR="00313E1E" w:rsidRPr="00C33C0B">
        <w:rPr>
          <w:lang w:val="en-GB"/>
        </w:rPr>
        <w:t>. Case conference attendance items</w:t>
      </w:r>
      <w:bookmarkEnd w:id="295"/>
    </w:p>
    <w:tbl>
      <w:tblPr>
        <w:tblStyle w:val="GridTable1Light-Accent6"/>
        <w:tblW w:w="5000" w:type="pct"/>
        <w:tblLayout w:type="fixed"/>
        <w:tblLook w:val="04A0" w:firstRow="1" w:lastRow="0" w:firstColumn="1" w:lastColumn="0" w:noHBand="0" w:noVBand="1"/>
        <w:tblDescription w:val="Appendix D - Case conference attendance items summary for consumers. Table D.4 is a 5 column table. Column 1 is the item number. Column 2 describes what the item does. Column 3 is the committee's recommendation. Column 4 describes what would be different about the item. Column 5 describes why it would be different. "/>
      </w:tblPr>
      <w:tblGrid>
        <w:gridCol w:w="562"/>
        <w:gridCol w:w="2786"/>
        <w:gridCol w:w="1467"/>
        <w:gridCol w:w="2677"/>
        <w:gridCol w:w="1758"/>
      </w:tblGrid>
      <w:tr w:rsidR="008A5CDC" w:rsidRPr="00C33C0B" w14:paraId="65AA0238" w14:textId="77777777" w:rsidTr="008A5C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4" w:type="pct"/>
            <w:hideMark/>
          </w:tcPr>
          <w:p w14:paraId="12E70563" w14:textId="77777777" w:rsidR="00313E1E" w:rsidRPr="00C33C0B" w:rsidRDefault="00313E1E" w:rsidP="00313E1E">
            <w:pPr>
              <w:spacing w:before="20" w:after="20"/>
              <w:rPr>
                <w:rFonts w:cstheme="minorHAnsi"/>
                <w:b w:val="0"/>
                <w:color w:val="FFFFFF" w:themeColor="background1"/>
                <w:sz w:val="17"/>
                <w:szCs w:val="17"/>
                <w:lang w:val="en-GB"/>
              </w:rPr>
            </w:pPr>
            <w:r w:rsidRPr="00C33C0B">
              <w:rPr>
                <w:rFonts w:cstheme="minorHAnsi"/>
                <w:color w:val="FFFFFF" w:themeColor="background1"/>
                <w:sz w:val="17"/>
                <w:szCs w:val="17"/>
                <w:lang w:val="en-GB"/>
              </w:rPr>
              <w:t xml:space="preserve">Item </w:t>
            </w:r>
          </w:p>
        </w:tc>
        <w:tc>
          <w:tcPr>
            <w:tcW w:w="1506" w:type="pct"/>
            <w:hideMark/>
          </w:tcPr>
          <w:p w14:paraId="43C6660E"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17"/>
                <w:szCs w:val="17"/>
                <w:lang w:val="en-GB"/>
              </w:rPr>
            </w:pPr>
            <w:r>
              <w:rPr>
                <w:rFonts w:cstheme="minorHAnsi"/>
                <w:color w:val="FFFFFF" w:themeColor="background1"/>
                <w:sz w:val="17"/>
                <w:szCs w:val="17"/>
                <w:lang w:val="en-GB"/>
              </w:rPr>
              <w:t>What it does</w:t>
            </w:r>
          </w:p>
        </w:tc>
        <w:tc>
          <w:tcPr>
            <w:tcW w:w="793" w:type="pct"/>
            <w:hideMark/>
          </w:tcPr>
          <w:p w14:paraId="2D45FEAE"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17"/>
                <w:szCs w:val="17"/>
                <w:lang w:val="en-GB"/>
              </w:rPr>
            </w:pPr>
            <w:r>
              <w:rPr>
                <w:rFonts w:cstheme="minorHAnsi"/>
                <w:color w:val="FFFFFF" w:themeColor="background1"/>
                <w:sz w:val="17"/>
                <w:szCs w:val="17"/>
                <w:lang w:val="en-GB"/>
              </w:rPr>
              <w:t>Committee recommendation</w:t>
            </w:r>
          </w:p>
        </w:tc>
        <w:tc>
          <w:tcPr>
            <w:tcW w:w="1447" w:type="pct"/>
            <w:hideMark/>
          </w:tcPr>
          <w:p w14:paraId="714819A6"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17"/>
                <w:szCs w:val="17"/>
                <w:lang w:val="en-GB"/>
              </w:rPr>
            </w:pPr>
            <w:r>
              <w:rPr>
                <w:rFonts w:cstheme="minorHAnsi"/>
                <w:color w:val="FFFFFF" w:themeColor="background1"/>
                <w:sz w:val="17"/>
                <w:szCs w:val="17"/>
                <w:lang w:val="en-GB"/>
              </w:rPr>
              <w:t>What would be different</w:t>
            </w:r>
          </w:p>
        </w:tc>
        <w:tc>
          <w:tcPr>
            <w:tcW w:w="950" w:type="pct"/>
            <w:hideMark/>
          </w:tcPr>
          <w:p w14:paraId="760CD73C" w14:textId="77777777" w:rsidR="00313E1E" w:rsidRPr="00C33C0B" w:rsidRDefault="00313E1E" w:rsidP="008A5CDC">
            <w:pPr>
              <w:spacing w:before="20" w:after="20"/>
              <w:ind w:right="-350"/>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17"/>
                <w:szCs w:val="17"/>
                <w:lang w:val="en-GB"/>
              </w:rPr>
            </w:pPr>
            <w:r>
              <w:rPr>
                <w:rFonts w:cstheme="minorHAnsi"/>
                <w:color w:val="FFFFFF" w:themeColor="background1"/>
                <w:sz w:val="17"/>
                <w:szCs w:val="17"/>
                <w:lang w:val="en-GB"/>
              </w:rPr>
              <w:t>Why</w:t>
            </w:r>
          </w:p>
        </w:tc>
      </w:tr>
      <w:tr w:rsidR="008A5CDC" w:rsidRPr="00C33C0B" w14:paraId="58C7F716"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46240E10"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820</w:t>
            </w:r>
          </w:p>
        </w:tc>
        <w:tc>
          <w:tcPr>
            <w:tcW w:w="1506" w:type="pct"/>
            <w:noWrap/>
            <w:hideMark/>
          </w:tcPr>
          <w:p w14:paraId="703C4EF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15 minutes but less than 30 minutes, with a multidisciplinary team of at least 3 other formal care providers of different disciplines</w:t>
            </w:r>
          </w:p>
        </w:tc>
        <w:tc>
          <w:tcPr>
            <w:tcW w:w="793" w:type="pct"/>
            <w:noWrap/>
          </w:tcPr>
          <w:p w14:paraId="54AEE4D9" w14:textId="77777777" w:rsidR="00313E1E" w:rsidRPr="00A84B03"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bCs/>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548E47CD" w14:textId="61ADD106"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71655DA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15079262"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0A5EF238"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822</w:t>
            </w:r>
          </w:p>
        </w:tc>
        <w:tc>
          <w:tcPr>
            <w:tcW w:w="1506" w:type="pct"/>
            <w:noWrap/>
            <w:hideMark/>
          </w:tcPr>
          <w:p w14:paraId="777EFF0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30 minutes but less than 45 minutes, with a multidisciplinary team of at least 3 other formal care providers of different disciplines</w:t>
            </w:r>
          </w:p>
        </w:tc>
        <w:tc>
          <w:tcPr>
            <w:tcW w:w="793" w:type="pct"/>
            <w:noWrap/>
          </w:tcPr>
          <w:p w14:paraId="5E0B4BB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7265B6E0" w14:textId="37AF6D03"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43259D1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0F16688B"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5E878115"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823</w:t>
            </w:r>
          </w:p>
        </w:tc>
        <w:tc>
          <w:tcPr>
            <w:tcW w:w="1506" w:type="pct"/>
            <w:noWrap/>
            <w:hideMark/>
          </w:tcPr>
          <w:p w14:paraId="0F6FE76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45 minutes, with a multidisciplinary team of at least 3 other formal care providers of different disciplines</w:t>
            </w:r>
          </w:p>
        </w:tc>
        <w:tc>
          <w:tcPr>
            <w:tcW w:w="793" w:type="pct"/>
            <w:noWrap/>
          </w:tcPr>
          <w:p w14:paraId="530D666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441DA321" w14:textId="29C7F18E"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4008078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46E036BC"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69B55870"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825</w:t>
            </w:r>
          </w:p>
        </w:tc>
        <w:tc>
          <w:tcPr>
            <w:tcW w:w="1506" w:type="pct"/>
            <w:noWrap/>
            <w:hideMark/>
          </w:tcPr>
          <w:p w14:paraId="6D0EA68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793" w:type="pct"/>
            <w:noWrap/>
          </w:tcPr>
          <w:p w14:paraId="6616EA05" w14:textId="77777777" w:rsidR="00313E1E" w:rsidRPr="00A84B03"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bCs/>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181CBA87" w14:textId="043D3109"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212C986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66483DC9"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22A0996C"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826</w:t>
            </w:r>
          </w:p>
        </w:tc>
        <w:tc>
          <w:tcPr>
            <w:tcW w:w="1506" w:type="pct"/>
            <w:noWrap/>
            <w:hideMark/>
          </w:tcPr>
          <w:p w14:paraId="062A96E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793" w:type="pct"/>
            <w:noWrap/>
          </w:tcPr>
          <w:p w14:paraId="2AEB1CF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18C3FB4A" w14:textId="7C285338"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318C168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1BF2716A"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7C772993"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828</w:t>
            </w:r>
          </w:p>
        </w:tc>
        <w:tc>
          <w:tcPr>
            <w:tcW w:w="1506" w:type="pct"/>
            <w:noWrap/>
            <w:hideMark/>
          </w:tcPr>
          <w:p w14:paraId="0282D94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793" w:type="pct"/>
            <w:noWrap/>
          </w:tcPr>
          <w:p w14:paraId="70D6296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62FFE9A7" w14:textId="616EA7CA"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0EB39F4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53340682"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3EF5A455"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830</w:t>
            </w:r>
          </w:p>
        </w:tc>
        <w:tc>
          <w:tcPr>
            <w:tcW w:w="1506" w:type="pct"/>
            <w:noWrap/>
            <w:hideMark/>
          </w:tcPr>
          <w:p w14:paraId="70AE2CE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15 minutes but less than 30 minutes, with a multidisciplinary team of at least 3 other formal care providers of different disciplines</w:t>
            </w:r>
          </w:p>
        </w:tc>
        <w:tc>
          <w:tcPr>
            <w:tcW w:w="793" w:type="pct"/>
            <w:noWrap/>
          </w:tcPr>
          <w:p w14:paraId="64FD02C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595FEE3F" w14:textId="1979F3DA"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5043C6F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319D26EF"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0DEA85D7"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832</w:t>
            </w:r>
          </w:p>
        </w:tc>
        <w:tc>
          <w:tcPr>
            <w:tcW w:w="1506" w:type="pct"/>
            <w:noWrap/>
            <w:hideMark/>
          </w:tcPr>
          <w:p w14:paraId="791D500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30 minutes but less than 45 minutes, with a multidisciplinary team of at least 3 other formal care providers of different disciplines</w:t>
            </w:r>
          </w:p>
        </w:tc>
        <w:tc>
          <w:tcPr>
            <w:tcW w:w="793" w:type="pct"/>
            <w:noWrap/>
          </w:tcPr>
          <w:p w14:paraId="7495502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1F31AA96" w14:textId="52ECF79E"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4F6A070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118A7112"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74EB74EA"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834</w:t>
            </w:r>
          </w:p>
        </w:tc>
        <w:tc>
          <w:tcPr>
            <w:tcW w:w="1506" w:type="pct"/>
            <w:noWrap/>
            <w:hideMark/>
          </w:tcPr>
          <w:p w14:paraId="07F129E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45 minutes, with a multidisciplinary team of at least 3 other formal care providers of different disciplines</w:t>
            </w:r>
          </w:p>
        </w:tc>
        <w:tc>
          <w:tcPr>
            <w:tcW w:w="793" w:type="pct"/>
            <w:noWrap/>
          </w:tcPr>
          <w:p w14:paraId="49E11DD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5C41BCC8" w14:textId="0FA31FE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60F4270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28958C25"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07206921"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835</w:t>
            </w:r>
          </w:p>
        </w:tc>
        <w:tc>
          <w:tcPr>
            <w:tcW w:w="1506" w:type="pct"/>
            <w:noWrap/>
            <w:hideMark/>
          </w:tcPr>
          <w:p w14:paraId="016DC33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15 minutes but less than 30 minutes, with a multidisciplinary team of at least 2 other formal care providers of different disciplines</w:t>
            </w:r>
          </w:p>
        </w:tc>
        <w:tc>
          <w:tcPr>
            <w:tcW w:w="793" w:type="pct"/>
            <w:noWrap/>
          </w:tcPr>
          <w:p w14:paraId="6AE6357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1C9D3FEB" w14:textId="45880B0C"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57A9CFC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3E7B9735"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0C2E226A"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837</w:t>
            </w:r>
          </w:p>
        </w:tc>
        <w:tc>
          <w:tcPr>
            <w:tcW w:w="1506" w:type="pct"/>
            <w:noWrap/>
            <w:hideMark/>
          </w:tcPr>
          <w:p w14:paraId="60EAEE1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30 minutes but less than 45 minutes, with a multidisciplinary team of at least 2 other formal care providers of different disciplines</w:t>
            </w:r>
          </w:p>
        </w:tc>
        <w:tc>
          <w:tcPr>
            <w:tcW w:w="793" w:type="pct"/>
            <w:noWrap/>
          </w:tcPr>
          <w:p w14:paraId="2FBD8B7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159BAE78" w14:textId="7316647C"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1080F67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5AAEA5EF"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2664A8A4"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838</w:t>
            </w:r>
          </w:p>
        </w:tc>
        <w:tc>
          <w:tcPr>
            <w:tcW w:w="1506" w:type="pct"/>
            <w:noWrap/>
            <w:hideMark/>
          </w:tcPr>
          <w:p w14:paraId="7EA673F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45 minutes, with a multidisciplinary team of at least 2 other formal care providers of different disciplines</w:t>
            </w:r>
          </w:p>
        </w:tc>
        <w:tc>
          <w:tcPr>
            <w:tcW w:w="793" w:type="pct"/>
            <w:noWrap/>
          </w:tcPr>
          <w:p w14:paraId="52BCBE0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447" w:type="pct"/>
            <w:noWrap/>
          </w:tcPr>
          <w:p w14:paraId="2DD1E10A" w14:textId="51F5F645"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67B30AB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260609A6"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7920960A"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871</w:t>
            </w:r>
          </w:p>
        </w:tc>
        <w:tc>
          <w:tcPr>
            <w:tcW w:w="1506" w:type="pct"/>
            <w:noWrap/>
            <w:hideMark/>
          </w:tcPr>
          <w:p w14:paraId="7229042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medical practitioner (including a specialist or consultant physician in the practice of his or her specialty or a general practitioner), as a member of a case conference team, to lead and coordinate a multidisciplinary case conference on a patient with cancer to develop a multidisciplinary treatment plan, if the case conference is of at least 10 minutes, with a multidisciplinary team of at least 3 other medical practitioners from different areas of medical practice (which may include general practice), and, in addition, allied health providers</w:t>
            </w:r>
          </w:p>
        </w:tc>
        <w:tc>
          <w:tcPr>
            <w:tcW w:w="793" w:type="pct"/>
            <w:noWrap/>
          </w:tcPr>
          <w:p w14:paraId="2A9041A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 replace with new treatment planning case conferences</w:t>
            </w:r>
          </w:p>
        </w:tc>
        <w:tc>
          <w:tcPr>
            <w:tcW w:w="1447" w:type="pct"/>
            <w:noWrap/>
          </w:tcPr>
          <w:p w14:paraId="7B3276A8" w14:textId="60992110" w:rsidR="00313E1E" w:rsidRPr="00C33C0B" w:rsidRDefault="00313E1E" w:rsidP="0081460D">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 xml:space="preserve">There will be six new treatment planning case conference items to discuss available treatment options with </w:t>
            </w:r>
            <w:r w:rsidR="0081460D">
              <w:rPr>
                <w:rFonts w:cstheme="minorHAnsi"/>
                <w:color w:val="000000"/>
                <w:sz w:val="17"/>
                <w:szCs w:val="17"/>
                <w:lang w:val="en-GB"/>
              </w:rPr>
              <w:t>other members of the treatment team</w:t>
            </w:r>
          </w:p>
        </w:tc>
        <w:tc>
          <w:tcPr>
            <w:tcW w:w="950" w:type="pct"/>
            <w:noWrap/>
          </w:tcPr>
          <w:p w14:paraId="59FEFB9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58B3D094"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50ACF793"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872</w:t>
            </w:r>
          </w:p>
        </w:tc>
        <w:tc>
          <w:tcPr>
            <w:tcW w:w="1506" w:type="pct"/>
            <w:noWrap/>
            <w:hideMark/>
          </w:tcPr>
          <w:p w14:paraId="16A2AD2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medical practitioner (including a specialist or consultant physician in the practice of his or her specialty or a general practitioner), as a member of a case conference team, to participate in a multidisciplinary case conference on a patient with cancer to develop a multidisciplinary treatment plan, if the case conference is of at least 10 minutes, with a multidisciplinary team of at least 4 medical practitioners from different areas of medical practice (which may include general practice), and, in addition, allied health providers</w:t>
            </w:r>
          </w:p>
        </w:tc>
        <w:tc>
          <w:tcPr>
            <w:tcW w:w="793" w:type="pct"/>
            <w:noWrap/>
          </w:tcPr>
          <w:p w14:paraId="79DA6AF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 replace with new treatment planning case conferences</w:t>
            </w:r>
          </w:p>
        </w:tc>
        <w:tc>
          <w:tcPr>
            <w:tcW w:w="1447" w:type="pct"/>
            <w:noWrap/>
          </w:tcPr>
          <w:p w14:paraId="4B467AD8" w14:textId="6D965BD2"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 xml:space="preserve">There will be six new treatment planning case conference items to discuss available treatment options with </w:t>
            </w:r>
            <w:r w:rsidR="0081460D">
              <w:rPr>
                <w:rFonts w:cstheme="minorHAnsi"/>
                <w:color w:val="000000"/>
                <w:sz w:val="17"/>
                <w:szCs w:val="17"/>
                <w:lang w:val="en-GB"/>
              </w:rPr>
              <w:t>other members of the treatment team</w:t>
            </w:r>
          </w:p>
        </w:tc>
        <w:tc>
          <w:tcPr>
            <w:tcW w:w="950" w:type="pct"/>
            <w:noWrap/>
          </w:tcPr>
          <w:p w14:paraId="69E386B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7CD87AA6"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05559D27"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880</w:t>
            </w:r>
          </w:p>
        </w:tc>
        <w:tc>
          <w:tcPr>
            <w:tcW w:w="1506" w:type="pct"/>
            <w:noWrap/>
            <w:hideMark/>
          </w:tcPr>
          <w:p w14:paraId="407A9D6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geriatric or rehabilitation medicine, as a member of a case conference team, to coordinate a case conference of at least 10 minutes but less than 30 minutes--for any particular patient, one attendance only in a 7 day period (other than attendance on the same day as an attendance for which item 832, 834, 835, 837 or 838 was applicable in relation to the patient) (H)</w:t>
            </w:r>
          </w:p>
        </w:tc>
        <w:tc>
          <w:tcPr>
            <w:tcW w:w="793" w:type="pct"/>
            <w:noWrap/>
          </w:tcPr>
          <w:p w14:paraId="3AF5A07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No change</w:t>
            </w:r>
          </w:p>
        </w:tc>
        <w:tc>
          <w:tcPr>
            <w:tcW w:w="1447" w:type="pct"/>
            <w:noWrap/>
          </w:tcPr>
          <w:p w14:paraId="7C1A78A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w:t>
            </w:r>
          </w:p>
        </w:tc>
        <w:tc>
          <w:tcPr>
            <w:tcW w:w="950" w:type="pct"/>
            <w:noWrap/>
          </w:tcPr>
          <w:p w14:paraId="1E92B28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w:t>
            </w:r>
          </w:p>
        </w:tc>
      </w:tr>
      <w:tr w:rsidR="008A5CDC" w:rsidRPr="00C33C0B" w14:paraId="2114232B"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17E631B0"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2946</w:t>
            </w:r>
          </w:p>
        </w:tc>
        <w:tc>
          <w:tcPr>
            <w:tcW w:w="1506" w:type="pct"/>
            <w:noWrap/>
            <w:hideMark/>
          </w:tcPr>
          <w:p w14:paraId="750CD85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15 minutes but less than 30 minutes</w:t>
            </w:r>
          </w:p>
        </w:tc>
        <w:tc>
          <w:tcPr>
            <w:tcW w:w="793" w:type="pct"/>
            <w:noWrap/>
          </w:tcPr>
          <w:p w14:paraId="08D3A22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A00560F" w14:textId="53BD30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39F2578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43F04A53"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1C95F5A6"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2949</w:t>
            </w:r>
          </w:p>
        </w:tc>
        <w:tc>
          <w:tcPr>
            <w:tcW w:w="1506" w:type="pct"/>
            <w:noWrap/>
            <w:hideMark/>
          </w:tcPr>
          <w:p w14:paraId="3FFDB0A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30 minutes but less than 45 minutes</w:t>
            </w:r>
          </w:p>
        </w:tc>
        <w:tc>
          <w:tcPr>
            <w:tcW w:w="793" w:type="pct"/>
            <w:noWrap/>
          </w:tcPr>
          <w:p w14:paraId="026EDE3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724FE53B" w14:textId="468D586B"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7E19EEE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7932921C"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74602399"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2954</w:t>
            </w:r>
          </w:p>
        </w:tc>
        <w:tc>
          <w:tcPr>
            <w:tcW w:w="1506" w:type="pct"/>
            <w:noWrap/>
            <w:hideMark/>
          </w:tcPr>
          <w:p w14:paraId="27428F6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45 minutes</w:t>
            </w:r>
          </w:p>
        </w:tc>
        <w:tc>
          <w:tcPr>
            <w:tcW w:w="793" w:type="pct"/>
            <w:noWrap/>
          </w:tcPr>
          <w:p w14:paraId="3F8549B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77693097" w14:textId="6E2385DE"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197A058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5E5DEEA2"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241C315D"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2958</w:t>
            </w:r>
          </w:p>
        </w:tc>
        <w:tc>
          <w:tcPr>
            <w:tcW w:w="1506" w:type="pct"/>
            <w:noWrap/>
            <w:hideMark/>
          </w:tcPr>
          <w:p w14:paraId="689E738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15 minutes but less than 30 minutes</w:t>
            </w:r>
          </w:p>
        </w:tc>
        <w:tc>
          <w:tcPr>
            <w:tcW w:w="793" w:type="pct"/>
            <w:noWrap/>
          </w:tcPr>
          <w:p w14:paraId="21C4065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78335BAA" w14:textId="7764CF9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65508DD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73CA3B96"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549896EA"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2972</w:t>
            </w:r>
          </w:p>
        </w:tc>
        <w:tc>
          <w:tcPr>
            <w:tcW w:w="1506" w:type="pct"/>
            <w:noWrap/>
            <w:hideMark/>
          </w:tcPr>
          <w:p w14:paraId="7CE2759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30 minutes but less than 45 minutes</w:t>
            </w:r>
          </w:p>
        </w:tc>
        <w:tc>
          <w:tcPr>
            <w:tcW w:w="793" w:type="pct"/>
            <w:noWrap/>
          </w:tcPr>
          <w:p w14:paraId="16C5C88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CAA65AA" w14:textId="7F5E8EF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700B124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36015C08"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305CD012"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2974</w:t>
            </w:r>
          </w:p>
        </w:tc>
        <w:tc>
          <w:tcPr>
            <w:tcW w:w="1506" w:type="pct"/>
            <w:noWrap/>
            <w:hideMark/>
          </w:tcPr>
          <w:p w14:paraId="73A70FA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45 minutes</w:t>
            </w:r>
          </w:p>
        </w:tc>
        <w:tc>
          <w:tcPr>
            <w:tcW w:w="793" w:type="pct"/>
            <w:noWrap/>
          </w:tcPr>
          <w:p w14:paraId="6B0FDCE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5A9A209F" w14:textId="29B68879"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65E24F1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5FAC9380"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6D347299"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2978</w:t>
            </w:r>
          </w:p>
        </w:tc>
        <w:tc>
          <w:tcPr>
            <w:tcW w:w="1506" w:type="pct"/>
            <w:noWrap/>
            <w:hideMark/>
          </w:tcPr>
          <w:p w14:paraId="101D53A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15 minutes but less than 30 minutes, before the patient is discharged from a hospital (H)</w:t>
            </w:r>
          </w:p>
        </w:tc>
        <w:tc>
          <w:tcPr>
            <w:tcW w:w="793" w:type="pct"/>
            <w:noWrap/>
          </w:tcPr>
          <w:p w14:paraId="501F72C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61841EB4" w14:textId="5F1754FA"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249ABF6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2A2F0263"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7AA3763B"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2984</w:t>
            </w:r>
          </w:p>
        </w:tc>
        <w:tc>
          <w:tcPr>
            <w:tcW w:w="1506" w:type="pct"/>
            <w:noWrap/>
            <w:hideMark/>
          </w:tcPr>
          <w:p w14:paraId="6BFBA26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30 minutes but less than 45 minutes, before the patient is discharged from a hospital (H)</w:t>
            </w:r>
          </w:p>
        </w:tc>
        <w:tc>
          <w:tcPr>
            <w:tcW w:w="793" w:type="pct"/>
            <w:noWrap/>
          </w:tcPr>
          <w:p w14:paraId="2F91414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7281F2C4" w14:textId="188A3DEE"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7E4B4F5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362A6B14"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687B64B5"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2988</w:t>
            </w:r>
          </w:p>
        </w:tc>
        <w:tc>
          <w:tcPr>
            <w:tcW w:w="1506" w:type="pct"/>
            <w:noWrap/>
            <w:hideMark/>
          </w:tcPr>
          <w:p w14:paraId="60D35E4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45 minutes, before the patient is discharged from a hospital (H)</w:t>
            </w:r>
          </w:p>
        </w:tc>
        <w:tc>
          <w:tcPr>
            <w:tcW w:w="793" w:type="pct"/>
            <w:noWrap/>
          </w:tcPr>
          <w:p w14:paraId="27D5950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47C3EED6" w14:textId="3245680E"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42AE5CC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74365870"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145AB2DD"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2992</w:t>
            </w:r>
          </w:p>
        </w:tc>
        <w:tc>
          <w:tcPr>
            <w:tcW w:w="1506" w:type="pct"/>
            <w:noWrap/>
            <w:hideMark/>
          </w:tcPr>
          <w:p w14:paraId="768C7E8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15 minutes but less than 30 minutes, before the patient is discharged from a hospital (H)</w:t>
            </w:r>
          </w:p>
        </w:tc>
        <w:tc>
          <w:tcPr>
            <w:tcW w:w="793" w:type="pct"/>
            <w:noWrap/>
          </w:tcPr>
          <w:p w14:paraId="06DF14B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72AFE02" w14:textId="3E95C47C"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075F75C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794CE9D7"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63EBB845"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2996</w:t>
            </w:r>
          </w:p>
        </w:tc>
        <w:tc>
          <w:tcPr>
            <w:tcW w:w="1506" w:type="pct"/>
            <w:noWrap/>
            <w:hideMark/>
          </w:tcPr>
          <w:p w14:paraId="65092B5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30 minutes but less than 45 minutes, before the patient is discharged from a hospital (H)</w:t>
            </w:r>
          </w:p>
        </w:tc>
        <w:tc>
          <w:tcPr>
            <w:tcW w:w="793" w:type="pct"/>
            <w:noWrap/>
          </w:tcPr>
          <w:p w14:paraId="2BD1C27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291E18BD" w14:textId="78EA37F9"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02A7C56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6C561656"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16B3CCC1"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3000</w:t>
            </w:r>
          </w:p>
        </w:tc>
        <w:tc>
          <w:tcPr>
            <w:tcW w:w="1506" w:type="pct"/>
            <w:noWrap/>
            <w:hideMark/>
          </w:tcPr>
          <w:p w14:paraId="0AC2C50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45 minutes, before the patient is discharged from a hospital (H)</w:t>
            </w:r>
          </w:p>
        </w:tc>
        <w:tc>
          <w:tcPr>
            <w:tcW w:w="793" w:type="pct"/>
            <w:noWrap/>
          </w:tcPr>
          <w:p w14:paraId="6D0D913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C896FA8" w14:textId="52C4A793"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7F8D572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1EFD69A7"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3DA3DC0D"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3032</w:t>
            </w:r>
          </w:p>
        </w:tc>
        <w:tc>
          <w:tcPr>
            <w:tcW w:w="1506" w:type="pct"/>
            <w:noWrap/>
            <w:hideMark/>
          </w:tcPr>
          <w:p w14:paraId="523DAD7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15 minutes but less than 30 minutes</w:t>
            </w:r>
          </w:p>
        </w:tc>
        <w:tc>
          <w:tcPr>
            <w:tcW w:w="793" w:type="pct"/>
            <w:noWrap/>
          </w:tcPr>
          <w:p w14:paraId="2334D12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C478E1E" w14:textId="6D3B277C"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2023F86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0D418932"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7ACAE429"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3040</w:t>
            </w:r>
          </w:p>
        </w:tc>
        <w:tc>
          <w:tcPr>
            <w:tcW w:w="1506" w:type="pct"/>
            <w:noWrap/>
            <w:hideMark/>
          </w:tcPr>
          <w:p w14:paraId="549FF77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30 minutes but less than 45 minutes</w:t>
            </w:r>
          </w:p>
        </w:tc>
        <w:tc>
          <w:tcPr>
            <w:tcW w:w="793" w:type="pct"/>
            <w:noWrap/>
          </w:tcPr>
          <w:p w14:paraId="17E4C8AD"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EF35CC7" w14:textId="051FF991"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193B268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6543C178"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26390494"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3044</w:t>
            </w:r>
          </w:p>
        </w:tc>
        <w:tc>
          <w:tcPr>
            <w:tcW w:w="1506" w:type="pct"/>
            <w:noWrap/>
            <w:hideMark/>
          </w:tcPr>
          <w:p w14:paraId="74716B3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45 minutes</w:t>
            </w:r>
          </w:p>
        </w:tc>
        <w:tc>
          <w:tcPr>
            <w:tcW w:w="793" w:type="pct"/>
            <w:noWrap/>
          </w:tcPr>
          <w:p w14:paraId="3E2A374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74987297" w14:textId="3EB21EF0"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1771011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1170B061"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73620AEE"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3051</w:t>
            </w:r>
          </w:p>
        </w:tc>
        <w:tc>
          <w:tcPr>
            <w:tcW w:w="1506" w:type="pct"/>
            <w:noWrap/>
            <w:hideMark/>
          </w:tcPr>
          <w:p w14:paraId="134A53B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15 minutes but less than 30 minutes</w:t>
            </w:r>
          </w:p>
        </w:tc>
        <w:tc>
          <w:tcPr>
            <w:tcW w:w="793" w:type="pct"/>
            <w:noWrap/>
          </w:tcPr>
          <w:p w14:paraId="257A1B5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587801F1" w14:textId="62994A79"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0EEF67E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608E555B"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2B2B2EF7"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3055</w:t>
            </w:r>
          </w:p>
        </w:tc>
        <w:tc>
          <w:tcPr>
            <w:tcW w:w="1506" w:type="pct"/>
            <w:noWrap/>
            <w:hideMark/>
          </w:tcPr>
          <w:p w14:paraId="32B5764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30 minutes but less than 45 minutes, with a multidisciplinary team of at least 2 other formal care providers of different disciplines</w:t>
            </w:r>
          </w:p>
        </w:tc>
        <w:tc>
          <w:tcPr>
            <w:tcW w:w="793" w:type="pct"/>
            <w:noWrap/>
          </w:tcPr>
          <w:p w14:paraId="76872C4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ABA7942" w14:textId="748F485A"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1ECAAE5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3792D02A"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4F6D6E88" w14:textId="77777777" w:rsidR="00313E1E" w:rsidRPr="00C33C0B" w:rsidRDefault="00313E1E" w:rsidP="00313E1E">
            <w:pPr>
              <w:spacing w:before="20" w:after="20"/>
              <w:rPr>
                <w:rFonts w:cstheme="minorHAnsi"/>
                <w:bCs w:val="0"/>
                <w:color w:val="000000"/>
                <w:sz w:val="17"/>
                <w:szCs w:val="17"/>
                <w:lang w:val="en-GB"/>
              </w:rPr>
            </w:pPr>
            <w:r w:rsidRPr="00C33C0B">
              <w:rPr>
                <w:rFonts w:cstheme="minorHAnsi"/>
                <w:bCs w:val="0"/>
                <w:color w:val="000000"/>
                <w:sz w:val="17"/>
                <w:szCs w:val="17"/>
                <w:lang w:val="en-GB"/>
              </w:rPr>
              <w:t>3062</w:t>
            </w:r>
          </w:p>
        </w:tc>
        <w:tc>
          <w:tcPr>
            <w:tcW w:w="1506" w:type="pct"/>
            <w:noWrap/>
            <w:hideMark/>
          </w:tcPr>
          <w:p w14:paraId="3436358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45 minutes</w:t>
            </w:r>
          </w:p>
        </w:tc>
        <w:tc>
          <w:tcPr>
            <w:tcW w:w="793" w:type="pct"/>
            <w:noWrap/>
          </w:tcPr>
          <w:p w14:paraId="1EAFE83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5D6B4E1B" w14:textId="1D4D91F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78A0456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26B985EB"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1648B600"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3069</w:t>
            </w:r>
          </w:p>
        </w:tc>
        <w:tc>
          <w:tcPr>
            <w:tcW w:w="1506" w:type="pct"/>
            <w:noWrap/>
            <w:hideMark/>
          </w:tcPr>
          <w:p w14:paraId="7E7AD03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discharge case conference of at least 15 minutes but less than 30 minutes, before the patient is discharged from a hospital (H)</w:t>
            </w:r>
          </w:p>
        </w:tc>
        <w:tc>
          <w:tcPr>
            <w:tcW w:w="793" w:type="pct"/>
            <w:noWrap/>
          </w:tcPr>
          <w:p w14:paraId="4892293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2A430F99" w14:textId="6B1CD6D3"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69BA2F6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663E0091"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365359BE"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3074</w:t>
            </w:r>
          </w:p>
        </w:tc>
        <w:tc>
          <w:tcPr>
            <w:tcW w:w="1506" w:type="pct"/>
            <w:noWrap/>
            <w:hideMark/>
          </w:tcPr>
          <w:p w14:paraId="36A6B1E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case conference team, to organise and coordinate a discharge case conference of at least 30 minutes but less than 45 minutes, before the patient is discharged from a hospital (H)</w:t>
            </w:r>
          </w:p>
        </w:tc>
        <w:tc>
          <w:tcPr>
            <w:tcW w:w="793" w:type="pct"/>
            <w:noWrap/>
          </w:tcPr>
          <w:p w14:paraId="3403C9A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105AEFBF" w14:textId="0B75C164"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0BAC261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26B9D282"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73A8AE10"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3078</w:t>
            </w:r>
          </w:p>
        </w:tc>
        <w:tc>
          <w:tcPr>
            <w:tcW w:w="1506" w:type="pct"/>
            <w:noWrap/>
            <w:hideMark/>
          </w:tcPr>
          <w:p w14:paraId="292A918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discharge case conference of at least 45 minutes, before the patient is discharged from a hospital (H)</w:t>
            </w:r>
          </w:p>
        </w:tc>
        <w:tc>
          <w:tcPr>
            <w:tcW w:w="793" w:type="pct"/>
            <w:noWrap/>
          </w:tcPr>
          <w:p w14:paraId="611DA94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49F4F731" w14:textId="71B4E6E3"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55BBF52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635C342A"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41CD952D"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3083</w:t>
            </w:r>
          </w:p>
        </w:tc>
        <w:tc>
          <w:tcPr>
            <w:tcW w:w="1506" w:type="pct"/>
            <w:noWrap/>
            <w:hideMark/>
          </w:tcPr>
          <w:p w14:paraId="06E0B1E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case conference team, to participate in a discharge case conference (other than to organise and coordinate the conference) of at least 15 minutes but less than 30 minutes, before the patient is discharged from a hospital (H)</w:t>
            </w:r>
          </w:p>
        </w:tc>
        <w:tc>
          <w:tcPr>
            <w:tcW w:w="793" w:type="pct"/>
            <w:noWrap/>
          </w:tcPr>
          <w:p w14:paraId="751664A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7720442A" w14:textId="6B214C6D"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2BE3F5D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63B7D615"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634A2C63"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3088</w:t>
            </w:r>
          </w:p>
        </w:tc>
        <w:tc>
          <w:tcPr>
            <w:tcW w:w="1506" w:type="pct"/>
            <w:noWrap/>
            <w:hideMark/>
          </w:tcPr>
          <w:p w14:paraId="2F95B8D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discharge case conference (other than to organise and coordinate the conference) of at least 30 minutes but less than 45 minutes, before the patient is discharged from a hospital (H)</w:t>
            </w:r>
          </w:p>
        </w:tc>
        <w:tc>
          <w:tcPr>
            <w:tcW w:w="793" w:type="pct"/>
            <w:noWrap/>
          </w:tcPr>
          <w:p w14:paraId="1DE0F90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5ABD8097" w14:textId="0D061965"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32FB09E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38DE9F2E" w14:textId="77777777" w:rsidTr="008A5CDC">
        <w:tc>
          <w:tcPr>
            <w:cnfStyle w:val="001000000000" w:firstRow="0" w:lastRow="0" w:firstColumn="1" w:lastColumn="0" w:oddVBand="0" w:evenVBand="0" w:oddHBand="0" w:evenHBand="0" w:firstRowFirstColumn="0" w:firstRowLastColumn="0" w:lastRowFirstColumn="0" w:lastRowLastColumn="0"/>
            <w:tcW w:w="304" w:type="pct"/>
            <w:noWrap/>
            <w:hideMark/>
          </w:tcPr>
          <w:p w14:paraId="1E9CC470"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3093</w:t>
            </w:r>
          </w:p>
        </w:tc>
        <w:tc>
          <w:tcPr>
            <w:tcW w:w="1506" w:type="pct"/>
            <w:noWrap/>
            <w:hideMark/>
          </w:tcPr>
          <w:p w14:paraId="7F28CA3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discharge case conference (other than to organise and coordinate the conference) of at least 45 minutes, before the patient is discharged from a hospital (H)</w:t>
            </w:r>
          </w:p>
        </w:tc>
        <w:tc>
          <w:tcPr>
            <w:tcW w:w="793" w:type="pct"/>
            <w:noWrap/>
          </w:tcPr>
          <w:p w14:paraId="5AE35FE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5FE3D1F3" w14:textId="037ACC12"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41FA42B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3EBA0002"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4F8D77BC"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6029</w:t>
            </w:r>
          </w:p>
        </w:tc>
        <w:tc>
          <w:tcPr>
            <w:tcW w:w="1506" w:type="pct"/>
            <w:noWrap/>
          </w:tcPr>
          <w:p w14:paraId="013740D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less than 15 minutes, with the multidisciplinary case conference team</w:t>
            </w:r>
          </w:p>
        </w:tc>
        <w:tc>
          <w:tcPr>
            <w:tcW w:w="793" w:type="pct"/>
            <w:noWrap/>
          </w:tcPr>
          <w:p w14:paraId="3FBF2DE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2450E0CB" w14:textId="69A3FB24"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4DCCA3F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051F2D54"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009F340F"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6031</w:t>
            </w:r>
          </w:p>
        </w:tc>
        <w:tc>
          <w:tcPr>
            <w:tcW w:w="1506" w:type="pct"/>
            <w:noWrap/>
          </w:tcPr>
          <w:p w14:paraId="769CC31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at least 15 minutes but less than 30 minutes, with the multidisciplinary case conference team</w:t>
            </w:r>
          </w:p>
        </w:tc>
        <w:tc>
          <w:tcPr>
            <w:tcW w:w="793" w:type="pct"/>
            <w:noWrap/>
          </w:tcPr>
          <w:p w14:paraId="76F4560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1695B48C" w14:textId="4D87C79F"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083C1C8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61DA1600"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181AB188"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6032</w:t>
            </w:r>
          </w:p>
        </w:tc>
        <w:tc>
          <w:tcPr>
            <w:tcW w:w="1506" w:type="pct"/>
            <w:noWrap/>
          </w:tcPr>
          <w:p w14:paraId="531962D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at least 30 minutes but less than 45 minutes, with the multidisciplinary case conference team</w:t>
            </w:r>
          </w:p>
        </w:tc>
        <w:tc>
          <w:tcPr>
            <w:tcW w:w="793" w:type="pct"/>
            <w:noWrap/>
          </w:tcPr>
          <w:p w14:paraId="0FF24B1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5D37A1E5" w14:textId="7B55D7C1"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3A4AC7A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33C17B9D"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068AF105"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6034</w:t>
            </w:r>
          </w:p>
        </w:tc>
        <w:tc>
          <w:tcPr>
            <w:tcW w:w="1506" w:type="pct"/>
            <w:noWrap/>
          </w:tcPr>
          <w:p w14:paraId="1B4CF95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the multidisciplinary case conference of at least 45 minutes, with the multidisciplinary case conference team</w:t>
            </w:r>
          </w:p>
        </w:tc>
        <w:tc>
          <w:tcPr>
            <w:tcW w:w="793" w:type="pct"/>
            <w:noWrap/>
          </w:tcPr>
          <w:p w14:paraId="7305BAF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DE1AEEE" w14:textId="05BFF6FF"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1600B23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32604507"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20B00024"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6035</w:t>
            </w:r>
          </w:p>
        </w:tc>
        <w:tc>
          <w:tcPr>
            <w:tcW w:w="1506" w:type="pct"/>
            <w:noWrap/>
          </w:tcPr>
          <w:p w14:paraId="1B02313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less than 15 minutes, with the multidisciplinary case conference team</w:t>
            </w:r>
          </w:p>
        </w:tc>
        <w:tc>
          <w:tcPr>
            <w:tcW w:w="793" w:type="pct"/>
            <w:noWrap/>
          </w:tcPr>
          <w:p w14:paraId="3E2686B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670AC064" w14:textId="21720C91"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2283B91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651B8A19"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3244F4B0"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6037</w:t>
            </w:r>
          </w:p>
        </w:tc>
        <w:tc>
          <w:tcPr>
            <w:tcW w:w="1506" w:type="pct"/>
            <w:noWrap/>
          </w:tcPr>
          <w:p w14:paraId="1A6BC0E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793" w:type="pct"/>
            <w:noWrap/>
          </w:tcPr>
          <w:p w14:paraId="32D53EC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9D55937" w14:textId="5E327F9A"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48CC6A6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11544B19"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6C8DCB41"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6038</w:t>
            </w:r>
          </w:p>
        </w:tc>
        <w:tc>
          <w:tcPr>
            <w:tcW w:w="1506" w:type="pct"/>
            <w:noWrap/>
          </w:tcPr>
          <w:p w14:paraId="16BB653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793" w:type="pct"/>
            <w:noWrap/>
          </w:tcPr>
          <w:p w14:paraId="2E26B85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1E7A8E6A" w14:textId="65BFC380"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5EB643C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6DED5A9F"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69D1AAF6"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6042</w:t>
            </w:r>
          </w:p>
        </w:tc>
        <w:tc>
          <w:tcPr>
            <w:tcW w:w="1506" w:type="pct"/>
            <w:noWrap/>
          </w:tcPr>
          <w:p w14:paraId="2B98980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793" w:type="pct"/>
            <w:noWrap/>
          </w:tcPr>
          <w:p w14:paraId="180C22C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249ED98D" w14:textId="54CB3670"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7D0CC4F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5A927326"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45BA81C5"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6064</w:t>
            </w:r>
          </w:p>
        </w:tc>
        <w:tc>
          <w:tcPr>
            <w:tcW w:w="1506" w:type="pct"/>
            <w:noWrap/>
          </w:tcPr>
          <w:p w14:paraId="1F112DB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less than 15 minutes, with the multidisciplinary case conference team</w:t>
            </w:r>
          </w:p>
        </w:tc>
        <w:tc>
          <w:tcPr>
            <w:tcW w:w="793" w:type="pct"/>
            <w:noWrap/>
          </w:tcPr>
          <w:p w14:paraId="7113CCC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1FA4AFF6" w14:textId="3230541E"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0BFF41F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748B5136"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3F587184"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6065</w:t>
            </w:r>
          </w:p>
        </w:tc>
        <w:tc>
          <w:tcPr>
            <w:tcW w:w="1506" w:type="pct"/>
            <w:noWrap/>
          </w:tcPr>
          <w:p w14:paraId="3F07A05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15 minutes but less than 30 minutes, with the multidisciplinary case conference team</w:t>
            </w:r>
          </w:p>
        </w:tc>
        <w:tc>
          <w:tcPr>
            <w:tcW w:w="793" w:type="pct"/>
            <w:noWrap/>
          </w:tcPr>
          <w:p w14:paraId="229EAC6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C47D45D" w14:textId="6EAA06FF"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2AAAC66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60276A6E"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1FB769FF"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6067</w:t>
            </w:r>
          </w:p>
        </w:tc>
        <w:tc>
          <w:tcPr>
            <w:tcW w:w="1506" w:type="pct"/>
            <w:noWrap/>
          </w:tcPr>
          <w:p w14:paraId="5A6A2C5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30 minutes but less than 45 minutes, with the multidisciplinary case conference team</w:t>
            </w:r>
          </w:p>
        </w:tc>
        <w:tc>
          <w:tcPr>
            <w:tcW w:w="793" w:type="pct"/>
            <w:noWrap/>
          </w:tcPr>
          <w:p w14:paraId="3633AAC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772B2500" w14:textId="0F7C0F2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4D375E3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02D0598D"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632AEC1B"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6068</w:t>
            </w:r>
          </w:p>
        </w:tc>
        <w:tc>
          <w:tcPr>
            <w:tcW w:w="1506" w:type="pct"/>
            <w:noWrap/>
          </w:tcPr>
          <w:p w14:paraId="00B0A21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45 minutes, with the multidisciplinary case conference team</w:t>
            </w:r>
          </w:p>
        </w:tc>
        <w:tc>
          <w:tcPr>
            <w:tcW w:w="793" w:type="pct"/>
            <w:noWrap/>
          </w:tcPr>
          <w:p w14:paraId="13476E3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65B818E" w14:textId="5612E721"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81460D">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6F86008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572A3DD4"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0E082368"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6071</w:t>
            </w:r>
          </w:p>
        </w:tc>
        <w:tc>
          <w:tcPr>
            <w:tcW w:w="1506" w:type="pct"/>
            <w:noWrap/>
          </w:tcPr>
          <w:p w14:paraId="6943149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less than 15 minutes, with the multidisciplinary case conference team</w:t>
            </w:r>
          </w:p>
        </w:tc>
        <w:tc>
          <w:tcPr>
            <w:tcW w:w="793" w:type="pct"/>
            <w:noWrap/>
          </w:tcPr>
          <w:p w14:paraId="4D78C99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2DDB0B5D" w14:textId="6057CAC9"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360198">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474FB04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77815A64"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0A92C409"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6072</w:t>
            </w:r>
          </w:p>
        </w:tc>
        <w:tc>
          <w:tcPr>
            <w:tcW w:w="1506" w:type="pct"/>
            <w:noWrap/>
          </w:tcPr>
          <w:p w14:paraId="3B7754D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793" w:type="pct"/>
            <w:noWrap/>
          </w:tcPr>
          <w:p w14:paraId="6BFE0E66"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0C7B408A" w14:textId="7294A0EA"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360198">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6F67ADBF"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48DBD81D"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38759EA5"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6074</w:t>
            </w:r>
          </w:p>
        </w:tc>
        <w:tc>
          <w:tcPr>
            <w:tcW w:w="1506" w:type="pct"/>
            <w:noWrap/>
          </w:tcPr>
          <w:p w14:paraId="1354049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793" w:type="pct"/>
            <w:noWrap/>
          </w:tcPr>
          <w:p w14:paraId="19402CB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4DFFE329" w14:textId="27BC0C3A"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360198">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6CBA79B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1C35E9A9"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34FEB5C4" w14:textId="77777777" w:rsidR="00313E1E" w:rsidRPr="00C33C0B" w:rsidRDefault="00313E1E" w:rsidP="00313E1E">
            <w:pPr>
              <w:spacing w:before="20" w:after="20"/>
              <w:rPr>
                <w:rFonts w:cstheme="minorHAnsi"/>
                <w:color w:val="000000"/>
                <w:sz w:val="17"/>
                <w:szCs w:val="17"/>
                <w:lang w:val="en-GB"/>
              </w:rPr>
            </w:pPr>
            <w:r w:rsidRPr="00C33C0B">
              <w:rPr>
                <w:rFonts w:cstheme="minorHAnsi"/>
                <w:color w:val="000000"/>
                <w:sz w:val="17"/>
                <w:szCs w:val="17"/>
                <w:lang w:val="en-GB"/>
              </w:rPr>
              <w:t>6075</w:t>
            </w:r>
          </w:p>
        </w:tc>
        <w:tc>
          <w:tcPr>
            <w:tcW w:w="1506" w:type="pct"/>
            <w:noWrap/>
          </w:tcPr>
          <w:p w14:paraId="2A8FE2E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793" w:type="pct"/>
            <w:noWrap/>
          </w:tcPr>
          <w:p w14:paraId="6D0011A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Remove item from MBS</w:t>
            </w:r>
          </w:p>
        </w:tc>
        <w:tc>
          <w:tcPr>
            <w:tcW w:w="1447" w:type="pct"/>
            <w:noWrap/>
          </w:tcPr>
          <w:p w14:paraId="36B12E4C" w14:textId="69410975"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w:t>
            </w:r>
            <w:r w:rsidR="00360198">
              <w:rPr>
                <w:rFonts w:cstheme="minorHAnsi"/>
                <w:color w:val="000000"/>
                <w:sz w:val="17"/>
                <w:szCs w:val="17"/>
                <w:lang w:val="en-GB"/>
              </w:rPr>
              <w:t>)</w:t>
            </w:r>
            <w:r>
              <w:rPr>
                <w:rFonts w:cstheme="minorHAnsi"/>
                <w:color w:val="000000"/>
                <w:sz w:val="17"/>
                <w:szCs w:val="17"/>
                <w:lang w:val="en-GB"/>
              </w:rPr>
              <w:t xml:space="preserve"> must participate or there must be a mandatory communication of outcomes and changes to the patient and the organiser; and outcomes must be documented in writing including agreed decisions and informed consent</w:t>
            </w:r>
          </w:p>
        </w:tc>
        <w:tc>
          <w:tcPr>
            <w:tcW w:w="950" w:type="pct"/>
            <w:noWrap/>
          </w:tcPr>
          <w:p w14:paraId="4649E72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8A5CDC" w:rsidRPr="00C33C0B" w14:paraId="7E9C9B30"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5B51C319" w14:textId="3C4D6E8A" w:rsidR="00313E1E" w:rsidRPr="00C33C0B" w:rsidRDefault="00313E1E" w:rsidP="00313E1E">
            <w:pPr>
              <w:spacing w:before="20" w:after="20"/>
              <w:rPr>
                <w:rFonts w:cstheme="minorHAnsi"/>
                <w:color w:val="000000"/>
                <w:sz w:val="17"/>
                <w:szCs w:val="17"/>
                <w:lang w:val="en-GB"/>
              </w:rPr>
            </w:pPr>
            <w:r>
              <w:rPr>
                <w:rFonts w:cstheme="minorHAnsi"/>
                <w:color w:val="000000"/>
                <w:sz w:val="17"/>
                <w:szCs w:val="17"/>
                <w:lang w:val="en-GB"/>
              </w:rPr>
              <w:t>Recommendation 1</w:t>
            </w:r>
            <w:r w:rsidR="004324A2">
              <w:rPr>
                <w:rFonts w:cstheme="minorHAnsi"/>
                <w:color w:val="000000"/>
                <w:sz w:val="17"/>
                <w:szCs w:val="17"/>
                <w:lang w:val="en-GB"/>
              </w:rPr>
              <w:t>2</w:t>
            </w:r>
          </w:p>
        </w:tc>
        <w:tc>
          <w:tcPr>
            <w:tcW w:w="1506" w:type="pct"/>
            <w:noWrap/>
          </w:tcPr>
          <w:p w14:paraId="6AB6739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Introduce case conference items for allied health professionals and nurse practitioners</w:t>
            </w:r>
          </w:p>
        </w:tc>
        <w:tc>
          <w:tcPr>
            <w:tcW w:w="793" w:type="pct"/>
            <w:noWrap/>
          </w:tcPr>
          <w:p w14:paraId="747D5C11"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AHPs who can access AHP items under Group M3 of the MBS, and nurse practitioners, should have MBS items to claim for attending case conferences</w:t>
            </w:r>
          </w:p>
        </w:tc>
        <w:tc>
          <w:tcPr>
            <w:tcW w:w="1447" w:type="pct"/>
            <w:noWrap/>
          </w:tcPr>
          <w:p w14:paraId="0841EDD1"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AHPs and nurse practitioners would be reimbursed for participating in case conferences</w:t>
            </w:r>
          </w:p>
        </w:tc>
        <w:tc>
          <w:tcPr>
            <w:tcW w:w="950" w:type="pct"/>
            <w:noWrap/>
          </w:tcPr>
          <w:p w14:paraId="644D254B"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AHPs and nurse practitioners often have a central role to play in patient care</w:t>
            </w:r>
          </w:p>
        </w:tc>
      </w:tr>
      <w:tr w:rsidR="008A5CDC" w:rsidRPr="00C33C0B" w14:paraId="13687127" w14:textId="77777777" w:rsidTr="008A5CDC">
        <w:tc>
          <w:tcPr>
            <w:cnfStyle w:val="001000000000" w:firstRow="0" w:lastRow="0" w:firstColumn="1" w:lastColumn="0" w:oddVBand="0" w:evenVBand="0" w:oddHBand="0" w:evenHBand="0" w:firstRowFirstColumn="0" w:firstRowLastColumn="0" w:lastRowFirstColumn="0" w:lastRowLastColumn="0"/>
            <w:tcW w:w="304" w:type="pct"/>
            <w:noWrap/>
          </w:tcPr>
          <w:p w14:paraId="58FA84AF" w14:textId="019689AA" w:rsidR="00313E1E" w:rsidRDefault="00313E1E" w:rsidP="00313E1E">
            <w:pPr>
              <w:spacing w:before="20" w:after="20"/>
              <w:rPr>
                <w:rFonts w:cstheme="minorHAnsi"/>
                <w:color w:val="000000"/>
                <w:sz w:val="17"/>
                <w:szCs w:val="17"/>
                <w:lang w:val="en-GB"/>
              </w:rPr>
            </w:pPr>
            <w:r>
              <w:rPr>
                <w:rFonts w:cstheme="minorHAnsi"/>
                <w:color w:val="000000"/>
                <w:sz w:val="17"/>
                <w:szCs w:val="17"/>
                <w:lang w:val="en-GB"/>
              </w:rPr>
              <w:t>Recommendation 1</w:t>
            </w:r>
            <w:r w:rsidR="004324A2">
              <w:rPr>
                <w:rFonts w:cstheme="minorHAnsi"/>
                <w:color w:val="000000"/>
                <w:sz w:val="17"/>
                <w:szCs w:val="17"/>
                <w:lang w:val="en-GB"/>
              </w:rPr>
              <w:t>3</w:t>
            </w:r>
          </w:p>
        </w:tc>
        <w:tc>
          <w:tcPr>
            <w:tcW w:w="1506" w:type="pct"/>
            <w:noWrap/>
          </w:tcPr>
          <w:p w14:paraId="1DC11E58"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Referral for examination of informed financial consent</w:t>
            </w:r>
          </w:p>
        </w:tc>
        <w:tc>
          <w:tcPr>
            <w:tcW w:w="793" w:type="pct"/>
            <w:noWrap/>
          </w:tcPr>
          <w:p w14:paraId="14B5D79C"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 Principles and Rules Committee should examine the issue of informed financial consent for out-of-pocket fees charged with case conference items</w:t>
            </w:r>
          </w:p>
        </w:tc>
        <w:tc>
          <w:tcPr>
            <w:tcW w:w="1447" w:type="pct"/>
            <w:noWrap/>
          </w:tcPr>
          <w:p w14:paraId="1F1D33A5"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 xml:space="preserve">Consideration would be given to informed financial consent by patients for case conference items </w:t>
            </w:r>
          </w:p>
        </w:tc>
        <w:tc>
          <w:tcPr>
            <w:tcW w:w="950" w:type="pct"/>
            <w:noWrap/>
          </w:tcPr>
          <w:p w14:paraId="3E530EB8"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000000"/>
                <w:sz w:val="17"/>
                <w:szCs w:val="17"/>
                <w:lang w:val="en-GB"/>
              </w:rPr>
            </w:pPr>
            <w:r>
              <w:rPr>
                <w:rFonts w:cstheme="minorHAnsi"/>
                <w:color w:val="000000"/>
                <w:sz w:val="17"/>
                <w:szCs w:val="17"/>
                <w:lang w:val="en-GB"/>
              </w:rPr>
              <w:t>The Committee’s recommendations will increase usage of case conference items, which may impact out-of-pocket costs, and patients may not have control over or be aware of who attends their case conference or what out-of-pocket costs are charged</w:t>
            </w:r>
          </w:p>
        </w:tc>
      </w:tr>
    </w:tbl>
    <w:p w14:paraId="43CC3192" w14:textId="77777777" w:rsidR="00313E1E" w:rsidRPr="00C33C0B" w:rsidRDefault="002355E9" w:rsidP="00972B45">
      <w:pPr>
        <w:pStyle w:val="Heading2"/>
        <w:pageBreakBefore/>
        <w:numPr>
          <w:ilvl w:val="0"/>
          <w:numId w:val="0"/>
        </w:numPr>
        <w:rPr>
          <w:lang w:val="en-GB"/>
        </w:rPr>
      </w:pPr>
      <w:bookmarkStart w:id="296" w:name="_Toc67952295"/>
      <w:r>
        <w:rPr>
          <w:lang w:val="en-GB"/>
        </w:rPr>
        <w:t xml:space="preserve">Table </w:t>
      </w:r>
      <w:r w:rsidR="00C52816">
        <w:rPr>
          <w:lang w:val="en-GB"/>
        </w:rPr>
        <w:t>D</w:t>
      </w:r>
      <w:r w:rsidR="00313E1E">
        <w:rPr>
          <w:lang w:val="en-GB"/>
        </w:rPr>
        <w:t>.5</w:t>
      </w:r>
      <w:r w:rsidR="00313E1E" w:rsidRPr="00C33C0B">
        <w:rPr>
          <w:lang w:val="en-GB"/>
        </w:rPr>
        <w:t>. Group therapy attendance items</w:t>
      </w:r>
      <w:bookmarkEnd w:id="296"/>
    </w:p>
    <w:tbl>
      <w:tblPr>
        <w:tblStyle w:val="GridTable1Light-Accent6"/>
        <w:tblW w:w="0" w:type="auto"/>
        <w:tblLayout w:type="fixed"/>
        <w:tblLook w:val="04A0" w:firstRow="1" w:lastRow="0" w:firstColumn="1" w:lastColumn="0" w:noHBand="0" w:noVBand="1"/>
        <w:tblDescription w:val="Appendix D - Group therapy attendance items summary for consumers. Table D.5 is a 5 column table. Column 1 is the item number. Column 2 describes what the item does. Column 3 is the committee's recommendation. Column 4 describes what would be different about the item. Column 5 describes why it would be different. "/>
      </w:tblPr>
      <w:tblGrid>
        <w:gridCol w:w="704"/>
        <w:gridCol w:w="4253"/>
        <w:gridCol w:w="1559"/>
        <w:gridCol w:w="1331"/>
        <w:gridCol w:w="1362"/>
      </w:tblGrid>
      <w:tr w:rsidR="008A5CDC" w:rsidRPr="00C33C0B" w14:paraId="069A24F5" w14:textId="77777777" w:rsidTr="008A5CDC">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704" w:type="dxa"/>
            <w:hideMark/>
          </w:tcPr>
          <w:p w14:paraId="0B968C3A" w14:textId="77777777" w:rsidR="00313E1E" w:rsidRPr="00C33C0B" w:rsidRDefault="00313E1E" w:rsidP="00313E1E">
            <w:pPr>
              <w:spacing w:before="20" w:after="20"/>
              <w:rPr>
                <w:rFonts w:ascii="Calibri" w:hAnsi="Calibri"/>
                <w:b w:val="0"/>
                <w:color w:val="FFFFFF" w:themeColor="background1"/>
                <w:sz w:val="17"/>
                <w:szCs w:val="17"/>
                <w:lang w:val="en-GB"/>
              </w:rPr>
            </w:pPr>
            <w:r w:rsidRPr="00C33C0B">
              <w:rPr>
                <w:color w:val="FFFFFF" w:themeColor="background1"/>
                <w:sz w:val="17"/>
                <w:szCs w:val="17"/>
                <w:lang w:val="en-GB"/>
              </w:rPr>
              <w:t xml:space="preserve">Item </w:t>
            </w:r>
          </w:p>
        </w:tc>
        <w:tc>
          <w:tcPr>
            <w:tcW w:w="4253" w:type="dxa"/>
            <w:hideMark/>
          </w:tcPr>
          <w:p w14:paraId="298E4CE9"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17"/>
                <w:szCs w:val="17"/>
                <w:lang w:val="en-GB"/>
              </w:rPr>
            </w:pPr>
            <w:r>
              <w:rPr>
                <w:color w:val="FFFFFF" w:themeColor="background1"/>
                <w:sz w:val="17"/>
                <w:szCs w:val="17"/>
                <w:lang w:val="en-GB"/>
              </w:rPr>
              <w:t>What it does</w:t>
            </w:r>
          </w:p>
        </w:tc>
        <w:tc>
          <w:tcPr>
            <w:tcW w:w="1559" w:type="dxa"/>
            <w:hideMark/>
          </w:tcPr>
          <w:p w14:paraId="53295731"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17"/>
                <w:szCs w:val="17"/>
                <w:lang w:val="en-GB"/>
              </w:rPr>
            </w:pPr>
            <w:r>
              <w:rPr>
                <w:color w:val="FFFFFF" w:themeColor="background1"/>
                <w:sz w:val="17"/>
                <w:szCs w:val="17"/>
                <w:lang w:val="en-GB"/>
              </w:rPr>
              <w:t>Committee recommendation</w:t>
            </w:r>
          </w:p>
        </w:tc>
        <w:tc>
          <w:tcPr>
            <w:tcW w:w="1331" w:type="dxa"/>
            <w:hideMark/>
          </w:tcPr>
          <w:p w14:paraId="7402D6C1"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17"/>
                <w:szCs w:val="17"/>
                <w:lang w:val="en-GB"/>
              </w:rPr>
            </w:pPr>
            <w:r>
              <w:rPr>
                <w:color w:val="FFFFFF" w:themeColor="background1"/>
                <w:sz w:val="17"/>
                <w:szCs w:val="17"/>
                <w:lang w:val="en-GB"/>
              </w:rPr>
              <w:t>What would be different</w:t>
            </w:r>
          </w:p>
        </w:tc>
        <w:tc>
          <w:tcPr>
            <w:tcW w:w="1362" w:type="dxa"/>
            <w:hideMark/>
          </w:tcPr>
          <w:p w14:paraId="2BF58FCB"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17"/>
                <w:szCs w:val="17"/>
                <w:lang w:val="en-GB"/>
              </w:rPr>
            </w:pPr>
            <w:r>
              <w:rPr>
                <w:color w:val="FFFFFF" w:themeColor="background1"/>
                <w:sz w:val="17"/>
                <w:szCs w:val="17"/>
                <w:lang w:val="en-GB"/>
              </w:rPr>
              <w:t>Why</w:t>
            </w:r>
          </w:p>
        </w:tc>
      </w:tr>
      <w:tr w:rsidR="008A5CDC" w:rsidRPr="00C33C0B" w14:paraId="158DC66E" w14:textId="77777777" w:rsidTr="008A5CDC">
        <w:trPr>
          <w:trHeight w:val="303"/>
        </w:trPr>
        <w:tc>
          <w:tcPr>
            <w:cnfStyle w:val="001000000000" w:firstRow="0" w:lastRow="0" w:firstColumn="1" w:lastColumn="0" w:oddVBand="0" w:evenVBand="0" w:oddHBand="0" w:evenHBand="0" w:firstRowFirstColumn="0" w:firstRowLastColumn="0" w:lastRowFirstColumn="0" w:lastRowLastColumn="0"/>
            <w:tcW w:w="704" w:type="dxa"/>
            <w:noWrap/>
            <w:hideMark/>
          </w:tcPr>
          <w:p w14:paraId="6288860C"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170</w:t>
            </w:r>
          </w:p>
        </w:tc>
        <w:tc>
          <w:tcPr>
            <w:tcW w:w="4253" w:type="dxa"/>
            <w:noWrap/>
            <w:hideMark/>
          </w:tcPr>
          <w:p w14:paraId="2A8B594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C33C0B">
              <w:rPr>
                <w:rFonts w:ascii="Calibri" w:hAnsi="Calibri"/>
                <w:color w:val="000000"/>
                <w:sz w:val="17"/>
                <w:szCs w:val="17"/>
                <w:lang w:val="en-GB"/>
              </w:rPr>
              <w:t>Professional attendance for the purpose of group therapy of not less than 1 hour in duration given under the direct continuous supervision of a medical practitioner (other than a consultant physician in the practice of his or her specialty of psychiatry) involving members of a family and persons with close personal relationships with that family--each group of 2 patients</w:t>
            </w:r>
          </w:p>
        </w:tc>
        <w:tc>
          <w:tcPr>
            <w:tcW w:w="1559" w:type="dxa"/>
            <w:noWrap/>
          </w:tcPr>
          <w:p w14:paraId="3EED716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No change</w:t>
            </w:r>
          </w:p>
        </w:tc>
        <w:tc>
          <w:tcPr>
            <w:tcW w:w="1331" w:type="dxa"/>
            <w:noWrap/>
          </w:tcPr>
          <w:p w14:paraId="3624707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w:t>
            </w:r>
          </w:p>
        </w:tc>
        <w:tc>
          <w:tcPr>
            <w:tcW w:w="1362" w:type="dxa"/>
            <w:noWrap/>
          </w:tcPr>
          <w:p w14:paraId="2EFC0663"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w:t>
            </w:r>
          </w:p>
        </w:tc>
      </w:tr>
      <w:tr w:rsidR="008A5CDC" w:rsidRPr="00C33C0B" w14:paraId="70ED315F" w14:textId="77777777" w:rsidTr="008A5CDC">
        <w:trPr>
          <w:trHeight w:val="303"/>
        </w:trPr>
        <w:tc>
          <w:tcPr>
            <w:cnfStyle w:val="001000000000" w:firstRow="0" w:lastRow="0" w:firstColumn="1" w:lastColumn="0" w:oddVBand="0" w:evenVBand="0" w:oddHBand="0" w:evenHBand="0" w:firstRowFirstColumn="0" w:firstRowLastColumn="0" w:lastRowFirstColumn="0" w:lastRowLastColumn="0"/>
            <w:tcW w:w="704" w:type="dxa"/>
            <w:noWrap/>
            <w:hideMark/>
          </w:tcPr>
          <w:p w14:paraId="7B0221DB"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171</w:t>
            </w:r>
          </w:p>
        </w:tc>
        <w:tc>
          <w:tcPr>
            <w:tcW w:w="4253" w:type="dxa"/>
            <w:noWrap/>
            <w:hideMark/>
          </w:tcPr>
          <w:p w14:paraId="1BD9BBBB"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C33C0B">
              <w:rPr>
                <w:rFonts w:ascii="Calibri" w:hAnsi="Calibri"/>
                <w:color w:val="000000"/>
                <w:sz w:val="17"/>
                <w:szCs w:val="17"/>
                <w:lang w:val="en-GB"/>
              </w:rPr>
              <w:t>Professional attendance for the purpose of group therapy of not less than 1 hour in duration given under the direct continuous supervision of a medical practitioner (other than a consultant physician in the practice of his or her specialty of psychiatry) involving members of a family and persons with close personal relationships with that family--each group of 3 patients</w:t>
            </w:r>
          </w:p>
        </w:tc>
        <w:tc>
          <w:tcPr>
            <w:tcW w:w="1559" w:type="dxa"/>
            <w:noWrap/>
          </w:tcPr>
          <w:p w14:paraId="0B03C17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No change</w:t>
            </w:r>
          </w:p>
        </w:tc>
        <w:tc>
          <w:tcPr>
            <w:tcW w:w="1331" w:type="dxa"/>
            <w:noWrap/>
          </w:tcPr>
          <w:p w14:paraId="2A20AAA0"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w:t>
            </w:r>
          </w:p>
        </w:tc>
        <w:tc>
          <w:tcPr>
            <w:tcW w:w="1362" w:type="dxa"/>
            <w:noWrap/>
          </w:tcPr>
          <w:p w14:paraId="423E73CC"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w:t>
            </w:r>
          </w:p>
        </w:tc>
      </w:tr>
      <w:tr w:rsidR="008A5CDC" w:rsidRPr="00C33C0B" w14:paraId="769165F8" w14:textId="77777777" w:rsidTr="008A5CDC">
        <w:trPr>
          <w:trHeight w:val="303"/>
        </w:trPr>
        <w:tc>
          <w:tcPr>
            <w:cnfStyle w:val="001000000000" w:firstRow="0" w:lastRow="0" w:firstColumn="1" w:lastColumn="0" w:oddVBand="0" w:evenVBand="0" w:oddHBand="0" w:evenHBand="0" w:firstRowFirstColumn="0" w:firstRowLastColumn="0" w:lastRowFirstColumn="0" w:lastRowLastColumn="0"/>
            <w:tcW w:w="704" w:type="dxa"/>
            <w:noWrap/>
            <w:hideMark/>
          </w:tcPr>
          <w:p w14:paraId="568C08AA"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172</w:t>
            </w:r>
          </w:p>
        </w:tc>
        <w:tc>
          <w:tcPr>
            <w:tcW w:w="4253" w:type="dxa"/>
            <w:noWrap/>
            <w:hideMark/>
          </w:tcPr>
          <w:p w14:paraId="55354509"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C33C0B">
              <w:rPr>
                <w:rFonts w:ascii="Calibri" w:hAnsi="Calibri"/>
                <w:color w:val="000000"/>
                <w:sz w:val="17"/>
                <w:szCs w:val="17"/>
                <w:lang w:val="en-GB"/>
              </w:rPr>
              <w:t>Professional attendance for the purpose of group therapy of not less than 1 hour in duration given under the direct continuous supervision of a medical practitioner (other than a consultant physician in the practice of his or her specialty of psychiatry) involving members of a family and persons with close personal relationships with that family--each group of 4 or more patients</w:t>
            </w:r>
          </w:p>
        </w:tc>
        <w:tc>
          <w:tcPr>
            <w:tcW w:w="1559" w:type="dxa"/>
            <w:noWrap/>
          </w:tcPr>
          <w:p w14:paraId="77A65DF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No change</w:t>
            </w:r>
          </w:p>
        </w:tc>
        <w:tc>
          <w:tcPr>
            <w:tcW w:w="1331" w:type="dxa"/>
            <w:noWrap/>
          </w:tcPr>
          <w:p w14:paraId="446F6B3A"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w:t>
            </w:r>
          </w:p>
        </w:tc>
        <w:tc>
          <w:tcPr>
            <w:tcW w:w="1362" w:type="dxa"/>
            <w:noWrap/>
          </w:tcPr>
          <w:p w14:paraId="0171673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w:t>
            </w:r>
          </w:p>
        </w:tc>
      </w:tr>
      <w:tr w:rsidR="008A5CDC" w:rsidRPr="00C33C0B" w14:paraId="329AD97C" w14:textId="77777777" w:rsidTr="008A5CDC">
        <w:trPr>
          <w:trHeight w:val="303"/>
        </w:trPr>
        <w:tc>
          <w:tcPr>
            <w:cnfStyle w:val="001000000000" w:firstRow="0" w:lastRow="0" w:firstColumn="1" w:lastColumn="0" w:oddVBand="0" w:evenVBand="0" w:oddHBand="0" w:evenHBand="0" w:firstRowFirstColumn="0" w:firstRowLastColumn="0" w:lastRowFirstColumn="0" w:lastRowLastColumn="0"/>
            <w:tcW w:w="704" w:type="dxa"/>
            <w:noWrap/>
          </w:tcPr>
          <w:p w14:paraId="4301D5C1"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6028</w:t>
            </w:r>
          </w:p>
        </w:tc>
        <w:tc>
          <w:tcPr>
            <w:tcW w:w="4253" w:type="dxa"/>
            <w:noWrap/>
          </w:tcPr>
          <w:p w14:paraId="38721977"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sidRPr="00C33C0B">
              <w:rPr>
                <w:rFonts w:ascii="Calibri" w:hAnsi="Calibri"/>
                <w:color w:val="000000"/>
                <w:sz w:val="17"/>
                <w:szCs w:val="17"/>
                <w:lang w:val="en-GB"/>
              </w:rPr>
              <w:t>Group therapy (including any associated consultation with a patient taking place on the same occasion and relating to the condition for which group therapy is conducted) of not less than 1 hour, given under the continuous direct supervision of an addiction medicine specialist in the practice of his or her specialty for a group of 2 to 9 unrelated patients, or a family group of more than 2 patients, each of whom is referred to the addiction medicine specialist by a referring practitioner--for each patient</w:t>
            </w:r>
          </w:p>
        </w:tc>
        <w:tc>
          <w:tcPr>
            <w:tcW w:w="1559" w:type="dxa"/>
            <w:noWrap/>
          </w:tcPr>
          <w:p w14:paraId="0C47C798"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No change</w:t>
            </w:r>
          </w:p>
        </w:tc>
        <w:tc>
          <w:tcPr>
            <w:tcW w:w="1331" w:type="dxa"/>
            <w:noWrap/>
          </w:tcPr>
          <w:p w14:paraId="38C0D222"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w:t>
            </w:r>
          </w:p>
        </w:tc>
        <w:tc>
          <w:tcPr>
            <w:tcW w:w="1362" w:type="dxa"/>
            <w:noWrap/>
          </w:tcPr>
          <w:p w14:paraId="584A39D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w:t>
            </w:r>
          </w:p>
        </w:tc>
      </w:tr>
    </w:tbl>
    <w:p w14:paraId="10CBFA46" w14:textId="77777777" w:rsidR="00313E1E" w:rsidRPr="00C33C0B" w:rsidRDefault="002355E9" w:rsidP="008A5CDC">
      <w:pPr>
        <w:pStyle w:val="Heading2"/>
        <w:numPr>
          <w:ilvl w:val="0"/>
          <w:numId w:val="0"/>
        </w:numPr>
        <w:ind w:right="90"/>
        <w:rPr>
          <w:lang w:val="en-GB"/>
        </w:rPr>
      </w:pPr>
      <w:bookmarkStart w:id="297" w:name="_Toc67952296"/>
      <w:r>
        <w:rPr>
          <w:lang w:val="en-GB"/>
        </w:rPr>
        <w:t xml:space="preserve">Table </w:t>
      </w:r>
      <w:r w:rsidR="00C52816">
        <w:rPr>
          <w:lang w:val="en-GB"/>
        </w:rPr>
        <w:t>D</w:t>
      </w:r>
      <w:r w:rsidR="00313E1E">
        <w:rPr>
          <w:lang w:val="en-GB"/>
        </w:rPr>
        <w:t>.6</w:t>
      </w:r>
      <w:r w:rsidR="00313E1E" w:rsidRPr="00C33C0B">
        <w:rPr>
          <w:lang w:val="en-GB"/>
        </w:rPr>
        <w:t xml:space="preserve">. </w:t>
      </w:r>
      <w:r w:rsidR="00313E1E">
        <w:rPr>
          <w:lang w:val="en-GB"/>
        </w:rPr>
        <w:t>Other Recommendations</w:t>
      </w:r>
      <w:bookmarkEnd w:id="297"/>
    </w:p>
    <w:tbl>
      <w:tblPr>
        <w:tblStyle w:val="GridTable1Light-Accent6"/>
        <w:tblW w:w="0" w:type="auto"/>
        <w:tblLayout w:type="fixed"/>
        <w:tblLook w:val="04A0" w:firstRow="1" w:lastRow="0" w:firstColumn="1" w:lastColumn="0" w:noHBand="0" w:noVBand="1"/>
        <w:tblDescription w:val="Appendix D - Other recommendations summary for consumers. Table D.6 is a 5 column table. Column 1 is the item number. Column 2 describes what the item does. Column 3 is the committee's recommendation. Column 4 describes what would be different about the item. Column 5 describes why it would be different. "/>
      </w:tblPr>
      <w:tblGrid>
        <w:gridCol w:w="562"/>
        <w:gridCol w:w="1134"/>
        <w:gridCol w:w="3854"/>
        <w:gridCol w:w="1831"/>
        <w:gridCol w:w="1869"/>
      </w:tblGrid>
      <w:tr w:rsidR="008A5CDC" w:rsidRPr="00C33C0B" w14:paraId="72C41082" w14:textId="77777777" w:rsidTr="008A5CDC">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000" w:firstRow="0" w:lastRow="0" w:firstColumn="1" w:lastColumn="0" w:oddVBand="0" w:evenVBand="0" w:oddHBand="0" w:evenHBand="0" w:firstRowFirstColumn="0" w:firstRowLastColumn="0" w:lastRowFirstColumn="0" w:lastRowLastColumn="0"/>
            <w:tcW w:w="562" w:type="dxa"/>
            <w:hideMark/>
          </w:tcPr>
          <w:p w14:paraId="7C4D1556" w14:textId="77777777" w:rsidR="00313E1E" w:rsidRPr="00C33C0B" w:rsidRDefault="00313E1E" w:rsidP="00313E1E">
            <w:pPr>
              <w:spacing w:before="20" w:after="20"/>
              <w:rPr>
                <w:rFonts w:ascii="Calibri" w:hAnsi="Calibri"/>
                <w:b w:val="0"/>
                <w:color w:val="FFFFFF" w:themeColor="background1"/>
                <w:sz w:val="17"/>
                <w:szCs w:val="17"/>
                <w:lang w:val="en-GB"/>
              </w:rPr>
            </w:pPr>
            <w:r w:rsidRPr="00C33C0B">
              <w:rPr>
                <w:color w:val="FFFFFF" w:themeColor="background1"/>
                <w:sz w:val="17"/>
                <w:szCs w:val="17"/>
                <w:lang w:val="en-GB"/>
              </w:rPr>
              <w:t xml:space="preserve">Item </w:t>
            </w:r>
          </w:p>
        </w:tc>
        <w:tc>
          <w:tcPr>
            <w:tcW w:w="1134" w:type="dxa"/>
            <w:hideMark/>
          </w:tcPr>
          <w:p w14:paraId="34387024"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17"/>
                <w:szCs w:val="17"/>
                <w:lang w:val="en-GB"/>
              </w:rPr>
            </w:pPr>
            <w:r>
              <w:rPr>
                <w:color w:val="FFFFFF" w:themeColor="background1"/>
                <w:sz w:val="17"/>
                <w:szCs w:val="17"/>
                <w:lang w:val="en-GB"/>
              </w:rPr>
              <w:t>What it does</w:t>
            </w:r>
          </w:p>
        </w:tc>
        <w:tc>
          <w:tcPr>
            <w:tcW w:w="3854" w:type="dxa"/>
            <w:hideMark/>
          </w:tcPr>
          <w:p w14:paraId="7432DE21"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17"/>
                <w:szCs w:val="17"/>
                <w:lang w:val="en-GB"/>
              </w:rPr>
            </w:pPr>
            <w:r>
              <w:rPr>
                <w:color w:val="FFFFFF" w:themeColor="background1"/>
                <w:sz w:val="17"/>
                <w:szCs w:val="17"/>
                <w:lang w:val="en-GB"/>
              </w:rPr>
              <w:t>Committee recommendation</w:t>
            </w:r>
          </w:p>
        </w:tc>
        <w:tc>
          <w:tcPr>
            <w:tcW w:w="1831" w:type="dxa"/>
            <w:hideMark/>
          </w:tcPr>
          <w:p w14:paraId="5E809C03"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17"/>
                <w:szCs w:val="17"/>
                <w:lang w:val="en-GB"/>
              </w:rPr>
            </w:pPr>
            <w:r>
              <w:rPr>
                <w:color w:val="FFFFFF" w:themeColor="background1"/>
                <w:sz w:val="17"/>
                <w:szCs w:val="17"/>
                <w:lang w:val="en-GB"/>
              </w:rPr>
              <w:t>What would be different</w:t>
            </w:r>
          </w:p>
        </w:tc>
        <w:tc>
          <w:tcPr>
            <w:tcW w:w="1869" w:type="dxa"/>
            <w:hideMark/>
          </w:tcPr>
          <w:p w14:paraId="06EDFB08" w14:textId="77777777" w:rsidR="00313E1E" w:rsidRPr="00C33C0B" w:rsidRDefault="00313E1E" w:rsidP="00313E1E">
            <w:pPr>
              <w:spacing w:before="20" w:after="20"/>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17"/>
                <w:szCs w:val="17"/>
                <w:lang w:val="en-GB"/>
              </w:rPr>
            </w:pPr>
            <w:r>
              <w:rPr>
                <w:color w:val="FFFFFF" w:themeColor="background1"/>
                <w:sz w:val="17"/>
                <w:szCs w:val="17"/>
                <w:lang w:val="en-GB"/>
              </w:rPr>
              <w:t>Why</w:t>
            </w:r>
          </w:p>
        </w:tc>
      </w:tr>
      <w:tr w:rsidR="008A5CDC" w:rsidRPr="00C33C0B" w14:paraId="2C9ECC26" w14:textId="77777777" w:rsidTr="008A5CDC">
        <w:trPr>
          <w:trHeight w:val="303"/>
        </w:trPr>
        <w:tc>
          <w:tcPr>
            <w:cnfStyle w:val="001000000000" w:firstRow="0" w:lastRow="0" w:firstColumn="1" w:lastColumn="0" w:oddVBand="0" w:evenVBand="0" w:oddHBand="0" w:evenHBand="0" w:firstRowFirstColumn="0" w:firstRowLastColumn="0" w:lastRowFirstColumn="0" w:lastRowLastColumn="0"/>
            <w:tcW w:w="562" w:type="dxa"/>
            <w:noWrap/>
            <w:hideMark/>
          </w:tcPr>
          <w:p w14:paraId="66BA4AAD" w14:textId="26BD3381"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w:t>
            </w:r>
            <w:r w:rsidR="004324A2">
              <w:rPr>
                <w:rFonts w:ascii="Calibri" w:hAnsi="Calibri"/>
                <w:color w:val="000000"/>
                <w:sz w:val="17"/>
                <w:szCs w:val="17"/>
                <w:lang w:val="en-GB"/>
              </w:rPr>
              <w:t>4</w:t>
            </w:r>
          </w:p>
        </w:tc>
        <w:tc>
          <w:tcPr>
            <w:tcW w:w="1134" w:type="dxa"/>
            <w:noWrap/>
            <w:hideMark/>
          </w:tcPr>
          <w:p w14:paraId="13CFCE01"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Establish a minimum data set to inform evidence-based clinical practice and inform patient choice</w:t>
            </w:r>
          </w:p>
        </w:tc>
        <w:tc>
          <w:tcPr>
            <w:tcW w:w="3854" w:type="dxa"/>
            <w:noWrap/>
          </w:tcPr>
          <w:p w14:paraId="261EB935"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Step-wise approach to establishing a minimum data set for the purposes of comparison</w:t>
            </w:r>
          </w:p>
        </w:tc>
        <w:tc>
          <w:tcPr>
            <w:tcW w:w="1831" w:type="dxa"/>
            <w:noWrap/>
          </w:tcPr>
          <w:p w14:paraId="03B3EC9E"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There would be a consistent minimum data set which can be used to inform evidence-based care and patient choice</w:t>
            </w:r>
          </w:p>
        </w:tc>
        <w:tc>
          <w:tcPr>
            <w:tcW w:w="1869" w:type="dxa"/>
            <w:noWrap/>
          </w:tcPr>
          <w:p w14:paraId="28890C04" w14:textId="77777777" w:rsidR="00313E1E" w:rsidRPr="00C33C0B"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To inform evidence-based care and patient choice</w:t>
            </w:r>
          </w:p>
        </w:tc>
      </w:tr>
      <w:tr w:rsidR="008A5CDC" w:rsidRPr="00C33C0B" w14:paraId="5451B015" w14:textId="77777777" w:rsidTr="008A5CDC">
        <w:trPr>
          <w:trHeight w:val="3216"/>
        </w:trPr>
        <w:tc>
          <w:tcPr>
            <w:cnfStyle w:val="001000000000" w:firstRow="0" w:lastRow="0" w:firstColumn="1" w:lastColumn="0" w:oddVBand="0" w:evenVBand="0" w:oddHBand="0" w:evenHBand="0" w:firstRowFirstColumn="0" w:firstRowLastColumn="0" w:lastRowFirstColumn="0" w:lastRowLastColumn="0"/>
            <w:tcW w:w="562" w:type="dxa"/>
            <w:noWrap/>
          </w:tcPr>
          <w:p w14:paraId="630A8759" w14:textId="29BD4FC6"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w:t>
            </w:r>
            <w:r w:rsidR="004324A2">
              <w:rPr>
                <w:rFonts w:ascii="Calibri" w:hAnsi="Calibri"/>
                <w:color w:val="000000"/>
                <w:sz w:val="17"/>
                <w:szCs w:val="17"/>
                <w:lang w:val="en-GB"/>
              </w:rPr>
              <w:t>5</w:t>
            </w:r>
          </w:p>
        </w:tc>
        <w:tc>
          <w:tcPr>
            <w:tcW w:w="1134" w:type="dxa"/>
            <w:noWrap/>
          </w:tcPr>
          <w:p w14:paraId="25F74E5B"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Provide transparency on the cost and quality of consultant specialist services</w:t>
            </w:r>
          </w:p>
        </w:tc>
        <w:tc>
          <w:tcPr>
            <w:tcW w:w="3854" w:type="dxa"/>
            <w:noWrap/>
          </w:tcPr>
          <w:p w14:paraId="1B85B78D" w14:textId="243D2F94"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MBS cost data, including data on out-of-pocket fees</w:t>
            </w:r>
            <w:r w:rsidR="00360198">
              <w:rPr>
                <w:rFonts w:ascii="Calibri" w:hAnsi="Calibri"/>
                <w:color w:val="000000"/>
                <w:sz w:val="17"/>
                <w:szCs w:val="17"/>
                <w:lang w:val="en-GB"/>
              </w:rPr>
              <w:t xml:space="preserve"> should be shared at an institutional and individual provider level</w:t>
            </w:r>
            <w:r>
              <w:rPr>
                <w:rFonts w:ascii="Calibri" w:hAnsi="Calibri"/>
                <w:color w:val="000000"/>
                <w:sz w:val="17"/>
                <w:szCs w:val="17"/>
                <w:lang w:val="en-GB"/>
              </w:rPr>
              <w:t xml:space="preserve">, </w:t>
            </w:r>
            <w:r w:rsidR="00360198">
              <w:rPr>
                <w:rFonts w:ascii="Calibri" w:hAnsi="Calibri"/>
                <w:color w:val="000000"/>
                <w:sz w:val="17"/>
                <w:szCs w:val="17"/>
                <w:lang w:val="en-GB"/>
              </w:rPr>
              <w:t>and</w:t>
            </w:r>
            <w:r>
              <w:rPr>
                <w:rFonts w:ascii="Calibri" w:hAnsi="Calibri"/>
                <w:color w:val="000000"/>
                <w:sz w:val="17"/>
                <w:szCs w:val="17"/>
                <w:lang w:val="en-GB"/>
              </w:rPr>
              <w:t xml:space="preserve"> consultant-specialist risk-weighted outcome data should be shared at an institutional</w:t>
            </w:r>
            <w:r w:rsidR="00360198">
              <w:rPr>
                <w:rFonts w:ascii="Calibri" w:hAnsi="Calibri"/>
                <w:color w:val="000000"/>
                <w:sz w:val="17"/>
                <w:szCs w:val="17"/>
                <w:lang w:val="en-GB"/>
              </w:rPr>
              <w:t xml:space="preserve">, disease-specific </w:t>
            </w:r>
            <w:r>
              <w:rPr>
                <w:rFonts w:ascii="Calibri" w:hAnsi="Calibri"/>
                <w:color w:val="000000"/>
                <w:sz w:val="17"/>
                <w:szCs w:val="17"/>
                <w:lang w:val="en-GB"/>
              </w:rPr>
              <w:t>level; Cost and outcome data should be shared with the patient through their GP at the time of referral; and the presentation of this data should be co-designed with consumers.</w:t>
            </w:r>
          </w:p>
        </w:tc>
        <w:tc>
          <w:tcPr>
            <w:tcW w:w="1831" w:type="dxa"/>
            <w:noWrap/>
          </w:tcPr>
          <w:p w14:paraId="73DF626D"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Patients would be better informed about the cost and quality of consultant specialist services, and data would exist to support value-based health care</w:t>
            </w:r>
          </w:p>
        </w:tc>
        <w:tc>
          <w:tcPr>
            <w:tcW w:w="1869" w:type="dxa"/>
            <w:noWrap/>
          </w:tcPr>
          <w:p w14:paraId="5BCFF75E"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To provide patients with transparency on cost and outcomes when choosing an institution or consultant specialist, and to support value-based health care</w:t>
            </w:r>
          </w:p>
        </w:tc>
      </w:tr>
      <w:tr w:rsidR="008A5CDC" w:rsidRPr="00C33C0B" w14:paraId="65B13553" w14:textId="77777777" w:rsidTr="008A5CDC">
        <w:trPr>
          <w:trHeight w:val="303"/>
        </w:trPr>
        <w:tc>
          <w:tcPr>
            <w:cnfStyle w:val="001000000000" w:firstRow="0" w:lastRow="0" w:firstColumn="1" w:lastColumn="0" w:oddVBand="0" w:evenVBand="0" w:oddHBand="0" w:evenHBand="0" w:firstRowFirstColumn="0" w:firstRowLastColumn="0" w:lastRowFirstColumn="0" w:lastRowLastColumn="0"/>
            <w:tcW w:w="562" w:type="dxa"/>
            <w:noWrap/>
          </w:tcPr>
          <w:p w14:paraId="5CDCF4C9" w14:textId="62D677DC"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w:t>
            </w:r>
            <w:r w:rsidR="004324A2">
              <w:rPr>
                <w:rFonts w:ascii="Calibri" w:hAnsi="Calibri"/>
                <w:color w:val="000000"/>
                <w:sz w:val="17"/>
                <w:szCs w:val="17"/>
                <w:lang w:val="en-GB"/>
              </w:rPr>
              <w:t>6</w:t>
            </w:r>
          </w:p>
        </w:tc>
        <w:tc>
          <w:tcPr>
            <w:tcW w:w="1134" w:type="dxa"/>
            <w:noWrap/>
          </w:tcPr>
          <w:p w14:paraId="23A7B716"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Improve informed patient consent and shared decision-making processes</w:t>
            </w:r>
          </w:p>
        </w:tc>
        <w:tc>
          <w:tcPr>
            <w:tcW w:w="3854" w:type="dxa"/>
            <w:noWrap/>
          </w:tcPr>
          <w:p w14:paraId="74278854"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 xml:space="preserve">Change descriptors where multiple treatment options available to include requirements around discussion of options and information on risks and benefits; improve provider education on patient consent; and improve the consent process by including additional information in provider education materials </w:t>
            </w:r>
          </w:p>
        </w:tc>
        <w:tc>
          <w:tcPr>
            <w:tcW w:w="1831" w:type="dxa"/>
            <w:noWrap/>
          </w:tcPr>
          <w:p w14:paraId="2BA5E758"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There would be more emphasis on shared decision-making and informed patient consent</w:t>
            </w:r>
          </w:p>
        </w:tc>
        <w:tc>
          <w:tcPr>
            <w:tcW w:w="1869" w:type="dxa"/>
            <w:noWrap/>
          </w:tcPr>
          <w:p w14:paraId="16A8D2F1"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To improve patient consent process and encourage shared decision-making during consultant specialist attendances</w:t>
            </w:r>
          </w:p>
        </w:tc>
      </w:tr>
      <w:tr w:rsidR="008A5CDC" w:rsidRPr="00C33C0B" w14:paraId="15044503" w14:textId="77777777" w:rsidTr="008A5CDC">
        <w:trPr>
          <w:trHeight w:val="303"/>
        </w:trPr>
        <w:tc>
          <w:tcPr>
            <w:cnfStyle w:val="001000000000" w:firstRow="0" w:lastRow="0" w:firstColumn="1" w:lastColumn="0" w:oddVBand="0" w:evenVBand="0" w:oddHBand="0" w:evenHBand="0" w:firstRowFirstColumn="0" w:firstRowLastColumn="0" w:lastRowFirstColumn="0" w:lastRowLastColumn="0"/>
            <w:tcW w:w="562" w:type="dxa"/>
            <w:noWrap/>
          </w:tcPr>
          <w:p w14:paraId="6918F644" w14:textId="62E1447B"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w:t>
            </w:r>
            <w:r w:rsidR="004324A2">
              <w:rPr>
                <w:rFonts w:ascii="Calibri" w:hAnsi="Calibri"/>
                <w:color w:val="000000"/>
                <w:sz w:val="17"/>
                <w:szCs w:val="17"/>
                <w:lang w:val="en-GB"/>
              </w:rPr>
              <w:t>7</w:t>
            </w:r>
          </w:p>
        </w:tc>
        <w:tc>
          <w:tcPr>
            <w:tcW w:w="1134" w:type="dxa"/>
            <w:noWrap/>
          </w:tcPr>
          <w:p w14:paraId="7DAC761A"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Incentivise adoption of My Health Record</w:t>
            </w:r>
          </w:p>
        </w:tc>
        <w:tc>
          <w:tcPr>
            <w:tcW w:w="3854" w:type="dxa"/>
            <w:noWrap/>
          </w:tcPr>
          <w:p w14:paraId="5C3BB6C2"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A single incentive payment to consultant specialists should be introduced upon their adoption of My Health Record, triggered by achieving a volume of uploads proportional to the number of attendances a provider performed (to be reviewed after XX period)</w:t>
            </w:r>
          </w:p>
        </w:tc>
        <w:tc>
          <w:tcPr>
            <w:tcW w:w="1831" w:type="dxa"/>
            <w:noWrap/>
          </w:tcPr>
          <w:p w14:paraId="79DF1F4B"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Consultant specialists would have an incentive to use My Health Record for the majority of their patients</w:t>
            </w:r>
          </w:p>
        </w:tc>
        <w:tc>
          <w:tcPr>
            <w:tcW w:w="1869" w:type="dxa"/>
            <w:noWrap/>
          </w:tcPr>
          <w:p w14:paraId="7FC072E2" w14:textId="77777777" w:rsidR="00313E1E" w:rsidRDefault="00313E1E" w:rsidP="00313E1E">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To incentivise use of My Health Record by consultant specialists</w:t>
            </w:r>
          </w:p>
        </w:tc>
      </w:tr>
      <w:tr w:rsidR="008A5CDC" w:rsidRPr="00C33C0B" w14:paraId="0D58B3FA" w14:textId="77777777" w:rsidTr="008A5CDC">
        <w:trPr>
          <w:trHeight w:val="303"/>
        </w:trPr>
        <w:tc>
          <w:tcPr>
            <w:cnfStyle w:val="001000000000" w:firstRow="0" w:lastRow="0" w:firstColumn="1" w:lastColumn="0" w:oddVBand="0" w:evenVBand="0" w:oddHBand="0" w:evenHBand="0" w:firstRowFirstColumn="0" w:firstRowLastColumn="0" w:lastRowFirstColumn="0" w:lastRowLastColumn="0"/>
            <w:tcW w:w="562" w:type="dxa"/>
            <w:noWrap/>
          </w:tcPr>
          <w:p w14:paraId="5FD82FC5" w14:textId="77777777" w:rsidR="004324A2" w:rsidRDefault="004324A2" w:rsidP="004324A2">
            <w:pPr>
              <w:spacing w:before="20" w:after="20"/>
              <w:rPr>
                <w:rFonts w:ascii="Calibri" w:hAnsi="Calibri"/>
                <w:color w:val="000000"/>
                <w:sz w:val="17"/>
                <w:szCs w:val="17"/>
                <w:lang w:val="en-GB"/>
              </w:rPr>
            </w:pPr>
            <w:r>
              <w:rPr>
                <w:rFonts w:ascii="Calibri" w:hAnsi="Calibri"/>
                <w:color w:val="000000"/>
                <w:sz w:val="17"/>
                <w:szCs w:val="17"/>
                <w:lang w:val="en-GB"/>
              </w:rPr>
              <w:t>Recommendation 18</w:t>
            </w:r>
          </w:p>
        </w:tc>
        <w:tc>
          <w:tcPr>
            <w:tcW w:w="1134" w:type="dxa"/>
            <w:noWrap/>
          </w:tcPr>
          <w:p w14:paraId="03AD94CD" w14:textId="464C99F2" w:rsidR="004324A2" w:rsidRDefault="00360198"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 xml:space="preserve">Use </w:t>
            </w:r>
            <w:r w:rsidR="004324A2">
              <w:rPr>
                <w:rFonts w:ascii="Calibri" w:hAnsi="Calibri"/>
                <w:color w:val="000000"/>
                <w:sz w:val="17"/>
                <w:szCs w:val="17"/>
                <w:lang w:val="en-GB"/>
              </w:rPr>
              <w:t>of My Health Record</w:t>
            </w:r>
            <w:r>
              <w:rPr>
                <w:rFonts w:ascii="Calibri" w:hAnsi="Calibri"/>
                <w:color w:val="000000"/>
                <w:sz w:val="17"/>
                <w:szCs w:val="17"/>
                <w:lang w:val="en-GB"/>
              </w:rPr>
              <w:t xml:space="preserve"> for case conference outcomes, geriatric complex plans and paediatric complex plans</w:t>
            </w:r>
          </w:p>
        </w:tc>
        <w:tc>
          <w:tcPr>
            <w:tcW w:w="3854" w:type="dxa"/>
            <w:noWrap/>
          </w:tcPr>
          <w:p w14:paraId="35323618" w14:textId="18B7583C"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The outcomes of case conferences</w:t>
            </w:r>
            <w:r w:rsidR="00360198">
              <w:rPr>
                <w:rFonts w:ascii="Calibri" w:hAnsi="Calibri"/>
                <w:color w:val="000000"/>
                <w:sz w:val="17"/>
                <w:szCs w:val="17"/>
                <w:lang w:val="en-GB"/>
              </w:rPr>
              <w:t>, as well as geriatric and paediatric complex plans,</w:t>
            </w:r>
            <w:r>
              <w:rPr>
                <w:rFonts w:ascii="Calibri" w:hAnsi="Calibri"/>
                <w:color w:val="000000"/>
                <w:sz w:val="17"/>
                <w:szCs w:val="17"/>
                <w:lang w:val="en-GB"/>
              </w:rPr>
              <w:t xml:space="preserve"> should be uploaded to My Health Record</w:t>
            </w:r>
          </w:p>
        </w:tc>
        <w:tc>
          <w:tcPr>
            <w:tcW w:w="1831" w:type="dxa"/>
            <w:noWrap/>
          </w:tcPr>
          <w:p w14:paraId="62520458" w14:textId="6136648F"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Case conference outcomes</w:t>
            </w:r>
            <w:r w:rsidR="00360198">
              <w:rPr>
                <w:rFonts w:ascii="Calibri" w:hAnsi="Calibri"/>
                <w:color w:val="000000"/>
                <w:sz w:val="17"/>
                <w:szCs w:val="17"/>
                <w:lang w:val="en-GB"/>
              </w:rPr>
              <w:t>, and geriatric and paediatric complex plans,</w:t>
            </w:r>
            <w:r>
              <w:rPr>
                <w:rFonts w:ascii="Calibri" w:hAnsi="Calibri"/>
                <w:color w:val="000000"/>
                <w:sz w:val="17"/>
                <w:szCs w:val="17"/>
                <w:lang w:val="en-GB"/>
              </w:rPr>
              <w:t xml:space="preserve"> would be uploaded to My Health Record</w:t>
            </w:r>
          </w:p>
        </w:tc>
        <w:tc>
          <w:tcPr>
            <w:tcW w:w="1869" w:type="dxa"/>
            <w:noWrap/>
          </w:tcPr>
          <w:p w14:paraId="7F7D84B3" w14:textId="749C64C6"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 xml:space="preserve">To encourage the upload of event summaries </w:t>
            </w:r>
            <w:r w:rsidR="00360198">
              <w:rPr>
                <w:rFonts w:ascii="Calibri" w:hAnsi="Calibri"/>
                <w:color w:val="000000"/>
                <w:sz w:val="17"/>
                <w:szCs w:val="17"/>
                <w:lang w:val="en-GB"/>
              </w:rPr>
              <w:t xml:space="preserve">and plans </w:t>
            </w:r>
            <w:r>
              <w:rPr>
                <w:rFonts w:ascii="Calibri" w:hAnsi="Calibri"/>
                <w:color w:val="000000"/>
                <w:sz w:val="17"/>
                <w:szCs w:val="17"/>
                <w:lang w:val="en-GB"/>
              </w:rPr>
              <w:t>to My Health Record</w:t>
            </w:r>
          </w:p>
        </w:tc>
      </w:tr>
      <w:tr w:rsidR="008A5CDC" w:rsidRPr="00C33C0B" w14:paraId="104654E4" w14:textId="77777777" w:rsidTr="008A5CDC">
        <w:trPr>
          <w:trHeight w:val="303"/>
        </w:trPr>
        <w:tc>
          <w:tcPr>
            <w:cnfStyle w:val="001000000000" w:firstRow="0" w:lastRow="0" w:firstColumn="1" w:lastColumn="0" w:oddVBand="0" w:evenVBand="0" w:oddHBand="0" w:evenHBand="0" w:firstRowFirstColumn="0" w:firstRowLastColumn="0" w:lastRowFirstColumn="0" w:lastRowLastColumn="0"/>
            <w:tcW w:w="562" w:type="dxa"/>
            <w:noWrap/>
          </w:tcPr>
          <w:p w14:paraId="1EFD357F" w14:textId="6EF1F46F" w:rsidR="004324A2" w:rsidRDefault="004324A2">
            <w:pPr>
              <w:spacing w:before="20" w:after="20"/>
              <w:rPr>
                <w:rFonts w:ascii="Calibri" w:hAnsi="Calibri"/>
                <w:color w:val="000000"/>
                <w:sz w:val="17"/>
                <w:szCs w:val="17"/>
                <w:lang w:val="en-GB"/>
              </w:rPr>
            </w:pPr>
            <w:r>
              <w:rPr>
                <w:rFonts w:ascii="Calibri" w:hAnsi="Calibri"/>
                <w:color w:val="000000"/>
                <w:sz w:val="17"/>
                <w:szCs w:val="17"/>
                <w:lang w:val="en-GB"/>
              </w:rPr>
              <w:t>Recommendation 19</w:t>
            </w:r>
          </w:p>
        </w:tc>
        <w:tc>
          <w:tcPr>
            <w:tcW w:w="1134" w:type="dxa"/>
            <w:noWrap/>
          </w:tcPr>
          <w:p w14:paraId="72F9FB09" w14:textId="77777777"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Encourage adoption of My Health Record</w:t>
            </w:r>
          </w:p>
        </w:tc>
        <w:tc>
          <w:tcPr>
            <w:tcW w:w="3854" w:type="dxa"/>
            <w:noWrap/>
          </w:tcPr>
          <w:p w14:paraId="7B20876B" w14:textId="39BD1AD7"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 xml:space="preserve">Improve the functionality of My Health Record and educate consultant specialists on its benefits; enhance the functionality so it becomes a value-add tool for </w:t>
            </w:r>
            <w:r w:rsidR="00360198">
              <w:rPr>
                <w:rFonts w:ascii="Calibri" w:hAnsi="Calibri"/>
                <w:color w:val="000000"/>
                <w:sz w:val="17"/>
                <w:szCs w:val="17"/>
                <w:lang w:val="en-GB"/>
              </w:rPr>
              <w:t xml:space="preserve">consumers and </w:t>
            </w:r>
            <w:r>
              <w:rPr>
                <w:rFonts w:ascii="Calibri" w:hAnsi="Calibri"/>
                <w:color w:val="000000"/>
                <w:sz w:val="17"/>
                <w:szCs w:val="17"/>
                <w:lang w:val="en-GB"/>
              </w:rPr>
              <w:t>clinicians; broaden training for health care providers to include education about using MHR clinically, and work with academic institutions to embed digital health competencies into degrees</w:t>
            </w:r>
          </w:p>
        </w:tc>
        <w:tc>
          <w:tcPr>
            <w:tcW w:w="1831" w:type="dxa"/>
            <w:noWrap/>
          </w:tcPr>
          <w:p w14:paraId="29F81D84" w14:textId="77777777"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 xml:space="preserve">Measures would be in place to ensure clinicians are well equipped to use MHR, and see it as beneficial </w:t>
            </w:r>
          </w:p>
        </w:tc>
        <w:tc>
          <w:tcPr>
            <w:tcW w:w="1869" w:type="dxa"/>
            <w:noWrap/>
          </w:tcPr>
          <w:p w14:paraId="2E911E5B" w14:textId="77777777"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To enhance MHR to improve health outcomes and improve the efficiency of the overall system</w:t>
            </w:r>
          </w:p>
        </w:tc>
      </w:tr>
      <w:tr w:rsidR="008A5CDC" w:rsidRPr="00C33C0B" w14:paraId="3AFBD43B" w14:textId="77777777" w:rsidTr="008A5CDC">
        <w:trPr>
          <w:trHeight w:val="303"/>
        </w:trPr>
        <w:tc>
          <w:tcPr>
            <w:cnfStyle w:val="001000000000" w:firstRow="0" w:lastRow="0" w:firstColumn="1" w:lastColumn="0" w:oddVBand="0" w:evenVBand="0" w:oddHBand="0" w:evenHBand="0" w:firstRowFirstColumn="0" w:firstRowLastColumn="0" w:lastRowFirstColumn="0" w:lastRowLastColumn="0"/>
            <w:tcW w:w="562" w:type="dxa"/>
            <w:noWrap/>
          </w:tcPr>
          <w:p w14:paraId="75335B68" w14:textId="56D7FC8D" w:rsidR="004324A2" w:rsidRDefault="004324A2" w:rsidP="004324A2">
            <w:pPr>
              <w:spacing w:before="20" w:after="20"/>
              <w:rPr>
                <w:rFonts w:ascii="Calibri" w:hAnsi="Calibri"/>
                <w:color w:val="000000"/>
                <w:sz w:val="17"/>
                <w:szCs w:val="17"/>
                <w:lang w:val="en-GB"/>
              </w:rPr>
            </w:pPr>
            <w:r>
              <w:rPr>
                <w:rFonts w:ascii="Calibri" w:hAnsi="Calibri"/>
                <w:color w:val="000000"/>
                <w:sz w:val="17"/>
                <w:szCs w:val="17"/>
                <w:lang w:val="en-GB"/>
              </w:rPr>
              <w:t xml:space="preserve">Recommendation </w:t>
            </w:r>
            <w:r w:rsidR="00F16E1E">
              <w:rPr>
                <w:rFonts w:ascii="Calibri" w:hAnsi="Calibri"/>
                <w:color w:val="000000"/>
                <w:sz w:val="17"/>
                <w:szCs w:val="17"/>
                <w:lang w:val="en-GB"/>
              </w:rPr>
              <w:t>20</w:t>
            </w:r>
          </w:p>
        </w:tc>
        <w:tc>
          <w:tcPr>
            <w:tcW w:w="1134" w:type="dxa"/>
            <w:noWrap/>
          </w:tcPr>
          <w:p w14:paraId="4778B413" w14:textId="77777777" w:rsidR="006C26BB" w:rsidRDefault="001C6C56" w:rsidP="006C6CF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Extend the specialist-to-</w:t>
            </w:r>
            <w:r w:rsidR="006C26BB">
              <w:rPr>
                <w:rFonts w:ascii="Calibri" w:hAnsi="Calibri"/>
                <w:color w:val="000000"/>
                <w:sz w:val="17"/>
                <w:szCs w:val="17"/>
                <w:lang w:val="en-GB"/>
              </w:rPr>
              <w:t xml:space="preserve">specialist referral validity from three months to </w:t>
            </w:r>
            <w:r>
              <w:rPr>
                <w:rFonts w:ascii="Calibri" w:hAnsi="Calibri"/>
                <w:color w:val="000000"/>
                <w:sz w:val="17"/>
                <w:szCs w:val="17"/>
                <w:lang w:val="en-GB"/>
              </w:rPr>
              <w:t xml:space="preserve">six months </w:t>
            </w:r>
          </w:p>
          <w:p w14:paraId="4E46A7E8" w14:textId="2E12F6E7" w:rsidR="004324A2" w:rsidRPr="006D43A0" w:rsidRDefault="001C6C56">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i/>
                <w:color w:val="000000"/>
                <w:sz w:val="17"/>
                <w:szCs w:val="17"/>
                <w:lang w:val="en-GB"/>
              </w:rPr>
            </w:pPr>
            <w:r w:rsidRPr="006D43A0">
              <w:rPr>
                <w:rFonts w:ascii="Calibri" w:hAnsi="Calibri"/>
                <w:i/>
                <w:color w:val="000000"/>
                <w:sz w:val="17"/>
                <w:szCs w:val="17"/>
                <w:lang w:val="en-GB"/>
              </w:rPr>
              <w:t>Note: The Taskfor</w:t>
            </w:r>
            <w:r w:rsidR="006C26BB" w:rsidRPr="006C6CF2">
              <w:rPr>
                <w:rFonts w:ascii="Calibri" w:hAnsi="Calibri"/>
                <w:i/>
                <w:color w:val="000000"/>
                <w:sz w:val="17"/>
                <w:szCs w:val="17"/>
                <w:lang w:val="en-GB"/>
              </w:rPr>
              <w:t xml:space="preserve">ce did not </w:t>
            </w:r>
            <w:r w:rsidR="006D43A0">
              <w:rPr>
                <w:rFonts w:ascii="Calibri" w:hAnsi="Calibri"/>
                <w:i/>
                <w:color w:val="000000"/>
                <w:sz w:val="17"/>
                <w:szCs w:val="17"/>
                <w:lang w:val="en-GB"/>
              </w:rPr>
              <w:t>agree to</w:t>
            </w:r>
            <w:r w:rsidR="006C26BB" w:rsidRPr="006C6CF2">
              <w:rPr>
                <w:rFonts w:ascii="Calibri" w:hAnsi="Calibri"/>
                <w:i/>
                <w:color w:val="000000"/>
                <w:sz w:val="17"/>
                <w:szCs w:val="17"/>
                <w:lang w:val="en-GB"/>
              </w:rPr>
              <w:t xml:space="preserve"> this</w:t>
            </w:r>
            <w:r w:rsidR="006C26BB">
              <w:rPr>
                <w:rFonts w:ascii="Calibri" w:hAnsi="Calibri"/>
                <w:i/>
                <w:color w:val="000000"/>
                <w:sz w:val="17"/>
                <w:szCs w:val="17"/>
                <w:lang w:val="en-GB"/>
              </w:rPr>
              <w:t xml:space="preserve"> recommendation but </w:t>
            </w:r>
            <w:r w:rsidRPr="006D43A0">
              <w:rPr>
                <w:rFonts w:ascii="Calibri" w:hAnsi="Calibri"/>
                <w:i/>
                <w:color w:val="000000"/>
                <w:sz w:val="17"/>
                <w:szCs w:val="17"/>
                <w:lang w:val="en-GB"/>
              </w:rPr>
              <w:t>recommends maintaining the current arrangements to enable regular GP oversight of patient care by consultant specialists.</w:t>
            </w:r>
          </w:p>
        </w:tc>
        <w:tc>
          <w:tcPr>
            <w:tcW w:w="3854" w:type="dxa"/>
            <w:noWrap/>
          </w:tcPr>
          <w:p w14:paraId="07A44454" w14:textId="3C59F33F" w:rsidR="004324A2" w:rsidRDefault="001C6C56">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 xml:space="preserve">Extend </w:t>
            </w:r>
            <w:r w:rsidR="004324A2">
              <w:rPr>
                <w:rFonts w:ascii="Calibri" w:hAnsi="Calibri"/>
                <w:color w:val="000000"/>
                <w:sz w:val="17"/>
                <w:szCs w:val="17"/>
                <w:lang w:val="en-GB"/>
              </w:rPr>
              <w:t xml:space="preserve">the specialist-to-specialist referral validity to </w:t>
            </w:r>
            <w:r>
              <w:rPr>
                <w:rFonts w:ascii="Calibri" w:hAnsi="Calibri"/>
                <w:color w:val="000000"/>
                <w:sz w:val="17"/>
                <w:szCs w:val="17"/>
                <w:lang w:val="en-GB"/>
              </w:rPr>
              <w:t>six months (</w:t>
            </w:r>
            <w:r w:rsidRPr="006D43A0">
              <w:rPr>
                <w:rFonts w:ascii="Calibri" w:hAnsi="Calibri"/>
                <w:i/>
                <w:color w:val="000000"/>
                <w:sz w:val="17"/>
                <w:szCs w:val="17"/>
                <w:lang w:val="en-GB"/>
              </w:rPr>
              <w:t xml:space="preserve">not </w:t>
            </w:r>
            <w:r w:rsidR="006D43A0">
              <w:rPr>
                <w:rFonts w:ascii="Calibri" w:hAnsi="Calibri"/>
                <w:i/>
                <w:color w:val="000000"/>
                <w:sz w:val="17"/>
                <w:szCs w:val="17"/>
                <w:lang w:val="en-GB"/>
              </w:rPr>
              <w:t>agre</w:t>
            </w:r>
            <w:r w:rsidRPr="006D43A0">
              <w:rPr>
                <w:rFonts w:ascii="Calibri" w:hAnsi="Calibri"/>
                <w:i/>
                <w:color w:val="000000"/>
                <w:sz w:val="17"/>
                <w:szCs w:val="17"/>
                <w:lang w:val="en-GB"/>
              </w:rPr>
              <w:t>ed by the Taskforce</w:t>
            </w:r>
            <w:r>
              <w:rPr>
                <w:rFonts w:ascii="Calibri" w:hAnsi="Calibri"/>
                <w:color w:val="000000"/>
                <w:sz w:val="17"/>
                <w:szCs w:val="17"/>
                <w:lang w:val="en-GB"/>
              </w:rPr>
              <w:t>)</w:t>
            </w:r>
          </w:p>
        </w:tc>
        <w:tc>
          <w:tcPr>
            <w:tcW w:w="1831" w:type="dxa"/>
            <w:noWrap/>
          </w:tcPr>
          <w:p w14:paraId="43DE0436" w14:textId="61D5861C" w:rsidR="004324A2" w:rsidRDefault="001C6C56">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Patients</w:t>
            </w:r>
            <w:r w:rsidR="003A246E">
              <w:rPr>
                <w:rFonts w:ascii="Calibri" w:hAnsi="Calibri"/>
                <w:color w:val="000000"/>
                <w:sz w:val="17"/>
                <w:szCs w:val="17"/>
                <w:lang w:val="en-GB"/>
              </w:rPr>
              <w:t xml:space="preserve"> would</w:t>
            </w:r>
            <w:r>
              <w:rPr>
                <w:rFonts w:ascii="Calibri" w:hAnsi="Calibri"/>
                <w:color w:val="000000"/>
                <w:sz w:val="17"/>
                <w:szCs w:val="17"/>
                <w:lang w:val="en-GB"/>
              </w:rPr>
              <w:t xml:space="preserve"> have more time to see the referred practitioner before the referral expires (</w:t>
            </w:r>
            <w:r>
              <w:rPr>
                <w:rFonts w:ascii="Calibri" w:hAnsi="Calibri"/>
                <w:i/>
                <w:color w:val="000000"/>
                <w:sz w:val="17"/>
                <w:szCs w:val="17"/>
                <w:lang w:val="en-GB"/>
              </w:rPr>
              <w:t xml:space="preserve">not </w:t>
            </w:r>
            <w:r w:rsidR="006D43A0">
              <w:rPr>
                <w:rFonts w:ascii="Calibri" w:hAnsi="Calibri"/>
                <w:i/>
                <w:color w:val="000000"/>
                <w:sz w:val="17"/>
                <w:szCs w:val="17"/>
                <w:lang w:val="en-GB"/>
              </w:rPr>
              <w:t>agre</w:t>
            </w:r>
            <w:r>
              <w:rPr>
                <w:rFonts w:ascii="Calibri" w:hAnsi="Calibri"/>
                <w:i/>
                <w:color w:val="000000"/>
                <w:sz w:val="17"/>
                <w:szCs w:val="17"/>
                <w:lang w:val="en-GB"/>
              </w:rPr>
              <w:t>ed</w:t>
            </w:r>
            <w:r>
              <w:rPr>
                <w:rFonts w:ascii="Calibri" w:hAnsi="Calibri"/>
                <w:color w:val="000000"/>
                <w:sz w:val="17"/>
                <w:szCs w:val="17"/>
                <w:lang w:val="en-GB"/>
              </w:rPr>
              <w:t>)</w:t>
            </w:r>
          </w:p>
        </w:tc>
        <w:tc>
          <w:tcPr>
            <w:tcW w:w="1869" w:type="dxa"/>
            <w:noWrap/>
          </w:tcPr>
          <w:p w14:paraId="37546036" w14:textId="77777777"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To strike a balance between patient convenience and GP oversight of patient care</w:t>
            </w:r>
          </w:p>
        </w:tc>
      </w:tr>
      <w:tr w:rsidR="008A5CDC" w:rsidRPr="00C33C0B" w14:paraId="60625276" w14:textId="77777777" w:rsidTr="008A5CDC">
        <w:trPr>
          <w:trHeight w:val="303"/>
        </w:trPr>
        <w:tc>
          <w:tcPr>
            <w:cnfStyle w:val="001000000000" w:firstRow="0" w:lastRow="0" w:firstColumn="1" w:lastColumn="0" w:oddVBand="0" w:evenVBand="0" w:oddHBand="0" w:evenHBand="0" w:firstRowFirstColumn="0" w:firstRowLastColumn="0" w:lastRowFirstColumn="0" w:lastRowLastColumn="0"/>
            <w:tcW w:w="562" w:type="dxa"/>
            <w:noWrap/>
          </w:tcPr>
          <w:p w14:paraId="6A09A263" w14:textId="7D6AC55C" w:rsidR="004324A2" w:rsidRDefault="004324A2" w:rsidP="004324A2">
            <w:pPr>
              <w:spacing w:before="20" w:after="20"/>
              <w:rPr>
                <w:rFonts w:ascii="Calibri" w:hAnsi="Calibri"/>
                <w:color w:val="000000"/>
                <w:sz w:val="17"/>
                <w:szCs w:val="17"/>
                <w:lang w:val="en-GB"/>
              </w:rPr>
            </w:pPr>
            <w:r>
              <w:rPr>
                <w:rFonts w:ascii="Calibri" w:hAnsi="Calibri"/>
                <w:color w:val="000000"/>
                <w:sz w:val="17"/>
                <w:szCs w:val="17"/>
                <w:lang w:val="en-GB"/>
              </w:rPr>
              <w:t xml:space="preserve">Recommendation </w:t>
            </w:r>
            <w:r w:rsidR="00F16E1E">
              <w:rPr>
                <w:rFonts w:ascii="Calibri" w:hAnsi="Calibri"/>
                <w:color w:val="000000"/>
                <w:sz w:val="17"/>
                <w:szCs w:val="17"/>
                <w:lang w:val="en-GB"/>
              </w:rPr>
              <w:t>21</w:t>
            </w:r>
          </w:p>
        </w:tc>
        <w:tc>
          <w:tcPr>
            <w:tcW w:w="1134" w:type="dxa"/>
            <w:noWrap/>
          </w:tcPr>
          <w:p w14:paraId="0EA7B0B2" w14:textId="77777777"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Introduce a new AHP pathway</w:t>
            </w:r>
          </w:p>
        </w:tc>
        <w:tc>
          <w:tcPr>
            <w:tcW w:w="3854" w:type="dxa"/>
            <w:noWrap/>
          </w:tcPr>
          <w:p w14:paraId="52325263" w14:textId="77777777"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Introduce an AHP pathway for consultant specialists under certain circumstances, but only after a full review of the evidence and associated costs</w:t>
            </w:r>
          </w:p>
        </w:tc>
        <w:tc>
          <w:tcPr>
            <w:tcW w:w="1831" w:type="dxa"/>
            <w:noWrap/>
          </w:tcPr>
          <w:p w14:paraId="6F8F82DE" w14:textId="77777777"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There would be consideration of options for an AHP pathway, assessed against the evidence and associated costs</w:t>
            </w:r>
          </w:p>
        </w:tc>
        <w:tc>
          <w:tcPr>
            <w:tcW w:w="1869" w:type="dxa"/>
            <w:noWrap/>
          </w:tcPr>
          <w:p w14:paraId="6F9C75DB" w14:textId="77777777" w:rsidR="004324A2" w:rsidRDefault="004324A2" w:rsidP="004324A2">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olor w:val="000000"/>
                <w:sz w:val="17"/>
                <w:szCs w:val="17"/>
                <w:lang w:val="en-GB"/>
              </w:rPr>
            </w:pPr>
            <w:r>
              <w:rPr>
                <w:rFonts w:ascii="Calibri" w:hAnsi="Calibri"/>
                <w:color w:val="000000"/>
                <w:sz w:val="17"/>
                <w:szCs w:val="17"/>
                <w:lang w:val="en-GB"/>
              </w:rPr>
              <w:t>To recognise the increasing importance of the AHP role in consultant specialist care</w:t>
            </w:r>
          </w:p>
        </w:tc>
      </w:tr>
    </w:tbl>
    <w:p w14:paraId="6F87B749" w14:textId="77777777" w:rsidR="008653F8" w:rsidRDefault="008653F8" w:rsidP="000419D9"/>
    <w:sectPr w:rsidR="008653F8" w:rsidSect="008A5CDC">
      <w:endnotePr>
        <w:numFmt w:val="decimal"/>
      </w:endnotePr>
      <w:pgSz w:w="11906" w:h="16838" w:code="9"/>
      <w:pgMar w:top="1440" w:right="849"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885DB" w14:textId="77777777" w:rsidR="000F4169" w:rsidRDefault="000F4169" w:rsidP="000D1CF6">
      <w:r>
        <w:separator/>
      </w:r>
    </w:p>
    <w:p w14:paraId="37F40936" w14:textId="77777777" w:rsidR="000F4169" w:rsidRDefault="000F4169" w:rsidP="000D1CF6"/>
    <w:p w14:paraId="281230C3" w14:textId="77777777" w:rsidR="000F4169" w:rsidRDefault="000F4169"/>
  </w:endnote>
  <w:endnote w:type="continuationSeparator" w:id="0">
    <w:p w14:paraId="6BB9400B" w14:textId="77777777" w:rsidR="000F4169" w:rsidRDefault="000F4169" w:rsidP="000D1CF6">
      <w:r>
        <w:continuationSeparator/>
      </w:r>
    </w:p>
    <w:p w14:paraId="3CDAE47A" w14:textId="77777777" w:rsidR="000F4169" w:rsidRDefault="000F4169" w:rsidP="000D1CF6"/>
    <w:p w14:paraId="347BE72D" w14:textId="77777777" w:rsidR="000F4169" w:rsidRDefault="000F41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E9C0120-E576-429F-A18B-4257A7B1C0F0}"/>
    <w:embedBold r:id="rId2" w:fontKey="{59D2DD8D-7E86-41F6-82AF-3DB99A5B6D9A}"/>
    <w:embedItalic r:id="rId3" w:fontKey="{0BFDFACD-7D58-4784-A8F0-494DA06FA37D}"/>
    <w:embedBoldItalic r:id="rId4" w:fontKey="{55F8C9EC-89C4-47B2-BDAA-E18B6DEEAB0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6A89B" w14:textId="7B8145E7" w:rsidR="00023621" w:rsidRPr="00602688" w:rsidRDefault="00023621" w:rsidP="00684AA4">
    <w:pPr>
      <w:pStyle w:val="Footer"/>
    </w:pPr>
    <w:r>
      <w:t>R</w:t>
    </w:r>
    <w:r w:rsidRPr="00655CD2">
      <w:t xml:space="preserve">eport from the </w:t>
    </w:r>
    <w:r>
      <w:t xml:space="preserve">Specialist and Consultant Physician Consultation Clinical </w:t>
    </w:r>
    <w:r w:rsidRPr="00684AA4">
      <w:t>Committee</w:t>
    </w:r>
    <w:r w:rsidRPr="00655CD2">
      <w:t xml:space="preserve">, </w:t>
    </w:r>
    <w:r>
      <w:t>2019</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Pr>
        <w:noProof/>
      </w:rPr>
      <w:t>77</w:t>
    </w:r>
    <w:r w:rsidRPr="006026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8F43C" w14:textId="77777777" w:rsidR="000F4169" w:rsidRDefault="000F4169" w:rsidP="000D1CF6">
      <w:r>
        <w:separator/>
      </w:r>
    </w:p>
  </w:footnote>
  <w:footnote w:type="continuationSeparator" w:id="0">
    <w:p w14:paraId="66CE851B" w14:textId="77777777" w:rsidR="000F4169" w:rsidRDefault="000F4169" w:rsidP="000D1CF6">
      <w:r>
        <w:continuationSeparator/>
      </w:r>
    </w:p>
  </w:footnote>
  <w:footnote w:type="continuationNotice" w:id="1">
    <w:p w14:paraId="628C3733" w14:textId="77777777" w:rsidR="000F4169" w:rsidRDefault="000F4169">
      <w:pPr>
        <w:spacing w:before="0" w:after="0"/>
      </w:pPr>
    </w:p>
  </w:footnote>
  <w:footnote w:id="2">
    <w:p w14:paraId="08BCC745" w14:textId="77777777" w:rsidR="00023621" w:rsidRPr="008817E9" w:rsidRDefault="00023621" w:rsidP="00C7339A">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4D355937" w14:textId="77777777" w:rsidR="00023621" w:rsidRPr="008817E9" w:rsidRDefault="00023621" w:rsidP="00C7339A">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4">
    <w:p w14:paraId="12AC60D6" w14:textId="77777777" w:rsidR="00023621" w:rsidRDefault="00023621">
      <w:pPr>
        <w:pStyle w:val="FootnoteText"/>
      </w:pPr>
      <w:r>
        <w:rPr>
          <w:rStyle w:val="FootnoteReference"/>
        </w:rPr>
        <w:footnoteRef/>
      </w:r>
      <w:r>
        <w:t xml:space="preserve"> I</w:t>
      </w:r>
      <w:r w:rsidRPr="00221662">
        <w:t xml:space="preserve">tems </w:t>
      </w:r>
      <w:r>
        <w:t>also exist for c</w:t>
      </w:r>
      <w:r w:rsidRPr="00221662">
        <w:t xml:space="preserve">onsultant </w:t>
      </w:r>
      <w:r>
        <w:t>p</w:t>
      </w:r>
      <w:r w:rsidRPr="00221662">
        <w:t>hysicians to claim “minor” subsequent attendances</w:t>
      </w:r>
      <w:r>
        <w:t xml:space="preserve"> (items </w:t>
      </w:r>
      <w:r w:rsidRPr="00221662">
        <w:t>119 and 131)</w:t>
      </w:r>
      <w:r>
        <w:t>.</w:t>
      </w:r>
    </w:p>
  </w:footnote>
  <w:footnote w:id="5">
    <w:p w14:paraId="2A38D941" w14:textId="77777777" w:rsidR="00023621" w:rsidRDefault="00023621" w:rsidP="0063055E">
      <w:pPr>
        <w:pStyle w:val="FootnoteText"/>
      </w:pPr>
      <w:r>
        <w:rPr>
          <w:rStyle w:val="FootnoteReference"/>
        </w:rPr>
        <w:footnoteRef/>
      </w:r>
      <w:r>
        <w:t xml:space="preserve"> See item level data in Appendix A.2.</w:t>
      </w:r>
    </w:p>
  </w:footnote>
  <w:footnote w:id="6">
    <w:p w14:paraId="61F34B55" w14:textId="77777777" w:rsidR="00023621" w:rsidRDefault="00023621">
      <w:pPr>
        <w:pStyle w:val="FootnoteText"/>
      </w:pPr>
      <w:r>
        <w:rPr>
          <w:rStyle w:val="FootnoteReference"/>
        </w:rPr>
        <w:footnoteRef/>
      </w:r>
      <w:r>
        <w:t xml:space="preserve"> </w:t>
      </w:r>
      <w:r w:rsidRPr="00CE48B3">
        <w:t xml:space="preserve">Medicare </w:t>
      </w:r>
      <w:r>
        <w:t xml:space="preserve">data </w:t>
      </w:r>
      <w:r w:rsidRPr="00CE48B3">
        <w:t>2016-17</w:t>
      </w:r>
    </w:p>
    <w:p w14:paraId="4D9DE8F9" w14:textId="77777777" w:rsidR="00023621" w:rsidRDefault="00023621">
      <w:pPr>
        <w:pStyle w:val="FootnoteText"/>
      </w:pPr>
      <w:r w:rsidRPr="001E18A5">
        <w:rPr>
          <w:rStyle w:val="FootnoteReference"/>
        </w:rPr>
        <w:t>7</w:t>
      </w:r>
      <w:r>
        <w:t xml:space="preserve"> Medicare data 2017-18</w:t>
      </w:r>
    </w:p>
  </w:footnote>
  <w:footnote w:id="7">
    <w:p w14:paraId="3DFF8447" w14:textId="77777777" w:rsidR="00023621" w:rsidRDefault="00023621" w:rsidP="0070614E">
      <w:pPr>
        <w:pStyle w:val="FootnoteText"/>
      </w:pPr>
      <w:r>
        <w:rPr>
          <w:rStyle w:val="FootnoteReference"/>
        </w:rPr>
        <w:footnoteRef/>
      </w:r>
      <w:r>
        <w:t xml:space="preserve"> See item-level data for all telehealth attendances in Appendix - A.3.</w:t>
      </w:r>
    </w:p>
  </w:footnote>
  <w:footnote w:id="8">
    <w:p w14:paraId="0E82803F" w14:textId="77777777" w:rsidR="00023621" w:rsidRDefault="00023621">
      <w:pPr>
        <w:pStyle w:val="FootnoteText"/>
      </w:pPr>
      <w:r>
        <w:rPr>
          <w:rStyle w:val="FootnoteReference"/>
        </w:rPr>
        <w:footnoteRef/>
      </w:r>
      <w:r>
        <w:t xml:space="preserve"> One item each for specialists, consultant physicians, occupational medicine, pain medicine, palliative care, neurosurgery, addiction medicine and sexual health medicine.</w:t>
      </w:r>
    </w:p>
  </w:footnote>
  <w:footnote w:id="9">
    <w:p w14:paraId="3F7EAC4E" w14:textId="77777777" w:rsidR="00023621" w:rsidRDefault="00023621" w:rsidP="00BF4C3B">
      <w:pPr>
        <w:pStyle w:val="FootnoteText"/>
      </w:pPr>
      <w:r>
        <w:rPr>
          <w:rStyle w:val="FootnoteReference"/>
        </w:rPr>
        <w:footnoteRef/>
      </w:r>
      <w:r>
        <w:t xml:space="preserve"> Item numbers listed here indicate a structure for the DHS to follow when assigning item numbers. </w:t>
      </w:r>
    </w:p>
  </w:footnote>
  <w:footnote w:id="10">
    <w:p w14:paraId="79A507BF" w14:textId="77777777" w:rsidR="00023621" w:rsidRDefault="00023621">
      <w:pPr>
        <w:pStyle w:val="FootnoteText"/>
      </w:pPr>
      <w:r>
        <w:rPr>
          <w:rStyle w:val="FootnoteReference"/>
        </w:rPr>
        <w:footnoteRef/>
      </w:r>
      <w:r>
        <w:t xml:space="preserve"> MBS data 2011/12 to 2016/17</w:t>
      </w:r>
    </w:p>
  </w:footnote>
  <w:footnote w:id="11">
    <w:p w14:paraId="4B271B4E" w14:textId="77777777" w:rsidR="00023621" w:rsidRDefault="00023621" w:rsidP="003702F8">
      <w:pPr>
        <w:pStyle w:val="FootnoteText"/>
      </w:pPr>
      <w:r>
        <w:rPr>
          <w:rStyle w:val="FootnoteReference"/>
        </w:rPr>
        <w:footnoteRef/>
      </w:r>
      <w:r>
        <w:t xml:space="preserve"> Wade et al. (2014)</w:t>
      </w:r>
      <w:r w:rsidRPr="00CF3361">
        <w:t xml:space="preserve"> conducted a qualitative study of 36 Australian telehealth services</w:t>
      </w:r>
      <w:r>
        <w:t xml:space="preserve"> and</w:t>
      </w:r>
      <w:r w:rsidRPr="00CF3361">
        <w:t xml:space="preserve"> conclud</w:t>
      </w:r>
      <w:r>
        <w:t>ed</w:t>
      </w:r>
      <w:r w:rsidRPr="00CF3361">
        <w:t xml:space="preserve"> that </w:t>
      </w:r>
      <w:r>
        <w:t xml:space="preserve">physician </w:t>
      </w:r>
      <w:r w:rsidRPr="00CF3361">
        <w:t xml:space="preserve">acceptance of telehealth was </w:t>
      </w:r>
      <w:r>
        <w:t xml:space="preserve">the main driver of </w:t>
      </w:r>
      <w:r w:rsidRPr="00CF3361">
        <w:t>low uptake</w:t>
      </w:r>
      <w:r>
        <w:t>.</w:t>
      </w:r>
      <w:r w:rsidRPr="00CF3361">
        <w:t xml:space="preserve"> </w:t>
      </w:r>
    </w:p>
  </w:footnote>
  <w:footnote w:id="12">
    <w:p w14:paraId="364F4EFC" w14:textId="77777777" w:rsidR="00023621" w:rsidRDefault="00023621">
      <w:pPr>
        <w:pStyle w:val="FootnoteText"/>
      </w:pPr>
      <w:r>
        <w:rPr>
          <w:rStyle w:val="FootnoteReference"/>
        </w:rPr>
        <w:footnoteRef/>
      </w:r>
      <w:r>
        <w:t xml:space="preserve"> Medicare 2016-17</w:t>
      </w:r>
    </w:p>
  </w:footnote>
  <w:footnote w:id="13">
    <w:p w14:paraId="1B95F69C" w14:textId="77777777" w:rsidR="00023621" w:rsidRDefault="00023621" w:rsidP="00614620">
      <w:pPr>
        <w:pStyle w:val="FootnoteText"/>
        <w:spacing w:before="0"/>
      </w:pPr>
      <w:r>
        <w:rPr>
          <w:rStyle w:val="FootnoteReference"/>
        </w:rPr>
        <w:footnoteRef/>
      </w:r>
      <w:r>
        <w:t xml:space="preserve"> M3 includes Aboriginal and Torres Strait Islander health practitioners, Aboriginal health workers, audiologists, chiropractors, diabetes educators, dietitians, exercise physiologists, mental health nurses, occupational therapists, osteopaths, physiotherapists, podiatrists, psychologists, social workers and speech pathologists.</w:t>
      </w:r>
    </w:p>
  </w:footnote>
  <w:footnote w:id="14">
    <w:p w14:paraId="63228913" w14:textId="77777777" w:rsidR="00023621" w:rsidRDefault="00023621" w:rsidP="000740B5">
      <w:pPr>
        <w:pStyle w:val="FootnoteText"/>
      </w:pPr>
      <w:r>
        <w:rPr>
          <w:rStyle w:val="FootnoteReference"/>
        </w:rPr>
        <w:footnoteRef/>
      </w:r>
      <w:r>
        <w:t xml:space="preserve"> Item numbers listed here indicate a structure for the DHS to follow when assigning item numbers. </w:t>
      </w:r>
    </w:p>
  </w:footnote>
  <w:footnote w:id="15">
    <w:p w14:paraId="3EF185E7" w14:textId="77777777" w:rsidR="00023621" w:rsidRDefault="00023621" w:rsidP="00974578">
      <w:pPr>
        <w:pStyle w:val="FootnoteText"/>
      </w:pPr>
      <w:r>
        <w:rPr>
          <w:rStyle w:val="FootnoteReference"/>
        </w:rPr>
        <w:footnoteRef/>
      </w:r>
      <w:r>
        <w:t xml:space="preserve"> Item numbers listed here indicate a structure for the DHS to follow when assigning item numbers.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E48BD" w14:textId="77777777" w:rsidR="00023621" w:rsidRDefault="00023621">
    <w:pPr>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A95D1" w14:textId="77777777" w:rsidR="00023621" w:rsidRDefault="00023621">
    <w:r>
      <w:rPr>
        <w:noProof/>
        <w:lang w:val="en-US" w:eastAsia="en-US"/>
      </w:rPr>
      <w:drawing>
        <wp:anchor distT="0" distB="0" distL="114300" distR="114300" simplePos="0" relativeHeight="251656192" behindDoc="0" locked="0" layoutInCell="1" allowOverlap="1" wp14:anchorId="60A7AB0B" wp14:editId="1B59A2E2">
          <wp:simplePos x="0" y="0"/>
          <wp:positionH relativeFrom="page">
            <wp:align>left</wp:align>
          </wp:positionH>
          <wp:positionV relativeFrom="paragraph">
            <wp:posOffset>-360540</wp:posOffset>
          </wp:positionV>
          <wp:extent cx="7619117" cy="736979"/>
          <wp:effectExtent l="0" t="0" r="1270" b="6350"/>
          <wp:wrapSquare wrapText="bothSides"/>
          <wp:docPr id="10" name="Picture 10" descr="MBS Review Taskforce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711FD" w14:textId="77777777" w:rsidR="00023621" w:rsidRDefault="00023621" w:rsidP="002D1FF9">
    <w:pPr>
      <w:tabs>
        <w:tab w:val="left" w:pos="6180"/>
      </w:tabs>
      <w:spacing w:before="0" w:after="0"/>
    </w:pPr>
    <w:r>
      <w:rPr>
        <w:noProof/>
        <w:lang w:val="en-US" w:eastAsia="en-US"/>
      </w:rPr>
      <w:drawing>
        <wp:anchor distT="0" distB="0" distL="114300" distR="114300" simplePos="0" relativeHeight="251657216" behindDoc="1" locked="0" layoutInCell="1" allowOverlap="1" wp14:anchorId="58CA826E" wp14:editId="6BFA96FE">
          <wp:simplePos x="0" y="0"/>
          <wp:positionH relativeFrom="page">
            <wp:align>left</wp:align>
          </wp:positionH>
          <wp:positionV relativeFrom="paragraph">
            <wp:posOffset>-457200</wp:posOffset>
          </wp:positionV>
          <wp:extent cx="7562850" cy="10697357"/>
          <wp:effectExtent l="0" t="0" r="0" b="8890"/>
          <wp:wrapNone/>
          <wp:docPr id="12" name="Picture 12" descr="The cover page includes a picture of a male doctor interacting with a female, in feint font"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FE692" w14:textId="395F59F3" w:rsidR="00023621" w:rsidRDefault="00023621">
    <w:r>
      <w:rPr>
        <w:noProof/>
        <w:lang w:val="en-US" w:eastAsia="en-US"/>
      </w:rPr>
      <w:drawing>
        <wp:anchor distT="0" distB="0" distL="114300" distR="114300" simplePos="0" relativeHeight="251658240" behindDoc="0" locked="0" layoutInCell="1" allowOverlap="1" wp14:anchorId="3F14837C" wp14:editId="110505D0">
          <wp:simplePos x="0" y="0"/>
          <wp:positionH relativeFrom="page">
            <wp:align>right</wp:align>
          </wp:positionH>
          <wp:positionV relativeFrom="paragraph">
            <wp:posOffset>-459740</wp:posOffset>
          </wp:positionV>
          <wp:extent cx="7619117" cy="736979"/>
          <wp:effectExtent l="0" t="0" r="1270" b="6350"/>
          <wp:wrapSquare wrapText="bothSides"/>
          <wp:docPr id="13" name="Picture 13" descr="MBS Review Taskforce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58F8"/>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 w15:restartNumberingAfterBreak="0">
    <w:nsid w:val="00490E67"/>
    <w:multiLevelType w:val="hybridMultilevel"/>
    <w:tmpl w:val="4B40355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1BB7F30"/>
    <w:multiLevelType w:val="hybridMultilevel"/>
    <w:tmpl w:val="934E955C"/>
    <w:lvl w:ilvl="0" w:tplc="F13667D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60D64"/>
    <w:multiLevelType w:val="hybridMultilevel"/>
    <w:tmpl w:val="BF1E7252"/>
    <w:lvl w:ilvl="0" w:tplc="9400583C">
      <w:start w:val="1"/>
      <w:numFmt w:val="lowerRoman"/>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 w15:restartNumberingAfterBreak="0">
    <w:nsid w:val="03980014"/>
    <w:multiLevelType w:val="hybridMultilevel"/>
    <w:tmpl w:val="1D2EF096"/>
    <w:lvl w:ilvl="0" w:tplc="0C090019">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055545E1"/>
    <w:multiLevelType w:val="hybridMultilevel"/>
    <w:tmpl w:val="632A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2D2961"/>
    <w:multiLevelType w:val="hybridMultilevel"/>
    <w:tmpl w:val="74D694F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06D255EB"/>
    <w:multiLevelType w:val="hybridMultilevel"/>
    <w:tmpl w:val="A1BE7EB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7185F5D"/>
    <w:multiLevelType w:val="hybridMultilevel"/>
    <w:tmpl w:val="9416987E"/>
    <w:lvl w:ilvl="0" w:tplc="0C090017">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8682410"/>
    <w:multiLevelType w:val="hybridMultilevel"/>
    <w:tmpl w:val="7A9A03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8776AB5"/>
    <w:multiLevelType w:val="hybridMultilevel"/>
    <w:tmpl w:val="7AE2AB78"/>
    <w:lvl w:ilvl="0" w:tplc="9400583C">
      <w:start w:val="1"/>
      <w:numFmt w:val="lowerRoman"/>
      <w:lvlText w:val="%1."/>
      <w:lvlJc w:val="left"/>
      <w:pPr>
        <w:ind w:left="1437" w:hanging="360"/>
      </w:pPr>
      <w:rPr>
        <w:rFonts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1" w15:restartNumberingAfterBreak="0">
    <w:nsid w:val="08817857"/>
    <w:multiLevelType w:val="hybridMultilevel"/>
    <w:tmpl w:val="E77AF164"/>
    <w:lvl w:ilvl="0" w:tplc="8EE090C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E3232D"/>
    <w:multiLevelType w:val="hybridMultilevel"/>
    <w:tmpl w:val="372E2800"/>
    <w:lvl w:ilvl="0" w:tplc="DEA61BCE">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15:restartNumberingAfterBreak="0">
    <w:nsid w:val="08FC4FAA"/>
    <w:multiLevelType w:val="hybridMultilevel"/>
    <w:tmpl w:val="1D2EF096"/>
    <w:lvl w:ilvl="0" w:tplc="0C090019">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15:restartNumberingAfterBreak="0">
    <w:nsid w:val="091106FD"/>
    <w:multiLevelType w:val="hybridMultilevel"/>
    <w:tmpl w:val="4B40355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0965105B"/>
    <w:multiLevelType w:val="hybridMultilevel"/>
    <w:tmpl w:val="62608E56"/>
    <w:lvl w:ilvl="0" w:tplc="28D0424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D859EB"/>
    <w:multiLevelType w:val="hybridMultilevel"/>
    <w:tmpl w:val="449CA324"/>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0A5932F6"/>
    <w:multiLevelType w:val="hybridMultilevel"/>
    <w:tmpl w:val="A1BE7EB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0B950AB5"/>
    <w:multiLevelType w:val="hybridMultilevel"/>
    <w:tmpl w:val="2B68B62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C3B5D8C"/>
    <w:multiLevelType w:val="hybridMultilevel"/>
    <w:tmpl w:val="70B65718"/>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0F696390"/>
    <w:multiLevelType w:val="hybridMultilevel"/>
    <w:tmpl w:val="3500BFF2"/>
    <w:lvl w:ilvl="0" w:tplc="0C090017">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1" w15:restartNumberingAfterBreak="0">
    <w:nsid w:val="0FA562D0"/>
    <w:multiLevelType w:val="hybridMultilevel"/>
    <w:tmpl w:val="3500BFF2"/>
    <w:lvl w:ilvl="0" w:tplc="0C090017">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2" w15:restartNumberingAfterBreak="0">
    <w:nsid w:val="0FF84FC3"/>
    <w:multiLevelType w:val="hybridMultilevel"/>
    <w:tmpl w:val="56C8AE3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19B0C1D"/>
    <w:multiLevelType w:val="hybridMultilevel"/>
    <w:tmpl w:val="934E955C"/>
    <w:lvl w:ilvl="0" w:tplc="F13667D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7" w15:restartNumberingAfterBreak="0">
    <w:nsid w:val="149266DC"/>
    <w:multiLevelType w:val="hybridMultilevel"/>
    <w:tmpl w:val="A6045036"/>
    <w:lvl w:ilvl="0" w:tplc="0C09001B">
      <w:start w:val="1"/>
      <w:numFmt w:val="lowerRoman"/>
      <w:lvlText w:val="%1."/>
      <w:lvlJc w:val="right"/>
      <w:pPr>
        <w:ind w:left="720" w:hanging="360"/>
      </w:pPr>
    </w:lvl>
    <w:lvl w:ilvl="1" w:tplc="9CE8E6A6">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4E42D5F"/>
    <w:multiLevelType w:val="hybridMultilevel"/>
    <w:tmpl w:val="A9FCCE4A"/>
    <w:lvl w:ilvl="0" w:tplc="0C090019">
      <w:start w:val="1"/>
      <w:numFmt w:val="lowerLetter"/>
      <w:lvlText w:val="%1."/>
      <w:lvlJc w:val="left"/>
      <w:pPr>
        <w:ind w:left="720" w:hanging="360"/>
      </w:pPr>
      <w:rPr>
        <w:b/>
        <w:color w:val="01653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60E414A"/>
    <w:multiLevelType w:val="hybridMultilevel"/>
    <w:tmpl w:val="826CC804"/>
    <w:lvl w:ilvl="0" w:tplc="0C090017">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723834"/>
    <w:multiLevelType w:val="hybridMultilevel"/>
    <w:tmpl w:val="833AC7B4"/>
    <w:lvl w:ilvl="0" w:tplc="FB1E62B0">
      <w:start w:val="1"/>
      <w:numFmt w:val="upperLetter"/>
      <w:pStyle w:val="AppendixStyle1"/>
      <w:lvlText w:val="Appendix %1"/>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32" w15:restartNumberingAfterBreak="0">
    <w:nsid w:val="192C73A9"/>
    <w:multiLevelType w:val="hybridMultilevel"/>
    <w:tmpl w:val="BF1E7252"/>
    <w:lvl w:ilvl="0" w:tplc="9400583C">
      <w:start w:val="1"/>
      <w:numFmt w:val="lowerRoman"/>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3" w15:restartNumberingAfterBreak="0">
    <w:nsid w:val="199F2A8A"/>
    <w:multiLevelType w:val="hybridMultilevel"/>
    <w:tmpl w:val="98824D90"/>
    <w:lvl w:ilvl="0" w:tplc="0C090019">
      <w:start w:val="1"/>
      <w:numFmt w:val="lowerLetter"/>
      <w:lvlText w:val="%1."/>
      <w:lvlJc w:val="left"/>
      <w:pPr>
        <w:ind w:left="1077" w:hanging="360"/>
      </w:pPr>
      <w:rPr>
        <w:rFonts w:hint="default"/>
      </w:r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4" w15:restartNumberingAfterBreak="0">
    <w:nsid w:val="1A5C6FE7"/>
    <w:multiLevelType w:val="hybridMultilevel"/>
    <w:tmpl w:val="8252E914"/>
    <w:lvl w:ilvl="0" w:tplc="D9AE6A3E">
      <w:start w:val="1"/>
      <w:numFmt w:val="lowerLetter"/>
      <w:lvlText w:val="%1)"/>
      <w:lvlJc w:val="left"/>
      <w:pPr>
        <w:ind w:left="7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AF55648"/>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6" w15:restartNumberingAfterBreak="0">
    <w:nsid w:val="1CC5718F"/>
    <w:multiLevelType w:val="hybridMultilevel"/>
    <w:tmpl w:val="F920CD84"/>
    <w:lvl w:ilvl="0" w:tplc="ECF88AD6">
      <w:start w:val="1"/>
      <w:numFmt w:val="bullet"/>
      <w:pStyle w:val="BulletStyle3"/>
      <w:lvlText w:val="–"/>
      <w:lvlJc w:val="left"/>
      <w:pPr>
        <w:ind w:left="726" w:hanging="360"/>
      </w:pPr>
      <w:rPr>
        <w:rFonts w:ascii="Calibri" w:hAnsi="Calibri" w:hint="default"/>
      </w:rPr>
    </w:lvl>
    <w:lvl w:ilvl="1" w:tplc="9400583C">
      <w:start w:val="1"/>
      <w:numFmt w:val="lowerRoman"/>
      <w:lvlText w:val="%2."/>
      <w:lvlJc w:val="left"/>
      <w:pPr>
        <w:ind w:left="1446" w:hanging="360"/>
      </w:pPr>
      <w:rPr>
        <w:rFonts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37" w15:restartNumberingAfterBreak="0">
    <w:nsid w:val="1FF77984"/>
    <w:multiLevelType w:val="hybridMultilevel"/>
    <w:tmpl w:val="241A7AA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1294FD0"/>
    <w:multiLevelType w:val="hybridMultilevel"/>
    <w:tmpl w:val="219CE88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22263B48"/>
    <w:multiLevelType w:val="hybridMultilevel"/>
    <w:tmpl w:val="B21C6340"/>
    <w:lvl w:ilvl="0" w:tplc="0C090019">
      <w:start w:val="1"/>
      <w:numFmt w:val="decimal"/>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233E3D46"/>
    <w:multiLevelType w:val="hybridMultilevel"/>
    <w:tmpl w:val="CFF0BF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42" w15:restartNumberingAfterBreak="0">
    <w:nsid w:val="2420076F"/>
    <w:multiLevelType w:val="hybridMultilevel"/>
    <w:tmpl w:val="BB2E814E"/>
    <w:lvl w:ilvl="0" w:tplc="F6C69526">
      <w:start w:val="1"/>
      <w:numFmt w:val="bullet"/>
      <w:lvlText w:val="•"/>
      <w:lvlJc w:val="left"/>
      <w:pPr>
        <w:tabs>
          <w:tab w:val="num" w:pos="720"/>
        </w:tabs>
        <w:ind w:left="720" w:hanging="360"/>
      </w:pPr>
      <w:rPr>
        <w:rFonts w:ascii="Arial" w:hAnsi="Arial" w:hint="default"/>
      </w:rPr>
    </w:lvl>
    <w:lvl w:ilvl="1" w:tplc="806ACEC0" w:tentative="1">
      <w:start w:val="1"/>
      <w:numFmt w:val="bullet"/>
      <w:lvlText w:val="•"/>
      <w:lvlJc w:val="left"/>
      <w:pPr>
        <w:tabs>
          <w:tab w:val="num" w:pos="1440"/>
        </w:tabs>
        <w:ind w:left="1440" w:hanging="360"/>
      </w:pPr>
      <w:rPr>
        <w:rFonts w:ascii="Arial" w:hAnsi="Arial" w:hint="default"/>
      </w:rPr>
    </w:lvl>
    <w:lvl w:ilvl="2" w:tplc="12A4843A" w:tentative="1">
      <w:start w:val="1"/>
      <w:numFmt w:val="bullet"/>
      <w:lvlText w:val="•"/>
      <w:lvlJc w:val="left"/>
      <w:pPr>
        <w:tabs>
          <w:tab w:val="num" w:pos="2160"/>
        </w:tabs>
        <w:ind w:left="2160" w:hanging="360"/>
      </w:pPr>
      <w:rPr>
        <w:rFonts w:ascii="Arial" w:hAnsi="Arial" w:hint="default"/>
      </w:rPr>
    </w:lvl>
    <w:lvl w:ilvl="3" w:tplc="088E962C" w:tentative="1">
      <w:start w:val="1"/>
      <w:numFmt w:val="bullet"/>
      <w:lvlText w:val="•"/>
      <w:lvlJc w:val="left"/>
      <w:pPr>
        <w:tabs>
          <w:tab w:val="num" w:pos="2880"/>
        </w:tabs>
        <w:ind w:left="2880" w:hanging="360"/>
      </w:pPr>
      <w:rPr>
        <w:rFonts w:ascii="Arial" w:hAnsi="Arial" w:hint="default"/>
      </w:rPr>
    </w:lvl>
    <w:lvl w:ilvl="4" w:tplc="82F69860" w:tentative="1">
      <w:start w:val="1"/>
      <w:numFmt w:val="bullet"/>
      <w:lvlText w:val="•"/>
      <w:lvlJc w:val="left"/>
      <w:pPr>
        <w:tabs>
          <w:tab w:val="num" w:pos="3600"/>
        </w:tabs>
        <w:ind w:left="3600" w:hanging="360"/>
      </w:pPr>
      <w:rPr>
        <w:rFonts w:ascii="Arial" w:hAnsi="Arial" w:hint="default"/>
      </w:rPr>
    </w:lvl>
    <w:lvl w:ilvl="5" w:tplc="0D549BA4" w:tentative="1">
      <w:start w:val="1"/>
      <w:numFmt w:val="bullet"/>
      <w:lvlText w:val="•"/>
      <w:lvlJc w:val="left"/>
      <w:pPr>
        <w:tabs>
          <w:tab w:val="num" w:pos="4320"/>
        </w:tabs>
        <w:ind w:left="4320" w:hanging="360"/>
      </w:pPr>
      <w:rPr>
        <w:rFonts w:ascii="Arial" w:hAnsi="Arial" w:hint="default"/>
      </w:rPr>
    </w:lvl>
    <w:lvl w:ilvl="6" w:tplc="56521F58" w:tentative="1">
      <w:start w:val="1"/>
      <w:numFmt w:val="bullet"/>
      <w:lvlText w:val="•"/>
      <w:lvlJc w:val="left"/>
      <w:pPr>
        <w:tabs>
          <w:tab w:val="num" w:pos="5040"/>
        </w:tabs>
        <w:ind w:left="5040" w:hanging="360"/>
      </w:pPr>
      <w:rPr>
        <w:rFonts w:ascii="Arial" w:hAnsi="Arial" w:hint="default"/>
      </w:rPr>
    </w:lvl>
    <w:lvl w:ilvl="7" w:tplc="FAF63854" w:tentative="1">
      <w:start w:val="1"/>
      <w:numFmt w:val="bullet"/>
      <w:lvlText w:val="•"/>
      <w:lvlJc w:val="left"/>
      <w:pPr>
        <w:tabs>
          <w:tab w:val="num" w:pos="5760"/>
        </w:tabs>
        <w:ind w:left="5760" w:hanging="360"/>
      </w:pPr>
      <w:rPr>
        <w:rFonts w:ascii="Arial" w:hAnsi="Arial" w:hint="default"/>
      </w:rPr>
    </w:lvl>
    <w:lvl w:ilvl="8" w:tplc="40B0321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4A628DF"/>
    <w:multiLevelType w:val="hybridMultilevel"/>
    <w:tmpl w:val="5AC22F22"/>
    <w:lvl w:ilvl="0" w:tplc="9400583C">
      <w:start w:val="1"/>
      <w:numFmt w:val="lowerRoman"/>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44" w15:restartNumberingAfterBreak="0">
    <w:nsid w:val="24BE3E50"/>
    <w:multiLevelType w:val="hybridMultilevel"/>
    <w:tmpl w:val="934E955C"/>
    <w:lvl w:ilvl="0" w:tplc="F13667D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CB4320"/>
    <w:multiLevelType w:val="hybridMultilevel"/>
    <w:tmpl w:val="241A7AA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5666A2D"/>
    <w:multiLevelType w:val="hybridMultilevel"/>
    <w:tmpl w:val="286E89AE"/>
    <w:lvl w:ilvl="0" w:tplc="EF96F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59921ED"/>
    <w:multiLevelType w:val="hybridMultilevel"/>
    <w:tmpl w:val="4F0002D6"/>
    <w:lvl w:ilvl="0" w:tplc="9400583C">
      <w:start w:val="1"/>
      <w:numFmt w:val="lowerRoman"/>
      <w:lvlText w:val="%1."/>
      <w:lvlJc w:val="left"/>
      <w:pPr>
        <w:ind w:left="1287" w:hanging="360"/>
      </w:pPr>
      <w:rPr>
        <w:rFonts w:hint="default"/>
      </w:rPr>
    </w:lvl>
    <w:lvl w:ilvl="1" w:tplc="9400583C">
      <w:start w:val="1"/>
      <w:numFmt w:val="lowerRoman"/>
      <w:lvlText w:val="%2."/>
      <w:lvlJc w:val="left"/>
      <w:pPr>
        <w:ind w:left="2007" w:hanging="360"/>
      </w:pPr>
      <w:rPr>
        <w:rFont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25A6790B"/>
    <w:multiLevelType w:val="hybridMultilevel"/>
    <w:tmpl w:val="F40E54B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61A701B"/>
    <w:multiLevelType w:val="hybridMultilevel"/>
    <w:tmpl w:val="B2D4177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6A41AE6"/>
    <w:multiLevelType w:val="hybridMultilevel"/>
    <w:tmpl w:val="70B65718"/>
    <w:lvl w:ilvl="0" w:tplc="0C090019">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1" w15:restartNumberingAfterBreak="0">
    <w:nsid w:val="28847781"/>
    <w:multiLevelType w:val="hybridMultilevel"/>
    <w:tmpl w:val="B14096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A9E2BEB"/>
    <w:multiLevelType w:val="hybridMultilevel"/>
    <w:tmpl w:val="BF1E7252"/>
    <w:lvl w:ilvl="0" w:tplc="9400583C">
      <w:start w:val="1"/>
      <w:numFmt w:val="lowerRoman"/>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3" w15:restartNumberingAfterBreak="0">
    <w:nsid w:val="2C420994"/>
    <w:multiLevelType w:val="hybridMultilevel"/>
    <w:tmpl w:val="3678205E"/>
    <w:lvl w:ilvl="0" w:tplc="9400583C">
      <w:start w:val="1"/>
      <w:numFmt w:val="lowerRoman"/>
      <w:lvlText w:val="%1."/>
      <w:lvlJc w:val="left"/>
      <w:pPr>
        <w:ind w:left="1437" w:hanging="360"/>
      </w:pPr>
      <w:rPr>
        <w:rFonts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54" w15:restartNumberingAfterBreak="0">
    <w:nsid w:val="2F297689"/>
    <w:multiLevelType w:val="hybridMultilevel"/>
    <w:tmpl w:val="7092FC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1287C9A"/>
    <w:multiLevelType w:val="hybridMultilevel"/>
    <w:tmpl w:val="1D2EF096"/>
    <w:lvl w:ilvl="0" w:tplc="0C090019">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6" w15:restartNumberingAfterBreak="0">
    <w:nsid w:val="313C03F3"/>
    <w:multiLevelType w:val="hybridMultilevel"/>
    <w:tmpl w:val="97C027F8"/>
    <w:lvl w:ilvl="0" w:tplc="D978689C">
      <w:start w:val="1"/>
      <w:numFmt w:val="lowerRoman"/>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57" w15:restartNumberingAfterBreak="0">
    <w:nsid w:val="314B3F05"/>
    <w:multiLevelType w:val="hybridMultilevel"/>
    <w:tmpl w:val="A69C16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2022602"/>
    <w:multiLevelType w:val="hybridMultilevel"/>
    <w:tmpl w:val="1A8E08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2C14B1E"/>
    <w:multiLevelType w:val="hybridMultilevel"/>
    <w:tmpl w:val="7A9A03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1"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56C30C7"/>
    <w:multiLevelType w:val="hybridMultilevel"/>
    <w:tmpl w:val="3F18C8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5BC21C0"/>
    <w:multiLevelType w:val="hybridMultilevel"/>
    <w:tmpl w:val="0534F354"/>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5BF0D6D"/>
    <w:multiLevelType w:val="hybridMultilevel"/>
    <w:tmpl w:val="3CE6B25E"/>
    <w:lvl w:ilvl="0" w:tplc="0C090019">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5" w15:restartNumberingAfterBreak="0">
    <w:nsid w:val="35CB607B"/>
    <w:multiLevelType w:val="hybridMultilevel"/>
    <w:tmpl w:val="1970682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36702FF0"/>
    <w:multiLevelType w:val="hybridMultilevel"/>
    <w:tmpl w:val="91F4E95C"/>
    <w:lvl w:ilvl="0" w:tplc="9400583C">
      <w:start w:val="1"/>
      <w:numFmt w:val="lowerRoman"/>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15:restartNumberingAfterBreak="0">
    <w:nsid w:val="367F6B53"/>
    <w:multiLevelType w:val="hybridMultilevel"/>
    <w:tmpl w:val="6B0881DE"/>
    <w:lvl w:ilvl="0" w:tplc="0C090019">
      <w:start w:val="1"/>
      <w:numFmt w:val="lowerLetter"/>
      <w:lvlText w:val="%1."/>
      <w:lvlJc w:val="left"/>
      <w:pPr>
        <w:ind w:left="1077" w:hanging="360"/>
      </w:p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8" w15:restartNumberingAfterBreak="0">
    <w:nsid w:val="36882B4D"/>
    <w:multiLevelType w:val="hybridMultilevel"/>
    <w:tmpl w:val="434ADD5E"/>
    <w:lvl w:ilvl="0" w:tplc="DAF80D9E">
      <w:start w:val="1"/>
      <w:numFmt w:val="decimal"/>
      <w:lvlText w:val="%1."/>
      <w:lvlJc w:val="left"/>
      <w:pPr>
        <w:ind w:left="720" w:hanging="360"/>
      </w:pPr>
      <w:rPr>
        <w:rFonts w:asciiTheme="minorHAnsi" w:hAnsiTheme="minorHAnsi" w:cstheme="minorHAnsi" w:hint="default"/>
        <w:color w:val="548DD4" w:themeColor="text2" w:themeTint="9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7FC02DA"/>
    <w:multiLevelType w:val="hybridMultilevel"/>
    <w:tmpl w:val="7A9A03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89C7162"/>
    <w:multiLevelType w:val="hybridMultilevel"/>
    <w:tmpl w:val="FEDC0AD4"/>
    <w:lvl w:ilvl="0" w:tplc="0C09001B">
      <w:start w:val="1"/>
      <w:numFmt w:val="lowerRoman"/>
      <w:lvlText w:val="%1."/>
      <w:lvlJc w:val="righ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71" w15:restartNumberingAfterBreak="0">
    <w:nsid w:val="38E861DF"/>
    <w:multiLevelType w:val="hybridMultilevel"/>
    <w:tmpl w:val="D2BC19C0"/>
    <w:lvl w:ilvl="0" w:tplc="0C090001">
      <w:start w:val="1"/>
      <w:numFmt w:val="bullet"/>
      <w:lvlText w:val=""/>
      <w:lvlJc w:val="left"/>
      <w:pPr>
        <w:tabs>
          <w:tab w:val="num" w:pos="714"/>
        </w:tabs>
        <w:ind w:left="714" w:hanging="357"/>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797" w:hanging="360"/>
      </w:pPr>
      <w:rPr>
        <w:rFonts w:ascii="Courier New" w:hAnsi="Courier New" w:cs="Times New Roman"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Times New Roman"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Times New Roman" w:hint="default"/>
      </w:rPr>
    </w:lvl>
    <w:lvl w:ilvl="8" w:tplc="04090005">
      <w:start w:val="1"/>
      <w:numFmt w:val="bullet"/>
      <w:lvlText w:val=""/>
      <w:lvlJc w:val="left"/>
      <w:pPr>
        <w:ind w:left="6837" w:hanging="360"/>
      </w:pPr>
      <w:rPr>
        <w:rFonts w:ascii="Wingdings" w:hAnsi="Wingdings" w:hint="default"/>
      </w:rPr>
    </w:lvl>
  </w:abstractNum>
  <w:abstractNum w:abstractNumId="72" w15:restartNumberingAfterBreak="0">
    <w:nsid w:val="3A32526D"/>
    <w:multiLevelType w:val="hybridMultilevel"/>
    <w:tmpl w:val="AA2873E2"/>
    <w:lvl w:ilvl="0" w:tplc="9400583C">
      <w:start w:val="1"/>
      <w:numFmt w:val="lowerRoman"/>
      <w:lvlText w:val="%1."/>
      <w:lvlJc w:val="left"/>
      <w:pPr>
        <w:ind w:left="1287" w:hanging="360"/>
      </w:pPr>
      <w:rPr>
        <w:rFonts w:hint="default"/>
      </w:rPr>
    </w:lvl>
    <w:lvl w:ilvl="1" w:tplc="9400583C">
      <w:start w:val="1"/>
      <w:numFmt w:val="lowerRoman"/>
      <w:lvlText w:val="%2."/>
      <w:lvlJc w:val="left"/>
      <w:pPr>
        <w:ind w:left="2007" w:hanging="360"/>
      </w:pPr>
      <w:rPr>
        <w:rFont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15:restartNumberingAfterBreak="0">
    <w:nsid w:val="3AEF1A1B"/>
    <w:multiLevelType w:val="hybridMultilevel"/>
    <w:tmpl w:val="4190C66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17">
      <w:start w:val="1"/>
      <w:numFmt w:val="lowerLetter"/>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B240E44"/>
    <w:multiLevelType w:val="hybridMultilevel"/>
    <w:tmpl w:val="EAA45B7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15:restartNumberingAfterBreak="0">
    <w:nsid w:val="3D4F4488"/>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76" w15:restartNumberingAfterBreak="0">
    <w:nsid w:val="3D546F25"/>
    <w:multiLevelType w:val="hybridMultilevel"/>
    <w:tmpl w:val="D7DA850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7" w15:restartNumberingAfterBreak="0">
    <w:nsid w:val="3DCC6FAC"/>
    <w:multiLevelType w:val="hybridMultilevel"/>
    <w:tmpl w:val="D11A4F4A"/>
    <w:lvl w:ilvl="0" w:tplc="787EE9CA">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E690F2F"/>
    <w:multiLevelType w:val="hybridMultilevel"/>
    <w:tmpl w:val="4A562D80"/>
    <w:lvl w:ilvl="0" w:tplc="787EE9CA">
      <w:start w:val="1"/>
      <w:numFmt w:val="bullet"/>
      <w:lvlText w:val="•"/>
      <w:lvlJc w:val="left"/>
      <w:pPr>
        <w:tabs>
          <w:tab w:val="num" w:pos="754"/>
        </w:tabs>
        <w:ind w:left="754" w:hanging="360"/>
      </w:pPr>
      <w:rPr>
        <w:rFonts w:ascii="Arial" w:hAnsi="Aria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79" w15:restartNumberingAfterBreak="0">
    <w:nsid w:val="3EDC33C5"/>
    <w:multiLevelType w:val="hybridMultilevel"/>
    <w:tmpl w:val="A112B2D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0" w15:restartNumberingAfterBreak="0">
    <w:nsid w:val="3F2D65E6"/>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81" w15:restartNumberingAfterBreak="0">
    <w:nsid w:val="3F991D1E"/>
    <w:multiLevelType w:val="hybridMultilevel"/>
    <w:tmpl w:val="7BF2541E"/>
    <w:lvl w:ilvl="0" w:tplc="041602B6">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2" w15:restartNumberingAfterBreak="0">
    <w:nsid w:val="4049014D"/>
    <w:multiLevelType w:val="hybridMultilevel"/>
    <w:tmpl w:val="30E2D3E0"/>
    <w:lvl w:ilvl="0" w:tplc="15803916">
      <w:start w:val="1"/>
      <w:numFmt w:val="upperRoman"/>
      <w:lvlText w:val="%1."/>
      <w:lvlJc w:val="right"/>
      <w:pPr>
        <w:ind w:left="7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0EE279F"/>
    <w:multiLevelType w:val="hybridMultilevel"/>
    <w:tmpl w:val="6B52A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0F703AE"/>
    <w:multiLevelType w:val="hybridMultilevel"/>
    <w:tmpl w:val="9D429B1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1C2697E"/>
    <w:multiLevelType w:val="hybridMultilevel"/>
    <w:tmpl w:val="3678205E"/>
    <w:lvl w:ilvl="0" w:tplc="9400583C">
      <w:start w:val="1"/>
      <w:numFmt w:val="lowerRoman"/>
      <w:lvlText w:val="%1."/>
      <w:lvlJc w:val="left"/>
      <w:pPr>
        <w:ind w:left="1437" w:hanging="360"/>
      </w:pPr>
      <w:rPr>
        <w:rFonts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86" w15:restartNumberingAfterBreak="0">
    <w:nsid w:val="433B6EFC"/>
    <w:multiLevelType w:val="hybridMultilevel"/>
    <w:tmpl w:val="6C7065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3AB4066"/>
    <w:multiLevelType w:val="hybridMultilevel"/>
    <w:tmpl w:val="5CA00374"/>
    <w:lvl w:ilvl="0" w:tplc="E4A65926">
      <w:start w:val="1"/>
      <w:numFmt w:val="lowerLetter"/>
      <w:lvlText w:val="%1)"/>
      <w:lvlJc w:val="left"/>
      <w:pPr>
        <w:ind w:left="360" w:hanging="360"/>
      </w:pPr>
      <w:rPr>
        <w:rFonts w:hint="default"/>
      </w:rPr>
    </w:lvl>
    <w:lvl w:ilvl="1" w:tplc="04090019" w:tentative="1">
      <w:start w:val="1"/>
      <w:numFmt w:val="lowerLetter"/>
      <w:lvlText w:val="%2."/>
      <w:lvlJc w:val="left"/>
      <w:pPr>
        <w:ind w:left="1027" w:hanging="360"/>
      </w:pPr>
    </w:lvl>
    <w:lvl w:ilvl="2" w:tplc="0409001B" w:tentative="1">
      <w:start w:val="1"/>
      <w:numFmt w:val="lowerRoman"/>
      <w:lvlText w:val="%3."/>
      <w:lvlJc w:val="right"/>
      <w:pPr>
        <w:ind w:left="1747" w:hanging="180"/>
      </w:pPr>
    </w:lvl>
    <w:lvl w:ilvl="3" w:tplc="0409000F" w:tentative="1">
      <w:start w:val="1"/>
      <w:numFmt w:val="decimal"/>
      <w:lvlText w:val="%4."/>
      <w:lvlJc w:val="left"/>
      <w:pPr>
        <w:ind w:left="2467" w:hanging="360"/>
      </w:pPr>
    </w:lvl>
    <w:lvl w:ilvl="4" w:tplc="04090019" w:tentative="1">
      <w:start w:val="1"/>
      <w:numFmt w:val="lowerLetter"/>
      <w:lvlText w:val="%5."/>
      <w:lvlJc w:val="left"/>
      <w:pPr>
        <w:ind w:left="3187" w:hanging="360"/>
      </w:pPr>
    </w:lvl>
    <w:lvl w:ilvl="5" w:tplc="0409001B" w:tentative="1">
      <w:start w:val="1"/>
      <w:numFmt w:val="lowerRoman"/>
      <w:lvlText w:val="%6."/>
      <w:lvlJc w:val="right"/>
      <w:pPr>
        <w:ind w:left="3907" w:hanging="180"/>
      </w:pPr>
    </w:lvl>
    <w:lvl w:ilvl="6" w:tplc="0409000F" w:tentative="1">
      <w:start w:val="1"/>
      <w:numFmt w:val="decimal"/>
      <w:lvlText w:val="%7."/>
      <w:lvlJc w:val="left"/>
      <w:pPr>
        <w:ind w:left="4627" w:hanging="360"/>
      </w:pPr>
    </w:lvl>
    <w:lvl w:ilvl="7" w:tplc="04090019" w:tentative="1">
      <w:start w:val="1"/>
      <w:numFmt w:val="lowerLetter"/>
      <w:lvlText w:val="%8."/>
      <w:lvlJc w:val="left"/>
      <w:pPr>
        <w:ind w:left="5347" w:hanging="360"/>
      </w:pPr>
    </w:lvl>
    <w:lvl w:ilvl="8" w:tplc="0409001B" w:tentative="1">
      <w:start w:val="1"/>
      <w:numFmt w:val="lowerRoman"/>
      <w:lvlText w:val="%9."/>
      <w:lvlJc w:val="right"/>
      <w:pPr>
        <w:ind w:left="6067" w:hanging="180"/>
      </w:pPr>
    </w:lvl>
  </w:abstractNum>
  <w:abstractNum w:abstractNumId="88" w15:restartNumberingAfterBreak="0">
    <w:nsid w:val="43F968D9"/>
    <w:multiLevelType w:val="hybridMultilevel"/>
    <w:tmpl w:val="B21C6340"/>
    <w:lvl w:ilvl="0" w:tplc="0C090019">
      <w:start w:val="1"/>
      <w:numFmt w:val="decimal"/>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45B97DED"/>
    <w:multiLevelType w:val="hybridMultilevel"/>
    <w:tmpl w:val="085E5568"/>
    <w:lvl w:ilvl="0" w:tplc="0C090019">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0" w15:restartNumberingAfterBreak="0">
    <w:nsid w:val="45D70B0D"/>
    <w:multiLevelType w:val="hybridMultilevel"/>
    <w:tmpl w:val="65B2B38E"/>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1" w15:restartNumberingAfterBreak="0">
    <w:nsid w:val="47041F27"/>
    <w:multiLevelType w:val="hybridMultilevel"/>
    <w:tmpl w:val="934E955C"/>
    <w:lvl w:ilvl="0" w:tplc="F13667D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7221638"/>
    <w:multiLevelType w:val="hybridMultilevel"/>
    <w:tmpl w:val="3500BFF2"/>
    <w:lvl w:ilvl="0" w:tplc="0C090017">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93" w15:restartNumberingAfterBreak="0">
    <w:nsid w:val="475A0351"/>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94" w15:restartNumberingAfterBreak="0">
    <w:nsid w:val="47747147"/>
    <w:multiLevelType w:val="hybridMultilevel"/>
    <w:tmpl w:val="7A9A03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48A80DC0"/>
    <w:multiLevelType w:val="hybridMultilevel"/>
    <w:tmpl w:val="826CC804"/>
    <w:lvl w:ilvl="0" w:tplc="0C090017">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6" w15:restartNumberingAfterBreak="0">
    <w:nsid w:val="48F10B23"/>
    <w:multiLevelType w:val="hybridMultilevel"/>
    <w:tmpl w:val="2B68B62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A2E18A0"/>
    <w:multiLevelType w:val="hybridMultilevel"/>
    <w:tmpl w:val="241A7AA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4B3A24A5"/>
    <w:multiLevelType w:val="hybridMultilevel"/>
    <w:tmpl w:val="3500BFF2"/>
    <w:lvl w:ilvl="0" w:tplc="0C090017">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99" w15:restartNumberingAfterBreak="0">
    <w:nsid w:val="4B5013B7"/>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00" w15:restartNumberingAfterBreak="0">
    <w:nsid w:val="4B76375B"/>
    <w:multiLevelType w:val="hybridMultilevel"/>
    <w:tmpl w:val="3500BFF2"/>
    <w:lvl w:ilvl="0" w:tplc="0C090017">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101"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D8A7E6F"/>
    <w:multiLevelType w:val="hybridMultilevel"/>
    <w:tmpl w:val="30A48A26"/>
    <w:lvl w:ilvl="0" w:tplc="44D4F4F8">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4E042D25"/>
    <w:multiLevelType w:val="hybridMultilevel"/>
    <w:tmpl w:val="3F18C8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EA12B73"/>
    <w:multiLevelType w:val="hybridMultilevel"/>
    <w:tmpl w:val="4A8C2BFE"/>
    <w:lvl w:ilvl="0" w:tplc="787EE9CA">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1394FF3"/>
    <w:multiLevelType w:val="hybridMultilevel"/>
    <w:tmpl w:val="75747320"/>
    <w:lvl w:ilvl="0" w:tplc="0C090019">
      <w:start w:val="1"/>
      <w:numFmt w:val="lowerLetter"/>
      <w:lvlText w:val="%1."/>
      <w:lvlJc w:val="left"/>
      <w:pPr>
        <w:ind w:left="720" w:hanging="360"/>
      </w:pPr>
    </w:lvl>
    <w:lvl w:ilvl="1" w:tplc="0C09001B">
      <w:start w:val="1"/>
      <w:numFmt w:val="lowerRoman"/>
      <w:lvlText w:val="%2."/>
      <w:lvlJc w:val="right"/>
      <w:pPr>
        <w:ind w:left="1495"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1637B6D"/>
    <w:multiLevelType w:val="hybridMultilevel"/>
    <w:tmpl w:val="2B68B62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21D7C29"/>
    <w:multiLevelType w:val="hybridMultilevel"/>
    <w:tmpl w:val="19182F9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8" w15:restartNumberingAfterBreak="0">
    <w:nsid w:val="52A07850"/>
    <w:multiLevelType w:val="hybridMultilevel"/>
    <w:tmpl w:val="1F3A3C84"/>
    <w:lvl w:ilvl="0" w:tplc="0C090019">
      <w:start w:val="1"/>
      <w:numFmt w:val="lowerLetter"/>
      <w:lvlText w:val="%1."/>
      <w:lvlJc w:val="left"/>
      <w:pPr>
        <w:ind w:left="1077" w:hanging="360"/>
      </w:pPr>
    </w:lvl>
    <w:lvl w:ilvl="1" w:tplc="9400583C">
      <w:start w:val="1"/>
      <w:numFmt w:val="lowerRoman"/>
      <w:lvlText w:val="%2."/>
      <w:lvlJc w:val="left"/>
      <w:pPr>
        <w:ind w:left="1797" w:hanging="360"/>
      </w:pPr>
      <w:rPr>
        <w:rFonts w:hint="default"/>
      </w:r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09" w15:restartNumberingAfterBreak="0">
    <w:nsid w:val="53BF1408"/>
    <w:multiLevelType w:val="hybridMultilevel"/>
    <w:tmpl w:val="82FED5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54516327"/>
    <w:multiLevelType w:val="hybridMultilevel"/>
    <w:tmpl w:val="509829A2"/>
    <w:lvl w:ilvl="0" w:tplc="0C090017">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1" w15:restartNumberingAfterBreak="0">
    <w:nsid w:val="556A1BD9"/>
    <w:multiLevelType w:val="hybridMultilevel"/>
    <w:tmpl w:val="0088CFC8"/>
    <w:lvl w:ilvl="0" w:tplc="9400583C">
      <w:start w:val="1"/>
      <w:numFmt w:val="lowerRoman"/>
      <w:lvlText w:val="%1."/>
      <w:lvlJc w:val="left"/>
      <w:pPr>
        <w:ind w:left="1437" w:hanging="360"/>
      </w:pPr>
      <w:rPr>
        <w:rFonts w:hint="default"/>
      </w:rPr>
    </w:lvl>
    <w:lvl w:ilvl="1" w:tplc="0C09000F">
      <w:start w:val="1"/>
      <w:numFmt w:val="decimal"/>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12" w15:restartNumberingAfterBreak="0">
    <w:nsid w:val="566E0531"/>
    <w:multiLevelType w:val="hybridMultilevel"/>
    <w:tmpl w:val="9902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8579BA"/>
    <w:multiLevelType w:val="hybridMultilevel"/>
    <w:tmpl w:val="934E955C"/>
    <w:lvl w:ilvl="0" w:tplc="F13667D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80B6600"/>
    <w:multiLevelType w:val="hybridMultilevel"/>
    <w:tmpl w:val="826CC804"/>
    <w:lvl w:ilvl="0" w:tplc="0C090017">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5"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8C128E1"/>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17" w15:restartNumberingAfterBreak="0">
    <w:nsid w:val="58D938CF"/>
    <w:multiLevelType w:val="hybridMultilevel"/>
    <w:tmpl w:val="241A7AA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59572B49"/>
    <w:multiLevelType w:val="hybridMultilevel"/>
    <w:tmpl w:val="D7DA850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9" w15:restartNumberingAfterBreak="0">
    <w:nsid w:val="5A5C56DF"/>
    <w:multiLevelType w:val="hybridMultilevel"/>
    <w:tmpl w:val="C3286EE4"/>
    <w:lvl w:ilvl="0" w:tplc="9550A5C8">
      <w:start w:val="1"/>
      <w:numFmt w:val="decimal"/>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0" w15:restartNumberingAfterBreak="0">
    <w:nsid w:val="5A6770C7"/>
    <w:multiLevelType w:val="hybridMultilevel"/>
    <w:tmpl w:val="A112B2D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1" w15:restartNumberingAfterBreak="0">
    <w:nsid w:val="5A815F4F"/>
    <w:multiLevelType w:val="hybridMultilevel"/>
    <w:tmpl w:val="30EE93E0"/>
    <w:lvl w:ilvl="0" w:tplc="5A82B162">
      <w:start w:val="1"/>
      <w:numFmt w:val="decimal"/>
      <w:lvlText w:val="%1."/>
      <w:lvlJc w:val="left"/>
      <w:pPr>
        <w:ind w:left="360" w:hanging="360"/>
      </w:pPr>
      <w:rPr>
        <w:rFonts w:hint="default"/>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2" w15:restartNumberingAfterBreak="0">
    <w:nsid w:val="5D427028"/>
    <w:multiLevelType w:val="hybridMultilevel"/>
    <w:tmpl w:val="AAF60A4C"/>
    <w:lvl w:ilvl="0" w:tplc="0409001B">
      <w:start w:val="1"/>
      <w:numFmt w:val="lowerRoman"/>
      <w:lvlText w:val="%1."/>
      <w:lvlJc w:val="right"/>
      <w:pPr>
        <w:ind w:left="1494" w:hanging="360"/>
      </w:pPr>
      <w:rPr>
        <w:rFonts w:hint="default"/>
      </w:rPr>
    </w:lvl>
    <w:lvl w:ilvl="1" w:tplc="207814B2">
      <w:start w:val="1"/>
      <w:numFmt w:val="bullet"/>
      <w:lvlText w:val="•"/>
      <w:lvlJc w:val="left"/>
      <w:pPr>
        <w:ind w:left="2424" w:hanging="570"/>
      </w:pPr>
      <w:rPr>
        <w:rFonts w:ascii="Calibri" w:eastAsia="Times New Roman" w:hAnsi="Calibri" w:cs="Calibri" w:hint="default"/>
      </w:r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23" w15:restartNumberingAfterBreak="0">
    <w:nsid w:val="5D7E6B11"/>
    <w:multiLevelType w:val="hybridMultilevel"/>
    <w:tmpl w:val="6B0881DE"/>
    <w:lvl w:ilvl="0" w:tplc="0C090019">
      <w:start w:val="1"/>
      <w:numFmt w:val="lowerLetter"/>
      <w:lvlText w:val="%1."/>
      <w:lvlJc w:val="left"/>
      <w:pPr>
        <w:ind w:left="1077" w:hanging="360"/>
      </w:p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24" w15:restartNumberingAfterBreak="0">
    <w:nsid w:val="5DC4024B"/>
    <w:multiLevelType w:val="hybridMultilevel"/>
    <w:tmpl w:val="3056D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DF7059D"/>
    <w:multiLevelType w:val="hybridMultilevel"/>
    <w:tmpl w:val="2D56CB3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6" w15:restartNumberingAfterBreak="0">
    <w:nsid w:val="5F09183A"/>
    <w:multiLevelType w:val="hybridMultilevel"/>
    <w:tmpl w:val="624C67AE"/>
    <w:lvl w:ilvl="0" w:tplc="7FB4AA2A">
      <w:start w:val="1"/>
      <w:numFmt w:val="upperRoman"/>
      <w:lvlText w:val="%1."/>
      <w:lvlJc w:val="right"/>
      <w:pPr>
        <w:ind w:left="7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F297E56"/>
    <w:multiLevelType w:val="hybridMultilevel"/>
    <w:tmpl w:val="EAA45B7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8" w15:restartNumberingAfterBreak="0">
    <w:nsid w:val="5F520E92"/>
    <w:multiLevelType w:val="hybridMultilevel"/>
    <w:tmpl w:val="41DE4D8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602958C9"/>
    <w:multiLevelType w:val="hybridMultilevel"/>
    <w:tmpl w:val="A73C2D3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0" w15:restartNumberingAfterBreak="0">
    <w:nsid w:val="6090520D"/>
    <w:multiLevelType w:val="hybridMultilevel"/>
    <w:tmpl w:val="219CE88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1" w15:restartNumberingAfterBreak="0">
    <w:nsid w:val="62D25F38"/>
    <w:multiLevelType w:val="hybridMultilevel"/>
    <w:tmpl w:val="EBCEE5E2"/>
    <w:lvl w:ilvl="0" w:tplc="9400583C">
      <w:start w:val="1"/>
      <w:numFmt w:val="lowerRoman"/>
      <w:lvlText w:val="%1."/>
      <w:lvlJc w:val="left"/>
      <w:pPr>
        <w:ind w:left="1287" w:hanging="36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2" w15:restartNumberingAfterBreak="0">
    <w:nsid w:val="63114BD0"/>
    <w:multiLevelType w:val="hybridMultilevel"/>
    <w:tmpl w:val="D7DA850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3" w15:restartNumberingAfterBreak="0">
    <w:nsid w:val="63353B3E"/>
    <w:multiLevelType w:val="hybridMultilevel"/>
    <w:tmpl w:val="EBCEE5E2"/>
    <w:lvl w:ilvl="0" w:tplc="9400583C">
      <w:start w:val="1"/>
      <w:numFmt w:val="lowerRoman"/>
      <w:lvlText w:val="%1."/>
      <w:lvlJc w:val="left"/>
      <w:pPr>
        <w:ind w:left="1287" w:hanging="36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4" w15:restartNumberingAfterBreak="0">
    <w:nsid w:val="64542E61"/>
    <w:multiLevelType w:val="multilevel"/>
    <w:tmpl w:val="FF5C2902"/>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5" w15:restartNumberingAfterBreak="0">
    <w:nsid w:val="667B4977"/>
    <w:multiLevelType w:val="hybridMultilevel"/>
    <w:tmpl w:val="3CE6B25E"/>
    <w:lvl w:ilvl="0" w:tplc="0C090019">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6" w15:restartNumberingAfterBreak="0">
    <w:nsid w:val="6AC14950"/>
    <w:multiLevelType w:val="hybridMultilevel"/>
    <w:tmpl w:val="A73C2D3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7" w15:restartNumberingAfterBreak="0">
    <w:nsid w:val="6B100265"/>
    <w:multiLevelType w:val="hybridMultilevel"/>
    <w:tmpl w:val="826CC804"/>
    <w:lvl w:ilvl="0" w:tplc="0C090017">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8" w15:restartNumberingAfterBreak="0">
    <w:nsid w:val="6B235D8F"/>
    <w:multiLevelType w:val="hybridMultilevel"/>
    <w:tmpl w:val="7092FC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6B7B19D8"/>
    <w:multiLevelType w:val="hybridMultilevel"/>
    <w:tmpl w:val="2D56CB3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0" w15:restartNumberingAfterBreak="0">
    <w:nsid w:val="6BBF56B6"/>
    <w:multiLevelType w:val="hybridMultilevel"/>
    <w:tmpl w:val="74A451B0"/>
    <w:lvl w:ilvl="0" w:tplc="9400583C">
      <w:start w:val="1"/>
      <w:numFmt w:val="lowerRoman"/>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41" w15:restartNumberingAfterBreak="0">
    <w:nsid w:val="6C4432A2"/>
    <w:multiLevelType w:val="hybridMultilevel"/>
    <w:tmpl w:val="39E8E9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6DE36EFA"/>
    <w:multiLevelType w:val="hybridMultilevel"/>
    <w:tmpl w:val="DBF269CC"/>
    <w:lvl w:ilvl="0" w:tplc="0C090019">
      <w:start w:val="1"/>
      <w:numFmt w:val="lowerLetter"/>
      <w:lvlText w:val="%1."/>
      <w:lvlJc w:val="left"/>
      <w:pPr>
        <w:ind w:left="1077" w:hanging="360"/>
      </w:pPr>
      <w:rPr>
        <w:rFonts w:hint="default"/>
      </w:r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43" w15:restartNumberingAfterBreak="0">
    <w:nsid w:val="6E493633"/>
    <w:multiLevelType w:val="hybridMultilevel"/>
    <w:tmpl w:val="55AE6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71076C9B"/>
    <w:multiLevelType w:val="hybridMultilevel"/>
    <w:tmpl w:val="CFF0BF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7203328F"/>
    <w:multiLevelType w:val="hybridMultilevel"/>
    <w:tmpl w:val="1D080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3F25871"/>
    <w:multiLevelType w:val="hybridMultilevel"/>
    <w:tmpl w:val="5CE400BE"/>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D428C8"/>
    <w:multiLevelType w:val="hybridMultilevel"/>
    <w:tmpl w:val="55AE6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75BC0773"/>
    <w:multiLevelType w:val="hybridMultilevel"/>
    <w:tmpl w:val="A69C16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939537E"/>
    <w:multiLevelType w:val="hybridMultilevel"/>
    <w:tmpl w:val="3500BFF2"/>
    <w:lvl w:ilvl="0" w:tplc="0C090017">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151" w15:restartNumberingAfterBreak="0">
    <w:nsid w:val="79F748D4"/>
    <w:multiLevelType w:val="hybridMultilevel"/>
    <w:tmpl w:val="449CA324"/>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2" w15:restartNumberingAfterBreak="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53" w15:restartNumberingAfterBreak="0">
    <w:nsid w:val="7CE81BB8"/>
    <w:multiLevelType w:val="hybridMultilevel"/>
    <w:tmpl w:val="B14096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7D0575B2"/>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5" w15:restartNumberingAfterBreak="0">
    <w:nsid w:val="7DD34D2A"/>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56" w15:restartNumberingAfterBreak="0">
    <w:nsid w:val="7EDB59BA"/>
    <w:multiLevelType w:val="multilevel"/>
    <w:tmpl w:val="8DB4AC64"/>
    <w:numStyleLink w:val="Style2"/>
  </w:abstractNum>
  <w:abstractNum w:abstractNumId="157" w15:restartNumberingAfterBreak="0">
    <w:nsid w:val="7F0365B9"/>
    <w:multiLevelType w:val="hybridMultilevel"/>
    <w:tmpl w:val="5AC22F22"/>
    <w:lvl w:ilvl="0" w:tplc="9400583C">
      <w:start w:val="1"/>
      <w:numFmt w:val="lowerRoman"/>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58" w15:restartNumberingAfterBreak="0">
    <w:nsid w:val="7F7D30AA"/>
    <w:multiLevelType w:val="hybridMultilevel"/>
    <w:tmpl w:val="39E8E9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1"/>
  </w:num>
  <w:num w:numId="2">
    <w:abstractNumId w:val="144"/>
  </w:num>
  <w:num w:numId="3">
    <w:abstractNumId w:val="26"/>
  </w:num>
  <w:num w:numId="4">
    <w:abstractNumId w:val="41"/>
  </w:num>
  <w:num w:numId="5">
    <w:abstractNumId w:val="101"/>
  </w:num>
  <w:num w:numId="6">
    <w:abstractNumId w:val="24"/>
  </w:num>
  <w:num w:numId="7">
    <w:abstractNumId w:val="60"/>
  </w:num>
  <w:num w:numId="8">
    <w:abstractNumId w:val="61"/>
  </w:num>
  <w:num w:numId="9">
    <w:abstractNumId w:val="115"/>
  </w:num>
  <w:num w:numId="10">
    <w:abstractNumId w:val="25"/>
  </w:num>
  <w:num w:numId="11">
    <w:abstractNumId w:val="147"/>
  </w:num>
  <w:num w:numId="12">
    <w:abstractNumId w:val="30"/>
  </w:num>
  <w:num w:numId="13">
    <w:abstractNumId w:val="36"/>
  </w:num>
  <w:num w:numId="14">
    <w:abstractNumId w:val="156"/>
    <w:lvlOverride w:ilvl="0">
      <w:lvl w:ilvl="0">
        <w:start w:val="1"/>
        <w:numFmt w:val="bullet"/>
        <w:lvlText w:val="Δ"/>
        <w:lvlJc w:val="left"/>
        <w:pPr>
          <w:ind w:left="360" w:hanging="360"/>
        </w:pPr>
        <w:rPr>
          <w:rFonts w:ascii="Calibri" w:hAnsi="Calibri" w:cs="Times New Roman" w:hint="default"/>
          <w:color w:val="B66113"/>
          <w:sz w:val="24"/>
        </w:rPr>
      </w:lvl>
    </w:lvlOverride>
    <w:lvlOverride w:ilvl="6">
      <w:lvl w:ilvl="6">
        <w:start w:val="1"/>
        <w:numFmt w:val="decimal"/>
        <w:lvlText w:val="%7."/>
        <w:lvlJc w:val="left"/>
        <w:pPr>
          <w:tabs>
            <w:tab w:val="num" w:pos="360"/>
          </w:tabs>
          <w:ind w:left="360" w:hanging="360"/>
        </w:pPr>
        <w:rPr>
          <w:rFonts w:hint="default"/>
          <w:i w:val="0"/>
        </w:rPr>
      </w:lvl>
    </w:lvlOverride>
  </w:num>
  <w:num w:numId="15">
    <w:abstractNumId w:val="134"/>
  </w:num>
  <w:num w:numId="16">
    <w:abstractNumId w:val="73"/>
  </w:num>
  <w:num w:numId="17">
    <w:abstractNumId w:val="86"/>
  </w:num>
  <w:num w:numId="18">
    <w:abstractNumId w:val="9"/>
  </w:num>
  <w:num w:numId="19">
    <w:abstractNumId w:val="58"/>
  </w:num>
  <w:num w:numId="20">
    <w:abstractNumId w:val="109"/>
  </w:num>
  <w:num w:numId="21">
    <w:abstractNumId w:val="51"/>
  </w:num>
  <w:num w:numId="22">
    <w:abstractNumId w:val="21"/>
  </w:num>
  <w:num w:numId="23">
    <w:abstractNumId w:val="20"/>
  </w:num>
  <w:num w:numId="24">
    <w:abstractNumId w:val="92"/>
  </w:num>
  <w:num w:numId="25">
    <w:abstractNumId w:val="88"/>
    <w:lvlOverride w:ilvl="0">
      <w:startOverride w:val="1"/>
    </w:lvlOverride>
  </w:num>
  <w:num w:numId="26">
    <w:abstractNumId w:val="27"/>
  </w:num>
  <w:num w:numId="27">
    <w:abstractNumId w:val="94"/>
  </w:num>
  <w:num w:numId="28">
    <w:abstractNumId w:val="63"/>
  </w:num>
  <w:num w:numId="29">
    <w:abstractNumId w:val="37"/>
  </w:num>
  <w:num w:numId="30">
    <w:abstractNumId w:val="59"/>
  </w:num>
  <w:num w:numId="31">
    <w:abstractNumId w:val="149"/>
  </w:num>
  <w:num w:numId="32">
    <w:abstractNumId w:val="62"/>
  </w:num>
  <w:num w:numId="33">
    <w:abstractNumId w:val="80"/>
  </w:num>
  <w:num w:numId="34">
    <w:abstractNumId w:val="116"/>
  </w:num>
  <w:num w:numId="35">
    <w:abstractNumId w:val="99"/>
  </w:num>
  <w:num w:numId="36">
    <w:abstractNumId w:val="0"/>
  </w:num>
  <w:num w:numId="37">
    <w:abstractNumId w:val="75"/>
  </w:num>
  <w:num w:numId="3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4"/>
  </w:num>
  <w:num w:numId="40">
    <w:abstractNumId w:val="88"/>
    <w:lvlOverride w:ilvl="0">
      <w:startOverride w:val="1"/>
    </w:lvlOverride>
  </w:num>
  <w:num w:numId="41">
    <w:abstractNumId w:val="28"/>
  </w:num>
  <w:num w:numId="42">
    <w:abstractNumId w:val="108"/>
  </w:num>
  <w:num w:numId="43">
    <w:abstractNumId w:val="10"/>
  </w:num>
  <w:num w:numId="44">
    <w:abstractNumId w:val="123"/>
  </w:num>
  <w:num w:numId="45">
    <w:abstractNumId w:val="67"/>
  </w:num>
  <w:num w:numId="46">
    <w:abstractNumId w:val="13"/>
  </w:num>
  <w:num w:numId="47">
    <w:abstractNumId w:val="133"/>
  </w:num>
  <w:num w:numId="48">
    <w:abstractNumId w:val="131"/>
  </w:num>
  <w:num w:numId="49">
    <w:abstractNumId w:val="66"/>
  </w:num>
  <w:num w:numId="50">
    <w:abstractNumId w:val="55"/>
  </w:num>
  <w:num w:numId="51">
    <w:abstractNumId w:val="4"/>
  </w:num>
  <w:num w:numId="52">
    <w:abstractNumId w:val="47"/>
  </w:num>
  <w:num w:numId="53">
    <w:abstractNumId w:val="72"/>
  </w:num>
  <w:num w:numId="54">
    <w:abstractNumId w:val="6"/>
  </w:num>
  <w:num w:numId="55">
    <w:abstractNumId w:val="33"/>
  </w:num>
  <w:num w:numId="56">
    <w:abstractNumId w:val="53"/>
  </w:num>
  <w:num w:numId="57">
    <w:abstractNumId w:val="157"/>
  </w:num>
  <w:num w:numId="58">
    <w:abstractNumId w:val="111"/>
  </w:num>
  <w:num w:numId="59">
    <w:abstractNumId w:val="32"/>
  </w:num>
  <w:num w:numId="60">
    <w:abstractNumId w:val="140"/>
  </w:num>
  <w:num w:numId="61">
    <w:abstractNumId w:val="50"/>
  </w:num>
  <w:num w:numId="62">
    <w:abstractNumId w:val="151"/>
  </w:num>
  <w:num w:numId="63">
    <w:abstractNumId w:val="158"/>
  </w:num>
  <w:num w:numId="64">
    <w:abstractNumId w:val="89"/>
  </w:num>
  <w:num w:numId="65">
    <w:abstractNumId w:val="54"/>
  </w:num>
  <w:num w:numId="66">
    <w:abstractNumId w:val="40"/>
  </w:num>
  <w:num w:numId="67">
    <w:abstractNumId w:val="127"/>
  </w:num>
  <w:num w:numId="68">
    <w:abstractNumId w:val="17"/>
  </w:num>
  <w:num w:numId="69">
    <w:abstractNumId w:val="132"/>
  </w:num>
  <w:num w:numId="70">
    <w:abstractNumId w:val="120"/>
  </w:num>
  <w:num w:numId="71">
    <w:abstractNumId w:val="107"/>
  </w:num>
  <w:num w:numId="72">
    <w:abstractNumId w:val="39"/>
  </w:num>
  <w:num w:numId="73">
    <w:abstractNumId w:val="141"/>
  </w:num>
  <w:num w:numId="74">
    <w:abstractNumId w:val="19"/>
  </w:num>
  <w:num w:numId="75">
    <w:abstractNumId w:val="76"/>
  </w:num>
  <w:num w:numId="76">
    <w:abstractNumId w:val="79"/>
  </w:num>
  <w:num w:numId="77">
    <w:abstractNumId w:val="145"/>
  </w:num>
  <w:num w:numId="78">
    <w:abstractNumId w:val="74"/>
  </w:num>
  <w:num w:numId="79">
    <w:abstractNumId w:val="7"/>
  </w:num>
  <w:num w:numId="80">
    <w:abstractNumId w:val="138"/>
  </w:num>
  <w:num w:numId="81">
    <w:abstractNumId w:val="118"/>
  </w:num>
  <w:num w:numId="82">
    <w:abstractNumId w:val="139"/>
  </w:num>
  <w:num w:numId="83">
    <w:abstractNumId w:val="1"/>
  </w:num>
  <w:num w:numId="84">
    <w:abstractNumId w:val="16"/>
  </w:num>
  <w:num w:numId="85">
    <w:abstractNumId w:val="125"/>
  </w:num>
  <w:num w:numId="86">
    <w:abstractNumId w:val="14"/>
  </w:num>
  <w:num w:numId="87">
    <w:abstractNumId w:val="142"/>
  </w:num>
  <w:num w:numId="88">
    <w:abstractNumId w:val="85"/>
  </w:num>
  <w:num w:numId="89">
    <w:abstractNumId w:val="43"/>
  </w:num>
  <w:num w:numId="90">
    <w:abstractNumId w:val="3"/>
  </w:num>
  <w:num w:numId="91">
    <w:abstractNumId w:val="122"/>
  </w:num>
  <w:num w:numId="92">
    <w:abstractNumId w:val="105"/>
  </w:num>
  <w:num w:numId="93">
    <w:abstractNumId w:val="70"/>
  </w:num>
  <w:num w:numId="94">
    <w:abstractNumId w:val="84"/>
  </w:num>
  <w:num w:numId="95">
    <w:abstractNumId w:val="90"/>
  </w:num>
  <w:num w:numId="96">
    <w:abstractNumId w:val="49"/>
  </w:num>
  <w:num w:numId="97">
    <w:abstractNumId w:val="129"/>
  </w:num>
  <w:num w:numId="98">
    <w:abstractNumId w:val="136"/>
  </w:num>
  <w:num w:numId="99">
    <w:abstractNumId w:val="65"/>
  </w:num>
  <w:num w:numId="100">
    <w:abstractNumId w:val="128"/>
  </w:num>
  <w:num w:numId="101">
    <w:abstractNumId w:val="22"/>
  </w:num>
  <w:num w:numId="102">
    <w:abstractNumId w:val="106"/>
  </w:num>
  <w:num w:numId="103">
    <w:abstractNumId w:val="130"/>
  </w:num>
  <w:num w:numId="104">
    <w:abstractNumId w:val="96"/>
  </w:num>
  <w:num w:numId="105">
    <w:abstractNumId w:val="121"/>
  </w:num>
  <w:num w:numId="106">
    <w:abstractNumId w:val="152"/>
  </w:num>
  <w:num w:numId="107">
    <w:abstractNumId w:val="42"/>
  </w:num>
  <w:num w:numId="108">
    <w:abstractNumId w:val="104"/>
  </w:num>
  <w:num w:numId="109">
    <w:abstractNumId w:val="78"/>
  </w:num>
  <w:num w:numId="110">
    <w:abstractNumId w:val="68"/>
  </w:num>
  <w:num w:numId="111">
    <w:abstractNumId w:val="77"/>
  </w:num>
  <w:num w:numId="112">
    <w:abstractNumId w:val="102"/>
  </w:num>
  <w:num w:numId="113">
    <w:abstractNumId w:val="148"/>
  </w:num>
  <w:num w:numId="114">
    <w:abstractNumId w:val="143"/>
  </w:num>
  <w:num w:numId="115">
    <w:abstractNumId w:val="18"/>
  </w:num>
  <w:num w:numId="116">
    <w:abstractNumId w:val="5"/>
  </w:num>
  <w:num w:numId="117">
    <w:abstractNumId w:val="101"/>
  </w:num>
  <w:num w:numId="118">
    <w:abstractNumId w:val="81"/>
  </w:num>
  <w:num w:numId="119">
    <w:abstractNumId w:val="12"/>
  </w:num>
  <w:num w:numId="120">
    <w:abstractNumId w:val="87"/>
  </w:num>
  <w:num w:numId="121">
    <w:abstractNumId w:val="46"/>
  </w:num>
  <w:num w:numId="122">
    <w:abstractNumId w:val="44"/>
  </w:num>
  <w:num w:numId="123">
    <w:abstractNumId w:val="45"/>
  </w:num>
  <w:num w:numId="124">
    <w:abstractNumId w:val="97"/>
  </w:num>
  <w:num w:numId="125">
    <w:abstractNumId w:val="117"/>
  </w:num>
  <w:num w:numId="126">
    <w:abstractNumId w:val="95"/>
  </w:num>
  <w:num w:numId="127">
    <w:abstractNumId w:val="8"/>
  </w:num>
  <w:num w:numId="128">
    <w:abstractNumId w:val="126"/>
  </w:num>
  <w:num w:numId="129">
    <w:abstractNumId w:val="34"/>
  </w:num>
  <w:num w:numId="130">
    <w:abstractNumId w:val="82"/>
  </w:num>
  <w:num w:numId="131">
    <w:abstractNumId w:val="110"/>
  </w:num>
  <w:num w:numId="132">
    <w:abstractNumId w:val="93"/>
  </w:num>
  <w:num w:numId="133">
    <w:abstractNumId w:val="15"/>
  </w:num>
  <w:num w:numId="134">
    <w:abstractNumId w:val="155"/>
  </w:num>
  <w:num w:numId="135">
    <w:abstractNumId w:val="11"/>
  </w:num>
  <w:num w:numId="136">
    <w:abstractNumId w:val="35"/>
  </w:num>
  <w:num w:numId="137">
    <w:abstractNumId w:val="153"/>
  </w:num>
  <w:num w:numId="138">
    <w:abstractNumId w:val="23"/>
  </w:num>
  <w:num w:numId="139">
    <w:abstractNumId w:val="114"/>
  </w:num>
  <w:num w:numId="140">
    <w:abstractNumId w:val="113"/>
  </w:num>
  <w:num w:numId="141">
    <w:abstractNumId w:val="69"/>
  </w:num>
  <w:num w:numId="142">
    <w:abstractNumId w:val="29"/>
  </w:num>
  <w:num w:numId="143">
    <w:abstractNumId w:val="2"/>
  </w:num>
  <w:num w:numId="144">
    <w:abstractNumId w:val="57"/>
  </w:num>
  <w:num w:numId="145">
    <w:abstractNumId w:val="137"/>
  </w:num>
  <w:num w:numId="146">
    <w:abstractNumId w:val="91"/>
  </w:num>
  <w:num w:numId="147">
    <w:abstractNumId w:val="103"/>
  </w:num>
  <w:num w:numId="148">
    <w:abstractNumId w:val="56"/>
  </w:num>
  <w:num w:numId="149">
    <w:abstractNumId w:val="101"/>
  </w:num>
  <w:num w:numId="150">
    <w:abstractNumId w:val="52"/>
  </w:num>
  <w:num w:numId="151">
    <w:abstractNumId w:val="101"/>
  </w:num>
  <w:num w:numId="152">
    <w:abstractNumId w:val="100"/>
  </w:num>
  <w:num w:numId="153">
    <w:abstractNumId w:val="98"/>
  </w:num>
  <w:num w:numId="154">
    <w:abstractNumId w:val="150"/>
  </w:num>
  <w:num w:numId="155">
    <w:abstractNumId w:val="38"/>
  </w:num>
  <w:num w:numId="156">
    <w:abstractNumId w:val="64"/>
  </w:num>
  <w:num w:numId="157">
    <w:abstractNumId w:val="146"/>
  </w:num>
  <w:num w:numId="158">
    <w:abstractNumId w:val="101"/>
  </w:num>
  <w:num w:numId="159">
    <w:abstractNumId w:val="134"/>
  </w:num>
  <w:num w:numId="160">
    <w:abstractNumId w:val="112"/>
  </w:num>
  <w:num w:numId="161">
    <w:abstractNumId w:val="134"/>
  </w:num>
  <w:num w:numId="162">
    <w:abstractNumId w:val="134"/>
  </w:num>
  <w:num w:numId="163">
    <w:abstractNumId w:val="83"/>
  </w:num>
  <w:num w:numId="164">
    <w:abstractNumId w:val="30"/>
    <w:lvlOverride w:ilvl="0">
      <w:startOverride w:val="1"/>
    </w:lvlOverride>
    <w:lvlOverride w:ilvl="1"/>
    <w:lvlOverride w:ilvl="2"/>
    <w:lvlOverride w:ilvl="3"/>
    <w:lvlOverride w:ilvl="4"/>
    <w:lvlOverride w:ilvl="5"/>
    <w:lvlOverride w:ilvl="6"/>
    <w:lvlOverride w:ilvl="7"/>
    <w:lvlOverride w:ilvl="8"/>
  </w:num>
  <w:num w:numId="165">
    <w:abstractNumId w:val="71"/>
  </w:num>
  <w:num w:numId="166">
    <w:abstractNumId w:val="119"/>
  </w:num>
  <w:num w:numId="167">
    <w:abstractNumId w:val="134"/>
    <w:lvlOverride w:ilvl="0">
      <w:startOverride w:val="1"/>
    </w:lvlOverride>
  </w:num>
  <w:num w:numId="168">
    <w:abstractNumId w:val="124"/>
  </w:num>
  <w:num w:numId="169">
    <w:abstractNumId w:val="154"/>
  </w:num>
  <w:num w:numId="170">
    <w:abstractNumId w:val="48"/>
  </w:num>
  <w:num w:numId="171">
    <w:abstractNumId w:val="154"/>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activeWritingStyle w:appName="MSWord" w:lang="fr-CA"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mailMerge>
    <w:mainDocumentType w:val="formLetters"/>
    <w:dataType w:val="textFile"/>
    <w:activeRecord w:val="-1"/>
  </w:mailMerge>
  <w:defaultTabStop w:val="567"/>
  <w:hyphenationZone w:val="425"/>
  <w:defaultTableStyle w:val="GridTable4-Accent3"/>
  <w:characterSpacingControl w:val="doNotCompress"/>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042"/>
    <w:rsid w:val="000006E3"/>
    <w:rsid w:val="00000962"/>
    <w:rsid w:val="0000150F"/>
    <w:rsid w:val="00001F7B"/>
    <w:rsid w:val="00002222"/>
    <w:rsid w:val="000022FD"/>
    <w:rsid w:val="00002477"/>
    <w:rsid w:val="00002678"/>
    <w:rsid w:val="00002A0C"/>
    <w:rsid w:val="00002EE0"/>
    <w:rsid w:val="000036E5"/>
    <w:rsid w:val="000044E9"/>
    <w:rsid w:val="0000476B"/>
    <w:rsid w:val="00004920"/>
    <w:rsid w:val="00004CCA"/>
    <w:rsid w:val="0000514C"/>
    <w:rsid w:val="0000566B"/>
    <w:rsid w:val="00005952"/>
    <w:rsid w:val="00006116"/>
    <w:rsid w:val="000062A1"/>
    <w:rsid w:val="000064C3"/>
    <w:rsid w:val="000068EE"/>
    <w:rsid w:val="00006915"/>
    <w:rsid w:val="0000693D"/>
    <w:rsid w:val="00006AE9"/>
    <w:rsid w:val="00006EE9"/>
    <w:rsid w:val="0000717A"/>
    <w:rsid w:val="00007CFB"/>
    <w:rsid w:val="000100B7"/>
    <w:rsid w:val="000107B3"/>
    <w:rsid w:val="0001084A"/>
    <w:rsid w:val="00010B01"/>
    <w:rsid w:val="00010ED9"/>
    <w:rsid w:val="00011026"/>
    <w:rsid w:val="00011132"/>
    <w:rsid w:val="00011546"/>
    <w:rsid w:val="00011713"/>
    <w:rsid w:val="0001226A"/>
    <w:rsid w:val="00012943"/>
    <w:rsid w:val="0001294F"/>
    <w:rsid w:val="00012E74"/>
    <w:rsid w:val="00013000"/>
    <w:rsid w:val="0001359C"/>
    <w:rsid w:val="00013881"/>
    <w:rsid w:val="0001393A"/>
    <w:rsid w:val="00013A75"/>
    <w:rsid w:val="00013B75"/>
    <w:rsid w:val="00013D78"/>
    <w:rsid w:val="00013E9E"/>
    <w:rsid w:val="00013EA4"/>
    <w:rsid w:val="000140BC"/>
    <w:rsid w:val="000140C8"/>
    <w:rsid w:val="00014712"/>
    <w:rsid w:val="00014973"/>
    <w:rsid w:val="00014B3B"/>
    <w:rsid w:val="0001508C"/>
    <w:rsid w:val="0001545C"/>
    <w:rsid w:val="00015973"/>
    <w:rsid w:val="00015B38"/>
    <w:rsid w:val="00015D7B"/>
    <w:rsid w:val="000160F5"/>
    <w:rsid w:val="00016A2E"/>
    <w:rsid w:val="00016F4E"/>
    <w:rsid w:val="00017563"/>
    <w:rsid w:val="00017680"/>
    <w:rsid w:val="000179E6"/>
    <w:rsid w:val="00017A53"/>
    <w:rsid w:val="00020196"/>
    <w:rsid w:val="00020431"/>
    <w:rsid w:val="00020587"/>
    <w:rsid w:val="000206BB"/>
    <w:rsid w:val="000207BA"/>
    <w:rsid w:val="00020823"/>
    <w:rsid w:val="00020E0E"/>
    <w:rsid w:val="000212CE"/>
    <w:rsid w:val="00021658"/>
    <w:rsid w:val="00021A9A"/>
    <w:rsid w:val="00021C6C"/>
    <w:rsid w:val="00022514"/>
    <w:rsid w:val="000227B8"/>
    <w:rsid w:val="00022CD0"/>
    <w:rsid w:val="00022D9F"/>
    <w:rsid w:val="00022E87"/>
    <w:rsid w:val="00022FE5"/>
    <w:rsid w:val="0002346A"/>
    <w:rsid w:val="0002353D"/>
    <w:rsid w:val="00023621"/>
    <w:rsid w:val="00023663"/>
    <w:rsid w:val="00023C89"/>
    <w:rsid w:val="00024230"/>
    <w:rsid w:val="000243B2"/>
    <w:rsid w:val="000245A7"/>
    <w:rsid w:val="00024A6A"/>
    <w:rsid w:val="00024C1F"/>
    <w:rsid w:val="00024FE0"/>
    <w:rsid w:val="0002517D"/>
    <w:rsid w:val="000253EC"/>
    <w:rsid w:val="0002630C"/>
    <w:rsid w:val="000265CD"/>
    <w:rsid w:val="00026679"/>
    <w:rsid w:val="000267AB"/>
    <w:rsid w:val="00026E8F"/>
    <w:rsid w:val="00027148"/>
    <w:rsid w:val="00027296"/>
    <w:rsid w:val="000278CF"/>
    <w:rsid w:val="000279B1"/>
    <w:rsid w:val="00027C07"/>
    <w:rsid w:val="00027EBC"/>
    <w:rsid w:val="00027FC8"/>
    <w:rsid w:val="0003025F"/>
    <w:rsid w:val="00030407"/>
    <w:rsid w:val="0003055F"/>
    <w:rsid w:val="000309CE"/>
    <w:rsid w:val="00031095"/>
    <w:rsid w:val="000311D8"/>
    <w:rsid w:val="00031ADE"/>
    <w:rsid w:val="00031E6C"/>
    <w:rsid w:val="00031F0C"/>
    <w:rsid w:val="00031F39"/>
    <w:rsid w:val="00032108"/>
    <w:rsid w:val="00032E1C"/>
    <w:rsid w:val="00033747"/>
    <w:rsid w:val="0003376B"/>
    <w:rsid w:val="000337EF"/>
    <w:rsid w:val="00033CA9"/>
    <w:rsid w:val="00033DA4"/>
    <w:rsid w:val="00033E48"/>
    <w:rsid w:val="0003453A"/>
    <w:rsid w:val="00034764"/>
    <w:rsid w:val="00034C29"/>
    <w:rsid w:val="0003544F"/>
    <w:rsid w:val="00035587"/>
    <w:rsid w:val="000356E8"/>
    <w:rsid w:val="00035A74"/>
    <w:rsid w:val="00035DB5"/>
    <w:rsid w:val="00036C0E"/>
    <w:rsid w:val="000370CE"/>
    <w:rsid w:val="00037A67"/>
    <w:rsid w:val="00037E32"/>
    <w:rsid w:val="00040940"/>
    <w:rsid w:val="00040E88"/>
    <w:rsid w:val="00040EAC"/>
    <w:rsid w:val="00040F54"/>
    <w:rsid w:val="000411E6"/>
    <w:rsid w:val="000419D9"/>
    <w:rsid w:val="00042655"/>
    <w:rsid w:val="00042A17"/>
    <w:rsid w:val="00042C23"/>
    <w:rsid w:val="0004329E"/>
    <w:rsid w:val="00043742"/>
    <w:rsid w:val="0004385E"/>
    <w:rsid w:val="00043EE1"/>
    <w:rsid w:val="000440C2"/>
    <w:rsid w:val="000441C6"/>
    <w:rsid w:val="000446C1"/>
    <w:rsid w:val="00044A34"/>
    <w:rsid w:val="0004538D"/>
    <w:rsid w:val="00045495"/>
    <w:rsid w:val="00045942"/>
    <w:rsid w:val="000459AD"/>
    <w:rsid w:val="00045A32"/>
    <w:rsid w:val="00045DD2"/>
    <w:rsid w:val="00045F1B"/>
    <w:rsid w:val="00045F48"/>
    <w:rsid w:val="00045F6B"/>
    <w:rsid w:val="00046004"/>
    <w:rsid w:val="00046638"/>
    <w:rsid w:val="00046AF0"/>
    <w:rsid w:val="00046C9C"/>
    <w:rsid w:val="0004705F"/>
    <w:rsid w:val="00047145"/>
    <w:rsid w:val="0004725A"/>
    <w:rsid w:val="0004747F"/>
    <w:rsid w:val="00047796"/>
    <w:rsid w:val="00047E97"/>
    <w:rsid w:val="00047FB5"/>
    <w:rsid w:val="0005001C"/>
    <w:rsid w:val="000500A1"/>
    <w:rsid w:val="000501C9"/>
    <w:rsid w:val="00050D6B"/>
    <w:rsid w:val="00050D87"/>
    <w:rsid w:val="00050DF1"/>
    <w:rsid w:val="00050E30"/>
    <w:rsid w:val="00050ED2"/>
    <w:rsid w:val="00050EF0"/>
    <w:rsid w:val="00051058"/>
    <w:rsid w:val="0005126C"/>
    <w:rsid w:val="00051689"/>
    <w:rsid w:val="00052ADF"/>
    <w:rsid w:val="00052BF7"/>
    <w:rsid w:val="00053191"/>
    <w:rsid w:val="000531AF"/>
    <w:rsid w:val="000536D5"/>
    <w:rsid w:val="000537C0"/>
    <w:rsid w:val="00053A92"/>
    <w:rsid w:val="00053B1C"/>
    <w:rsid w:val="00054036"/>
    <w:rsid w:val="000544D2"/>
    <w:rsid w:val="00054751"/>
    <w:rsid w:val="00054778"/>
    <w:rsid w:val="00054BE3"/>
    <w:rsid w:val="00054D62"/>
    <w:rsid w:val="0005522D"/>
    <w:rsid w:val="0005557F"/>
    <w:rsid w:val="0005565E"/>
    <w:rsid w:val="000556FB"/>
    <w:rsid w:val="000558E5"/>
    <w:rsid w:val="00056412"/>
    <w:rsid w:val="000564F8"/>
    <w:rsid w:val="00056C3D"/>
    <w:rsid w:val="00056CF7"/>
    <w:rsid w:val="00057AB0"/>
    <w:rsid w:val="00057F0D"/>
    <w:rsid w:val="00060787"/>
    <w:rsid w:val="00060C76"/>
    <w:rsid w:val="00061104"/>
    <w:rsid w:val="00061127"/>
    <w:rsid w:val="000612DC"/>
    <w:rsid w:val="000612E4"/>
    <w:rsid w:val="000613CF"/>
    <w:rsid w:val="0006140B"/>
    <w:rsid w:val="0006177C"/>
    <w:rsid w:val="00062144"/>
    <w:rsid w:val="000621CD"/>
    <w:rsid w:val="00062404"/>
    <w:rsid w:val="0006248E"/>
    <w:rsid w:val="0006272C"/>
    <w:rsid w:val="00062B74"/>
    <w:rsid w:val="00062B9D"/>
    <w:rsid w:val="00062C75"/>
    <w:rsid w:val="00062DCA"/>
    <w:rsid w:val="00062FA4"/>
    <w:rsid w:val="0006309D"/>
    <w:rsid w:val="0006374D"/>
    <w:rsid w:val="0006379D"/>
    <w:rsid w:val="00063D1A"/>
    <w:rsid w:val="00064107"/>
    <w:rsid w:val="00064465"/>
    <w:rsid w:val="0006464C"/>
    <w:rsid w:val="000648A0"/>
    <w:rsid w:val="00064A52"/>
    <w:rsid w:val="00064BAE"/>
    <w:rsid w:val="0006504A"/>
    <w:rsid w:val="000653C1"/>
    <w:rsid w:val="000655C1"/>
    <w:rsid w:val="000657FC"/>
    <w:rsid w:val="00065ADB"/>
    <w:rsid w:val="00065F63"/>
    <w:rsid w:val="00066AF2"/>
    <w:rsid w:val="00066F57"/>
    <w:rsid w:val="00066F5E"/>
    <w:rsid w:val="00066FA3"/>
    <w:rsid w:val="00067BEC"/>
    <w:rsid w:val="00067C58"/>
    <w:rsid w:val="000701B6"/>
    <w:rsid w:val="00070239"/>
    <w:rsid w:val="00070252"/>
    <w:rsid w:val="000702C4"/>
    <w:rsid w:val="00070347"/>
    <w:rsid w:val="000703EC"/>
    <w:rsid w:val="000707D3"/>
    <w:rsid w:val="000708D6"/>
    <w:rsid w:val="00070928"/>
    <w:rsid w:val="00070CD8"/>
    <w:rsid w:val="00071373"/>
    <w:rsid w:val="0007194A"/>
    <w:rsid w:val="00071E47"/>
    <w:rsid w:val="00071EA9"/>
    <w:rsid w:val="00071F4A"/>
    <w:rsid w:val="0007261D"/>
    <w:rsid w:val="00072904"/>
    <w:rsid w:val="00072D68"/>
    <w:rsid w:val="00072F9C"/>
    <w:rsid w:val="00073202"/>
    <w:rsid w:val="0007358A"/>
    <w:rsid w:val="00073660"/>
    <w:rsid w:val="000737C9"/>
    <w:rsid w:val="000740B5"/>
    <w:rsid w:val="000742BB"/>
    <w:rsid w:val="00074357"/>
    <w:rsid w:val="000744E0"/>
    <w:rsid w:val="0007488D"/>
    <w:rsid w:val="0007491E"/>
    <w:rsid w:val="00074D3D"/>
    <w:rsid w:val="0007506F"/>
    <w:rsid w:val="00075395"/>
    <w:rsid w:val="000760CD"/>
    <w:rsid w:val="0007623D"/>
    <w:rsid w:val="000763CB"/>
    <w:rsid w:val="000765ED"/>
    <w:rsid w:val="00076AB6"/>
    <w:rsid w:val="00076C83"/>
    <w:rsid w:val="00076CD5"/>
    <w:rsid w:val="00076D53"/>
    <w:rsid w:val="00076E25"/>
    <w:rsid w:val="0007750B"/>
    <w:rsid w:val="00077813"/>
    <w:rsid w:val="00077D1F"/>
    <w:rsid w:val="00077EDF"/>
    <w:rsid w:val="00077F41"/>
    <w:rsid w:val="000801A7"/>
    <w:rsid w:val="000802C1"/>
    <w:rsid w:val="00081166"/>
    <w:rsid w:val="00081875"/>
    <w:rsid w:val="00081DD2"/>
    <w:rsid w:val="00081E28"/>
    <w:rsid w:val="00081F8E"/>
    <w:rsid w:val="0008200C"/>
    <w:rsid w:val="00082219"/>
    <w:rsid w:val="000823C5"/>
    <w:rsid w:val="000824E3"/>
    <w:rsid w:val="0008284E"/>
    <w:rsid w:val="0008289B"/>
    <w:rsid w:val="00082B10"/>
    <w:rsid w:val="00082B43"/>
    <w:rsid w:val="00082CEB"/>
    <w:rsid w:val="000831A1"/>
    <w:rsid w:val="000831DB"/>
    <w:rsid w:val="000838B7"/>
    <w:rsid w:val="000838BC"/>
    <w:rsid w:val="000839A9"/>
    <w:rsid w:val="00083CCA"/>
    <w:rsid w:val="00083CF7"/>
    <w:rsid w:val="00083E2A"/>
    <w:rsid w:val="0008448B"/>
    <w:rsid w:val="00084534"/>
    <w:rsid w:val="000846B3"/>
    <w:rsid w:val="0008494C"/>
    <w:rsid w:val="00084999"/>
    <w:rsid w:val="00084B53"/>
    <w:rsid w:val="00084C9B"/>
    <w:rsid w:val="00084F7A"/>
    <w:rsid w:val="00084FB4"/>
    <w:rsid w:val="00084FF6"/>
    <w:rsid w:val="0008533C"/>
    <w:rsid w:val="00085979"/>
    <w:rsid w:val="00085D6F"/>
    <w:rsid w:val="000862FA"/>
    <w:rsid w:val="0008648C"/>
    <w:rsid w:val="0008664C"/>
    <w:rsid w:val="000869E6"/>
    <w:rsid w:val="00086A1E"/>
    <w:rsid w:val="00086AFF"/>
    <w:rsid w:val="00086C40"/>
    <w:rsid w:val="00086C4E"/>
    <w:rsid w:val="00086E0B"/>
    <w:rsid w:val="00086FD0"/>
    <w:rsid w:val="00087160"/>
    <w:rsid w:val="0008778F"/>
    <w:rsid w:val="00087958"/>
    <w:rsid w:val="00087975"/>
    <w:rsid w:val="000910BA"/>
    <w:rsid w:val="0009135F"/>
    <w:rsid w:val="00091393"/>
    <w:rsid w:val="0009172D"/>
    <w:rsid w:val="00091AC3"/>
    <w:rsid w:val="00091C06"/>
    <w:rsid w:val="00091C81"/>
    <w:rsid w:val="00091C87"/>
    <w:rsid w:val="00091FB9"/>
    <w:rsid w:val="0009219F"/>
    <w:rsid w:val="000923EA"/>
    <w:rsid w:val="00092463"/>
    <w:rsid w:val="00092465"/>
    <w:rsid w:val="0009284F"/>
    <w:rsid w:val="00092AB5"/>
    <w:rsid w:val="00092E2A"/>
    <w:rsid w:val="00092E3D"/>
    <w:rsid w:val="00092E4E"/>
    <w:rsid w:val="000930A7"/>
    <w:rsid w:val="00093404"/>
    <w:rsid w:val="00093B03"/>
    <w:rsid w:val="000943EE"/>
    <w:rsid w:val="00094411"/>
    <w:rsid w:val="000945CA"/>
    <w:rsid w:val="00094628"/>
    <w:rsid w:val="000949B2"/>
    <w:rsid w:val="00095335"/>
    <w:rsid w:val="0009565B"/>
    <w:rsid w:val="00095810"/>
    <w:rsid w:val="000959B5"/>
    <w:rsid w:val="000970B9"/>
    <w:rsid w:val="00097A3F"/>
    <w:rsid w:val="00097A82"/>
    <w:rsid w:val="00097CE7"/>
    <w:rsid w:val="00097F23"/>
    <w:rsid w:val="00097FCE"/>
    <w:rsid w:val="00097FF5"/>
    <w:rsid w:val="000A0939"/>
    <w:rsid w:val="000A0BE2"/>
    <w:rsid w:val="000A0C01"/>
    <w:rsid w:val="000A0FE6"/>
    <w:rsid w:val="000A126D"/>
    <w:rsid w:val="000A14CF"/>
    <w:rsid w:val="000A1728"/>
    <w:rsid w:val="000A2C3B"/>
    <w:rsid w:val="000A2DF2"/>
    <w:rsid w:val="000A333B"/>
    <w:rsid w:val="000A3644"/>
    <w:rsid w:val="000A36F3"/>
    <w:rsid w:val="000A38E3"/>
    <w:rsid w:val="000A3C55"/>
    <w:rsid w:val="000A3FBE"/>
    <w:rsid w:val="000A3FDE"/>
    <w:rsid w:val="000A4057"/>
    <w:rsid w:val="000A4760"/>
    <w:rsid w:val="000A4BCF"/>
    <w:rsid w:val="000A4EF9"/>
    <w:rsid w:val="000A5376"/>
    <w:rsid w:val="000A5CE9"/>
    <w:rsid w:val="000A5F7C"/>
    <w:rsid w:val="000A6DC4"/>
    <w:rsid w:val="000A6E8A"/>
    <w:rsid w:val="000A7018"/>
    <w:rsid w:val="000A705B"/>
    <w:rsid w:val="000A7200"/>
    <w:rsid w:val="000A7254"/>
    <w:rsid w:val="000A7958"/>
    <w:rsid w:val="000A79FF"/>
    <w:rsid w:val="000A7EC1"/>
    <w:rsid w:val="000A7FE0"/>
    <w:rsid w:val="000B0100"/>
    <w:rsid w:val="000B0990"/>
    <w:rsid w:val="000B0FB3"/>
    <w:rsid w:val="000B1484"/>
    <w:rsid w:val="000B1575"/>
    <w:rsid w:val="000B167F"/>
    <w:rsid w:val="000B1892"/>
    <w:rsid w:val="000B18FD"/>
    <w:rsid w:val="000B197F"/>
    <w:rsid w:val="000B199E"/>
    <w:rsid w:val="000B1C88"/>
    <w:rsid w:val="000B21A6"/>
    <w:rsid w:val="000B234F"/>
    <w:rsid w:val="000B24D3"/>
    <w:rsid w:val="000B24FA"/>
    <w:rsid w:val="000B2534"/>
    <w:rsid w:val="000B2AAD"/>
    <w:rsid w:val="000B2CCD"/>
    <w:rsid w:val="000B30AF"/>
    <w:rsid w:val="000B357C"/>
    <w:rsid w:val="000B35AC"/>
    <w:rsid w:val="000B3728"/>
    <w:rsid w:val="000B378E"/>
    <w:rsid w:val="000B3DCA"/>
    <w:rsid w:val="000B473D"/>
    <w:rsid w:val="000B483F"/>
    <w:rsid w:val="000B487E"/>
    <w:rsid w:val="000B48DB"/>
    <w:rsid w:val="000B490A"/>
    <w:rsid w:val="000B49A2"/>
    <w:rsid w:val="000B4B1F"/>
    <w:rsid w:val="000B4CE8"/>
    <w:rsid w:val="000B4D61"/>
    <w:rsid w:val="000B4EB8"/>
    <w:rsid w:val="000B5054"/>
    <w:rsid w:val="000B52C1"/>
    <w:rsid w:val="000B52C9"/>
    <w:rsid w:val="000B52F1"/>
    <w:rsid w:val="000B544F"/>
    <w:rsid w:val="000B5E6B"/>
    <w:rsid w:val="000B5EEC"/>
    <w:rsid w:val="000B60E6"/>
    <w:rsid w:val="000B63BB"/>
    <w:rsid w:val="000B6543"/>
    <w:rsid w:val="000B710A"/>
    <w:rsid w:val="000B7216"/>
    <w:rsid w:val="000B76A8"/>
    <w:rsid w:val="000B76F2"/>
    <w:rsid w:val="000B7D7D"/>
    <w:rsid w:val="000B7F3F"/>
    <w:rsid w:val="000C0435"/>
    <w:rsid w:val="000C04E8"/>
    <w:rsid w:val="000C098B"/>
    <w:rsid w:val="000C0A46"/>
    <w:rsid w:val="000C0BD8"/>
    <w:rsid w:val="000C0CE4"/>
    <w:rsid w:val="000C10BE"/>
    <w:rsid w:val="000C182E"/>
    <w:rsid w:val="000C185A"/>
    <w:rsid w:val="000C18EC"/>
    <w:rsid w:val="000C1AEA"/>
    <w:rsid w:val="000C2086"/>
    <w:rsid w:val="000C2144"/>
    <w:rsid w:val="000C24F6"/>
    <w:rsid w:val="000C2699"/>
    <w:rsid w:val="000C2768"/>
    <w:rsid w:val="000C2B97"/>
    <w:rsid w:val="000C2EE2"/>
    <w:rsid w:val="000C3580"/>
    <w:rsid w:val="000C366C"/>
    <w:rsid w:val="000C4035"/>
    <w:rsid w:val="000C41CB"/>
    <w:rsid w:val="000C421B"/>
    <w:rsid w:val="000C4299"/>
    <w:rsid w:val="000C46F6"/>
    <w:rsid w:val="000C4756"/>
    <w:rsid w:val="000C498A"/>
    <w:rsid w:val="000C4AF1"/>
    <w:rsid w:val="000C4B00"/>
    <w:rsid w:val="000C4DF5"/>
    <w:rsid w:val="000C5002"/>
    <w:rsid w:val="000C50F0"/>
    <w:rsid w:val="000C516E"/>
    <w:rsid w:val="000C5351"/>
    <w:rsid w:val="000C5357"/>
    <w:rsid w:val="000C5375"/>
    <w:rsid w:val="000C53B1"/>
    <w:rsid w:val="000C53B3"/>
    <w:rsid w:val="000C5451"/>
    <w:rsid w:val="000C5483"/>
    <w:rsid w:val="000C548F"/>
    <w:rsid w:val="000C54E8"/>
    <w:rsid w:val="000C565E"/>
    <w:rsid w:val="000C5F18"/>
    <w:rsid w:val="000C5F9D"/>
    <w:rsid w:val="000C6126"/>
    <w:rsid w:val="000C62F9"/>
    <w:rsid w:val="000C64F7"/>
    <w:rsid w:val="000C6641"/>
    <w:rsid w:val="000C689B"/>
    <w:rsid w:val="000C6B29"/>
    <w:rsid w:val="000C6BE3"/>
    <w:rsid w:val="000C70F5"/>
    <w:rsid w:val="000C7453"/>
    <w:rsid w:val="000C7A37"/>
    <w:rsid w:val="000C7B86"/>
    <w:rsid w:val="000C7D4C"/>
    <w:rsid w:val="000C7EBF"/>
    <w:rsid w:val="000D0603"/>
    <w:rsid w:val="000D071D"/>
    <w:rsid w:val="000D0DE9"/>
    <w:rsid w:val="000D1176"/>
    <w:rsid w:val="000D14E3"/>
    <w:rsid w:val="000D18BC"/>
    <w:rsid w:val="000D1905"/>
    <w:rsid w:val="000D1CF6"/>
    <w:rsid w:val="000D1FF8"/>
    <w:rsid w:val="000D25AD"/>
    <w:rsid w:val="000D27B2"/>
    <w:rsid w:val="000D2CEC"/>
    <w:rsid w:val="000D2E96"/>
    <w:rsid w:val="000D3691"/>
    <w:rsid w:val="000D3857"/>
    <w:rsid w:val="000D3D4F"/>
    <w:rsid w:val="000D4345"/>
    <w:rsid w:val="000D4490"/>
    <w:rsid w:val="000D512F"/>
    <w:rsid w:val="000D5132"/>
    <w:rsid w:val="000D532B"/>
    <w:rsid w:val="000D5670"/>
    <w:rsid w:val="000D5B02"/>
    <w:rsid w:val="000D5C22"/>
    <w:rsid w:val="000D5CFD"/>
    <w:rsid w:val="000D5DE5"/>
    <w:rsid w:val="000D5E90"/>
    <w:rsid w:val="000D5ECA"/>
    <w:rsid w:val="000D60DB"/>
    <w:rsid w:val="000D6131"/>
    <w:rsid w:val="000D63FB"/>
    <w:rsid w:val="000D677B"/>
    <w:rsid w:val="000D68B2"/>
    <w:rsid w:val="000D6BFF"/>
    <w:rsid w:val="000D6C33"/>
    <w:rsid w:val="000D73DF"/>
    <w:rsid w:val="000D7716"/>
    <w:rsid w:val="000D7D7F"/>
    <w:rsid w:val="000D7EDA"/>
    <w:rsid w:val="000D7F4F"/>
    <w:rsid w:val="000E0021"/>
    <w:rsid w:val="000E015A"/>
    <w:rsid w:val="000E03E7"/>
    <w:rsid w:val="000E0526"/>
    <w:rsid w:val="000E05E0"/>
    <w:rsid w:val="000E064B"/>
    <w:rsid w:val="000E0690"/>
    <w:rsid w:val="000E07AD"/>
    <w:rsid w:val="000E0950"/>
    <w:rsid w:val="000E0DE2"/>
    <w:rsid w:val="000E0FE7"/>
    <w:rsid w:val="000E0FF8"/>
    <w:rsid w:val="000E13E8"/>
    <w:rsid w:val="000E1636"/>
    <w:rsid w:val="000E1934"/>
    <w:rsid w:val="000E1B03"/>
    <w:rsid w:val="000E1BE2"/>
    <w:rsid w:val="000E1D63"/>
    <w:rsid w:val="000E204F"/>
    <w:rsid w:val="000E247C"/>
    <w:rsid w:val="000E28DA"/>
    <w:rsid w:val="000E2F64"/>
    <w:rsid w:val="000E3310"/>
    <w:rsid w:val="000E347D"/>
    <w:rsid w:val="000E39CD"/>
    <w:rsid w:val="000E4A79"/>
    <w:rsid w:val="000E4CBE"/>
    <w:rsid w:val="000E4D4C"/>
    <w:rsid w:val="000E512E"/>
    <w:rsid w:val="000E521E"/>
    <w:rsid w:val="000E5433"/>
    <w:rsid w:val="000E5498"/>
    <w:rsid w:val="000E5530"/>
    <w:rsid w:val="000E574D"/>
    <w:rsid w:val="000E5890"/>
    <w:rsid w:val="000E5E69"/>
    <w:rsid w:val="000E5F6D"/>
    <w:rsid w:val="000E5FE9"/>
    <w:rsid w:val="000E6B0A"/>
    <w:rsid w:val="000E6C56"/>
    <w:rsid w:val="000E70E3"/>
    <w:rsid w:val="000E7727"/>
    <w:rsid w:val="000E7A4F"/>
    <w:rsid w:val="000F00E7"/>
    <w:rsid w:val="000F038B"/>
    <w:rsid w:val="000F0414"/>
    <w:rsid w:val="000F07CC"/>
    <w:rsid w:val="000F085F"/>
    <w:rsid w:val="000F0B7D"/>
    <w:rsid w:val="000F0D2A"/>
    <w:rsid w:val="000F0D87"/>
    <w:rsid w:val="000F0F68"/>
    <w:rsid w:val="000F0F7F"/>
    <w:rsid w:val="000F1863"/>
    <w:rsid w:val="000F1A82"/>
    <w:rsid w:val="000F2CDA"/>
    <w:rsid w:val="000F2E2B"/>
    <w:rsid w:val="000F2E9B"/>
    <w:rsid w:val="000F34E2"/>
    <w:rsid w:val="000F388E"/>
    <w:rsid w:val="000F3C1E"/>
    <w:rsid w:val="000F3CA8"/>
    <w:rsid w:val="000F3F4F"/>
    <w:rsid w:val="000F4169"/>
    <w:rsid w:val="000F4518"/>
    <w:rsid w:val="000F4DB6"/>
    <w:rsid w:val="000F5115"/>
    <w:rsid w:val="000F536D"/>
    <w:rsid w:val="000F5455"/>
    <w:rsid w:val="000F5BEB"/>
    <w:rsid w:val="000F6378"/>
    <w:rsid w:val="000F6A23"/>
    <w:rsid w:val="000F6A75"/>
    <w:rsid w:val="000F6B21"/>
    <w:rsid w:val="000F6B85"/>
    <w:rsid w:val="000F6D2F"/>
    <w:rsid w:val="000F6EE9"/>
    <w:rsid w:val="000F705F"/>
    <w:rsid w:val="000F72BF"/>
    <w:rsid w:val="000F73A5"/>
    <w:rsid w:val="000F7608"/>
    <w:rsid w:val="000F76AC"/>
    <w:rsid w:val="000F7D1F"/>
    <w:rsid w:val="000F7F35"/>
    <w:rsid w:val="000F7F49"/>
    <w:rsid w:val="0010003C"/>
    <w:rsid w:val="0010008F"/>
    <w:rsid w:val="001005C1"/>
    <w:rsid w:val="00100605"/>
    <w:rsid w:val="001007F0"/>
    <w:rsid w:val="0010086B"/>
    <w:rsid w:val="00100BAB"/>
    <w:rsid w:val="00100D0F"/>
    <w:rsid w:val="00100DFC"/>
    <w:rsid w:val="00100F2F"/>
    <w:rsid w:val="00101268"/>
    <w:rsid w:val="00101410"/>
    <w:rsid w:val="00101489"/>
    <w:rsid w:val="001015D3"/>
    <w:rsid w:val="00101DE4"/>
    <w:rsid w:val="00101E86"/>
    <w:rsid w:val="00102075"/>
    <w:rsid w:val="0010257C"/>
    <w:rsid w:val="00102D40"/>
    <w:rsid w:val="00103373"/>
    <w:rsid w:val="00103433"/>
    <w:rsid w:val="00103D46"/>
    <w:rsid w:val="00103DA5"/>
    <w:rsid w:val="00104311"/>
    <w:rsid w:val="0010517A"/>
    <w:rsid w:val="001051FE"/>
    <w:rsid w:val="00105EB2"/>
    <w:rsid w:val="00106078"/>
    <w:rsid w:val="0010664E"/>
    <w:rsid w:val="00106681"/>
    <w:rsid w:val="0010672D"/>
    <w:rsid w:val="0010682C"/>
    <w:rsid w:val="00106987"/>
    <w:rsid w:val="00106A37"/>
    <w:rsid w:val="00106A87"/>
    <w:rsid w:val="00106B0F"/>
    <w:rsid w:val="00106BB1"/>
    <w:rsid w:val="00106F4B"/>
    <w:rsid w:val="0010767D"/>
    <w:rsid w:val="001079FF"/>
    <w:rsid w:val="00107A57"/>
    <w:rsid w:val="00107B15"/>
    <w:rsid w:val="00107F53"/>
    <w:rsid w:val="00110042"/>
    <w:rsid w:val="001104FA"/>
    <w:rsid w:val="00110719"/>
    <w:rsid w:val="0011099B"/>
    <w:rsid w:val="001113FC"/>
    <w:rsid w:val="001114A9"/>
    <w:rsid w:val="001114C1"/>
    <w:rsid w:val="0011158E"/>
    <w:rsid w:val="0011166D"/>
    <w:rsid w:val="00111714"/>
    <w:rsid w:val="00111884"/>
    <w:rsid w:val="00111A0E"/>
    <w:rsid w:val="00111EFB"/>
    <w:rsid w:val="001121E7"/>
    <w:rsid w:val="001122B9"/>
    <w:rsid w:val="001122BF"/>
    <w:rsid w:val="00112877"/>
    <w:rsid w:val="00112C49"/>
    <w:rsid w:val="0011308E"/>
    <w:rsid w:val="00113744"/>
    <w:rsid w:val="00113841"/>
    <w:rsid w:val="00113907"/>
    <w:rsid w:val="001139E5"/>
    <w:rsid w:val="00113AE1"/>
    <w:rsid w:val="00113CF9"/>
    <w:rsid w:val="00113E12"/>
    <w:rsid w:val="001140C8"/>
    <w:rsid w:val="00114103"/>
    <w:rsid w:val="001141BB"/>
    <w:rsid w:val="001143E8"/>
    <w:rsid w:val="00114E0F"/>
    <w:rsid w:val="00115520"/>
    <w:rsid w:val="00115549"/>
    <w:rsid w:val="001156AF"/>
    <w:rsid w:val="00115D7F"/>
    <w:rsid w:val="00115F6A"/>
    <w:rsid w:val="00116136"/>
    <w:rsid w:val="00116A9A"/>
    <w:rsid w:val="00116BB6"/>
    <w:rsid w:val="00116F99"/>
    <w:rsid w:val="001176AD"/>
    <w:rsid w:val="0011770F"/>
    <w:rsid w:val="00117935"/>
    <w:rsid w:val="00117B4E"/>
    <w:rsid w:val="001201D4"/>
    <w:rsid w:val="001202B7"/>
    <w:rsid w:val="0012096A"/>
    <w:rsid w:val="00120ACD"/>
    <w:rsid w:val="00120CE6"/>
    <w:rsid w:val="00120E25"/>
    <w:rsid w:val="001214FE"/>
    <w:rsid w:val="00121576"/>
    <w:rsid w:val="0012185F"/>
    <w:rsid w:val="0012258D"/>
    <w:rsid w:val="00122872"/>
    <w:rsid w:val="0012287A"/>
    <w:rsid w:val="00122B8B"/>
    <w:rsid w:val="00122BBD"/>
    <w:rsid w:val="00122E25"/>
    <w:rsid w:val="00123147"/>
    <w:rsid w:val="00123BDE"/>
    <w:rsid w:val="00123D3B"/>
    <w:rsid w:val="00123EBF"/>
    <w:rsid w:val="00123ED4"/>
    <w:rsid w:val="00123F01"/>
    <w:rsid w:val="001247DF"/>
    <w:rsid w:val="00124833"/>
    <w:rsid w:val="00124A29"/>
    <w:rsid w:val="0012541B"/>
    <w:rsid w:val="00125AAD"/>
    <w:rsid w:val="00125F82"/>
    <w:rsid w:val="00125FC3"/>
    <w:rsid w:val="001261D7"/>
    <w:rsid w:val="001265C4"/>
    <w:rsid w:val="00126641"/>
    <w:rsid w:val="00126E67"/>
    <w:rsid w:val="00126E93"/>
    <w:rsid w:val="0012701C"/>
    <w:rsid w:val="0012764C"/>
    <w:rsid w:val="00127BD9"/>
    <w:rsid w:val="00130234"/>
    <w:rsid w:val="001306E4"/>
    <w:rsid w:val="00130B5D"/>
    <w:rsid w:val="00130C5B"/>
    <w:rsid w:val="00130E0F"/>
    <w:rsid w:val="00131546"/>
    <w:rsid w:val="00131578"/>
    <w:rsid w:val="001316B8"/>
    <w:rsid w:val="001319BA"/>
    <w:rsid w:val="00131D66"/>
    <w:rsid w:val="00131F19"/>
    <w:rsid w:val="001320F8"/>
    <w:rsid w:val="00132336"/>
    <w:rsid w:val="00132535"/>
    <w:rsid w:val="00132567"/>
    <w:rsid w:val="0013263E"/>
    <w:rsid w:val="001329BB"/>
    <w:rsid w:val="00132F58"/>
    <w:rsid w:val="00133B1C"/>
    <w:rsid w:val="001343E8"/>
    <w:rsid w:val="00134475"/>
    <w:rsid w:val="00134ACF"/>
    <w:rsid w:val="001352F2"/>
    <w:rsid w:val="00135D05"/>
    <w:rsid w:val="00135D88"/>
    <w:rsid w:val="00135E51"/>
    <w:rsid w:val="0013614E"/>
    <w:rsid w:val="00136321"/>
    <w:rsid w:val="0013638A"/>
    <w:rsid w:val="0013698A"/>
    <w:rsid w:val="00136AB0"/>
    <w:rsid w:val="00136C3E"/>
    <w:rsid w:val="00137097"/>
    <w:rsid w:val="00137537"/>
    <w:rsid w:val="001408CC"/>
    <w:rsid w:val="00140B7B"/>
    <w:rsid w:val="00141321"/>
    <w:rsid w:val="0014139C"/>
    <w:rsid w:val="00141621"/>
    <w:rsid w:val="00141E68"/>
    <w:rsid w:val="00142795"/>
    <w:rsid w:val="00142B28"/>
    <w:rsid w:val="00142C1E"/>
    <w:rsid w:val="00142C57"/>
    <w:rsid w:val="0014315F"/>
    <w:rsid w:val="0014366A"/>
    <w:rsid w:val="00143948"/>
    <w:rsid w:val="00143A60"/>
    <w:rsid w:val="00143DC8"/>
    <w:rsid w:val="00143F1F"/>
    <w:rsid w:val="0014411D"/>
    <w:rsid w:val="001445C5"/>
    <w:rsid w:val="00144C29"/>
    <w:rsid w:val="00144D8A"/>
    <w:rsid w:val="00144F4F"/>
    <w:rsid w:val="00145034"/>
    <w:rsid w:val="00145128"/>
    <w:rsid w:val="00145358"/>
    <w:rsid w:val="001453BB"/>
    <w:rsid w:val="001455B8"/>
    <w:rsid w:val="001461F3"/>
    <w:rsid w:val="00146541"/>
    <w:rsid w:val="00146742"/>
    <w:rsid w:val="0014694A"/>
    <w:rsid w:val="00146A89"/>
    <w:rsid w:val="00146D46"/>
    <w:rsid w:val="001470D8"/>
    <w:rsid w:val="001471DF"/>
    <w:rsid w:val="001472FA"/>
    <w:rsid w:val="00150150"/>
    <w:rsid w:val="00150566"/>
    <w:rsid w:val="00150C38"/>
    <w:rsid w:val="001513F0"/>
    <w:rsid w:val="0015141E"/>
    <w:rsid w:val="001514D7"/>
    <w:rsid w:val="0015155E"/>
    <w:rsid w:val="001518DA"/>
    <w:rsid w:val="00151AAE"/>
    <w:rsid w:val="00151F01"/>
    <w:rsid w:val="0015236D"/>
    <w:rsid w:val="00152849"/>
    <w:rsid w:val="001528CD"/>
    <w:rsid w:val="00152940"/>
    <w:rsid w:val="00152C99"/>
    <w:rsid w:val="00152DA0"/>
    <w:rsid w:val="001530FC"/>
    <w:rsid w:val="00153249"/>
    <w:rsid w:val="001533D8"/>
    <w:rsid w:val="001535F1"/>
    <w:rsid w:val="001537E9"/>
    <w:rsid w:val="00153816"/>
    <w:rsid w:val="00153957"/>
    <w:rsid w:val="00153CA2"/>
    <w:rsid w:val="001544CD"/>
    <w:rsid w:val="001545AB"/>
    <w:rsid w:val="0015489D"/>
    <w:rsid w:val="001548FB"/>
    <w:rsid w:val="00154A50"/>
    <w:rsid w:val="00154B2C"/>
    <w:rsid w:val="0015505E"/>
    <w:rsid w:val="001553A5"/>
    <w:rsid w:val="001560F9"/>
    <w:rsid w:val="001563B7"/>
    <w:rsid w:val="00156679"/>
    <w:rsid w:val="00156826"/>
    <w:rsid w:val="00156D4B"/>
    <w:rsid w:val="00157102"/>
    <w:rsid w:val="00157337"/>
    <w:rsid w:val="001576A1"/>
    <w:rsid w:val="00157751"/>
    <w:rsid w:val="0015789A"/>
    <w:rsid w:val="001578A9"/>
    <w:rsid w:val="00157B33"/>
    <w:rsid w:val="00157CAC"/>
    <w:rsid w:val="00157F85"/>
    <w:rsid w:val="0016013D"/>
    <w:rsid w:val="0016023F"/>
    <w:rsid w:val="001603C5"/>
    <w:rsid w:val="00160601"/>
    <w:rsid w:val="0016086D"/>
    <w:rsid w:val="001611A5"/>
    <w:rsid w:val="001614A0"/>
    <w:rsid w:val="00161BE6"/>
    <w:rsid w:val="00161F3A"/>
    <w:rsid w:val="00162703"/>
    <w:rsid w:val="001629A1"/>
    <w:rsid w:val="001629F3"/>
    <w:rsid w:val="00162BC1"/>
    <w:rsid w:val="00162E47"/>
    <w:rsid w:val="00162F73"/>
    <w:rsid w:val="001631CB"/>
    <w:rsid w:val="00163874"/>
    <w:rsid w:val="001638DC"/>
    <w:rsid w:val="00163AA0"/>
    <w:rsid w:val="001643F5"/>
    <w:rsid w:val="00164423"/>
    <w:rsid w:val="00164EAF"/>
    <w:rsid w:val="00164FEC"/>
    <w:rsid w:val="0016539B"/>
    <w:rsid w:val="00165514"/>
    <w:rsid w:val="001655DA"/>
    <w:rsid w:val="00165ACC"/>
    <w:rsid w:val="0016604A"/>
    <w:rsid w:val="001660A1"/>
    <w:rsid w:val="001661F9"/>
    <w:rsid w:val="00166228"/>
    <w:rsid w:val="001662A2"/>
    <w:rsid w:val="0016694A"/>
    <w:rsid w:val="0016694C"/>
    <w:rsid w:val="00166C3F"/>
    <w:rsid w:val="00166CAF"/>
    <w:rsid w:val="00166D14"/>
    <w:rsid w:val="00166D43"/>
    <w:rsid w:val="00167150"/>
    <w:rsid w:val="001671D2"/>
    <w:rsid w:val="001672F2"/>
    <w:rsid w:val="00167632"/>
    <w:rsid w:val="001677C8"/>
    <w:rsid w:val="00167A0E"/>
    <w:rsid w:val="001700F2"/>
    <w:rsid w:val="001700F4"/>
    <w:rsid w:val="001701C0"/>
    <w:rsid w:val="001704D2"/>
    <w:rsid w:val="00170653"/>
    <w:rsid w:val="00170846"/>
    <w:rsid w:val="0017098E"/>
    <w:rsid w:val="00170AFD"/>
    <w:rsid w:val="00170C40"/>
    <w:rsid w:val="00170EB5"/>
    <w:rsid w:val="00170F32"/>
    <w:rsid w:val="00171193"/>
    <w:rsid w:val="00171463"/>
    <w:rsid w:val="001717C6"/>
    <w:rsid w:val="00171AC1"/>
    <w:rsid w:val="00171BA8"/>
    <w:rsid w:val="00171DB2"/>
    <w:rsid w:val="00172119"/>
    <w:rsid w:val="001722C6"/>
    <w:rsid w:val="0017232B"/>
    <w:rsid w:val="0017270D"/>
    <w:rsid w:val="001727E3"/>
    <w:rsid w:val="00172A0E"/>
    <w:rsid w:val="0017395F"/>
    <w:rsid w:val="0017407B"/>
    <w:rsid w:val="001747D1"/>
    <w:rsid w:val="00174822"/>
    <w:rsid w:val="00174860"/>
    <w:rsid w:val="00174940"/>
    <w:rsid w:val="00174BD7"/>
    <w:rsid w:val="001751C2"/>
    <w:rsid w:val="00175794"/>
    <w:rsid w:val="00175BCE"/>
    <w:rsid w:val="00176080"/>
    <w:rsid w:val="00176294"/>
    <w:rsid w:val="001767DD"/>
    <w:rsid w:val="001768B6"/>
    <w:rsid w:val="00176E14"/>
    <w:rsid w:val="00176F32"/>
    <w:rsid w:val="00177E5A"/>
    <w:rsid w:val="00177E9F"/>
    <w:rsid w:val="001802A2"/>
    <w:rsid w:val="00180343"/>
    <w:rsid w:val="00180434"/>
    <w:rsid w:val="00180688"/>
    <w:rsid w:val="00180710"/>
    <w:rsid w:val="0018075E"/>
    <w:rsid w:val="0018075F"/>
    <w:rsid w:val="001807AC"/>
    <w:rsid w:val="001807ED"/>
    <w:rsid w:val="001808D2"/>
    <w:rsid w:val="001810DB"/>
    <w:rsid w:val="001817A3"/>
    <w:rsid w:val="00181812"/>
    <w:rsid w:val="00181A30"/>
    <w:rsid w:val="00181C5E"/>
    <w:rsid w:val="00181D56"/>
    <w:rsid w:val="001822ED"/>
    <w:rsid w:val="001824B2"/>
    <w:rsid w:val="001825EC"/>
    <w:rsid w:val="001826DB"/>
    <w:rsid w:val="00182826"/>
    <w:rsid w:val="00182A9B"/>
    <w:rsid w:val="00182CAC"/>
    <w:rsid w:val="00182DB9"/>
    <w:rsid w:val="00182EC2"/>
    <w:rsid w:val="00183251"/>
    <w:rsid w:val="0018333D"/>
    <w:rsid w:val="0018356E"/>
    <w:rsid w:val="0018384D"/>
    <w:rsid w:val="0018389D"/>
    <w:rsid w:val="00184199"/>
    <w:rsid w:val="001841BB"/>
    <w:rsid w:val="001842C4"/>
    <w:rsid w:val="00184634"/>
    <w:rsid w:val="001849D5"/>
    <w:rsid w:val="00184BDA"/>
    <w:rsid w:val="00184C23"/>
    <w:rsid w:val="0018506D"/>
    <w:rsid w:val="00185217"/>
    <w:rsid w:val="00185F48"/>
    <w:rsid w:val="001865DD"/>
    <w:rsid w:val="00186CD0"/>
    <w:rsid w:val="00187050"/>
    <w:rsid w:val="001871A8"/>
    <w:rsid w:val="001872C9"/>
    <w:rsid w:val="00187333"/>
    <w:rsid w:val="00187C96"/>
    <w:rsid w:val="00187E6A"/>
    <w:rsid w:val="00187EEE"/>
    <w:rsid w:val="00187F36"/>
    <w:rsid w:val="0019004A"/>
    <w:rsid w:val="001900C4"/>
    <w:rsid w:val="00190347"/>
    <w:rsid w:val="001906B0"/>
    <w:rsid w:val="001908F4"/>
    <w:rsid w:val="001909C2"/>
    <w:rsid w:val="00190CC5"/>
    <w:rsid w:val="00191078"/>
    <w:rsid w:val="0019117E"/>
    <w:rsid w:val="00191C66"/>
    <w:rsid w:val="00192413"/>
    <w:rsid w:val="00192597"/>
    <w:rsid w:val="001925E8"/>
    <w:rsid w:val="00192783"/>
    <w:rsid w:val="00192897"/>
    <w:rsid w:val="00192B0B"/>
    <w:rsid w:val="00192F97"/>
    <w:rsid w:val="001932EC"/>
    <w:rsid w:val="00193329"/>
    <w:rsid w:val="001937BB"/>
    <w:rsid w:val="001938F8"/>
    <w:rsid w:val="00193ACD"/>
    <w:rsid w:val="00194048"/>
    <w:rsid w:val="001948B1"/>
    <w:rsid w:val="001948EE"/>
    <w:rsid w:val="00194950"/>
    <w:rsid w:val="00194A25"/>
    <w:rsid w:val="00194FB3"/>
    <w:rsid w:val="0019507E"/>
    <w:rsid w:val="001951F7"/>
    <w:rsid w:val="001953EF"/>
    <w:rsid w:val="00195590"/>
    <w:rsid w:val="00195D92"/>
    <w:rsid w:val="00195DEC"/>
    <w:rsid w:val="00196316"/>
    <w:rsid w:val="001967A2"/>
    <w:rsid w:val="001969CC"/>
    <w:rsid w:val="001969DA"/>
    <w:rsid w:val="00196AA8"/>
    <w:rsid w:val="00196C0C"/>
    <w:rsid w:val="00196F67"/>
    <w:rsid w:val="00197283"/>
    <w:rsid w:val="0019747D"/>
    <w:rsid w:val="0019781D"/>
    <w:rsid w:val="00197F2A"/>
    <w:rsid w:val="00197F7F"/>
    <w:rsid w:val="001A0339"/>
    <w:rsid w:val="001A0DCA"/>
    <w:rsid w:val="001A0F70"/>
    <w:rsid w:val="001A10D5"/>
    <w:rsid w:val="001A125A"/>
    <w:rsid w:val="001A128A"/>
    <w:rsid w:val="001A1523"/>
    <w:rsid w:val="001A1A5C"/>
    <w:rsid w:val="001A1ACD"/>
    <w:rsid w:val="001A1B51"/>
    <w:rsid w:val="001A2221"/>
    <w:rsid w:val="001A22B6"/>
    <w:rsid w:val="001A24FA"/>
    <w:rsid w:val="001A2772"/>
    <w:rsid w:val="001A2F4C"/>
    <w:rsid w:val="001A3164"/>
    <w:rsid w:val="001A320F"/>
    <w:rsid w:val="001A34B3"/>
    <w:rsid w:val="001A3816"/>
    <w:rsid w:val="001A3858"/>
    <w:rsid w:val="001A38CA"/>
    <w:rsid w:val="001A3B71"/>
    <w:rsid w:val="001A3D86"/>
    <w:rsid w:val="001A44DD"/>
    <w:rsid w:val="001A44E7"/>
    <w:rsid w:val="001A4923"/>
    <w:rsid w:val="001A4AEB"/>
    <w:rsid w:val="001A4DC2"/>
    <w:rsid w:val="001A4F65"/>
    <w:rsid w:val="001A5017"/>
    <w:rsid w:val="001A56B3"/>
    <w:rsid w:val="001A5DA3"/>
    <w:rsid w:val="001A6C49"/>
    <w:rsid w:val="001A71AB"/>
    <w:rsid w:val="001A7629"/>
    <w:rsid w:val="001A7644"/>
    <w:rsid w:val="001A78CD"/>
    <w:rsid w:val="001A7E44"/>
    <w:rsid w:val="001B0195"/>
    <w:rsid w:val="001B05B0"/>
    <w:rsid w:val="001B05C2"/>
    <w:rsid w:val="001B08A1"/>
    <w:rsid w:val="001B0A0F"/>
    <w:rsid w:val="001B0D54"/>
    <w:rsid w:val="001B0D7E"/>
    <w:rsid w:val="001B0E1E"/>
    <w:rsid w:val="001B0EFC"/>
    <w:rsid w:val="001B1197"/>
    <w:rsid w:val="001B126C"/>
    <w:rsid w:val="001B1416"/>
    <w:rsid w:val="001B15DF"/>
    <w:rsid w:val="001B17FD"/>
    <w:rsid w:val="001B1882"/>
    <w:rsid w:val="001B1EC2"/>
    <w:rsid w:val="001B20EE"/>
    <w:rsid w:val="001B21CA"/>
    <w:rsid w:val="001B22A0"/>
    <w:rsid w:val="001B3443"/>
    <w:rsid w:val="001B36A2"/>
    <w:rsid w:val="001B36E8"/>
    <w:rsid w:val="001B3A43"/>
    <w:rsid w:val="001B3A4D"/>
    <w:rsid w:val="001B3AA3"/>
    <w:rsid w:val="001B3F0A"/>
    <w:rsid w:val="001B4115"/>
    <w:rsid w:val="001B4414"/>
    <w:rsid w:val="001B444E"/>
    <w:rsid w:val="001B44C3"/>
    <w:rsid w:val="001B4762"/>
    <w:rsid w:val="001B4D91"/>
    <w:rsid w:val="001B5249"/>
    <w:rsid w:val="001B53C1"/>
    <w:rsid w:val="001B5822"/>
    <w:rsid w:val="001B58AF"/>
    <w:rsid w:val="001B5B16"/>
    <w:rsid w:val="001B5C81"/>
    <w:rsid w:val="001B62CC"/>
    <w:rsid w:val="001B64DC"/>
    <w:rsid w:val="001B6884"/>
    <w:rsid w:val="001B7726"/>
    <w:rsid w:val="001B7A86"/>
    <w:rsid w:val="001B7B5F"/>
    <w:rsid w:val="001B7D4C"/>
    <w:rsid w:val="001B7DCA"/>
    <w:rsid w:val="001B7DD1"/>
    <w:rsid w:val="001C0116"/>
    <w:rsid w:val="001C032F"/>
    <w:rsid w:val="001C0C67"/>
    <w:rsid w:val="001C0D52"/>
    <w:rsid w:val="001C1428"/>
    <w:rsid w:val="001C152C"/>
    <w:rsid w:val="001C1650"/>
    <w:rsid w:val="001C167A"/>
    <w:rsid w:val="001C172A"/>
    <w:rsid w:val="001C1A01"/>
    <w:rsid w:val="001C1BDF"/>
    <w:rsid w:val="001C248F"/>
    <w:rsid w:val="001C2780"/>
    <w:rsid w:val="001C28D6"/>
    <w:rsid w:val="001C2AA1"/>
    <w:rsid w:val="001C2CAA"/>
    <w:rsid w:val="001C2D99"/>
    <w:rsid w:val="001C2FE0"/>
    <w:rsid w:val="001C335A"/>
    <w:rsid w:val="001C37C5"/>
    <w:rsid w:val="001C385D"/>
    <w:rsid w:val="001C388B"/>
    <w:rsid w:val="001C38FE"/>
    <w:rsid w:val="001C3D07"/>
    <w:rsid w:val="001C5E1D"/>
    <w:rsid w:val="001C5E2F"/>
    <w:rsid w:val="001C610D"/>
    <w:rsid w:val="001C6790"/>
    <w:rsid w:val="001C6C56"/>
    <w:rsid w:val="001C6F68"/>
    <w:rsid w:val="001C7211"/>
    <w:rsid w:val="001C79A8"/>
    <w:rsid w:val="001C7C91"/>
    <w:rsid w:val="001C7D45"/>
    <w:rsid w:val="001C7E81"/>
    <w:rsid w:val="001C7FDB"/>
    <w:rsid w:val="001D0063"/>
    <w:rsid w:val="001D0B63"/>
    <w:rsid w:val="001D0D1A"/>
    <w:rsid w:val="001D0D30"/>
    <w:rsid w:val="001D0F3F"/>
    <w:rsid w:val="001D1098"/>
    <w:rsid w:val="001D14D9"/>
    <w:rsid w:val="001D1A31"/>
    <w:rsid w:val="001D1D83"/>
    <w:rsid w:val="001D1DD5"/>
    <w:rsid w:val="001D2000"/>
    <w:rsid w:val="001D2167"/>
    <w:rsid w:val="001D226A"/>
    <w:rsid w:val="001D2AF1"/>
    <w:rsid w:val="001D2CD1"/>
    <w:rsid w:val="001D2E5C"/>
    <w:rsid w:val="001D3D54"/>
    <w:rsid w:val="001D4409"/>
    <w:rsid w:val="001D4675"/>
    <w:rsid w:val="001D477A"/>
    <w:rsid w:val="001D4C5B"/>
    <w:rsid w:val="001D4C7C"/>
    <w:rsid w:val="001D507E"/>
    <w:rsid w:val="001D559F"/>
    <w:rsid w:val="001D55D2"/>
    <w:rsid w:val="001D56DE"/>
    <w:rsid w:val="001D57DE"/>
    <w:rsid w:val="001D5B59"/>
    <w:rsid w:val="001D5D6E"/>
    <w:rsid w:val="001D658B"/>
    <w:rsid w:val="001D6AE1"/>
    <w:rsid w:val="001D6B44"/>
    <w:rsid w:val="001D6C01"/>
    <w:rsid w:val="001D6EE7"/>
    <w:rsid w:val="001D6FE1"/>
    <w:rsid w:val="001D708B"/>
    <w:rsid w:val="001D7199"/>
    <w:rsid w:val="001D71A1"/>
    <w:rsid w:val="001D71E5"/>
    <w:rsid w:val="001D722B"/>
    <w:rsid w:val="001D73E5"/>
    <w:rsid w:val="001D7873"/>
    <w:rsid w:val="001D7C3C"/>
    <w:rsid w:val="001D7C4E"/>
    <w:rsid w:val="001D7F51"/>
    <w:rsid w:val="001E0048"/>
    <w:rsid w:val="001E05F9"/>
    <w:rsid w:val="001E06F1"/>
    <w:rsid w:val="001E0A42"/>
    <w:rsid w:val="001E0B5F"/>
    <w:rsid w:val="001E0F00"/>
    <w:rsid w:val="001E11BD"/>
    <w:rsid w:val="001E13BA"/>
    <w:rsid w:val="001E1468"/>
    <w:rsid w:val="001E146E"/>
    <w:rsid w:val="001E18A5"/>
    <w:rsid w:val="001E1B30"/>
    <w:rsid w:val="001E1F14"/>
    <w:rsid w:val="001E2467"/>
    <w:rsid w:val="001E26B2"/>
    <w:rsid w:val="001E2778"/>
    <w:rsid w:val="001E2E7D"/>
    <w:rsid w:val="001E2FA6"/>
    <w:rsid w:val="001E3134"/>
    <w:rsid w:val="001E3265"/>
    <w:rsid w:val="001E3727"/>
    <w:rsid w:val="001E3A97"/>
    <w:rsid w:val="001E3E01"/>
    <w:rsid w:val="001E3E7E"/>
    <w:rsid w:val="001E3F8F"/>
    <w:rsid w:val="001E41A8"/>
    <w:rsid w:val="001E4780"/>
    <w:rsid w:val="001E4930"/>
    <w:rsid w:val="001E59A7"/>
    <w:rsid w:val="001E5FFD"/>
    <w:rsid w:val="001E68C9"/>
    <w:rsid w:val="001E69D0"/>
    <w:rsid w:val="001E69EB"/>
    <w:rsid w:val="001E71C0"/>
    <w:rsid w:val="001E7500"/>
    <w:rsid w:val="001E75A2"/>
    <w:rsid w:val="001E7A37"/>
    <w:rsid w:val="001E7BD7"/>
    <w:rsid w:val="001F012F"/>
    <w:rsid w:val="001F0514"/>
    <w:rsid w:val="001F051E"/>
    <w:rsid w:val="001F0F85"/>
    <w:rsid w:val="001F0FE7"/>
    <w:rsid w:val="001F10B3"/>
    <w:rsid w:val="001F10F7"/>
    <w:rsid w:val="001F1135"/>
    <w:rsid w:val="001F11CE"/>
    <w:rsid w:val="001F134F"/>
    <w:rsid w:val="001F1412"/>
    <w:rsid w:val="001F17B0"/>
    <w:rsid w:val="001F1810"/>
    <w:rsid w:val="001F1D83"/>
    <w:rsid w:val="001F1D87"/>
    <w:rsid w:val="001F1DE6"/>
    <w:rsid w:val="001F1E31"/>
    <w:rsid w:val="001F1E9D"/>
    <w:rsid w:val="001F1FED"/>
    <w:rsid w:val="001F21E6"/>
    <w:rsid w:val="001F2714"/>
    <w:rsid w:val="001F297A"/>
    <w:rsid w:val="001F30EB"/>
    <w:rsid w:val="001F3387"/>
    <w:rsid w:val="001F34A2"/>
    <w:rsid w:val="001F35F3"/>
    <w:rsid w:val="001F36CE"/>
    <w:rsid w:val="001F390A"/>
    <w:rsid w:val="001F3A83"/>
    <w:rsid w:val="001F3ED7"/>
    <w:rsid w:val="001F4038"/>
    <w:rsid w:val="001F45A9"/>
    <w:rsid w:val="001F494D"/>
    <w:rsid w:val="001F4ED5"/>
    <w:rsid w:val="001F50C1"/>
    <w:rsid w:val="001F5AB3"/>
    <w:rsid w:val="001F5B4E"/>
    <w:rsid w:val="001F5E3F"/>
    <w:rsid w:val="001F6540"/>
    <w:rsid w:val="001F6CB0"/>
    <w:rsid w:val="001F7873"/>
    <w:rsid w:val="001F7C54"/>
    <w:rsid w:val="001F7CAE"/>
    <w:rsid w:val="001F7E8A"/>
    <w:rsid w:val="002009CD"/>
    <w:rsid w:val="00200A16"/>
    <w:rsid w:val="00200D04"/>
    <w:rsid w:val="00200DDC"/>
    <w:rsid w:val="00200F16"/>
    <w:rsid w:val="00201125"/>
    <w:rsid w:val="002013DB"/>
    <w:rsid w:val="00201530"/>
    <w:rsid w:val="0020189E"/>
    <w:rsid w:val="0020199E"/>
    <w:rsid w:val="0020205A"/>
    <w:rsid w:val="00202531"/>
    <w:rsid w:val="00202BC7"/>
    <w:rsid w:val="00202DB4"/>
    <w:rsid w:val="002031BC"/>
    <w:rsid w:val="0020429F"/>
    <w:rsid w:val="00204534"/>
    <w:rsid w:val="00204676"/>
    <w:rsid w:val="00204BEE"/>
    <w:rsid w:val="00204D4F"/>
    <w:rsid w:val="00204EE2"/>
    <w:rsid w:val="0020555B"/>
    <w:rsid w:val="00205BC3"/>
    <w:rsid w:val="00205C46"/>
    <w:rsid w:val="00206109"/>
    <w:rsid w:val="002062F4"/>
    <w:rsid w:val="00206E15"/>
    <w:rsid w:val="00206E80"/>
    <w:rsid w:val="00206F6E"/>
    <w:rsid w:val="00206FF1"/>
    <w:rsid w:val="002071F1"/>
    <w:rsid w:val="002072A1"/>
    <w:rsid w:val="002074CE"/>
    <w:rsid w:val="0020796B"/>
    <w:rsid w:val="002079A4"/>
    <w:rsid w:val="00207BD4"/>
    <w:rsid w:val="002101C0"/>
    <w:rsid w:val="002103A0"/>
    <w:rsid w:val="002105D6"/>
    <w:rsid w:val="002105F7"/>
    <w:rsid w:val="002106A4"/>
    <w:rsid w:val="0021097C"/>
    <w:rsid w:val="00210A7C"/>
    <w:rsid w:val="002116BF"/>
    <w:rsid w:val="00211A73"/>
    <w:rsid w:val="00211AAB"/>
    <w:rsid w:val="00211B24"/>
    <w:rsid w:val="00211CCA"/>
    <w:rsid w:val="00211D8A"/>
    <w:rsid w:val="00211FE7"/>
    <w:rsid w:val="0021272D"/>
    <w:rsid w:val="0021280E"/>
    <w:rsid w:val="002129AE"/>
    <w:rsid w:val="00212AF8"/>
    <w:rsid w:val="00212BB5"/>
    <w:rsid w:val="002132C5"/>
    <w:rsid w:val="00213592"/>
    <w:rsid w:val="00213BF4"/>
    <w:rsid w:val="00213F7E"/>
    <w:rsid w:val="002147B7"/>
    <w:rsid w:val="00214AF6"/>
    <w:rsid w:val="00214C02"/>
    <w:rsid w:val="00214D4C"/>
    <w:rsid w:val="002153C5"/>
    <w:rsid w:val="002154A4"/>
    <w:rsid w:val="00215607"/>
    <w:rsid w:val="002156E7"/>
    <w:rsid w:val="00215A2B"/>
    <w:rsid w:val="00215CDD"/>
    <w:rsid w:val="002161AE"/>
    <w:rsid w:val="00216340"/>
    <w:rsid w:val="00216901"/>
    <w:rsid w:val="00216DD6"/>
    <w:rsid w:val="0021732D"/>
    <w:rsid w:val="002173BC"/>
    <w:rsid w:val="002173D9"/>
    <w:rsid w:val="002175F5"/>
    <w:rsid w:val="0021772A"/>
    <w:rsid w:val="00217DE5"/>
    <w:rsid w:val="00217EB9"/>
    <w:rsid w:val="00220C72"/>
    <w:rsid w:val="00220D1C"/>
    <w:rsid w:val="002215A8"/>
    <w:rsid w:val="00221662"/>
    <w:rsid w:val="00221664"/>
    <w:rsid w:val="00221854"/>
    <w:rsid w:val="00221B74"/>
    <w:rsid w:val="0022219C"/>
    <w:rsid w:val="002227B6"/>
    <w:rsid w:val="002229DB"/>
    <w:rsid w:val="00222A36"/>
    <w:rsid w:val="00222A43"/>
    <w:rsid w:val="00222CF9"/>
    <w:rsid w:val="00222E2F"/>
    <w:rsid w:val="0022331C"/>
    <w:rsid w:val="0022351A"/>
    <w:rsid w:val="00223FB2"/>
    <w:rsid w:val="00224135"/>
    <w:rsid w:val="00224AC8"/>
    <w:rsid w:val="0022526A"/>
    <w:rsid w:val="00225328"/>
    <w:rsid w:val="00225887"/>
    <w:rsid w:val="00225D72"/>
    <w:rsid w:val="002262DB"/>
    <w:rsid w:val="002269B5"/>
    <w:rsid w:val="00226CA6"/>
    <w:rsid w:val="00226CB2"/>
    <w:rsid w:val="0022729C"/>
    <w:rsid w:val="00227512"/>
    <w:rsid w:val="00227A1C"/>
    <w:rsid w:val="00227D28"/>
    <w:rsid w:val="00227F0B"/>
    <w:rsid w:val="0023051F"/>
    <w:rsid w:val="00230619"/>
    <w:rsid w:val="00230669"/>
    <w:rsid w:val="00230E9F"/>
    <w:rsid w:val="0023138C"/>
    <w:rsid w:val="002313DE"/>
    <w:rsid w:val="0023150C"/>
    <w:rsid w:val="00231559"/>
    <w:rsid w:val="0023163F"/>
    <w:rsid w:val="00231889"/>
    <w:rsid w:val="00231AB8"/>
    <w:rsid w:val="00231CB9"/>
    <w:rsid w:val="00231EEC"/>
    <w:rsid w:val="002327D0"/>
    <w:rsid w:val="002328D0"/>
    <w:rsid w:val="00232971"/>
    <w:rsid w:val="00232CD4"/>
    <w:rsid w:val="00232D4F"/>
    <w:rsid w:val="00232DD1"/>
    <w:rsid w:val="00232FDF"/>
    <w:rsid w:val="0023319F"/>
    <w:rsid w:val="002337BB"/>
    <w:rsid w:val="002337EE"/>
    <w:rsid w:val="00233CC6"/>
    <w:rsid w:val="00234095"/>
    <w:rsid w:val="00234139"/>
    <w:rsid w:val="002343E4"/>
    <w:rsid w:val="002345D8"/>
    <w:rsid w:val="002345FA"/>
    <w:rsid w:val="00234BE8"/>
    <w:rsid w:val="0023502C"/>
    <w:rsid w:val="0023535B"/>
    <w:rsid w:val="002355B4"/>
    <w:rsid w:val="002355E9"/>
    <w:rsid w:val="002356E1"/>
    <w:rsid w:val="00235840"/>
    <w:rsid w:val="0023584F"/>
    <w:rsid w:val="00235892"/>
    <w:rsid w:val="002358D6"/>
    <w:rsid w:val="0023595B"/>
    <w:rsid w:val="00235DD0"/>
    <w:rsid w:val="00235E50"/>
    <w:rsid w:val="00236BB7"/>
    <w:rsid w:val="00236D60"/>
    <w:rsid w:val="00236FB1"/>
    <w:rsid w:val="00237403"/>
    <w:rsid w:val="002378DB"/>
    <w:rsid w:val="00237B22"/>
    <w:rsid w:val="00237B25"/>
    <w:rsid w:val="00237BA5"/>
    <w:rsid w:val="00237DD9"/>
    <w:rsid w:val="00240083"/>
    <w:rsid w:val="002400C9"/>
    <w:rsid w:val="002404AE"/>
    <w:rsid w:val="002407CB"/>
    <w:rsid w:val="00240A81"/>
    <w:rsid w:val="00240B1E"/>
    <w:rsid w:val="00240CAF"/>
    <w:rsid w:val="00240DD0"/>
    <w:rsid w:val="00240E05"/>
    <w:rsid w:val="00240F23"/>
    <w:rsid w:val="00241429"/>
    <w:rsid w:val="00241C48"/>
    <w:rsid w:val="00241D60"/>
    <w:rsid w:val="00241E3C"/>
    <w:rsid w:val="00241F9A"/>
    <w:rsid w:val="002422FB"/>
    <w:rsid w:val="002426E8"/>
    <w:rsid w:val="0024276B"/>
    <w:rsid w:val="0024277A"/>
    <w:rsid w:val="00242887"/>
    <w:rsid w:val="0024296F"/>
    <w:rsid w:val="002429D9"/>
    <w:rsid w:val="0024317B"/>
    <w:rsid w:val="0024332A"/>
    <w:rsid w:val="00243A06"/>
    <w:rsid w:val="00243BE2"/>
    <w:rsid w:val="00243F29"/>
    <w:rsid w:val="0024465D"/>
    <w:rsid w:val="00244CFB"/>
    <w:rsid w:val="002454FD"/>
    <w:rsid w:val="002457A7"/>
    <w:rsid w:val="00245C36"/>
    <w:rsid w:val="002462E8"/>
    <w:rsid w:val="00246852"/>
    <w:rsid w:val="002468CD"/>
    <w:rsid w:val="002468E7"/>
    <w:rsid w:val="00246C0E"/>
    <w:rsid w:val="00246FD6"/>
    <w:rsid w:val="00247204"/>
    <w:rsid w:val="0024720B"/>
    <w:rsid w:val="002477A3"/>
    <w:rsid w:val="002478C9"/>
    <w:rsid w:val="00247FF2"/>
    <w:rsid w:val="00250831"/>
    <w:rsid w:val="002508D0"/>
    <w:rsid w:val="0025096F"/>
    <w:rsid w:val="00250A9B"/>
    <w:rsid w:val="00250B7A"/>
    <w:rsid w:val="00250B9C"/>
    <w:rsid w:val="00250EA3"/>
    <w:rsid w:val="002513F9"/>
    <w:rsid w:val="00251536"/>
    <w:rsid w:val="002518AC"/>
    <w:rsid w:val="00251B0D"/>
    <w:rsid w:val="00251B9C"/>
    <w:rsid w:val="00251BA0"/>
    <w:rsid w:val="00251EEE"/>
    <w:rsid w:val="00251FF0"/>
    <w:rsid w:val="00252024"/>
    <w:rsid w:val="00252576"/>
    <w:rsid w:val="00252AC9"/>
    <w:rsid w:val="00252F67"/>
    <w:rsid w:val="00252FCB"/>
    <w:rsid w:val="0025322B"/>
    <w:rsid w:val="00253414"/>
    <w:rsid w:val="0025347C"/>
    <w:rsid w:val="00253780"/>
    <w:rsid w:val="00253F2C"/>
    <w:rsid w:val="0025405E"/>
    <w:rsid w:val="0025408D"/>
    <w:rsid w:val="0025414F"/>
    <w:rsid w:val="002545BD"/>
    <w:rsid w:val="00254616"/>
    <w:rsid w:val="00254BE8"/>
    <w:rsid w:val="002552B6"/>
    <w:rsid w:val="0025547C"/>
    <w:rsid w:val="00255544"/>
    <w:rsid w:val="0025585B"/>
    <w:rsid w:val="0025591E"/>
    <w:rsid w:val="00255AD3"/>
    <w:rsid w:val="00255B23"/>
    <w:rsid w:val="00255E89"/>
    <w:rsid w:val="002561A2"/>
    <w:rsid w:val="00256391"/>
    <w:rsid w:val="0025669D"/>
    <w:rsid w:val="00256BB1"/>
    <w:rsid w:val="00256C41"/>
    <w:rsid w:val="00256FEA"/>
    <w:rsid w:val="002571F7"/>
    <w:rsid w:val="0025740C"/>
    <w:rsid w:val="00257570"/>
    <w:rsid w:val="002575B0"/>
    <w:rsid w:val="00257CB6"/>
    <w:rsid w:val="00257F6B"/>
    <w:rsid w:val="0026010C"/>
    <w:rsid w:val="0026013C"/>
    <w:rsid w:val="00260D0B"/>
    <w:rsid w:val="00260DB3"/>
    <w:rsid w:val="00260E86"/>
    <w:rsid w:val="002611D8"/>
    <w:rsid w:val="002614A6"/>
    <w:rsid w:val="0026152A"/>
    <w:rsid w:val="0026160A"/>
    <w:rsid w:val="002618FC"/>
    <w:rsid w:val="00261AE9"/>
    <w:rsid w:val="00262127"/>
    <w:rsid w:val="002623F5"/>
    <w:rsid w:val="002626FF"/>
    <w:rsid w:val="002629CE"/>
    <w:rsid w:val="00263297"/>
    <w:rsid w:val="0026365B"/>
    <w:rsid w:val="002636E3"/>
    <w:rsid w:val="00264364"/>
    <w:rsid w:val="00264673"/>
    <w:rsid w:val="002647E1"/>
    <w:rsid w:val="00264819"/>
    <w:rsid w:val="00264A6B"/>
    <w:rsid w:val="00265446"/>
    <w:rsid w:val="002654D7"/>
    <w:rsid w:val="00265DC7"/>
    <w:rsid w:val="00266013"/>
    <w:rsid w:val="00266187"/>
    <w:rsid w:val="00266262"/>
    <w:rsid w:val="00266516"/>
    <w:rsid w:val="00266606"/>
    <w:rsid w:val="0026678E"/>
    <w:rsid w:val="002667DF"/>
    <w:rsid w:val="002668A5"/>
    <w:rsid w:val="00266968"/>
    <w:rsid w:val="00266A07"/>
    <w:rsid w:val="00266CEA"/>
    <w:rsid w:val="00266F6D"/>
    <w:rsid w:val="002670A5"/>
    <w:rsid w:val="00267280"/>
    <w:rsid w:val="0026774A"/>
    <w:rsid w:val="00267E18"/>
    <w:rsid w:val="00267FA1"/>
    <w:rsid w:val="0027084B"/>
    <w:rsid w:val="00270866"/>
    <w:rsid w:val="00270DA4"/>
    <w:rsid w:val="00270E97"/>
    <w:rsid w:val="00270F66"/>
    <w:rsid w:val="002716AD"/>
    <w:rsid w:val="00271732"/>
    <w:rsid w:val="00271869"/>
    <w:rsid w:val="00271F4D"/>
    <w:rsid w:val="00272056"/>
    <w:rsid w:val="00272413"/>
    <w:rsid w:val="00272419"/>
    <w:rsid w:val="00272695"/>
    <w:rsid w:val="002730D8"/>
    <w:rsid w:val="0027331F"/>
    <w:rsid w:val="0027339C"/>
    <w:rsid w:val="002733A1"/>
    <w:rsid w:val="0027362F"/>
    <w:rsid w:val="00273B42"/>
    <w:rsid w:val="00273F5A"/>
    <w:rsid w:val="002741EF"/>
    <w:rsid w:val="0027474C"/>
    <w:rsid w:val="00274B6A"/>
    <w:rsid w:val="00274F60"/>
    <w:rsid w:val="00275338"/>
    <w:rsid w:val="002755AF"/>
    <w:rsid w:val="0027586B"/>
    <w:rsid w:val="0027605E"/>
    <w:rsid w:val="0027616B"/>
    <w:rsid w:val="0027641D"/>
    <w:rsid w:val="00276A36"/>
    <w:rsid w:val="00277043"/>
    <w:rsid w:val="00277050"/>
    <w:rsid w:val="0027719A"/>
    <w:rsid w:val="00277440"/>
    <w:rsid w:val="00277990"/>
    <w:rsid w:val="00277B28"/>
    <w:rsid w:val="00277BC0"/>
    <w:rsid w:val="00277E3F"/>
    <w:rsid w:val="00277F69"/>
    <w:rsid w:val="0028007A"/>
    <w:rsid w:val="00280517"/>
    <w:rsid w:val="00280CAC"/>
    <w:rsid w:val="0028159A"/>
    <w:rsid w:val="0028172C"/>
    <w:rsid w:val="0028177C"/>
    <w:rsid w:val="00281A36"/>
    <w:rsid w:val="00281D09"/>
    <w:rsid w:val="002821CA"/>
    <w:rsid w:val="00282869"/>
    <w:rsid w:val="00283024"/>
    <w:rsid w:val="00283102"/>
    <w:rsid w:val="00283151"/>
    <w:rsid w:val="00283359"/>
    <w:rsid w:val="0028345C"/>
    <w:rsid w:val="00283A15"/>
    <w:rsid w:val="00283FBA"/>
    <w:rsid w:val="002841E4"/>
    <w:rsid w:val="00284391"/>
    <w:rsid w:val="002843C6"/>
    <w:rsid w:val="00284D13"/>
    <w:rsid w:val="00284E84"/>
    <w:rsid w:val="00285508"/>
    <w:rsid w:val="00285CC7"/>
    <w:rsid w:val="00285E03"/>
    <w:rsid w:val="0028613E"/>
    <w:rsid w:val="002866D5"/>
    <w:rsid w:val="002867BE"/>
    <w:rsid w:val="00286922"/>
    <w:rsid w:val="00286CD3"/>
    <w:rsid w:val="00286D15"/>
    <w:rsid w:val="00286DBC"/>
    <w:rsid w:val="0028721F"/>
    <w:rsid w:val="0028758E"/>
    <w:rsid w:val="00287A88"/>
    <w:rsid w:val="00287CD3"/>
    <w:rsid w:val="00287FA4"/>
    <w:rsid w:val="00287FC7"/>
    <w:rsid w:val="00290376"/>
    <w:rsid w:val="002907FC"/>
    <w:rsid w:val="00290D04"/>
    <w:rsid w:val="00291257"/>
    <w:rsid w:val="00291A31"/>
    <w:rsid w:val="00291BF6"/>
    <w:rsid w:val="00291CB2"/>
    <w:rsid w:val="00292332"/>
    <w:rsid w:val="002924F7"/>
    <w:rsid w:val="002926F0"/>
    <w:rsid w:val="00292BBC"/>
    <w:rsid w:val="00292C7A"/>
    <w:rsid w:val="002932E7"/>
    <w:rsid w:val="0029368F"/>
    <w:rsid w:val="00293AD6"/>
    <w:rsid w:val="00293C64"/>
    <w:rsid w:val="00294001"/>
    <w:rsid w:val="002940BC"/>
    <w:rsid w:val="002941A3"/>
    <w:rsid w:val="002945B4"/>
    <w:rsid w:val="00294805"/>
    <w:rsid w:val="00294895"/>
    <w:rsid w:val="00294A4B"/>
    <w:rsid w:val="00294CA5"/>
    <w:rsid w:val="00294D3C"/>
    <w:rsid w:val="00294EE2"/>
    <w:rsid w:val="00295167"/>
    <w:rsid w:val="00295886"/>
    <w:rsid w:val="00295954"/>
    <w:rsid w:val="00295AF0"/>
    <w:rsid w:val="00295FAC"/>
    <w:rsid w:val="00296439"/>
    <w:rsid w:val="00296C96"/>
    <w:rsid w:val="00296E41"/>
    <w:rsid w:val="00297548"/>
    <w:rsid w:val="00297CD3"/>
    <w:rsid w:val="002A00C2"/>
    <w:rsid w:val="002A01FE"/>
    <w:rsid w:val="002A07E5"/>
    <w:rsid w:val="002A0827"/>
    <w:rsid w:val="002A0ACE"/>
    <w:rsid w:val="002A0BF1"/>
    <w:rsid w:val="002A11EA"/>
    <w:rsid w:val="002A1285"/>
    <w:rsid w:val="002A1546"/>
    <w:rsid w:val="002A155C"/>
    <w:rsid w:val="002A1756"/>
    <w:rsid w:val="002A185C"/>
    <w:rsid w:val="002A18E0"/>
    <w:rsid w:val="002A1A39"/>
    <w:rsid w:val="002A239C"/>
    <w:rsid w:val="002A23B3"/>
    <w:rsid w:val="002A26B8"/>
    <w:rsid w:val="002A293E"/>
    <w:rsid w:val="002A2D68"/>
    <w:rsid w:val="002A3098"/>
    <w:rsid w:val="002A36B5"/>
    <w:rsid w:val="002A3863"/>
    <w:rsid w:val="002A389E"/>
    <w:rsid w:val="002A39D7"/>
    <w:rsid w:val="002A4872"/>
    <w:rsid w:val="002A4900"/>
    <w:rsid w:val="002A4A6C"/>
    <w:rsid w:val="002A53CD"/>
    <w:rsid w:val="002A551E"/>
    <w:rsid w:val="002A5C75"/>
    <w:rsid w:val="002A5D87"/>
    <w:rsid w:val="002A5E16"/>
    <w:rsid w:val="002A6020"/>
    <w:rsid w:val="002A614A"/>
    <w:rsid w:val="002A62B0"/>
    <w:rsid w:val="002A6599"/>
    <w:rsid w:val="002A7362"/>
    <w:rsid w:val="002A7942"/>
    <w:rsid w:val="002A7C69"/>
    <w:rsid w:val="002B03B0"/>
    <w:rsid w:val="002B0686"/>
    <w:rsid w:val="002B0BC7"/>
    <w:rsid w:val="002B0FBC"/>
    <w:rsid w:val="002B10FF"/>
    <w:rsid w:val="002B11A3"/>
    <w:rsid w:val="002B137D"/>
    <w:rsid w:val="002B1D8A"/>
    <w:rsid w:val="002B1F64"/>
    <w:rsid w:val="002B2596"/>
    <w:rsid w:val="002B2866"/>
    <w:rsid w:val="002B2D5B"/>
    <w:rsid w:val="002B2D68"/>
    <w:rsid w:val="002B2D9F"/>
    <w:rsid w:val="002B2E9C"/>
    <w:rsid w:val="002B339F"/>
    <w:rsid w:val="002B37F6"/>
    <w:rsid w:val="002B3BAF"/>
    <w:rsid w:val="002B42C5"/>
    <w:rsid w:val="002B449C"/>
    <w:rsid w:val="002B462B"/>
    <w:rsid w:val="002B465E"/>
    <w:rsid w:val="002B506F"/>
    <w:rsid w:val="002B5090"/>
    <w:rsid w:val="002B51FB"/>
    <w:rsid w:val="002B5426"/>
    <w:rsid w:val="002B574A"/>
    <w:rsid w:val="002B5F77"/>
    <w:rsid w:val="002B65D4"/>
    <w:rsid w:val="002B781B"/>
    <w:rsid w:val="002B7C6B"/>
    <w:rsid w:val="002C01EB"/>
    <w:rsid w:val="002C04EB"/>
    <w:rsid w:val="002C0891"/>
    <w:rsid w:val="002C0BFE"/>
    <w:rsid w:val="002C0C20"/>
    <w:rsid w:val="002C1176"/>
    <w:rsid w:val="002C14F1"/>
    <w:rsid w:val="002C1916"/>
    <w:rsid w:val="002C20EC"/>
    <w:rsid w:val="002C26D3"/>
    <w:rsid w:val="002C289D"/>
    <w:rsid w:val="002C2A74"/>
    <w:rsid w:val="002C2B9B"/>
    <w:rsid w:val="002C2BD5"/>
    <w:rsid w:val="002C37B8"/>
    <w:rsid w:val="002C3AA9"/>
    <w:rsid w:val="002C3B81"/>
    <w:rsid w:val="002C3E37"/>
    <w:rsid w:val="002C3E74"/>
    <w:rsid w:val="002C450D"/>
    <w:rsid w:val="002C4900"/>
    <w:rsid w:val="002C4BDA"/>
    <w:rsid w:val="002C4FED"/>
    <w:rsid w:val="002C51A3"/>
    <w:rsid w:val="002C52C1"/>
    <w:rsid w:val="002C5616"/>
    <w:rsid w:val="002C58AC"/>
    <w:rsid w:val="002C5905"/>
    <w:rsid w:val="002C5916"/>
    <w:rsid w:val="002C635C"/>
    <w:rsid w:val="002C6606"/>
    <w:rsid w:val="002C7C8F"/>
    <w:rsid w:val="002C7D25"/>
    <w:rsid w:val="002D0488"/>
    <w:rsid w:val="002D048E"/>
    <w:rsid w:val="002D0526"/>
    <w:rsid w:val="002D15EF"/>
    <w:rsid w:val="002D19FB"/>
    <w:rsid w:val="002D1EF1"/>
    <w:rsid w:val="002D1FF9"/>
    <w:rsid w:val="002D2021"/>
    <w:rsid w:val="002D2CF0"/>
    <w:rsid w:val="002D2DDC"/>
    <w:rsid w:val="002D2DFE"/>
    <w:rsid w:val="002D2F76"/>
    <w:rsid w:val="002D2FD2"/>
    <w:rsid w:val="002D3019"/>
    <w:rsid w:val="002D3553"/>
    <w:rsid w:val="002D3642"/>
    <w:rsid w:val="002D3800"/>
    <w:rsid w:val="002D3B4C"/>
    <w:rsid w:val="002D3B4D"/>
    <w:rsid w:val="002D43C1"/>
    <w:rsid w:val="002D442F"/>
    <w:rsid w:val="002D4825"/>
    <w:rsid w:val="002D48B0"/>
    <w:rsid w:val="002D4973"/>
    <w:rsid w:val="002D4BC0"/>
    <w:rsid w:val="002D58A0"/>
    <w:rsid w:val="002D5A84"/>
    <w:rsid w:val="002D5C08"/>
    <w:rsid w:val="002D5D6C"/>
    <w:rsid w:val="002D60CE"/>
    <w:rsid w:val="002D6189"/>
    <w:rsid w:val="002D6310"/>
    <w:rsid w:val="002D63AE"/>
    <w:rsid w:val="002D6965"/>
    <w:rsid w:val="002D6A0A"/>
    <w:rsid w:val="002D6C0B"/>
    <w:rsid w:val="002D6E0F"/>
    <w:rsid w:val="002D6FCA"/>
    <w:rsid w:val="002D72AA"/>
    <w:rsid w:val="002D7EE3"/>
    <w:rsid w:val="002E009B"/>
    <w:rsid w:val="002E01EF"/>
    <w:rsid w:val="002E0254"/>
    <w:rsid w:val="002E0FAE"/>
    <w:rsid w:val="002E0FC2"/>
    <w:rsid w:val="002E0FCA"/>
    <w:rsid w:val="002E1102"/>
    <w:rsid w:val="002E11DF"/>
    <w:rsid w:val="002E1509"/>
    <w:rsid w:val="002E1BB1"/>
    <w:rsid w:val="002E1E87"/>
    <w:rsid w:val="002E25EA"/>
    <w:rsid w:val="002E28FD"/>
    <w:rsid w:val="002E2AC8"/>
    <w:rsid w:val="002E2F45"/>
    <w:rsid w:val="002E3582"/>
    <w:rsid w:val="002E372E"/>
    <w:rsid w:val="002E3CF7"/>
    <w:rsid w:val="002E3FB3"/>
    <w:rsid w:val="002E4168"/>
    <w:rsid w:val="002E438F"/>
    <w:rsid w:val="002E4513"/>
    <w:rsid w:val="002E515D"/>
    <w:rsid w:val="002E531B"/>
    <w:rsid w:val="002E5508"/>
    <w:rsid w:val="002E5CDA"/>
    <w:rsid w:val="002E5E59"/>
    <w:rsid w:val="002E6483"/>
    <w:rsid w:val="002E65D3"/>
    <w:rsid w:val="002E65E4"/>
    <w:rsid w:val="002E6844"/>
    <w:rsid w:val="002E6BA5"/>
    <w:rsid w:val="002E71F1"/>
    <w:rsid w:val="002E7957"/>
    <w:rsid w:val="002E7F34"/>
    <w:rsid w:val="002F007C"/>
    <w:rsid w:val="002F0202"/>
    <w:rsid w:val="002F08F3"/>
    <w:rsid w:val="002F0C10"/>
    <w:rsid w:val="002F0CCD"/>
    <w:rsid w:val="002F0DBF"/>
    <w:rsid w:val="002F1377"/>
    <w:rsid w:val="002F16A9"/>
    <w:rsid w:val="002F17BA"/>
    <w:rsid w:val="002F17EF"/>
    <w:rsid w:val="002F1CA9"/>
    <w:rsid w:val="002F1EFD"/>
    <w:rsid w:val="002F2214"/>
    <w:rsid w:val="002F24B5"/>
    <w:rsid w:val="002F300D"/>
    <w:rsid w:val="002F3115"/>
    <w:rsid w:val="002F383E"/>
    <w:rsid w:val="002F3BB5"/>
    <w:rsid w:val="002F4265"/>
    <w:rsid w:val="002F479C"/>
    <w:rsid w:val="002F50F6"/>
    <w:rsid w:val="002F5343"/>
    <w:rsid w:val="002F5424"/>
    <w:rsid w:val="002F5A7A"/>
    <w:rsid w:val="002F5F27"/>
    <w:rsid w:val="002F5FDB"/>
    <w:rsid w:val="002F600D"/>
    <w:rsid w:val="002F68BD"/>
    <w:rsid w:val="002F6975"/>
    <w:rsid w:val="002F75A6"/>
    <w:rsid w:val="002F77CD"/>
    <w:rsid w:val="002F7B44"/>
    <w:rsid w:val="002F7E66"/>
    <w:rsid w:val="00300461"/>
    <w:rsid w:val="0030064F"/>
    <w:rsid w:val="0030069F"/>
    <w:rsid w:val="00300EDA"/>
    <w:rsid w:val="003010F7"/>
    <w:rsid w:val="0030114B"/>
    <w:rsid w:val="003013B5"/>
    <w:rsid w:val="00301462"/>
    <w:rsid w:val="00301524"/>
    <w:rsid w:val="00301746"/>
    <w:rsid w:val="0030194D"/>
    <w:rsid w:val="00301CAE"/>
    <w:rsid w:val="00302A30"/>
    <w:rsid w:val="00302B5E"/>
    <w:rsid w:val="00302E78"/>
    <w:rsid w:val="00302F55"/>
    <w:rsid w:val="00303067"/>
    <w:rsid w:val="0030327D"/>
    <w:rsid w:val="0030341A"/>
    <w:rsid w:val="00303AE1"/>
    <w:rsid w:val="00303CB6"/>
    <w:rsid w:val="00304630"/>
    <w:rsid w:val="003048BA"/>
    <w:rsid w:val="00304A10"/>
    <w:rsid w:val="00304ABE"/>
    <w:rsid w:val="00304E74"/>
    <w:rsid w:val="00304E7A"/>
    <w:rsid w:val="0030537C"/>
    <w:rsid w:val="003056CB"/>
    <w:rsid w:val="00305702"/>
    <w:rsid w:val="00305745"/>
    <w:rsid w:val="00305D5C"/>
    <w:rsid w:val="003063B7"/>
    <w:rsid w:val="003063B8"/>
    <w:rsid w:val="003067E4"/>
    <w:rsid w:val="00306AC2"/>
    <w:rsid w:val="00306C91"/>
    <w:rsid w:val="00306D5B"/>
    <w:rsid w:val="00306E49"/>
    <w:rsid w:val="00306EF2"/>
    <w:rsid w:val="00307001"/>
    <w:rsid w:val="003072CD"/>
    <w:rsid w:val="0030786C"/>
    <w:rsid w:val="0030796F"/>
    <w:rsid w:val="00307B0B"/>
    <w:rsid w:val="00307DF1"/>
    <w:rsid w:val="00307ECB"/>
    <w:rsid w:val="00310011"/>
    <w:rsid w:val="00310029"/>
    <w:rsid w:val="0031002A"/>
    <w:rsid w:val="00310A19"/>
    <w:rsid w:val="00310C71"/>
    <w:rsid w:val="00310DC6"/>
    <w:rsid w:val="00310F62"/>
    <w:rsid w:val="00311389"/>
    <w:rsid w:val="003119FF"/>
    <w:rsid w:val="00311B66"/>
    <w:rsid w:val="00311CC1"/>
    <w:rsid w:val="003126DB"/>
    <w:rsid w:val="00312BB4"/>
    <w:rsid w:val="00313126"/>
    <w:rsid w:val="0031317F"/>
    <w:rsid w:val="00313447"/>
    <w:rsid w:val="003134A5"/>
    <w:rsid w:val="003136F2"/>
    <w:rsid w:val="003137A7"/>
    <w:rsid w:val="003138CB"/>
    <w:rsid w:val="00313BF8"/>
    <w:rsid w:val="00313E1E"/>
    <w:rsid w:val="00313F6A"/>
    <w:rsid w:val="00314122"/>
    <w:rsid w:val="00314386"/>
    <w:rsid w:val="00314F69"/>
    <w:rsid w:val="0031595E"/>
    <w:rsid w:val="003159BF"/>
    <w:rsid w:val="00315BC0"/>
    <w:rsid w:val="003168F5"/>
    <w:rsid w:val="00316C0E"/>
    <w:rsid w:val="00316D32"/>
    <w:rsid w:val="003174CF"/>
    <w:rsid w:val="0031759A"/>
    <w:rsid w:val="003177F3"/>
    <w:rsid w:val="00317932"/>
    <w:rsid w:val="0031799A"/>
    <w:rsid w:val="00317AC1"/>
    <w:rsid w:val="00317C67"/>
    <w:rsid w:val="00317F56"/>
    <w:rsid w:val="003201E1"/>
    <w:rsid w:val="0032076A"/>
    <w:rsid w:val="00320A2E"/>
    <w:rsid w:val="00320AB4"/>
    <w:rsid w:val="00321288"/>
    <w:rsid w:val="003213C2"/>
    <w:rsid w:val="003215D3"/>
    <w:rsid w:val="003216B7"/>
    <w:rsid w:val="00321A4E"/>
    <w:rsid w:val="00321A5A"/>
    <w:rsid w:val="00321B3D"/>
    <w:rsid w:val="0032206C"/>
    <w:rsid w:val="003221B8"/>
    <w:rsid w:val="00322482"/>
    <w:rsid w:val="00322E12"/>
    <w:rsid w:val="00322E13"/>
    <w:rsid w:val="003231DE"/>
    <w:rsid w:val="0032320C"/>
    <w:rsid w:val="00323267"/>
    <w:rsid w:val="003235B2"/>
    <w:rsid w:val="00323AE8"/>
    <w:rsid w:val="00323B09"/>
    <w:rsid w:val="00323CCF"/>
    <w:rsid w:val="003241F5"/>
    <w:rsid w:val="003242C8"/>
    <w:rsid w:val="00324415"/>
    <w:rsid w:val="003246B4"/>
    <w:rsid w:val="003246CB"/>
    <w:rsid w:val="00324730"/>
    <w:rsid w:val="00324818"/>
    <w:rsid w:val="00324852"/>
    <w:rsid w:val="00324D7D"/>
    <w:rsid w:val="00324DC9"/>
    <w:rsid w:val="00325359"/>
    <w:rsid w:val="0032559C"/>
    <w:rsid w:val="003259B5"/>
    <w:rsid w:val="00325EE9"/>
    <w:rsid w:val="00325FB1"/>
    <w:rsid w:val="0032600B"/>
    <w:rsid w:val="00326040"/>
    <w:rsid w:val="0032631D"/>
    <w:rsid w:val="003269B0"/>
    <w:rsid w:val="00326D7D"/>
    <w:rsid w:val="003271C7"/>
    <w:rsid w:val="003271F9"/>
    <w:rsid w:val="0032742C"/>
    <w:rsid w:val="003277BD"/>
    <w:rsid w:val="00327919"/>
    <w:rsid w:val="00327931"/>
    <w:rsid w:val="00327A7E"/>
    <w:rsid w:val="00327C01"/>
    <w:rsid w:val="003304D6"/>
    <w:rsid w:val="00330931"/>
    <w:rsid w:val="00330A53"/>
    <w:rsid w:val="00331C02"/>
    <w:rsid w:val="00331ED5"/>
    <w:rsid w:val="0033219A"/>
    <w:rsid w:val="003324EB"/>
    <w:rsid w:val="00332A68"/>
    <w:rsid w:val="00332A99"/>
    <w:rsid w:val="00332C4D"/>
    <w:rsid w:val="00333192"/>
    <w:rsid w:val="00333F3A"/>
    <w:rsid w:val="00334453"/>
    <w:rsid w:val="0033460A"/>
    <w:rsid w:val="00334A38"/>
    <w:rsid w:val="00334DB3"/>
    <w:rsid w:val="00334FFC"/>
    <w:rsid w:val="00335149"/>
    <w:rsid w:val="00335999"/>
    <w:rsid w:val="00336257"/>
    <w:rsid w:val="003362F6"/>
    <w:rsid w:val="003367BD"/>
    <w:rsid w:val="003367CA"/>
    <w:rsid w:val="00336BD9"/>
    <w:rsid w:val="0033730C"/>
    <w:rsid w:val="003376DA"/>
    <w:rsid w:val="003377D3"/>
    <w:rsid w:val="003378B7"/>
    <w:rsid w:val="00337E9D"/>
    <w:rsid w:val="00340324"/>
    <w:rsid w:val="0034064A"/>
    <w:rsid w:val="00340E57"/>
    <w:rsid w:val="00341360"/>
    <w:rsid w:val="00341503"/>
    <w:rsid w:val="003416B7"/>
    <w:rsid w:val="0034180C"/>
    <w:rsid w:val="00341948"/>
    <w:rsid w:val="003420BD"/>
    <w:rsid w:val="0034216C"/>
    <w:rsid w:val="00342170"/>
    <w:rsid w:val="003421B8"/>
    <w:rsid w:val="00342A8F"/>
    <w:rsid w:val="00342E98"/>
    <w:rsid w:val="00342F02"/>
    <w:rsid w:val="00342F35"/>
    <w:rsid w:val="00343B07"/>
    <w:rsid w:val="00343F31"/>
    <w:rsid w:val="003444D2"/>
    <w:rsid w:val="00344535"/>
    <w:rsid w:val="00344975"/>
    <w:rsid w:val="00344A70"/>
    <w:rsid w:val="003452E5"/>
    <w:rsid w:val="003455D6"/>
    <w:rsid w:val="00345764"/>
    <w:rsid w:val="00345CDC"/>
    <w:rsid w:val="00345DF5"/>
    <w:rsid w:val="00346088"/>
    <w:rsid w:val="0034626A"/>
    <w:rsid w:val="003462F3"/>
    <w:rsid w:val="0034635E"/>
    <w:rsid w:val="0034674B"/>
    <w:rsid w:val="00346844"/>
    <w:rsid w:val="00346F24"/>
    <w:rsid w:val="00346FA4"/>
    <w:rsid w:val="0034729D"/>
    <w:rsid w:val="00347389"/>
    <w:rsid w:val="003500F6"/>
    <w:rsid w:val="00350453"/>
    <w:rsid w:val="00350813"/>
    <w:rsid w:val="00350D59"/>
    <w:rsid w:val="00350FC0"/>
    <w:rsid w:val="0035187A"/>
    <w:rsid w:val="00351DA2"/>
    <w:rsid w:val="00352B47"/>
    <w:rsid w:val="003530A2"/>
    <w:rsid w:val="003531A4"/>
    <w:rsid w:val="00353206"/>
    <w:rsid w:val="003532BD"/>
    <w:rsid w:val="00353987"/>
    <w:rsid w:val="00354168"/>
    <w:rsid w:val="003542DD"/>
    <w:rsid w:val="003549AB"/>
    <w:rsid w:val="00354AC7"/>
    <w:rsid w:val="00355473"/>
    <w:rsid w:val="00355CD0"/>
    <w:rsid w:val="00355E4D"/>
    <w:rsid w:val="003562BD"/>
    <w:rsid w:val="003562F7"/>
    <w:rsid w:val="003565A0"/>
    <w:rsid w:val="003566C5"/>
    <w:rsid w:val="00356CF7"/>
    <w:rsid w:val="00356EBF"/>
    <w:rsid w:val="00356EDB"/>
    <w:rsid w:val="003572E5"/>
    <w:rsid w:val="00360198"/>
    <w:rsid w:val="0036052D"/>
    <w:rsid w:val="00360889"/>
    <w:rsid w:val="00360B7A"/>
    <w:rsid w:val="00361580"/>
    <w:rsid w:val="0036177A"/>
    <w:rsid w:val="003617A0"/>
    <w:rsid w:val="00361B59"/>
    <w:rsid w:val="00361D34"/>
    <w:rsid w:val="00361E69"/>
    <w:rsid w:val="003624B5"/>
    <w:rsid w:val="00362613"/>
    <w:rsid w:val="003627A4"/>
    <w:rsid w:val="00362B5F"/>
    <w:rsid w:val="00362D8A"/>
    <w:rsid w:val="00362EBB"/>
    <w:rsid w:val="003637D8"/>
    <w:rsid w:val="003639F7"/>
    <w:rsid w:val="00363D74"/>
    <w:rsid w:val="00363DDB"/>
    <w:rsid w:val="00364159"/>
    <w:rsid w:val="003645FB"/>
    <w:rsid w:val="00364BB7"/>
    <w:rsid w:val="0036530F"/>
    <w:rsid w:val="0036549D"/>
    <w:rsid w:val="00365539"/>
    <w:rsid w:val="00366500"/>
    <w:rsid w:val="00366847"/>
    <w:rsid w:val="00366D0C"/>
    <w:rsid w:val="0036799A"/>
    <w:rsid w:val="00367C89"/>
    <w:rsid w:val="00367D34"/>
    <w:rsid w:val="00367EB3"/>
    <w:rsid w:val="00367F67"/>
    <w:rsid w:val="0037015F"/>
    <w:rsid w:val="003702F8"/>
    <w:rsid w:val="003705DB"/>
    <w:rsid w:val="003706AE"/>
    <w:rsid w:val="00370DEF"/>
    <w:rsid w:val="0037183B"/>
    <w:rsid w:val="0037198B"/>
    <w:rsid w:val="00372460"/>
    <w:rsid w:val="00372A48"/>
    <w:rsid w:val="00372BF0"/>
    <w:rsid w:val="00372CAA"/>
    <w:rsid w:val="00372E34"/>
    <w:rsid w:val="003744BA"/>
    <w:rsid w:val="003744D6"/>
    <w:rsid w:val="00374D9F"/>
    <w:rsid w:val="00375131"/>
    <w:rsid w:val="0037582D"/>
    <w:rsid w:val="00375B2C"/>
    <w:rsid w:val="00375EEE"/>
    <w:rsid w:val="00376174"/>
    <w:rsid w:val="00376240"/>
    <w:rsid w:val="003767F0"/>
    <w:rsid w:val="00377017"/>
    <w:rsid w:val="003773D0"/>
    <w:rsid w:val="00377D19"/>
    <w:rsid w:val="00377F6E"/>
    <w:rsid w:val="00380A8B"/>
    <w:rsid w:val="00380EB4"/>
    <w:rsid w:val="00380EEE"/>
    <w:rsid w:val="00381125"/>
    <w:rsid w:val="00381526"/>
    <w:rsid w:val="00382641"/>
    <w:rsid w:val="00382AB0"/>
    <w:rsid w:val="00382C96"/>
    <w:rsid w:val="00382CC5"/>
    <w:rsid w:val="00383079"/>
    <w:rsid w:val="003831B0"/>
    <w:rsid w:val="0038322B"/>
    <w:rsid w:val="00383337"/>
    <w:rsid w:val="00383555"/>
    <w:rsid w:val="003836FB"/>
    <w:rsid w:val="003837AF"/>
    <w:rsid w:val="00384070"/>
    <w:rsid w:val="00384152"/>
    <w:rsid w:val="00384239"/>
    <w:rsid w:val="003847A6"/>
    <w:rsid w:val="003847E1"/>
    <w:rsid w:val="0038490A"/>
    <w:rsid w:val="00384A6E"/>
    <w:rsid w:val="00384F35"/>
    <w:rsid w:val="003856AA"/>
    <w:rsid w:val="003860A4"/>
    <w:rsid w:val="00386D66"/>
    <w:rsid w:val="003872F9"/>
    <w:rsid w:val="00387321"/>
    <w:rsid w:val="003877EF"/>
    <w:rsid w:val="0038783A"/>
    <w:rsid w:val="00387EDF"/>
    <w:rsid w:val="0039008B"/>
    <w:rsid w:val="003901A8"/>
    <w:rsid w:val="003902C1"/>
    <w:rsid w:val="003904BB"/>
    <w:rsid w:val="003905E0"/>
    <w:rsid w:val="003906F1"/>
    <w:rsid w:val="00390877"/>
    <w:rsid w:val="003909E1"/>
    <w:rsid w:val="00390A4B"/>
    <w:rsid w:val="00390B94"/>
    <w:rsid w:val="00390BD4"/>
    <w:rsid w:val="00390D75"/>
    <w:rsid w:val="00390F34"/>
    <w:rsid w:val="00391421"/>
    <w:rsid w:val="00391665"/>
    <w:rsid w:val="00391B78"/>
    <w:rsid w:val="00391B9B"/>
    <w:rsid w:val="00391C72"/>
    <w:rsid w:val="003922A8"/>
    <w:rsid w:val="00392426"/>
    <w:rsid w:val="00392464"/>
    <w:rsid w:val="003928ED"/>
    <w:rsid w:val="00392A02"/>
    <w:rsid w:val="00393A1C"/>
    <w:rsid w:val="00393CB3"/>
    <w:rsid w:val="0039419C"/>
    <w:rsid w:val="00394698"/>
    <w:rsid w:val="00394771"/>
    <w:rsid w:val="00394A93"/>
    <w:rsid w:val="00394EAE"/>
    <w:rsid w:val="003951F1"/>
    <w:rsid w:val="0039545A"/>
    <w:rsid w:val="0039568A"/>
    <w:rsid w:val="00395F39"/>
    <w:rsid w:val="00396147"/>
    <w:rsid w:val="003968FA"/>
    <w:rsid w:val="00396B69"/>
    <w:rsid w:val="003970A7"/>
    <w:rsid w:val="00397EFB"/>
    <w:rsid w:val="003A0046"/>
    <w:rsid w:val="003A0250"/>
    <w:rsid w:val="003A04C9"/>
    <w:rsid w:val="003A0619"/>
    <w:rsid w:val="003A1051"/>
    <w:rsid w:val="003A1401"/>
    <w:rsid w:val="003A1648"/>
    <w:rsid w:val="003A1AEE"/>
    <w:rsid w:val="003A1F27"/>
    <w:rsid w:val="003A2186"/>
    <w:rsid w:val="003A235D"/>
    <w:rsid w:val="003A240A"/>
    <w:rsid w:val="003A246E"/>
    <w:rsid w:val="003A2586"/>
    <w:rsid w:val="003A27C7"/>
    <w:rsid w:val="003A3A7C"/>
    <w:rsid w:val="003A3AC6"/>
    <w:rsid w:val="003A3AC9"/>
    <w:rsid w:val="003A4125"/>
    <w:rsid w:val="003A4181"/>
    <w:rsid w:val="003A418B"/>
    <w:rsid w:val="003A42B0"/>
    <w:rsid w:val="003A4449"/>
    <w:rsid w:val="003A46D2"/>
    <w:rsid w:val="003A4787"/>
    <w:rsid w:val="003A4907"/>
    <w:rsid w:val="003A527D"/>
    <w:rsid w:val="003A528F"/>
    <w:rsid w:val="003A5728"/>
    <w:rsid w:val="003A5BF4"/>
    <w:rsid w:val="003A5EF1"/>
    <w:rsid w:val="003A605D"/>
    <w:rsid w:val="003A6674"/>
    <w:rsid w:val="003A6A64"/>
    <w:rsid w:val="003A6B42"/>
    <w:rsid w:val="003A6BD8"/>
    <w:rsid w:val="003A6D31"/>
    <w:rsid w:val="003A726D"/>
    <w:rsid w:val="003A75BF"/>
    <w:rsid w:val="003A77D6"/>
    <w:rsid w:val="003A7914"/>
    <w:rsid w:val="003A7D57"/>
    <w:rsid w:val="003A7F85"/>
    <w:rsid w:val="003B00FD"/>
    <w:rsid w:val="003B04C3"/>
    <w:rsid w:val="003B08CA"/>
    <w:rsid w:val="003B0AAD"/>
    <w:rsid w:val="003B0B47"/>
    <w:rsid w:val="003B0C45"/>
    <w:rsid w:val="003B0C4E"/>
    <w:rsid w:val="003B1222"/>
    <w:rsid w:val="003B1592"/>
    <w:rsid w:val="003B2193"/>
    <w:rsid w:val="003B23E5"/>
    <w:rsid w:val="003B25F4"/>
    <w:rsid w:val="003B2657"/>
    <w:rsid w:val="003B2804"/>
    <w:rsid w:val="003B2972"/>
    <w:rsid w:val="003B2C42"/>
    <w:rsid w:val="003B2E5C"/>
    <w:rsid w:val="003B3001"/>
    <w:rsid w:val="003B3033"/>
    <w:rsid w:val="003B3142"/>
    <w:rsid w:val="003B375B"/>
    <w:rsid w:val="003B3C7F"/>
    <w:rsid w:val="003B4384"/>
    <w:rsid w:val="003B44E3"/>
    <w:rsid w:val="003B457C"/>
    <w:rsid w:val="003B4A8D"/>
    <w:rsid w:val="003B4B2A"/>
    <w:rsid w:val="003B4C9E"/>
    <w:rsid w:val="003B4EED"/>
    <w:rsid w:val="003B50E2"/>
    <w:rsid w:val="003B52BF"/>
    <w:rsid w:val="003B539C"/>
    <w:rsid w:val="003B54BC"/>
    <w:rsid w:val="003B59C4"/>
    <w:rsid w:val="003B5AC1"/>
    <w:rsid w:val="003B5F8E"/>
    <w:rsid w:val="003B6012"/>
    <w:rsid w:val="003B60A7"/>
    <w:rsid w:val="003B6823"/>
    <w:rsid w:val="003B6FDD"/>
    <w:rsid w:val="003B7468"/>
    <w:rsid w:val="003B7766"/>
    <w:rsid w:val="003B797C"/>
    <w:rsid w:val="003B7C92"/>
    <w:rsid w:val="003B7EC1"/>
    <w:rsid w:val="003C0160"/>
    <w:rsid w:val="003C0612"/>
    <w:rsid w:val="003C0856"/>
    <w:rsid w:val="003C08F4"/>
    <w:rsid w:val="003C0974"/>
    <w:rsid w:val="003C0BDC"/>
    <w:rsid w:val="003C0FC5"/>
    <w:rsid w:val="003C13E5"/>
    <w:rsid w:val="003C15EC"/>
    <w:rsid w:val="003C1742"/>
    <w:rsid w:val="003C175E"/>
    <w:rsid w:val="003C1DD5"/>
    <w:rsid w:val="003C1EBB"/>
    <w:rsid w:val="003C1F67"/>
    <w:rsid w:val="003C208F"/>
    <w:rsid w:val="003C2695"/>
    <w:rsid w:val="003C2893"/>
    <w:rsid w:val="003C2A00"/>
    <w:rsid w:val="003C2BB4"/>
    <w:rsid w:val="003C2F8E"/>
    <w:rsid w:val="003C36FF"/>
    <w:rsid w:val="003C3713"/>
    <w:rsid w:val="003C3D3A"/>
    <w:rsid w:val="003C3E2A"/>
    <w:rsid w:val="003C4884"/>
    <w:rsid w:val="003C48FC"/>
    <w:rsid w:val="003C4BFF"/>
    <w:rsid w:val="003C502B"/>
    <w:rsid w:val="003C51B9"/>
    <w:rsid w:val="003C543E"/>
    <w:rsid w:val="003C5C34"/>
    <w:rsid w:val="003C5D5A"/>
    <w:rsid w:val="003C5DFE"/>
    <w:rsid w:val="003C6087"/>
    <w:rsid w:val="003C6180"/>
    <w:rsid w:val="003C65ED"/>
    <w:rsid w:val="003C6B36"/>
    <w:rsid w:val="003C6EE7"/>
    <w:rsid w:val="003C6F05"/>
    <w:rsid w:val="003C6FAA"/>
    <w:rsid w:val="003C729B"/>
    <w:rsid w:val="003C736D"/>
    <w:rsid w:val="003C7571"/>
    <w:rsid w:val="003C7719"/>
    <w:rsid w:val="003C794A"/>
    <w:rsid w:val="003C7E7B"/>
    <w:rsid w:val="003D02C1"/>
    <w:rsid w:val="003D0BA7"/>
    <w:rsid w:val="003D0D1C"/>
    <w:rsid w:val="003D12A0"/>
    <w:rsid w:val="003D282A"/>
    <w:rsid w:val="003D2C50"/>
    <w:rsid w:val="003D2E0F"/>
    <w:rsid w:val="003D2F8F"/>
    <w:rsid w:val="003D3218"/>
    <w:rsid w:val="003D349A"/>
    <w:rsid w:val="003D361C"/>
    <w:rsid w:val="003D39FF"/>
    <w:rsid w:val="003D3E15"/>
    <w:rsid w:val="003D3F2E"/>
    <w:rsid w:val="003D4044"/>
    <w:rsid w:val="003D41BC"/>
    <w:rsid w:val="003D423F"/>
    <w:rsid w:val="003D4E74"/>
    <w:rsid w:val="003D501C"/>
    <w:rsid w:val="003D5539"/>
    <w:rsid w:val="003D56A5"/>
    <w:rsid w:val="003D5781"/>
    <w:rsid w:val="003D5854"/>
    <w:rsid w:val="003D59E7"/>
    <w:rsid w:val="003D5A8D"/>
    <w:rsid w:val="003D5E17"/>
    <w:rsid w:val="003D5E45"/>
    <w:rsid w:val="003D64D2"/>
    <w:rsid w:val="003D66E9"/>
    <w:rsid w:val="003D6BC1"/>
    <w:rsid w:val="003D6CD1"/>
    <w:rsid w:val="003D6DB3"/>
    <w:rsid w:val="003D71A4"/>
    <w:rsid w:val="003D725B"/>
    <w:rsid w:val="003D72E0"/>
    <w:rsid w:val="003E0430"/>
    <w:rsid w:val="003E058B"/>
    <w:rsid w:val="003E0610"/>
    <w:rsid w:val="003E0843"/>
    <w:rsid w:val="003E108E"/>
    <w:rsid w:val="003E1403"/>
    <w:rsid w:val="003E1611"/>
    <w:rsid w:val="003E1CD3"/>
    <w:rsid w:val="003E209D"/>
    <w:rsid w:val="003E21C5"/>
    <w:rsid w:val="003E2419"/>
    <w:rsid w:val="003E28F1"/>
    <w:rsid w:val="003E2FE2"/>
    <w:rsid w:val="003E30FE"/>
    <w:rsid w:val="003E36C5"/>
    <w:rsid w:val="003E39C7"/>
    <w:rsid w:val="003E3A85"/>
    <w:rsid w:val="003E3BEF"/>
    <w:rsid w:val="003E3CA7"/>
    <w:rsid w:val="003E4622"/>
    <w:rsid w:val="003E481B"/>
    <w:rsid w:val="003E4C34"/>
    <w:rsid w:val="003E4EDB"/>
    <w:rsid w:val="003E4F8F"/>
    <w:rsid w:val="003E5720"/>
    <w:rsid w:val="003E577A"/>
    <w:rsid w:val="003E5BE4"/>
    <w:rsid w:val="003E5CE1"/>
    <w:rsid w:val="003E5D0B"/>
    <w:rsid w:val="003E5D20"/>
    <w:rsid w:val="003E63E6"/>
    <w:rsid w:val="003E651E"/>
    <w:rsid w:val="003E6584"/>
    <w:rsid w:val="003E6A42"/>
    <w:rsid w:val="003E6B4C"/>
    <w:rsid w:val="003E6F74"/>
    <w:rsid w:val="003E7AB4"/>
    <w:rsid w:val="003E7ADD"/>
    <w:rsid w:val="003E7EC0"/>
    <w:rsid w:val="003F03D0"/>
    <w:rsid w:val="003F04AB"/>
    <w:rsid w:val="003F06B0"/>
    <w:rsid w:val="003F09FF"/>
    <w:rsid w:val="003F14FF"/>
    <w:rsid w:val="003F1759"/>
    <w:rsid w:val="003F179F"/>
    <w:rsid w:val="003F19D4"/>
    <w:rsid w:val="003F1D5A"/>
    <w:rsid w:val="003F1DC7"/>
    <w:rsid w:val="003F2A8D"/>
    <w:rsid w:val="003F2C1E"/>
    <w:rsid w:val="003F35FA"/>
    <w:rsid w:val="003F3668"/>
    <w:rsid w:val="003F3900"/>
    <w:rsid w:val="003F3A0D"/>
    <w:rsid w:val="003F3A64"/>
    <w:rsid w:val="003F4635"/>
    <w:rsid w:val="003F485A"/>
    <w:rsid w:val="003F4862"/>
    <w:rsid w:val="003F48B0"/>
    <w:rsid w:val="003F4CF2"/>
    <w:rsid w:val="003F4E26"/>
    <w:rsid w:val="003F4FE2"/>
    <w:rsid w:val="003F5929"/>
    <w:rsid w:val="003F59D0"/>
    <w:rsid w:val="003F5A3A"/>
    <w:rsid w:val="003F5E49"/>
    <w:rsid w:val="003F6163"/>
    <w:rsid w:val="003F6171"/>
    <w:rsid w:val="003F62F2"/>
    <w:rsid w:val="003F64B4"/>
    <w:rsid w:val="003F6634"/>
    <w:rsid w:val="003F6F14"/>
    <w:rsid w:val="003F75C9"/>
    <w:rsid w:val="003F776D"/>
    <w:rsid w:val="003F777B"/>
    <w:rsid w:val="003F7882"/>
    <w:rsid w:val="003F788A"/>
    <w:rsid w:val="003F78AA"/>
    <w:rsid w:val="003F7A83"/>
    <w:rsid w:val="003F7AD9"/>
    <w:rsid w:val="003F7B43"/>
    <w:rsid w:val="0040008D"/>
    <w:rsid w:val="004004C3"/>
    <w:rsid w:val="00401607"/>
    <w:rsid w:val="0040164D"/>
    <w:rsid w:val="00401BF7"/>
    <w:rsid w:val="00401DCE"/>
    <w:rsid w:val="00401E59"/>
    <w:rsid w:val="004020CA"/>
    <w:rsid w:val="004022AA"/>
    <w:rsid w:val="004027D3"/>
    <w:rsid w:val="004028C7"/>
    <w:rsid w:val="00402D30"/>
    <w:rsid w:val="00402EE3"/>
    <w:rsid w:val="00403598"/>
    <w:rsid w:val="00403D98"/>
    <w:rsid w:val="00403E1A"/>
    <w:rsid w:val="0040407B"/>
    <w:rsid w:val="00404475"/>
    <w:rsid w:val="00404704"/>
    <w:rsid w:val="0040486C"/>
    <w:rsid w:val="00405B3A"/>
    <w:rsid w:val="00405FE2"/>
    <w:rsid w:val="00406293"/>
    <w:rsid w:val="0040670B"/>
    <w:rsid w:val="0040678A"/>
    <w:rsid w:val="00406946"/>
    <w:rsid w:val="00406E4A"/>
    <w:rsid w:val="00406ED1"/>
    <w:rsid w:val="00407143"/>
    <w:rsid w:val="004072A8"/>
    <w:rsid w:val="00407314"/>
    <w:rsid w:val="004074E1"/>
    <w:rsid w:val="004075A4"/>
    <w:rsid w:val="00407609"/>
    <w:rsid w:val="00407A3F"/>
    <w:rsid w:val="00407A70"/>
    <w:rsid w:val="004104CB"/>
    <w:rsid w:val="004115AD"/>
    <w:rsid w:val="00411892"/>
    <w:rsid w:val="00412037"/>
    <w:rsid w:val="00412122"/>
    <w:rsid w:val="00412202"/>
    <w:rsid w:val="00412255"/>
    <w:rsid w:val="004123A0"/>
    <w:rsid w:val="00412607"/>
    <w:rsid w:val="004129FD"/>
    <w:rsid w:val="00412AE0"/>
    <w:rsid w:val="00412F32"/>
    <w:rsid w:val="00413087"/>
    <w:rsid w:val="00413EA0"/>
    <w:rsid w:val="00413F8C"/>
    <w:rsid w:val="00414499"/>
    <w:rsid w:val="004144CE"/>
    <w:rsid w:val="00414778"/>
    <w:rsid w:val="00414954"/>
    <w:rsid w:val="00415124"/>
    <w:rsid w:val="004152E6"/>
    <w:rsid w:val="00415A4F"/>
    <w:rsid w:val="00415B47"/>
    <w:rsid w:val="00415FBA"/>
    <w:rsid w:val="00416004"/>
    <w:rsid w:val="00416622"/>
    <w:rsid w:val="0041688C"/>
    <w:rsid w:val="004175B2"/>
    <w:rsid w:val="0041788F"/>
    <w:rsid w:val="00417FDF"/>
    <w:rsid w:val="004200CD"/>
    <w:rsid w:val="0042033B"/>
    <w:rsid w:val="00420391"/>
    <w:rsid w:val="0042071B"/>
    <w:rsid w:val="00420A01"/>
    <w:rsid w:val="00420CCB"/>
    <w:rsid w:val="00420D7D"/>
    <w:rsid w:val="00420DEC"/>
    <w:rsid w:val="00421C1A"/>
    <w:rsid w:val="0042224B"/>
    <w:rsid w:val="00422385"/>
    <w:rsid w:val="00422829"/>
    <w:rsid w:val="004229BD"/>
    <w:rsid w:val="00422E08"/>
    <w:rsid w:val="00423928"/>
    <w:rsid w:val="00423A8B"/>
    <w:rsid w:val="00423F58"/>
    <w:rsid w:val="00424A99"/>
    <w:rsid w:val="00424DB2"/>
    <w:rsid w:val="00424FED"/>
    <w:rsid w:val="00425360"/>
    <w:rsid w:val="004253DB"/>
    <w:rsid w:val="00425761"/>
    <w:rsid w:val="004257BD"/>
    <w:rsid w:val="004258C7"/>
    <w:rsid w:val="004258EE"/>
    <w:rsid w:val="00425D06"/>
    <w:rsid w:val="0042614A"/>
    <w:rsid w:val="0042615E"/>
    <w:rsid w:val="0042696C"/>
    <w:rsid w:val="00426D6B"/>
    <w:rsid w:val="0042753C"/>
    <w:rsid w:val="0042756C"/>
    <w:rsid w:val="00427683"/>
    <w:rsid w:val="0042770E"/>
    <w:rsid w:val="004302C4"/>
    <w:rsid w:val="004304EA"/>
    <w:rsid w:val="00430655"/>
    <w:rsid w:val="004307C5"/>
    <w:rsid w:val="004308B0"/>
    <w:rsid w:val="00430D5B"/>
    <w:rsid w:val="00430EC1"/>
    <w:rsid w:val="0043134E"/>
    <w:rsid w:val="00431BD2"/>
    <w:rsid w:val="00431BFF"/>
    <w:rsid w:val="00431C07"/>
    <w:rsid w:val="00432023"/>
    <w:rsid w:val="0043241A"/>
    <w:rsid w:val="00432495"/>
    <w:rsid w:val="004324A2"/>
    <w:rsid w:val="00432604"/>
    <w:rsid w:val="00432CCB"/>
    <w:rsid w:val="00432D8C"/>
    <w:rsid w:val="0043303C"/>
    <w:rsid w:val="0043359F"/>
    <w:rsid w:val="0043369E"/>
    <w:rsid w:val="004337BA"/>
    <w:rsid w:val="004338A7"/>
    <w:rsid w:val="00433AD6"/>
    <w:rsid w:val="00433B4A"/>
    <w:rsid w:val="00433DF0"/>
    <w:rsid w:val="00433F31"/>
    <w:rsid w:val="00434114"/>
    <w:rsid w:val="0043427F"/>
    <w:rsid w:val="0043437B"/>
    <w:rsid w:val="004346BA"/>
    <w:rsid w:val="00434CB9"/>
    <w:rsid w:val="00434D9D"/>
    <w:rsid w:val="00434F4D"/>
    <w:rsid w:val="00435810"/>
    <w:rsid w:val="00435A5F"/>
    <w:rsid w:val="00435BCB"/>
    <w:rsid w:val="0043636D"/>
    <w:rsid w:val="00436C63"/>
    <w:rsid w:val="00436E54"/>
    <w:rsid w:val="004372E9"/>
    <w:rsid w:val="00437338"/>
    <w:rsid w:val="004374B9"/>
    <w:rsid w:val="00437620"/>
    <w:rsid w:val="004378E1"/>
    <w:rsid w:val="00437C3D"/>
    <w:rsid w:val="00437F91"/>
    <w:rsid w:val="0044011C"/>
    <w:rsid w:val="00440330"/>
    <w:rsid w:val="00440344"/>
    <w:rsid w:val="0044043A"/>
    <w:rsid w:val="004405D1"/>
    <w:rsid w:val="0044076B"/>
    <w:rsid w:val="00440815"/>
    <w:rsid w:val="00440845"/>
    <w:rsid w:val="00440AC0"/>
    <w:rsid w:val="00440F18"/>
    <w:rsid w:val="00441295"/>
    <w:rsid w:val="00441324"/>
    <w:rsid w:val="00441458"/>
    <w:rsid w:val="004414C6"/>
    <w:rsid w:val="00441FC2"/>
    <w:rsid w:val="0044224F"/>
    <w:rsid w:val="0044292D"/>
    <w:rsid w:val="00442A2B"/>
    <w:rsid w:val="00443623"/>
    <w:rsid w:val="00443C72"/>
    <w:rsid w:val="00443D18"/>
    <w:rsid w:val="00444173"/>
    <w:rsid w:val="00444343"/>
    <w:rsid w:val="00444A17"/>
    <w:rsid w:val="00444B57"/>
    <w:rsid w:val="00445169"/>
    <w:rsid w:val="00445203"/>
    <w:rsid w:val="0044555A"/>
    <w:rsid w:val="00445614"/>
    <w:rsid w:val="00445975"/>
    <w:rsid w:val="00445A2F"/>
    <w:rsid w:val="00445CC7"/>
    <w:rsid w:val="00446362"/>
    <w:rsid w:val="00446371"/>
    <w:rsid w:val="004465C8"/>
    <w:rsid w:val="00446898"/>
    <w:rsid w:val="00446A6B"/>
    <w:rsid w:val="00446CE4"/>
    <w:rsid w:val="004477BE"/>
    <w:rsid w:val="0044781C"/>
    <w:rsid w:val="004500BA"/>
    <w:rsid w:val="00450311"/>
    <w:rsid w:val="00450820"/>
    <w:rsid w:val="00450871"/>
    <w:rsid w:val="00451013"/>
    <w:rsid w:val="00451065"/>
    <w:rsid w:val="004516DC"/>
    <w:rsid w:val="00451983"/>
    <w:rsid w:val="00451A5E"/>
    <w:rsid w:val="00451CA2"/>
    <w:rsid w:val="00451F76"/>
    <w:rsid w:val="004520E6"/>
    <w:rsid w:val="00452C36"/>
    <w:rsid w:val="00452D76"/>
    <w:rsid w:val="0045378C"/>
    <w:rsid w:val="00453887"/>
    <w:rsid w:val="00453DAD"/>
    <w:rsid w:val="0045425F"/>
    <w:rsid w:val="00454387"/>
    <w:rsid w:val="00454393"/>
    <w:rsid w:val="00454FD0"/>
    <w:rsid w:val="00454FE1"/>
    <w:rsid w:val="004553EF"/>
    <w:rsid w:val="00455780"/>
    <w:rsid w:val="00455A67"/>
    <w:rsid w:val="00456427"/>
    <w:rsid w:val="004564DA"/>
    <w:rsid w:val="00456EEC"/>
    <w:rsid w:val="00457661"/>
    <w:rsid w:val="00457693"/>
    <w:rsid w:val="00457A12"/>
    <w:rsid w:val="004601A9"/>
    <w:rsid w:val="0046054C"/>
    <w:rsid w:val="0046065C"/>
    <w:rsid w:val="00460A32"/>
    <w:rsid w:val="00460C2C"/>
    <w:rsid w:val="00460C94"/>
    <w:rsid w:val="00460DBC"/>
    <w:rsid w:val="00461237"/>
    <w:rsid w:val="00461322"/>
    <w:rsid w:val="004618FB"/>
    <w:rsid w:val="00461945"/>
    <w:rsid w:val="00461CAA"/>
    <w:rsid w:val="00462415"/>
    <w:rsid w:val="00462BAA"/>
    <w:rsid w:val="00462C69"/>
    <w:rsid w:val="00462CB1"/>
    <w:rsid w:val="0046317E"/>
    <w:rsid w:val="004632FD"/>
    <w:rsid w:val="00463319"/>
    <w:rsid w:val="00463467"/>
    <w:rsid w:val="00463557"/>
    <w:rsid w:val="00463683"/>
    <w:rsid w:val="00463720"/>
    <w:rsid w:val="00463747"/>
    <w:rsid w:val="00463B1C"/>
    <w:rsid w:val="00463CE2"/>
    <w:rsid w:val="0046418D"/>
    <w:rsid w:val="004644A3"/>
    <w:rsid w:val="004644F9"/>
    <w:rsid w:val="0046512B"/>
    <w:rsid w:val="004652B9"/>
    <w:rsid w:val="004658CC"/>
    <w:rsid w:val="004658EA"/>
    <w:rsid w:val="00465DEA"/>
    <w:rsid w:val="004660CC"/>
    <w:rsid w:val="004665F0"/>
    <w:rsid w:val="00466771"/>
    <w:rsid w:val="00466953"/>
    <w:rsid w:val="00466A0E"/>
    <w:rsid w:val="00466C5D"/>
    <w:rsid w:val="00466F00"/>
    <w:rsid w:val="004670E3"/>
    <w:rsid w:val="0046737D"/>
    <w:rsid w:val="00467750"/>
    <w:rsid w:val="00467A36"/>
    <w:rsid w:val="00467B07"/>
    <w:rsid w:val="00467C07"/>
    <w:rsid w:val="004700D9"/>
    <w:rsid w:val="0047019F"/>
    <w:rsid w:val="0047073B"/>
    <w:rsid w:val="0047078E"/>
    <w:rsid w:val="00470B37"/>
    <w:rsid w:val="00470CDE"/>
    <w:rsid w:val="004710BE"/>
    <w:rsid w:val="00471B83"/>
    <w:rsid w:val="00471C6E"/>
    <w:rsid w:val="00471D37"/>
    <w:rsid w:val="004721AC"/>
    <w:rsid w:val="00472534"/>
    <w:rsid w:val="0047256D"/>
    <w:rsid w:val="00472652"/>
    <w:rsid w:val="00472706"/>
    <w:rsid w:val="00472743"/>
    <w:rsid w:val="00472A1E"/>
    <w:rsid w:val="00472BEA"/>
    <w:rsid w:val="00472C91"/>
    <w:rsid w:val="00472D28"/>
    <w:rsid w:val="004730C0"/>
    <w:rsid w:val="0047337F"/>
    <w:rsid w:val="00473A49"/>
    <w:rsid w:val="00474551"/>
    <w:rsid w:val="00474686"/>
    <w:rsid w:val="00474780"/>
    <w:rsid w:val="004749E9"/>
    <w:rsid w:val="00474ADC"/>
    <w:rsid w:val="00474DAD"/>
    <w:rsid w:val="00475386"/>
    <w:rsid w:val="00475457"/>
    <w:rsid w:val="00475589"/>
    <w:rsid w:val="00475785"/>
    <w:rsid w:val="00475B94"/>
    <w:rsid w:val="00475E69"/>
    <w:rsid w:val="00475F44"/>
    <w:rsid w:val="00476094"/>
    <w:rsid w:val="0047654A"/>
    <w:rsid w:val="0047675E"/>
    <w:rsid w:val="00476C07"/>
    <w:rsid w:val="00476F5B"/>
    <w:rsid w:val="0047733E"/>
    <w:rsid w:val="00477345"/>
    <w:rsid w:val="00477917"/>
    <w:rsid w:val="00477A38"/>
    <w:rsid w:val="00480E9F"/>
    <w:rsid w:val="0048125A"/>
    <w:rsid w:val="0048144C"/>
    <w:rsid w:val="00481DA5"/>
    <w:rsid w:val="00481FDB"/>
    <w:rsid w:val="00482555"/>
    <w:rsid w:val="00482932"/>
    <w:rsid w:val="00482B19"/>
    <w:rsid w:val="0048339E"/>
    <w:rsid w:val="004834F0"/>
    <w:rsid w:val="0048386A"/>
    <w:rsid w:val="00483AFC"/>
    <w:rsid w:val="00483F48"/>
    <w:rsid w:val="0048416D"/>
    <w:rsid w:val="00484218"/>
    <w:rsid w:val="004843A9"/>
    <w:rsid w:val="004844A1"/>
    <w:rsid w:val="0048455A"/>
    <w:rsid w:val="004849C9"/>
    <w:rsid w:val="00484C45"/>
    <w:rsid w:val="004854C2"/>
    <w:rsid w:val="004854CE"/>
    <w:rsid w:val="004859A5"/>
    <w:rsid w:val="004859DF"/>
    <w:rsid w:val="00485D21"/>
    <w:rsid w:val="004862D3"/>
    <w:rsid w:val="0048637C"/>
    <w:rsid w:val="0048646D"/>
    <w:rsid w:val="004867E2"/>
    <w:rsid w:val="004869ED"/>
    <w:rsid w:val="00486A7D"/>
    <w:rsid w:val="00486C58"/>
    <w:rsid w:val="00486E85"/>
    <w:rsid w:val="00487394"/>
    <w:rsid w:val="004875C3"/>
    <w:rsid w:val="00487674"/>
    <w:rsid w:val="004901D1"/>
    <w:rsid w:val="00490494"/>
    <w:rsid w:val="004907CE"/>
    <w:rsid w:val="00490F36"/>
    <w:rsid w:val="00491573"/>
    <w:rsid w:val="004918C0"/>
    <w:rsid w:val="00491D20"/>
    <w:rsid w:val="00491E18"/>
    <w:rsid w:val="00491E3E"/>
    <w:rsid w:val="00491F70"/>
    <w:rsid w:val="004923D8"/>
    <w:rsid w:val="0049247B"/>
    <w:rsid w:val="00492E65"/>
    <w:rsid w:val="00492F3B"/>
    <w:rsid w:val="004931BF"/>
    <w:rsid w:val="00493E31"/>
    <w:rsid w:val="00494144"/>
    <w:rsid w:val="004942CA"/>
    <w:rsid w:val="00494473"/>
    <w:rsid w:val="00494B98"/>
    <w:rsid w:val="00495219"/>
    <w:rsid w:val="00495393"/>
    <w:rsid w:val="00495EAD"/>
    <w:rsid w:val="00495F02"/>
    <w:rsid w:val="0049603B"/>
    <w:rsid w:val="004963B8"/>
    <w:rsid w:val="00496480"/>
    <w:rsid w:val="00496CD3"/>
    <w:rsid w:val="00496E54"/>
    <w:rsid w:val="00496E77"/>
    <w:rsid w:val="00497603"/>
    <w:rsid w:val="00497F80"/>
    <w:rsid w:val="004A00FB"/>
    <w:rsid w:val="004A02C3"/>
    <w:rsid w:val="004A116E"/>
    <w:rsid w:val="004A13A9"/>
    <w:rsid w:val="004A14CE"/>
    <w:rsid w:val="004A1D0D"/>
    <w:rsid w:val="004A1F55"/>
    <w:rsid w:val="004A1FD6"/>
    <w:rsid w:val="004A253B"/>
    <w:rsid w:val="004A25C4"/>
    <w:rsid w:val="004A28CA"/>
    <w:rsid w:val="004A29C3"/>
    <w:rsid w:val="004A2B9A"/>
    <w:rsid w:val="004A2F14"/>
    <w:rsid w:val="004A355F"/>
    <w:rsid w:val="004A3803"/>
    <w:rsid w:val="004A386F"/>
    <w:rsid w:val="004A3956"/>
    <w:rsid w:val="004A40A5"/>
    <w:rsid w:val="004A40BD"/>
    <w:rsid w:val="004A411E"/>
    <w:rsid w:val="004A43F3"/>
    <w:rsid w:val="004A465E"/>
    <w:rsid w:val="004A4956"/>
    <w:rsid w:val="004A4D71"/>
    <w:rsid w:val="004A4FD5"/>
    <w:rsid w:val="004A5331"/>
    <w:rsid w:val="004A54F7"/>
    <w:rsid w:val="004A61AD"/>
    <w:rsid w:val="004A61DB"/>
    <w:rsid w:val="004A62FB"/>
    <w:rsid w:val="004A6740"/>
    <w:rsid w:val="004A6E95"/>
    <w:rsid w:val="004A6EBB"/>
    <w:rsid w:val="004A6F15"/>
    <w:rsid w:val="004A7CB7"/>
    <w:rsid w:val="004A7E00"/>
    <w:rsid w:val="004B0418"/>
    <w:rsid w:val="004B06F8"/>
    <w:rsid w:val="004B0831"/>
    <w:rsid w:val="004B0928"/>
    <w:rsid w:val="004B0B34"/>
    <w:rsid w:val="004B0C44"/>
    <w:rsid w:val="004B0D27"/>
    <w:rsid w:val="004B0DA8"/>
    <w:rsid w:val="004B205A"/>
    <w:rsid w:val="004B24DA"/>
    <w:rsid w:val="004B25B1"/>
    <w:rsid w:val="004B28D3"/>
    <w:rsid w:val="004B2987"/>
    <w:rsid w:val="004B2A15"/>
    <w:rsid w:val="004B2F46"/>
    <w:rsid w:val="004B2F56"/>
    <w:rsid w:val="004B30CB"/>
    <w:rsid w:val="004B3259"/>
    <w:rsid w:val="004B3313"/>
    <w:rsid w:val="004B3658"/>
    <w:rsid w:val="004B3844"/>
    <w:rsid w:val="004B39E1"/>
    <w:rsid w:val="004B3E21"/>
    <w:rsid w:val="004B411A"/>
    <w:rsid w:val="004B4440"/>
    <w:rsid w:val="004B4A57"/>
    <w:rsid w:val="004B4B2E"/>
    <w:rsid w:val="004B4D10"/>
    <w:rsid w:val="004B5338"/>
    <w:rsid w:val="004B54A1"/>
    <w:rsid w:val="004B5A9D"/>
    <w:rsid w:val="004B6170"/>
    <w:rsid w:val="004B6382"/>
    <w:rsid w:val="004B66AD"/>
    <w:rsid w:val="004B6750"/>
    <w:rsid w:val="004B679A"/>
    <w:rsid w:val="004B67AD"/>
    <w:rsid w:val="004B68A4"/>
    <w:rsid w:val="004B6C8D"/>
    <w:rsid w:val="004B6F11"/>
    <w:rsid w:val="004B7162"/>
    <w:rsid w:val="004B71C6"/>
    <w:rsid w:val="004B7242"/>
    <w:rsid w:val="004B7C2D"/>
    <w:rsid w:val="004C0614"/>
    <w:rsid w:val="004C0BE5"/>
    <w:rsid w:val="004C0CA0"/>
    <w:rsid w:val="004C0FD5"/>
    <w:rsid w:val="004C13B1"/>
    <w:rsid w:val="004C1ADC"/>
    <w:rsid w:val="004C2733"/>
    <w:rsid w:val="004C2904"/>
    <w:rsid w:val="004C29CE"/>
    <w:rsid w:val="004C2D8C"/>
    <w:rsid w:val="004C3289"/>
    <w:rsid w:val="004C344F"/>
    <w:rsid w:val="004C35C7"/>
    <w:rsid w:val="004C35D2"/>
    <w:rsid w:val="004C3AE0"/>
    <w:rsid w:val="004C3B51"/>
    <w:rsid w:val="004C3BE2"/>
    <w:rsid w:val="004C4891"/>
    <w:rsid w:val="004C4951"/>
    <w:rsid w:val="004C4CAD"/>
    <w:rsid w:val="004C519A"/>
    <w:rsid w:val="004C5252"/>
    <w:rsid w:val="004C5431"/>
    <w:rsid w:val="004C5E9C"/>
    <w:rsid w:val="004C64BC"/>
    <w:rsid w:val="004C6540"/>
    <w:rsid w:val="004C6571"/>
    <w:rsid w:val="004C6985"/>
    <w:rsid w:val="004C6B6E"/>
    <w:rsid w:val="004C7214"/>
    <w:rsid w:val="004C724D"/>
    <w:rsid w:val="004C74B7"/>
    <w:rsid w:val="004C787B"/>
    <w:rsid w:val="004D00E5"/>
    <w:rsid w:val="004D0762"/>
    <w:rsid w:val="004D0A22"/>
    <w:rsid w:val="004D0C02"/>
    <w:rsid w:val="004D15F7"/>
    <w:rsid w:val="004D196B"/>
    <w:rsid w:val="004D1AC7"/>
    <w:rsid w:val="004D1B38"/>
    <w:rsid w:val="004D2469"/>
    <w:rsid w:val="004D2602"/>
    <w:rsid w:val="004D2641"/>
    <w:rsid w:val="004D2685"/>
    <w:rsid w:val="004D2C42"/>
    <w:rsid w:val="004D34AD"/>
    <w:rsid w:val="004D38CB"/>
    <w:rsid w:val="004D3AEC"/>
    <w:rsid w:val="004D3DDB"/>
    <w:rsid w:val="004D4053"/>
    <w:rsid w:val="004D4098"/>
    <w:rsid w:val="004D4525"/>
    <w:rsid w:val="004D482B"/>
    <w:rsid w:val="004D5156"/>
    <w:rsid w:val="004D53DE"/>
    <w:rsid w:val="004D5665"/>
    <w:rsid w:val="004D57AE"/>
    <w:rsid w:val="004D584F"/>
    <w:rsid w:val="004D5989"/>
    <w:rsid w:val="004D6453"/>
    <w:rsid w:val="004D6531"/>
    <w:rsid w:val="004D66D0"/>
    <w:rsid w:val="004D67AF"/>
    <w:rsid w:val="004D68B5"/>
    <w:rsid w:val="004D691E"/>
    <w:rsid w:val="004D69BB"/>
    <w:rsid w:val="004D6A47"/>
    <w:rsid w:val="004D6A64"/>
    <w:rsid w:val="004D6FB9"/>
    <w:rsid w:val="004D72E6"/>
    <w:rsid w:val="004D781D"/>
    <w:rsid w:val="004D7A02"/>
    <w:rsid w:val="004D7CBA"/>
    <w:rsid w:val="004E0161"/>
    <w:rsid w:val="004E025F"/>
    <w:rsid w:val="004E09DD"/>
    <w:rsid w:val="004E14A4"/>
    <w:rsid w:val="004E15B9"/>
    <w:rsid w:val="004E1A2A"/>
    <w:rsid w:val="004E1F3F"/>
    <w:rsid w:val="004E2050"/>
    <w:rsid w:val="004E21F8"/>
    <w:rsid w:val="004E296E"/>
    <w:rsid w:val="004E3894"/>
    <w:rsid w:val="004E3D3A"/>
    <w:rsid w:val="004E4471"/>
    <w:rsid w:val="004E49EA"/>
    <w:rsid w:val="004E53EC"/>
    <w:rsid w:val="004E5711"/>
    <w:rsid w:val="004E5C08"/>
    <w:rsid w:val="004E6392"/>
    <w:rsid w:val="004E66DD"/>
    <w:rsid w:val="004E705F"/>
    <w:rsid w:val="004E72CB"/>
    <w:rsid w:val="004E72CC"/>
    <w:rsid w:val="004E734A"/>
    <w:rsid w:val="004E7548"/>
    <w:rsid w:val="004E7EEA"/>
    <w:rsid w:val="004F01C2"/>
    <w:rsid w:val="004F0267"/>
    <w:rsid w:val="004F0590"/>
    <w:rsid w:val="004F0673"/>
    <w:rsid w:val="004F0CC7"/>
    <w:rsid w:val="004F12D4"/>
    <w:rsid w:val="004F15EC"/>
    <w:rsid w:val="004F1ACF"/>
    <w:rsid w:val="004F1DA0"/>
    <w:rsid w:val="004F23A5"/>
    <w:rsid w:val="004F2979"/>
    <w:rsid w:val="004F2D47"/>
    <w:rsid w:val="004F2D4F"/>
    <w:rsid w:val="004F2D82"/>
    <w:rsid w:val="004F306D"/>
    <w:rsid w:val="004F3346"/>
    <w:rsid w:val="004F3775"/>
    <w:rsid w:val="004F4047"/>
    <w:rsid w:val="004F4165"/>
    <w:rsid w:val="004F4BFA"/>
    <w:rsid w:val="004F4D96"/>
    <w:rsid w:val="004F50BA"/>
    <w:rsid w:val="004F5223"/>
    <w:rsid w:val="004F5595"/>
    <w:rsid w:val="004F56EF"/>
    <w:rsid w:val="004F64FD"/>
    <w:rsid w:val="004F66EA"/>
    <w:rsid w:val="004F6A17"/>
    <w:rsid w:val="004F6D63"/>
    <w:rsid w:val="004F7139"/>
    <w:rsid w:val="004F7273"/>
    <w:rsid w:val="004F73A6"/>
    <w:rsid w:val="004F73FD"/>
    <w:rsid w:val="004F7428"/>
    <w:rsid w:val="004F7914"/>
    <w:rsid w:val="004F7C8E"/>
    <w:rsid w:val="004F7DE8"/>
    <w:rsid w:val="004F7FBE"/>
    <w:rsid w:val="00500EBE"/>
    <w:rsid w:val="00500F5A"/>
    <w:rsid w:val="00501223"/>
    <w:rsid w:val="00501544"/>
    <w:rsid w:val="00501593"/>
    <w:rsid w:val="00501A51"/>
    <w:rsid w:val="00501FC3"/>
    <w:rsid w:val="005021F3"/>
    <w:rsid w:val="00502A2A"/>
    <w:rsid w:val="00502AFA"/>
    <w:rsid w:val="005036E9"/>
    <w:rsid w:val="00503A52"/>
    <w:rsid w:val="00503DD0"/>
    <w:rsid w:val="005040B7"/>
    <w:rsid w:val="00504859"/>
    <w:rsid w:val="005049DD"/>
    <w:rsid w:val="005051F0"/>
    <w:rsid w:val="005051FD"/>
    <w:rsid w:val="00505500"/>
    <w:rsid w:val="005056B7"/>
    <w:rsid w:val="00505720"/>
    <w:rsid w:val="005057EB"/>
    <w:rsid w:val="00505CCB"/>
    <w:rsid w:val="00505CF0"/>
    <w:rsid w:val="00505D08"/>
    <w:rsid w:val="00505DA5"/>
    <w:rsid w:val="00505FF1"/>
    <w:rsid w:val="00506249"/>
    <w:rsid w:val="00506714"/>
    <w:rsid w:val="00506ADC"/>
    <w:rsid w:val="00506B5B"/>
    <w:rsid w:val="00506F44"/>
    <w:rsid w:val="005070F7"/>
    <w:rsid w:val="005072E5"/>
    <w:rsid w:val="00507402"/>
    <w:rsid w:val="00507569"/>
    <w:rsid w:val="005079DD"/>
    <w:rsid w:val="00507B37"/>
    <w:rsid w:val="00507C3B"/>
    <w:rsid w:val="00507F8F"/>
    <w:rsid w:val="00507F94"/>
    <w:rsid w:val="00510445"/>
    <w:rsid w:val="0051055B"/>
    <w:rsid w:val="0051059A"/>
    <w:rsid w:val="005106F9"/>
    <w:rsid w:val="00510835"/>
    <w:rsid w:val="00510C8D"/>
    <w:rsid w:val="00510D4D"/>
    <w:rsid w:val="00510E92"/>
    <w:rsid w:val="00511205"/>
    <w:rsid w:val="00511214"/>
    <w:rsid w:val="00512065"/>
    <w:rsid w:val="0051250F"/>
    <w:rsid w:val="0051271C"/>
    <w:rsid w:val="00512DE7"/>
    <w:rsid w:val="005130A6"/>
    <w:rsid w:val="00513846"/>
    <w:rsid w:val="00513960"/>
    <w:rsid w:val="0051427F"/>
    <w:rsid w:val="0051463D"/>
    <w:rsid w:val="005147DF"/>
    <w:rsid w:val="005148BE"/>
    <w:rsid w:val="005149E5"/>
    <w:rsid w:val="00514F83"/>
    <w:rsid w:val="0051563E"/>
    <w:rsid w:val="00515734"/>
    <w:rsid w:val="00515C8C"/>
    <w:rsid w:val="00515FDE"/>
    <w:rsid w:val="00516018"/>
    <w:rsid w:val="00516298"/>
    <w:rsid w:val="0051650E"/>
    <w:rsid w:val="0051672D"/>
    <w:rsid w:val="00516758"/>
    <w:rsid w:val="00516848"/>
    <w:rsid w:val="00516E38"/>
    <w:rsid w:val="00516E77"/>
    <w:rsid w:val="00516EF9"/>
    <w:rsid w:val="00516F16"/>
    <w:rsid w:val="0051703A"/>
    <w:rsid w:val="00517383"/>
    <w:rsid w:val="005173EC"/>
    <w:rsid w:val="00517639"/>
    <w:rsid w:val="00517D3C"/>
    <w:rsid w:val="0052060D"/>
    <w:rsid w:val="00520BA6"/>
    <w:rsid w:val="005211BA"/>
    <w:rsid w:val="0052142D"/>
    <w:rsid w:val="00521625"/>
    <w:rsid w:val="00521767"/>
    <w:rsid w:val="00521A28"/>
    <w:rsid w:val="00521B07"/>
    <w:rsid w:val="00521DC4"/>
    <w:rsid w:val="005222F2"/>
    <w:rsid w:val="00522916"/>
    <w:rsid w:val="00522B51"/>
    <w:rsid w:val="00522C7A"/>
    <w:rsid w:val="0052315B"/>
    <w:rsid w:val="00523499"/>
    <w:rsid w:val="005236FE"/>
    <w:rsid w:val="0052373D"/>
    <w:rsid w:val="00523AC7"/>
    <w:rsid w:val="00523BE9"/>
    <w:rsid w:val="005240CB"/>
    <w:rsid w:val="0052439D"/>
    <w:rsid w:val="00524A3C"/>
    <w:rsid w:val="00524BFA"/>
    <w:rsid w:val="00525633"/>
    <w:rsid w:val="00525974"/>
    <w:rsid w:val="00526191"/>
    <w:rsid w:val="005262C3"/>
    <w:rsid w:val="00526832"/>
    <w:rsid w:val="00526835"/>
    <w:rsid w:val="005269F1"/>
    <w:rsid w:val="00526A35"/>
    <w:rsid w:val="00526A4E"/>
    <w:rsid w:val="00526F01"/>
    <w:rsid w:val="00527034"/>
    <w:rsid w:val="005277E1"/>
    <w:rsid w:val="0053053F"/>
    <w:rsid w:val="005307BB"/>
    <w:rsid w:val="00530888"/>
    <w:rsid w:val="00530ED3"/>
    <w:rsid w:val="00530FF7"/>
    <w:rsid w:val="005310CF"/>
    <w:rsid w:val="00531387"/>
    <w:rsid w:val="005316EA"/>
    <w:rsid w:val="005317D6"/>
    <w:rsid w:val="00531E4A"/>
    <w:rsid w:val="00531ECF"/>
    <w:rsid w:val="00532054"/>
    <w:rsid w:val="00532271"/>
    <w:rsid w:val="005326B6"/>
    <w:rsid w:val="00532ADB"/>
    <w:rsid w:val="00532D8C"/>
    <w:rsid w:val="0053300A"/>
    <w:rsid w:val="005332A5"/>
    <w:rsid w:val="00533CEF"/>
    <w:rsid w:val="00533CFE"/>
    <w:rsid w:val="00533FFD"/>
    <w:rsid w:val="0053407B"/>
    <w:rsid w:val="00534335"/>
    <w:rsid w:val="00534C4A"/>
    <w:rsid w:val="00535542"/>
    <w:rsid w:val="005355F8"/>
    <w:rsid w:val="005355FD"/>
    <w:rsid w:val="005359FF"/>
    <w:rsid w:val="00535E22"/>
    <w:rsid w:val="005364D9"/>
    <w:rsid w:val="005366A2"/>
    <w:rsid w:val="0053694B"/>
    <w:rsid w:val="00536C27"/>
    <w:rsid w:val="00536EB8"/>
    <w:rsid w:val="00536EDC"/>
    <w:rsid w:val="0053789D"/>
    <w:rsid w:val="0053791D"/>
    <w:rsid w:val="00537E8F"/>
    <w:rsid w:val="0054010A"/>
    <w:rsid w:val="00540176"/>
    <w:rsid w:val="0054050D"/>
    <w:rsid w:val="00540534"/>
    <w:rsid w:val="00540CE4"/>
    <w:rsid w:val="00540D0E"/>
    <w:rsid w:val="0054100C"/>
    <w:rsid w:val="00541141"/>
    <w:rsid w:val="00541393"/>
    <w:rsid w:val="00541994"/>
    <w:rsid w:val="00541CB7"/>
    <w:rsid w:val="00541E6E"/>
    <w:rsid w:val="0054210F"/>
    <w:rsid w:val="005422B4"/>
    <w:rsid w:val="005428B8"/>
    <w:rsid w:val="00542990"/>
    <w:rsid w:val="005429D9"/>
    <w:rsid w:val="0054443F"/>
    <w:rsid w:val="005445A2"/>
    <w:rsid w:val="00544BB8"/>
    <w:rsid w:val="00544C04"/>
    <w:rsid w:val="00544ED5"/>
    <w:rsid w:val="0054523C"/>
    <w:rsid w:val="0054559B"/>
    <w:rsid w:val="00545D0C"/>
    <w:rsid w:val="0054602A"/>
    <w:rsid w:val="005460E7"/>
    <w:rsid w:val="0054627D"/>
    <w:rsid w:val="00546C8D"/>
    <w:rsid w:val="00546F85"/>
    <w:rsid w:val="005472BB"/>
    <w:rsid w:val="00547427"/>
    <w:rsid w:val="00547752"/>
    <w:rsid w:val="0054775B"/>
    <w:rsid w:val="005478EA"/>
    <w:rsid w:val="00547BE8"/>
    <w:rsid w:val="005505EE"/>
    <w:rsid w:val="00550612"/>
    <w:rsid w:val="005508A4"/>
    <w:rsid w:val="005509FC"/>
    <w:rsid w:val="00550D28"/>
    <w:rsid w:val="00550F68"/>
    <w:rsid w:val="0055136E"/>
    <w:rsid w:val="0055162A"/>
    <w:rsid w:val="00551ADA"/>
    <w:rsid w:val="00551DC2"/>
    <w:rsid w:val="005520B2"/>
    <w:rsid w:val="005521F7"/>
    <w:rsid w:val="00552618"/>
    <w:rsid w:val="0055285B"/>
    <w:rsid w:val="00552935"/>
    <w:rsid w:val="00552F9E"/>
    <w:rsid w:val="0055338F"/>
    <w:rsid w:val="005539EA"/>
    <w:rsid w:val="00553DAC"/>
    <w:rsid w:val="00553EC5"/>
    <w:rsid w:val="005542A2"/>
    <w:rsid w:val="005542B8"/>
    <w:rsid w:val="0055458C"/>
    <w:rsid w:val="00554991"/>
    <w:rsid w:val="00554E0A"/>
    <w:rsid w:val="00555061"/>
    <w:rsid w:val="0055544B"/>
    <w:rsid w:val="00555A5E"/>
    <w:rsid w:val="00555BA9"/>
    <w:rsid w:val="00555C8E"/>
    <w:rsid w:val="00555DE4"/>
    <w:rsid w:val="00555E49"/>
    <w:rsid w:val="00556001"/>
    <w:rsid w:val="00556274"/>
    <w:rsid w:val="0055643B"/>
    <w:rsid w:val="00556AF0"/>
    <w:rsid w:val="00556CAF"/>
    <w:rsid w:val="005577C4"/>
    <w:rsid w:val="005579D0"/>
    <w:rsid w:val="00557E9F"/>
    <w:rsid w:val="00557EE9"/>
    <w:rsid w:val="00560EB9"/>
    <w:rsid w:val="00561614"/>
    <w:rsid w:val="0056191C"/>
    <w:rsid w:val="00561E3B"/>
    <w:rsid w:val="005620AE"/>
    <w:rsid w:val="00562241"/>
    <w:rsid w:val="0056258F"/>
    <w:rsid w:val="00562602"/>
    <w:rsid w:val="005626D5"/>
    <w:rsid w:val="00562DD9"/>
    <w:rsid w:val="00562F23"/>
    <w:rsid w:val="005630BE"/>
    <w:rsid w:val="005631FB"/>
    <w:rsid w:val="00563284"/>
    <w:rsid w:val="005632B5"/>
    <w:rsid w:val="005635EA"/>
    <w:rsid w:val="00563946"/>
    <w:rsid w:val="00563B64"/>
    <w:rsid w:val="00563CCC"/>
    <w:rsid w:val="00563F39"/>
    <w:rsid w:val="00564473"/>
    <w:rsid w:val="00564AE9"/>
    <w:rsid w:val="00564DA4"/>
    <w:rsid w:val="00565224"/>
    <w:rsid w:val="0056522B"/>
    <w:rsid w:val="0056626E"/>
    <w:rsid w:val="00566467"/>
    <w:rsid w:val="00566815"/>
    <w:rsid w:val="005669B0"/>
    <w:rsid w:val="00566B8B"/>
    <w:rsid w:val="00566CE0"/>
    <w:rsid w:val="00566F49"/>
    <w:rsid w:val="00567041"/>
    <w:rsid w:val="005670D1"/>
    <w:rsid w:val="005673D8"/>
    <w:rsid w:val="0056794B"/>
    <w:rsid w:val="00567A33"/>
    <w:rsid w:val="00567D0B"/>
    <w:rsid w:val="00567FF0"/>
    <w:rsid w:val="0057008A"/>
    <w:rsid w:val="005703A3"/>
    <w:rsid w:val="00570845"/>
    <w:rsid w:val="00570A1E"/>
    <w:rsid w:val="00570B39"/>
    <w:rsid w:val="005717BB"/>
    <w:rsid w:val="005719DA"/>
    <w:rsid w:val="00571DC5"/>
    <w:rsid w:val="005727D3"/>
    <w:rsid w:val="00572ADA"/>
    <w:rsid w:val="00572B5D"/>
    <w:rsid w:val="0057309C"/>
    <w:rsid w:val="005734F8"/>
    <w:rsid w:val="00573D95"/>
    <w:rsid w:val="005743D3"/>
    <w:rsid w:val="005749DC"/>
    <w:rsid w:val="00575313"/>
    <w:rsid w:val="005755AF"/>
    <w:rsid w:val="00575736"/>
    <w:rsid w:val="0057592C"/>
    <w:rsid w:val="00575C2E"/>
    <w:rsid w:val="00575F16"/>
    <w:rsid w:val="0057605A"/>
    <w:rsid w:val="0057608E"/>
    <w:rsid w:val="00576D6E"/>
    <w:rsid w:val="00576EFD"/>
    <w:rsid w:val="00577178"/>
    <w:rsid w:val="00577C77"/>
    <w:rsid w:val="00577D91"/>
    <w:rsid w:val="005801CC"/>
    <w:rsid w:val="00580207"/>
    <w:rsid w:val="00580263"/>
    <w:rsid w:val="00580988"/>
    <w:rsid w:val="00580CCE"/>
    <w:rsid w:val="00580E35"/>
    <w:rsid w:val="00580F5D"/>
    <w:rsid w:val="00581273"/>
    <w:rsid w:val="00581939"/>
    <w:rsid w:val="0058196D"/>
    <w:rsid w:val="00581AB9"/>
    <w:rsid w:val="00581C41"/>
    <w:rsid w:val="00581CB6"/>
    <w:rsid w:val="005825D0"/>
    <w:rsid w:val="00582620"/>
    <w:rsid w:val="00582748"/>
    <w:rsid w:val="005831E2"/>
    <w:rsid w:val="00583729"/>
    <w:rsid w:val="00583ACA"/>
    <w:rsid w:val="00583BF8"/>
    <w:rsid w:val="00583C98"/>
    <w:rsid w:val="005843CB"/>
    <w:rsid w:val="00584525"/>
    <w:rsid w:val="005847C1"/>
    <w:rsid w:val="00584831"/>
    <w:rsid w:val="00584AFC"/>
    <w:rsid w:val="00584B8F"/>
    <w:rsid w:val="00584C97"/>
    <w:rsid w:val="00584C9A"/>
    <w:rsid w:val="00584F5B"/>
    <w:rsid w:val="00585031"/>
    <w:rsid w:val="00585733"/>
    <w:rsid w:val="00585A1A"/>
    <w:rsid w:val="00585C90"/>
    <w:rsid w:val="00585CD0"/>
    <w:rsid w:val="00585F54"/>
    <w:rsid w:val="00585FA2"/>
    <w:rsid w:val="005862F9"/>
    <w:rsid w:val="00586306"/>
    <w:rsid w:val="00586465"/>
    <w:rsid w:val="00586B5F"/>
    <w:rsid w:val="00586F93"/>
    <w:rsid w:val="005870D1"/>
    <w:rsid w:val="00587227"/>
    <w:rsid w:val="005873AE"/>
    <w:rsid w:val="00587AB6"/>
    <w:rsid w:val="005901F2"/>
    <w:rsid w:val="0059028E"/>
    <w:rsid w:val="00590928"/>
    <w:rsid w:val="00590D1E"/>
    <w:rsid w:val="00590D84"/>
    <w:rsid w:val="00590D93"/>
    <w:rsid w:val="005910B3"/>
    <w:rsid w:val="005910BD"/>
    <w:rsid w:val="00591292"/>
    <w:rsid w:val="005913C5"/>
    <w:rsid w:val="00591519"/>
    <w:rsid w:val="00591D2D"/>
    <w:rsid w:val="00591EB8"/>
    <w:rsid w:val="005921B6"/>
    <w:rsid w:val="0059223F"/>
    <w:rsid w:val="005924BE"/>
    <w:rsid w:val="00593BA8"/>
    <w:rsid w:val="00593BB7"/>
    <w:rsid w:val="00593ED0"/>
    <w:rsid w:val="00594362"/>
    <w:rsid w:val="0059489D"/>
    <w:rsid w:val="00594B8F"/>
    <w:rsid w:val="00594C2A"/>
    <w:rsid w:val="00594C2B"/>
    <w:rsid w:val="00594FD0"/>
    <w:rsid w:val="005953AE"/>
    <w:rsid w:val="005955C5"/>
    <w:rsid w:val="00595811"/>
    <w:rsid w:val="00595B9E"/>
    <w:rsid w:val="00595CB6"/>
    <w:rsid w:val="00595F78"/>
    <w:rsid w:val="0059628F"/>
    <w:rsid w:val="005962BE"/>
    <w:rsid w:val="00596777"/>
    <w:rsid w:val="00596FBA"/>
    <w:rsid w:val="00597233"/>
    <w:rsid w:val="005975C1"/>
    <w:rsid w:val="00597C04"/>
    <w:rsid w:val="00597DE9"/>
    <w:rsid w:val="005A0169"/>
    <w:rsid w:val="005A04DC"/>
    <w:rsid w:val="005A056C"/>
    <w:rsid w:val="005A0D3B"/>
    <w:rsid w:val="005A0E0D"/>
    <w:rsid w:val="005A14FF"/>
    <w:rsid w:val="005A1A12"/>
    <w:rsid w:val="005A1DFD"/>
    <w:rsid w:val="005A1EEC"/>
    <w:rsid w:val="005A25E8"/>
    <w:rsid w:val="005A27A3"/>
    <w:rsid w:val="005A29A5"/>
    <w:rsid w:val="005A3395"/>
    <w:rsid w:val="005A3460"/>
    <w:rsid w:val="005A42CA"/>
    <w:rsid w:val="005A445F"/>
    <w:rsid w:val="005A4485"/>
    <w:rsid w:val="005A4501"/>
    <w:rsid w:val="005A45A3"/>
    <w:rsid w:val="005A462A"/>
    <w:rsid w:val="005A4794"/>
    <w:rsid w:val="005A47E9"/>
    <w:rsid w:val="005A4A3A"/>
    <w:rsid w:val="005A4B09"/>
    <w:rsid w:val="005A52F2"/>
    <w:rsid w:val="005A5416"/>
    <w:rsid w:val="005A57E4"/>
    <w:rsid w:val="005A58D1"/>
    <w:rsid w:val="005A58DE"/>
    <w:rsid w:val="005A5C4E"/>
    <w:rsid w:val="005A6179"/>
    <w:rsid w:val="005A623E"/>
    <w:rsid w:val="005A66D7"/>
    <w:rsid w:val="005A6B6A"/>
    <w:rsid w:val="005A6D6D"/>
    <w:rsid w:val="005A6EAF"/>
    <w:rsid w:val="005A77BC"/>
    <w:rsid w:val="005B006C"/>
    <w:rsid w:val="005B03CB"/>
    <w:rsid w:val="005B0648"/>
    <w:rsid w:val="005B107D"/>
    <w:rsid w:val="005B1496"/>
    <w:rsid w:val="005B168B"/>
    <w:rsid w:val="005B1C3D"/>
    <w:rsid w:val="005B2E79"/>
    <w:rsid w:val="005B2EA2"/>
    <w:rsid w:val="005B2EB9"/>
    <w:rsid w:val="005B2F78"/>
    <w:rsid w:val="005B30E9"/>
    <w:rsid w:val="005B3495"/>
    <w:rsid w:val="005B364C"/>
    <w:rsid w:val="005B3ABE"/>
    <w:rsid w:val="005B3D3B"/>
    <w:rsid w:val="005B4085"/>
    <w:rsid w:val="005B4FEA"/>
    <w:rsid w:val="005B53E5"/>
    <w:rsid w:val="005B5F86"/>
    <w:rsid w:val="005B6C5B"/>
    <w:rsid w:val="005B7582"/>
    <w:rsid w:val="005B774B"/>
    <w:rsid w:val="005B77DC"/>
    <w:rsid w:val="005B77F0"/>
    <w:rsid w:val="005B7D85"/>
    <w:rsid w:val="005C0054"/>
    <w:rsid w:val="005C018E"/>
    <w:rsid w:val="005C02CB"/>
    <w:rsid w:val="005C0727"/>
    <w:rsid w:val="005C0D6B"/>
    <w:rsid w:val="005C0FE7"/>
    <w:rsid w:val="005C1005"/>
    <w:rsid w:val="005C11B4"/>
    <w:rsid w:val="005C1230"/>
    <w:rsid w:val="005C1B8E"/>
    <w:rsid w:val="005C1E8C"/>
    <w:rsid w:val="005C1ECF"/>
    <w:rsid w:val="005C2B1B"/>
    <w:rsid w:val="005C2C4F"/>
    <w:rsid w:val="005C2C5F"/>
    <w:rsid w:val="005C2DAC"/>
    <w:rsid w:val="005C2F46"/>
    <w:rsid w:val="005C33EF"/>
    <w:rsid w:val="005C3D54"/>
    <w:rsid w:val="005C3E0A"/>
    <w:rsid w:val="005C40C7"/>
    <w:rsid w:val="005C43A3"/>
    <w:rsid w:val="005C44F7"/>
    <w:rsid w:val="005C4D02"/>
    <w:rsid w:val="005C4DFD"/>
    <w:rsid w:val="005C4E6E"/>
    <w:rsid w:val="005C519A"/>
    <w:rsid w:val="005C5993"/>
    <w:rsid w:val="005C59EC"/>
    <w:rsid w:val="005C5C4A"/>
    <w:rsid w:val="005C5C96"/>
    <w:rsid w:val="005C5EA3"/>
    <w:rsid w:val="005C65DD"/>
    <w:rsid w:val="005C6FAB"/>
    <w:rsid w:val="005C6FFC"/>
    <w:rsid w:val="005C70E0"/>
    <w:rsid w:val="005C7127"/>
    <w:rsid w:val="005C71B8"/>
    <w:rsid w:val="005C7FB0"/>
    <w:rsid w:val="005D0181"/>
    <w:rsid w:val="005D0441"/>
    <w:rsid w:val="005D0697"/>
    <w:rsid w:val="005D08A8"/>
    <w:rsid w:val="005D08E3"/>
    <w:rsid w:val="005D0C65"/>
    <w:rsid w:val="005D0F52"/>
    <w:rsid w:val="005D1009"/>
    <w:rsid w:val="005D1190"/>
    <w:rsid w:val="005D1490"/>
    <w:rsid w:val="005D1B05"/>
    <w:rsid w:val="005D20B2"/>
    <w:rsid w:val="005D24EC"/>
    <w:rsid w:val="005D2609"/>
    <w:rsid w:val="005D2C6E"/>
    <w:rsid w:val="005D2D3C"/>
    <w:rsid w:val="005D2E12"/>
    <w:rsid w:val="005D32C7"/>
    <w:rsid w:val="005D3387"/>
    <w:rsid w:val="005D3847"/>
    <w:rsid w:val="005D3931"/>
    <w:rsid w:val="005D3B21"/>
    <w:rsid w:val="005D3C52"/>
    <w:rsid w:val="005D3DD8"/>
    <w:rsid w:val="005D3E91"/>
    <w:rsid w:val="005D451B"/>
    <w:rsid w:val="005D4CF7"/>
    <w:rsid w:val="005D4E3F"/>
    <w:rsid w:val="005D51CB"/>
    <w:rsid w:val="005D53D7"/>
    <w:rsid w:val="005D5503"/>
    <w:rsid w:val="005D5559"/>
    <w:rsid w:val="005D5697"/>
    <w:rsid w:val="005D596D"/>
    <w:rsid w:val="005D5A68"/>
    <w:rsid w:val="005D5EC0"/>
    <w:rsid w:val="005D5F95"/>
    <w:rsid w:val="005D723F"/>
    <w:rsid w:val="005D7386"/>
    <w:rsid w:val="005D7699"/>
    <w:rsid w:val="005D78F0"/>
    <w:rsid w:val="005D7F35"/>
    <w:rsid w:val="005E06D0"/>
    <w:rsid w:val="005E073C"/>
    <w:rsid w:val="005E0AB7"/>
    <w:rsid w:val="005E0AD2"/>
    <w:rsid w:val="005E0DEC"/>
    <w:rsid w:val="005E0FEE"/>
    <w:rsid w:val="005E1695"/>
    <w:rsid w:val="005E18B1"/>
    <w:rsid w:val="005E18FB"/>
    <w:rsid w:val="005E1D35"/>
    <w:rsid w:val="005E1DBF"/>
    <w:rsid w:val="005E1E25"/>
    <w:rsid w:val="005E20D5"/>
    <w:rsid w:val="005E238C"/>
    <w:rsid w:val="005E2710"/>
    <w:rsid w:val="005E29D8"/>
    <w:rsid w:val="005E2AAA"/>
    <w:rsid w:val="005E2CF2"/>
    <w:rsid w:val="005E2D5A"/>
    <w:rsid w:val="005E2F0D"/>
    <w:rsid w:val="005E3042"/>
    <w:rsid w:val="005E31B4"/>
    <w:rsid w:val="005E32D5"/>
    <w:rsid w:val="005E3627"/>
    <w:rsid w:val="005E3726"/>
    <w:rsid w:val="005E379F"/>
    <w:rsid w:val="005E39B6"/>
    <w:rsid w:val="005E44E0"/>
    <w:rsid w:val="005E4AC9"/>
    <w:rsid w:val="005E4E94"/>
    <w:rsid w:val="005E4F4B"/>
    <w:rsid w:val="005E5468"/>
    <w:rsid w:val="005E55C2"/>
    <w:rsid w:val="005E5CE4"/>
    <w:rsid w:val="005E600D"/>
    <w:rsid w:val="005E670B"/>
    <w:rsid w:val="005E6B44"/>
    <w:rsid w:val="005E6F21"/>
    <w:rsid w:val="005E6FC3"/>
    <w:rsid w:val="005E76E5"/>
    <w:rsid w:val="005E78AE"/>
    <w:rsid w:val="005E791E"/>
    <w:rsid w:val="005E7AD3"/>
    <w:rsid w:val="005E7E6C"/>
    <w:rsid w:val="005F0181"/>
    <w:rsid w:val="005F01BE"/>
    <w:rsid w:val="005F03A4"/>
    <w:rsid w:val="005F1303"/>
    <w:rsid w:val="005F1562"/>
    <w:rsid w:val="005F16AA"/>
    <w:rsid w:val="005F1818"/>
    <w:rsid w:val="005F1A28"/>
    <w:rsid w:val="005F1A8B"/>
    <w:rsid w:val="005F1E73"/>
    <w:rsid w:val="005F1EF7"/>
    <w:rsid w:val="005F2150"/>
    <w:rsid w:val="005F22EC"/>
    <w:rsid w:val="005F2885"/>
    <w:rsid w:val="005F28EF"/>
    <w:rsid w:val="005F2966"/>
    <w:rsid w:val="005F2D6B"/>
    <w:rsid w:val="005F2DD9"/>
    <w:rsid w:val="005F32AF"/>
    <w:rsid w:val="005F34EA"/>
    <w:rsid w:val="005F358F"/>
    <w:rsid w:val="005F3C7E"/>
    <w:rsid w:val="005F3EFD"/>
    <w:rsid w:val="005F40D3"/>
    <w:rsid w:val="005F40FA"/>
    <w:rsid w:val="005F4832"/>
    <w:rsid w:val="005F56B0"/>
    <w:rsid w:val="005F5744"/>
    <w:rsid w:val="005F5E86"/>
    <w:rsid w:val="005F6325"/>
    <w:rsid w:val="005F63CE"/>
    <w:rsid w:val="005F65AE"/>
    <w:rsid w:val="005F6683"/>
    <w:rsid w:val="005F67F4"/>
    <w:rsid w:val="005F7B53"/>
    <w:rsid w:val="005F7C4B"/>
    <w:rsid w:val="005F7C91"/>
    <w:rsid w:val="0060071B"/>
    <w:rsid w:val="0060075E"/>
    <w:rsid w:val="00600D70"/>
    <w:rsid w:val="006010BC"/>
    <w:rsid w:val="006013F1"/>
    <w:rsid w:val="00601415"/>
    <w:rsid w:val="006016D7"/>
    <w:rsid w:val="00601C45"/>
    <w:rsid w:val="00601DA4"/>
    <w:rsid w:val="00601F51"/>
    <w:rsid w:val="0060224F"/>
    <w:rsid w:val="006022F5"/>
    <w:rsid w:val="0060242C"/>
    <w:rsid w:val="00602566"/>
    <w:rsid w:val="006025EB"/>
    <w:rsid w:val="00602648"/>
    <w:rsid w:val="00602688"/>
    <w:rsid w:val="006026EC"/>
    <w:rsid w:val="00602753"/>
    <w:rsid w:val="006028B7"/>
    <w:rsid w:val="00602965"/>
    <w:rsid w:val="00602D00"/>
    <w:rsid w:val="00602F15"/>
    <w:rsid w:val="00603052"/>
    <w:rsid w:val="00603074"/>
    <w:rsid w:val="00603612"/>
    <w:rsid w:val="00603825"/>
    <w:rsid w:val="00603D51"/>
    <w:rsid w:val="00603DB9"/>
    <w:rsid w:val="00603FF9"/>
    <w:rsid w:val="0060432D"/>
    <w:rsid w:val="0060459B"/>
    <w:rsid w:val="00604626"/>
    <w:rsid w:val="00604769"/>
    <w:rsid w:val="00604E6C"/>
    <w:rsid w:val="006053AB"/>
    <w:rsid w:val="006055A2"/>
    <w:rsid w:val="006055C8"/>
    <w:rsid w:val="00605812"/>
    <w:rsid w:val="00605A06"/>
    <w:rsid w:val="00605B07"/>
    <w:rsid w:val="00605DF3"/>
    <w:rsid w:val="00605E8B"/>
    <w:rsid w:val="0060609E"/>
    <w:rsid w:val="0060697D"/>
    <w:rsid w:val="006070F0"/>
    <w:rsid w:val="00607274"/>
    <w:rsid w:val="00607BDA"/>
    <w:rsid w:val="00607D0F"/>
    <w:rsid w:val="00610121"/>
    <w:rsid w:val="006101B0"/>
    <w:rsid w:val="0061043D"/>
    <w:rsid w:val="0061049F"/>
    <w:rsid w:val="0061065D"/>
    <w:rsid w:val="006107E6"/>
    <w:rsid w:val="00611188"/>
    <w:rsid w:val="006111F0"/>
    <w:rsid w:val="00611706"/>
    <w:rsid w:val="0061198D"/>
    <w:rsid w:val="00611C95"/>
    <w:rsid w:val="00611DCB"/>
    <w:rsid w:val="00611EC0"/>
    <w:rsid w:val="006123AD"/>
    <w:rsid w:val="0061248A"/>
    <w:rsid w:val="00612B3B"/>
    <w:rsid w:val="00613143"/>
    <w:rsid w:val="00613533"/>
    <w:rsid w:val="006135B6"/>
    <w:rsid w:val="00613B5F"/>
    <w:rsid w:val="00613EFB"/>
    <w:rsid w:val="00614121"/>
    <w:rsid w:val="006144C1"/>
    <w:rsid w:val="00614620"/>
    <w:rsid w:val="00614692"/>
    <w:rsid w:val="00614A82"/>
    <w:rsid w:val="00614DE3"/>
    <w:rsid w:val="00615102"/>
    <w:rsid w:val="00615329"/>
    <w:rsid w:val="0061595F"/>
    <w:rsid w:val="00616144"/>
    <w:rsid w:val="006161C7"/>
    <w:rsid w:val="006163D8"/>
    <w:rsid w:val="0061697D"/>
    <w:rsid w:val="00616A18"/>
    <w:rsid w:val="00616D3D"/>
    <w:rsid w:val="00616D90"/>
    <w:rsid w:val="006170BE"/>
    <w:rsid w:val="00617ACF"/>
    <w:rsid w:val="006202B7"/>
    <w:rsid w:val="00620441"/>
    <w:rsid w:val="006204B1"/>
    <w:rsid w:val="00620CB9"/>
    <w:rsid w:val="00620F24"/>
    <w:rsid w:val="00621170"/>
    <w:rsid w:val="006219EB"/>
    <w:rsid w:val="00622642"/>
    <w:rsid w:val="0062288C"/>
    <w:rsid w:val="00622B51"/>
    <w:rsid w:val="00622D1E"/>
    <w:rsid w:val="006231E3"/>
    <w:rsid w:val="006234D9"/>
    <w:rsid w:val="006237E2"/>
    <w:rsid w:val="006237F3"/>
    <w:rsid w:val="00623A58"/>
    <w:rsid w:val="00623B4E"/>
    <w:rsid w:val="00623C5D"/>
    <w:rsid w:val="00623F29"/>
    <w:rsid w:val="006240B5"/>
    <w:rsid w:val="006241D5"/>
    <w:rsid w:val="00624267"/>
    <w:rsid w:val="006244E2"/>
    <w:rsid w:val="00624A6C"/>
    <w:rsid w:val="0062552E"/>
    <w:rsid w:val="006255E6"/>
    <w:rsid w:val="00625692"/>
    <w:rsid w:val="00625801"/>
    <w:rsid w:val="00625C35"/>
    <w:rsid w:val="0062643F"/>
    <w:rsid w:val="00626680"/>
    <w:rsid w:val="00626700"/>
    <w:rsid w:val="006267F6"/>
    <w:rsid w:val="006268A5"/>
    <w:rsid w:val="00626F91"/>
    <w:rsid w:val="00627C17"/>
    <w:rsid w:val="00630271"/>
    <w:rsid w:val="006302D8"/>
    <w:rsid w:val="00630391"/>
    <w:rsid w:val="006304AD"/>
    <w:rsid w:val="0063055E"/>
    <w:rsid w:val="0063127C"/>
    <w:rsid w:val="00631D51"/>
    <w:rsid w:val="00631E24"/>
    <w:rsid w:val="00631E2E"/>
    <w:rsid w:val="006322C6"/>
    <w:rsid w:val="00632328"/>
    <w:rsid w:val="006323A0"/>
    <w:rsid w:val="006325B6"/>
    <w:rsid w:val="006326BE"/>
    <w:rsid w:val="0063279E"/>
    <w:rsid w:val="00632883"/>
    <w:rsid w:val="00633420"/>
    <w:rsid w:val="00633424"/>
    <w:rsid w:val="006336ED"/>
    <w:rsid w:val="0063470C"/>
    <w:rsid w:val="0063478C"/>
    <w:rsid w:val="00634ABD"/>
    <w:rsid w:val="00634B44"/>
    <w:rsid w:val="00634E32"/>
    <w:rsid w:val="00634F8B"/>
    <w:rsid w:val="00634FA3"/>
    <w:rsid w:val="0063505F"/>
    <w:rsid w:val="00635080"/>
    <w:rsid w:val="006351E8"/>
    <w:rsid w:val="00635969"/>
    <w:rsid w:val="00635AAD"/>
    <w:rsid w:val="00635B19"/>
    <w:rsid w:val="00635B53"/>
    <w:rsid w:val="006361A4"/>
    <w:rsid w:val="006363DB"/>
    <w:rsid w:val="006369EA"/>
    <w:rsid w:val="00636B8D"/>
    <w:rsid w:val="00636BA9"/>
    <w:rsid w:val="00636C93"/>
    <w:rsid w:val="00636DBA"/>
    <w:rsid w:val="00636EE9"/>
    <w:rsid w:val="006373C6"/>
    <w:rsid w:val="006373F3"/>
    <w:rsid w:val="00637A1B"/>
    <w:rsid w:val="00637B3B"/>
    <w:rsid w:val="00637C7B"/>
    <w:rsid w:val="00640015"/>
    <w:rsid w:val="00640207"/>
    <w:rsid w:val="00640325"/>
    <w:rsid w:val="006404FA"/>
    <w:rsid w:val="00640794"/>
    <w:rsid w:val="006408F4"/>
    <w:rsid w:val="00640ADE"/>
    <w:rsid w:val="00640EF8"/>
    <w:rsid w:val="00640F5D"/>
    <w:rsid w:val="00641092"/>
    <w:rsid w:val="006413F7"/>
    <w:rsid w:val="00641651"/>
    <w:rsid w:val="006419B3"/>
    <w:rsid w:val="006419B9"/>
    <w:rsid w:val="00641CAF"/>
    <w:rsid w:val="00641E07"/>
    <w:rsid w:val="006426A3"/>
    <w:rsid w:val="006429B6"/>
    <w:rsid w:val="00642A3C"/>
    <w:rsid w:val="0064303E"/>
    <w:rsid w:val="00643290"/>
    <w:rsid w:val="00643356"/>
    <w:rsid w:val="0064346B"/>
    <w:rsid w:val="00643535"/>
    <w:rsid w:val="0064373A"/>
    <w:rsid w:val="006438D0"/>
    <w:rsid w:val="00643E18"/>
    <w:rsid w:val="00643FD7"/>
    <w:rsid w:val="00644425"/>
    <w:rsid w:val="0064480D"/>
    <w:rsid w:val="00644D64"/>
    <w:rsid w:val="00645365"/>
    <w:rsid w:val="0064562F"/>
    <w:rsid w:val="006458E6"/>
    <w:rsid w:val="00645949"/>
    <w:rsid w:val="00645A2D"/>
    <w:rsid w:val="00645A3D"/>
    <w:rsid w:val="00645CCE"/>
    <w:rsid w:val="00645ED4"/>
    <w:rsid w:val="00645F1D"/>
    <w:rsid w:val="006462DC"/>
    <w:rsid w:val="00646309"/>
    <w:rsid w:val="006465F1"/>
    <w:rsid w:val="00646BCE"/>
    <w:rsid w:val="00646F70"/>
    <w:rsid w:val="00647973"/>
    <w:rsid w:val="006504E4"/>
    <w:rsid w:val="0065067D"/>
    <w:rsid w:val="00650725"/>
    <w:rsid w:val="00650915"/>
    <w:rsid w:val="00651006"/>
    <w:rsid w:val="006514AB"/>
    <w:rsid w:val="006514AD"/>
    <w:rsid w:val="00651739"/>
    <w:rsid w:val="0065183E"/>
    <w:rsid w:val="006519CA"/>
    <w:rsid w:val="00651A96"/>
    <w:rsid w:val="0065256C"/>
    <w:rsid w:val="0065281F"/>
    <w:rsid w:val="00652C99"/>
    <w:rsid w:val="0065351B"/>
    <w:rsid w:val="00653610"/>
    <w:rsid w:val="00653785"/>
    <w:rsid w:val="006543DD"/>
    <w:rsid w:val="006547EC"/>
    <w:rsid w:val="006549E9"/>
    <w:rsid w:val="00655054"/>
    <w:rsid w:val="00655586"/>
    <w:rsid w:val="00656330"/>
    <w:rsid w:val="0065658D"/>
    <w:rsid w:val="0065684D"/>
    <w:rsid w:val="00656891"/>
    <w:rsid w:val="00656F65"/>
    <w:rsid w:val="0065702C"/>
    <w:rsid w:val="0065723A"/>
    <w:rsid w:val="00657B5D"/>
    <w:rsid w:val="00657C74"/>
    <w:rsid w:val="00660142"/>
    <w:rsid w:val="0066028E"/>
    <w:rsid w:val="00660319"/>
    <w:rsid w:val="006607A8"/>
    <w:rsid w:val="00660D8A"/>
    <w:rsid w:val="00661260"/>
    <w:rsid w:val="00661453"/>
    <w:rsid w:val="00661B69"/>
    <w:rsid w:val="006620C7"/>
    <w:rsid w:val="00662AF3"/>
    <w:rsid w:val="00662AF8"/>
    <w:rsid w:val="00662C45"/>
    <w:rsid w:val="00662D4A"/>
    <w:rsid w:val="00662D59"/>
    <w:rsid w:val="00662D65"/>
    <w:rsid w:val="00662DFF"/>
    <w:rsid w:val="00663059"/>
    <w:rsid w:val="00663524"/>
    <w:rsid w:val="006637C7"/>
    <w:rsid w:val="006638C5"/>
    <w:rsid w:val="00663A08"/>
    <w:rsid w:val="00663BD7"/>
    <w:rsid w:val="00663D06"/>
    <w:rsid w:val="006646CB"/>
    <w:rsid w:val="00664881"/>
    <w:rsid w:val="006649F3"/>
    <w:rsid w:val="00664A0A"/>
    <w:rsid w:val="00664AB8"/>
    <w:rsid w:val="00665386"/>
    <w:rsid w:val="006655DE"/>
    <w:rsid w:val="00665606"/>
    <w:rsid w:val="00665B8C"/>
    <w:rsid w:val="00666241"/>
    <w:rsid w:val="0066705F"/>
    <w:rsid w:val="006673A0"/>
    <w:rsid w:val="006673E0"/>
    <w:rsid w:val="006674A5"/>
    <w:rsid w:val="00667660"/>
    <w:rsid w:val="00667982"/>
    <w:rsid w:val="00670376"/>
    <w:rsid w:val="0067037B"/>
    <w:rsid w:val="00670C77"/>
    <w:rsid w:val="006719FD"/>
    <w:rsid w:val="00671DC0"/>
    <w:rsid w:val="00671DE8"/>
    <w:rsid w:val="0067213C"/>
    <w:rsid w:val="0067229E"/>
    <w:rsid w:val="006722EB"/>
    <w:rsid w:val="00672333"/>
    <w:rsid w:val="006728AE"/>
    <w:rsid w:val="0067299F"/>
    <w:rsid w:val="00672B9B"/>
    <w:rsid w:val="00673471"/>
    <w:rsid w:val="006734A7"/>
    <w:rsid w:val="00673823"/>
    <w:rsid w:val="00673EDA"/>
    <w:rsid w:val="006740E8"/>
    <w:rsid w:val="00674199"/>
    <w:rsid w:val="00674446"/>
    <w:rsid w:val="00674781"/>
    <w:rsid w:val="006747A1"/>
    <w:rsid w:val="00674878"/>
    <w:rsid w:val="006748B5"/>
    <w:rsid w:val="00674D6A"/>
    <w:rsid w:val="00675000"/>
    <w:rsid w:val="00675304"/>
    <w:rsid w:val="00675D05"/>
    <w:rsid w:val="00675DF3"/>
    <w:rsid w:val="00675F01"/>
    <w:rsid w:val="00676311"/>
    <w:rsid w:val="006764C4"/>
    <w:rsid w:val="00676894"/>
    <w:rsid w:val="00676B82"/>
    <w:rsid w:val="00676C1D"/>
    <w:rsid w:val="00676F13"/>
    <w:rsid w:val="006771AD"/>
    <w:rsid w:val="00677374"/>
    <w:rsid w:val="006776FE"/>
    <w:rsid w:val="00677E98"/>
    <w:rsid w:val="00677EBB"/>
    <w:rsid w:val="00677F0C"/>
    <w:rsid w:val="00680542"/>
    <w:rsid w:val="0068074B"/>
    <w:rsid w:val="00680760"/>
    <w:rsid w:val="006807EC"/>
    <w:rsid w:val="00680A05"/>
    <w:rsid w:val="00680AA9"/>
    <w:rsid w:val="00680B44"/>
    <w:rsid w:val="00681471"/>
    <w:rsid w:val="006814F7"/>
    <w:rsid w:val="006816D3"/>
    <w:rsid w:val="00681BDA"/>
    <w:rsid w:val="00681FAB"/>
    <w:rsid w:val="006826AB"/>
    <w:rsid w:val="0068298D"/>
    <w:rsid w:val="00682C10"/>
    <w:rsid w:val="0068343E"/>
    <w:rsid w:val="0068387C"/>
    <w:rsid w:val="00683966"/>
    <w:rsid w:val="00683B78"/>
    <w:rsid w:val="00683F3F"/>
    <w:rsid w:val="0068431A"/>
    <w:rsid w:val="0068431D"/>
    <w:rsid w:val="00684874"/>
    <w:rsid w:val="00684AA4"/>
    <w:rsid w:val="00684DE2"/>
    <w:rsid w:val="0068545A"/>
    <w:rsid w:val="00685CE3"/>
    <w:rsid w:val="00685E41"/>
    <w:rsid w:val="006861F1"/>
    <w:rsid w:val="00686517"/>
    <w:rsid w:val="00686778"/>
    <w:rsid w:val="00686FA0"/>
    <w:rsid w:val="006877D3"/>
    <w:rsid w:val="00687DAD"/>
    <w:rsid w:val="00687E1F"/>
    <w:rsid w:val="00687E75"/>
    <w:rsid w:val="006907FA"/>
    <w:rsid w:val="00690894"/>
    <w:rsid w:val="00690E94"/>
    <w:rsid w:val="00690EC7"/>
    <w:rsid w:val="00690FC3"/>
    <w:rsid w:val="006910E4"/>
    <w:rsid w:val="006913C1"/>
    <w:rsid w:val="00691592"/>
    <w:rsid w:val="006915AC"/>
    <w:rsid w:val="00691881"/>
    <w:rsid w:val="00691A78"/>
    <w:rsid w:val="00691BBA"/>
    <w:rsid w:val="00691C5B"/>
    <w:rsid w:val="00691D24"/>
    <w:rsid w:val="00691D31"/>
    <w:rsid w:val="00691E5B"/>
    <w:rsid w:val="00692057"/>
    <w:rsid w:val="006923B9"/>
    <w:rsid w:val="00692C6A"/>
    <w:rsid w:val="0069342F"/>
    <w:rsid w:val="0069343C"/>
    <w:rsid w:val="0069424C"/>
    <w:rsid w:val="0069448B"/>
    <w:rsid w:val="00694803"/>
    <w:rsid w:val="006949D8"/>
    <w:rsid w:val="00694E7B"/>
    <w:rsid w:val="00695B69"/>
    <w:rsid w:val="00695F0B"/>
    <w:rsid w:val="00695FE7"/>
    <w:rsid w:val="00696295"/>
    <w:rsid w:val="0069661A"/>
    <w:rsid w:val="006966F6"/>
    <w:rsid w:val="00696ABB"/>
    <w:rsid w:val="00696AEF"/>
    <w:rsid w:val="00696E97"/>
    <w:rsid w:val="006972EE"/>
    <w:rsid w:val="0069737A"/>
    <w:rsid w:val="006976AE"/>
    <w:rsid w:val="00697D03"/>
    <w:rsid w:val="00697E86"/>
    <w:rsid w:val="00697EAF"/>
    <w:rsid w:val="00697F76"/>
    <w:rsid w:val="006A058F"/>
    <w:rsid w:val="006A05CF"/>
    <w:rsid w:val="006A066F"/>
    <w:rsid w:val="006A079D"/>
    <w:rsid w:val="006A086E"/>
    <w:rsid w:val="006A0DD6"/>
    <w:rsid w:val="006A107C"/>
    <w:rsid w:val="006A1155"/>
    <w:rsid w:val="006A1236"/>
    <w:rsid w:val="006A1CFA"/>
    <w:rsid w:val="006A24C9"/>
    <w:rsid w:val="006A24DB"/>
    <w:rsid w:val="006A25FA"/>
    <w:rsid w:val="006A26B8"/>
    <w:rsid w:val="006A286B"/>
    <w:rsid w:val="006A2951"/>
    <w:rsid w:val="006A2BC3"/>
    <w:rsid w:val="006A2ED5"/>
    <w:rsid w:val="006A344F"/>
    <w:rsid w:val="006A347E"/>
    <w:rsid w:val="006A37AE"/>
    <w:rsid w:val="006A39E5"/>
    <w:rsid w:val="006A3A98"/>
    <w:rsid w:val="006A3BF1"/>
    <w:rsid w:val="006A429F"/>
    <w:rsid w:val="006A48FC"/>
    <w:rsid w:val="006A4922"/>
    <w:rsid w:val="006A4A9B"/>
    <w:rsid w:val="006A4BB7"/>
    <w:rsid w:val="006A5170"/>
    <w:rsid w:val="006A51E0"/>
    <w:rsid w:val="006A55FB"/>
    <w:rsid w:val="006A56FA"/>
    <w:rsid w:val="006A5DA3"/>
    <w:rsid w:val="006A5DE0"/>
    <w:rsid w:val="006A5E0F"/>
    <w:rsid w:val="006A6791"/>
    <w:rsid w:val="006A6878"/>
    <w:rsid w:val="006A6883"/>
    <w:rsid w:val="006A6A70"/>
    <w:rsid w:val="006A6C60"/>
    <w:rsid w:val="006A7406"/>
    <w:rsid w:val="006A7956"/>
    <w:rsid w:val="006A7AB2"/>
    <w:rsid w:val="006B0087"/>
    <w:rsid w:val="006B010B"/>
    <w:rsid w:val="006B0170"/>
    <w:rsid w:val="006B0259"/>
    <w:rsid w:val="006B034B"/>
    <w:rsid w:val="006B0D15"/>
    <w:rsid w:val="006B1119"/>
    <w:rsid w:val="006B15BC"/>
    <w:rsid w:val="006B16BF"/>
    <w:rsid w:val="006B187C"/>
    <w:rsid w:val="006B193A"/>
    <w:rsid w:val="006B1EE0"/>
    <w:rsid w:val="006B2C13"/>
    <w:rsid w:val="006B2E99"/>
    <w:rsid w:val="006B2EB4"/>
    <w:rsid w:val="006B31A8"/>
    <w:rsid w:val="006B3527"/>
    <w:rsid w:val="006B36E9"/>
    <w:rsid w:val="006B383C"/>
    <w:rsid w:val="006B3967"/>
    <w:rsid w:val="006B3C13"/>
    <w:rsid w:val="006B4430"/>
    <w:rsid w:val="006B44AF"/>
    <w:rsid w:val="006B4606"/>
    <w:rsid w:val="006B4AEE"/>
    <w:rsid w:val="006B4BA8"/>
    <w:rsid w:val="006B5271"/>
    <w:rsid w:val="006B5552"/>
    <w:rsid w:val="006B562A"/>
    <w:rsid w:val="006B58BF"/>
    <w:rsid w:val="006B5E88"/>
    <w:rsid w:val="006B608B"/>
    <w:rsid w:val="006B6787"/>
    <w:rsid w:val="006B67CE"/>
    <w:rsid w:val="006B68E2"/>
    <w:rsid w:val="006B6DBF"/>
    <w:rsid w:val="006B7CF5"/>
    <w:rsid w:val="006C0049"/>
    <w:rsid w:val="006C02B8"/>
    <w:rsid w:val="006C0588"/>
    <w:rsid w:val="006C0A7E"/>
    <w:rsid w:val="006C0EC2"/>
    <w:rsid w:val="006C1AB1"/>
    <w:rsid w:val="006C1BC5"/>
    <w:rsid w:val="006C1FA2"/>
    <w:rsid w:val="006C26BB"/>
    <w:rsid w:val="006C2A0D"/>
    <w:rsid w:val="006C2B28"/>
    <w:rsid w:val="006C2C37"/>
    <w:rsid w:val="006C319C"/>
    <w:rsid w:val="006C3338"/>
    <w:rsid w:val="006C3B68"/>
    <w:rsid w:val="006C3F52"/>
    <w:rsid w:val="006C436B"/>
    <w:rsid w:val="006C4C99"/>
    <w:rsid w:val="006C509C"/>
    <w:rsid w:val="006C5141"/>
    <w:rsid w:val="006C5359"/>
    <w:rsid w:val="006C57B1"/>
    <w:rsid w:val="006C5A6A"/>
    <w:rsid w:val="006C5F72"/>
    <w:rsid w:val="006C6534"/>
    <w:rsid w:val="006C6555"/>
    <w:rsid w:val="006C65D4"/>
    <w:rsid w:val="006C688E"/>
    <w:rsid w:val="006C6CF2"/>
    <w:rsid w:val="006C751B"/>
    <w:rsid w:val="006C7531"/>
    <w:rsid w:val="006C7FE8"/>
    <w:rsid w:val="006D0012"/>
    <w:rsid w:val="006D03BD"/>
    <w:rsid w:val="006D0BEA"/>
    <w:rsid w:val="006D0DAE"/>
    <w:rsid w:val="006D12EA"/>
    <w:rsid w:val="006D161F"/>
    <w:rsid w:val="006D1884"/>
    <w:rsid w:val="006D1D8A"/>
    <w:rsid w:val="006D1EEA"/>
    <w:rsid w:val="006D2067"/>
    <w:rsid w:val="006D218D"/>
    <w:rsid w:val="006D21CB"/>
    <w:rsid w:val="006D23CC"/>
    <w:rsid w:val="006D2449"/>
    <w:rsid w:val="006D2667"/>
    <w:rsid w:val="006D2958"/>
    <w:rsid w:val="006D2A3D"/>
    <w:rsid w:val="006D2AC0"/>
    <w:rsid w:val="006D2D3D"/>
    <w:rsid w:val="006D3040"/>
    <w:rsid w:val="006D306A"/>
    <w:rsid w:val="006D337E"/>
    <w:rsid w:val="006D36F2"/>
    <w:rsid w:val="006D376A"/>
    <w:rsid w:val="006D39E1"/>
    <w:rsid w:val="006D3C32"/>
    <w:rsid w:val="006D3D43"/>
    <w:rsid w:val="006D402F"/>
    <w:rsid w:val="006D43A0"/>
    <w:rsid w:val="006D4747"/>
    <w:rsid w:val="006D4822"/>
    <w:rsid w:val="006D4902"/>
    <w:rsid w:val="006D4EEF"/>
    <w:rsid w:val="006D4FA4"/>
    <w:rsid w:val="006D55C7"/>
    <w:rsid w:val="006D5A1D"/>
    <w:rsid w:val="006D5ACC"/>
    <w:rsid w:val="006D5B9D"/>
    <w:rsid w:val="006D5FFA"/>
    <w:rsid w:val="006D624B"/>
    <w:rsid w:val="006D6592"/>
    <w:rsid w:val="006D65A1"/>
    <w:rsid w:val="006D683C"/>
    <w:rsid w:val="006D69F8"/>
    <w:rsid w:val="006D6A5D"/>
    <w:rsid w:val="006D6AEA"/>
    <w:rsid w:val="006D6C03"/>
    <w:rsid w:val="006D6FE4"/>
    <w:rsid w:val="006D73D5"/>
    <w:rsid w:val="006D74E2"/>
    <w:rsid w:val="006D7557"/>
    <w:rsid w:val="006D758D"/>
    <w:rsid w:val="006D7645"/>
    <w:rsid w:val="006D7C35"/>
    <w:rsid w:val="006D7C4B"/>
    <w:rsid w:val="006D7C75"/>
    <w:rsid w:val="006E00E1"/>
    <w:rsid w:val="006E01A1"/>
    <w:rsid w:val="006E043E"/>
    <w:rsid w:val="006E0886"/>
    <w:rsid w:val="006E08C4"/>
    <w:rsid w:val="006E08C7"/>
    <w:rsid w:val="006E0B52"/>
    <w:rsid w:val="006E0D20"/>
    <w:rsid w:val="006E169A"/>
    <w:rsid w:val="006E173A"/>
    <w:rsid w:val="006E182E"/>
    <w:rsid w:val="006E1CA6"/>
    <w:rsid w:val="006E1F47"/>
    <w:rsid w:val="006E27D7"/>
    <w:rsid w:val="006E2919"/>
    <w:rsid w:val="006E2B84"/>
    <w:rsid w:val="006E2C4B"/>
    <w:rsid w:val="006E312A"/>
    <w:rsid w:val="006E3397"/>
    <w:rsid w:val="006E3C62"/>
    <w:rsid w:val="006E3F24"/>
    <w:rsid w:val="006E4403"/>
    <w:rsid w:val="006E47CC"/>
    <w:rsid w:val="006E4A8A"/>
    <w:rsid w:val="006E4B27"/>
    <w:rsid w:val="006E4BDB"/>
    <w:rsid w:val="006E4EA6"/>
    <w:rsid w:val="006E52E2"/>
    <w:rsid w:val="006E560B"/>
    <w:rsid w:val="006E563D"/>
    <w:rsid w:val="006E5C29"/>
    <w:rsid w:val="006E5F5A"/>
    <w:rsid w:val="006E5FB0"/>
    <w:rsid w:val="006E624E"/>
    <w:rsid w:val="006E6738"/>
    <w:rsid w:val="006E689B"/>
    <w:rsid w:val="006E6B20"/>
    <w:rsid w:val="006E6C19"/>
    <w:rsid w:val="006E6D09"/>
    <w:rsid w:val="006E720B"/>
    <w:rsid w:val="006E729A"/>
    <w:rsid w:val="006E77A4"/>
    <w:rsid w:val="006E7930"/>
    <w:rsid w:val="006E799D"/>
    <w:rsid w:val="006E7B93"/>
    <w:rsid w:val="006E7D62"/>
    <w:rsid w:val="006E7E00"/>
    <w:rsid w:val="006F0082"/>
    <w:rsid w:val="006F025F"/>
    <w:rsid w:val="006F02A9"/>
    <w:rsid w:val="006F0506"/>
    <w:rsid w:val="006F05BD"/>
    <w:rsid w:val="006F0637"/>
    <w:rsid w:val="006F0682"/>
    <w:rsid w:val="006F07CC"/>
    <w:rsid w:val="006F0CE8"/>
    <w:rsid w:val="006F0E41"/>
    <w:rsid w:val="006F15BF"/>
    <w:rsid w:val="006F17AF"/>
    <w:rsid w:val="006F1800"/>
    <w:rsid w:val="006F1A8C"/>
    <w:rsid w:val="006F1D86"/>
    <w:rsid w:val="006F1E0D"/>
    <w:rsid w:val="006F1E90"/>
    <w:rsid w:val="006F23A9"/>
    <w:rsid w:val="006F2630"/>
    <w:rsid w:val="006F2792"/>
    <w:rsid w:val="006F2998"/>
    <w:rsid w:val="006F2A16"/>
    <w:rsid w:val="006F2CC1"/>
    <w:rsid w:val="006F2D1C"/>
    <w:rsid w:val="006F3247"/>
    <w:rsid w:val="006F3AA9"/>
    <w:rsid w:val="006F3E20"/>
    <w:rsid w:val="006F411C"/>
    <w:rsid w:val="006F41C3"/>
    <w:rsid w:val="006F48B9"/>
    <w:rsid w:val="006F491A"/>
    <w:rsid w:val="006F4955"/>
    <w:rsid w:val="006F4D02"/>
    <w:rsid w:val="006F5369"/>
    <w:rsid w:val="006F57E6"/>
    <w:rsid w:val="006F61CF"/>
    <w:rsid w:val="006F62FC"/>
    <w:rsid w:val="006F640B"/>
    <w:rsid w:val="006F6592"/>
    <w:rsid w:val="006F6B91"/>
    <w:rsid w:val="006F72E1"/>
    <w:rsid w:val="006F7E2D"/>
    <w:rsid w:val="0070040D"/>
    <w:rsid w:val="00700D3F"/>
    <w:rsid w:val="00700E31"/>
    <w:rsid w:val="00700FA2"/>
    <w:rsid w:val="00701661"/>
    <w:rsid w:val="00701F36"/>
    <w:rsid w:val="00702869"/>
    <w:rsid w:val="00702E8E"/>
    <w:rsid w:val="007037A7"/>
    <w:rsid w:val="007037AD"/>
    <w:rsid w:val="00703B27"/>
    <w:rsid w:val="00703DC7"/>
    <w:rsid w:val="00704042"/>
    <w:rsid w:val="00704669"/>
    <w:rsid w:val="007046FD"/>
    <w:rsid w:val="007049ED"/>
    <w:rsid w:val="00704C69"/>
    <w:rsid w:val="00704D2F"/>
    <w:rsid w:val="00704E29"/>
    <w:rsid w:val="00704FD0"/>
    <w:rsid w:val="007058EE"/>
    <w:rsid w:val="007060DA"/>
    <w:rsid w:val="00706138"/>
    <w:rsid w:val="0070614E"/>
    <w:rsid w:val="00706219"/>
    <w:rsid w:val="0070687A"/>
    <w:rsid w:val="007068F1"/>
    <w:rsid w:val="00706C75"/>
    <w:rsid w:val="00706F08"/>
    <w:rsid w:val="0070781E"/>
    <w:rsid w:val="0070797F"/>
    <w:rsid w:val="00707EF2"/>
    <w:rsid w:val="00707FD9"/>
    <w:rsid w:val="00710394"/>
    <w:rsid w:val="0071076E"/>
    <w:rsid w:val="00710A71"/>
    <w:rsid w:val="00710E4D"/>
    <w:rsid w:val="00710E65"/>
    <w:rsid w:val="00710ED1"/>
    <w:rsid w:val="00711182"/>
    <w:rsid w:val="00711BF7"/>
    <w:rsid w:val="00711E43"/>
    <w:rsid w:val="0071203E"/>
    <w:rsid w:val="00712234"/>
    <w:rsid w:val="007124B9"/>
    <w:rsid w:val="00712BC4"/>
    <w:rsid w:val="00712BD5"/>
    <w:rsid w:val="007131DD"/>
    <w:rsid w:val="0071355B"/>
    <w:rsid w:val="00713594"/>
    <w:rsid w:val="00713662"/>
    <w:rsid w:val="00713875"/>
    <w:rsid w:val="00713A95"/>
    <w:rsid w:val="00713B32"/>
    <w:rsid w:val="00713E66"/>
    <w:rsid w:val="00714279"/>
    <w:rsid w:val="0071481F"/>
    <w:rsid w:val="00714858"/>
    <w:rsid w:val="00714C81"/>
    <w:rsid w:val="00714DBD"/>
    <w:rsid w:val="0071509B"/>
    <w:rsid w:val="007154E8"/>
    <w:rsid w:val="007156CF"/>
    <w:rsid w:val="00715996"/>
    <w:rsid w:val="007159CD"/>
    <w:rsid w:val="00715CA7"/>
    <w:rsid w:val="00715EC9"/>
    <w:rsid w:val="007163AE"/>
    <w:rsid w:val="007167B6"/>
    <w:rsid w:val="007169C2"/>
    <w:rsid w:val="00716A19"/>
    <w:rsid w:val="007171C6"/>
    <w:rsid w:val="00717254"/>
    <w:rsid w:val="007174A5"/>
    <w:rsid w:val="00717672"/>
    <w:rsid w:val="00717B26"/>
    <w:rsid w:val="00717EEE"/>
    <w:rsid w:val="0072016D"/>
    <w:rsid w:val="007203D1"/>
    <w:rsid w:val="00720502"/>
    <w:rsid w:val="007205DF"/>
    <w:rsid w:val="0072088E"/>
    <w:rsid w:val="007219C3"/>
    <w:rsid w:val="00721F2F"/>
    <w:rsid w:val="0072209C"/>
    <w:rsid w:val="007220D9"/>
    <w:rsid w:val="0072229A"/>
    <w:rsid w:val="007225AE"/>
    <w:rsid w:val="00722780"/>
    <w:rsid w:val="00722B05"/>
    <w:rsid w:val="00722BBD"/>
    <w:rsid w:val="00723228"/>
    <w:rsid w:val="00723285"/>
    <w:rsid w:val="007232A4"/>
    <w:rsid w:val="00723389"/>
    <w:rsid w:val="007234CA"/>
    <w:rsid w:val="007237A9"/>
    <w:rsid w:val="007237B6"/>
    <w:rsid w:val="00723915"/>
    <w:rsid w:val="00723932"/>
    <w:rsid w:val="00723A8A"/>
    <w:rsid w:val="00723B3A"/>
    <w:rsid w:val="0072472C"/>
    <w:rsid w:val="00725622"/>
    <w:rsid w:val="00725788"/>
    <w:rsid w:val="00725D11"/>
    <w:rsid w:val="00725EF0"/>
    <w:rsid w:val="007260AE"/>
    <w:rsid w:val="00726488"/>
    <w:rsid w:val="007266CB"/>
    <w:rsid w:val="00726769"/>
    <w:rsid w:val="00726D3B"/>
    <w:rsid w:val="0072705E"/>
    <w:rsid w:val="007274A9"/>
    <w:rsid w:val="00730545"/>
    <w:rsid w:val="007305FA"/>
    <w:rsid w:val="007307B2"/>
    <w:rsid w:val="00730C7B"/>
    <w:rsid w:val="00731023"/>
    <w:rsid w:val="0073152D"/>
    <w:rsid w:val="00731934"/>
    <w:rsid w:val="00731B5C"/>
    <w:rsid w:val="00731C68"/>
    <w:rsid w:val="00731D54"/>
    <w:rsid w:val="00731FB8"/>
    <w:rsid w:val="00732E1D"/>
    <w:rsid w:val="00732EDC"/>
    <w:rsid w:val="00733070"/>
    <w:rsid w:val="007331E2"/>
    <w:rsid w:val="00733204"/>
    <w:rsid w:val="00733691"/>
    <w:rsid w:val="0073374D"/>
    <w:rsid w:val="007337C8"/>
    <w:rsid w:val="00733853"/>
    <w:rsid w:val="00733E3D"/>
    <w:rsid w:val="00734176"/>
    <w:rsid w:val="007342BE"/>
    <w:rsid w:val="00734311"/>
    <w:rsid w:val="00734D22"/>
    <w:rsid w:val="00735378"/>
    <w:rsid w:val="00735A9C"/>
    <w:rsid w:val="00735B38"/>
    <w:rsid w:val="00735FAB"/>
    <w:rsid w:val="007362FA"/>
    <w:rsid w:val="00736591"/>
    <w:rsid w:val="00737491"/>
    <w:rsid w:val="0073798D"/>
    <w:rsid w:val="00737AEE"/>
    <w:rsid w:val="00737B23"/>
    <w:rsid w:val="00737E7E"/>
    <w:rsid w:val="007405AB"/>
    <w:rsid w:val="007410A9"/>
    <w:rsid w:val="0074117E"/>
    <w:rsid w:val="007411EF"/>
    <w:rsid w:val="0074171E"/>
    <w:rsid w:val="00741959"/>
    <w:rsid w:val="00741A07"/>
    <w:rsid w:val="00741A3D"/>
    <w:rsid w:val="00741B8F"/>
    <w:rsid w:val="00741C5B"/>
    <w:rsid w:val="007427F3"/>
    <w:rsid w:val="00742A3B"/>
    <w:rsid w:val="00742EAD"/>
    <w:rsid w:val="007430B1"/>
    <w:rsid w:val="00743B01"/>
    <w:rsid w:val="00743B78"/>
    <w:rsid w:val="00743BA7"/>
    <w:rsid w:val="00743C89"/>
    <w:rsid w:val="00743CBC"/>
    <w:rsid w:val="00743D9C"/>
    <w:rsid w:val="00743F5B"/>
    <w:rsid w:val="007442B4"/>
    <w:rsid w:val="007447EB"/>
    <w:rsid w:val="00744949"/>
    <w:rsid w:val="00744FBE"/>
    <w:rsid w:val="0074515B"/>
    <w:rsid w:val="0074538E"/>
    <w:rsid w:val="00745425"/>
    <w:rsid w:val="007457F2"/>
    <w:rsid w:val="00745ABC"/>
    <w:rsid w:val="0074604E"/>
    <w:rsid w:val="00746466"/>
    <w:rsid w:val="007468DB"/>
    <w:rsid w:val="00746AF2"/>
    <w:rsid w:val="00746CF5"/>
    <w:rsid w:val="00746DCD"/>
    <w:rsid w:val="00746E5F"/>
    <w:rsid w:val="00746EBF"/>
    <w:rsid w:val="00747449"/>
    <w:rsid w:val="007474AD"/>
    <w:rsid w:val="0074754E"/>
    <w:rsid w:val="00747935"/>
    <w:rsid w:val="00747B2E"/>
    <w:rsid w:val="00747E8F"/>
    <w:rsid w:val="0075020A"/>
    <w:rsid w:val="007502D6"/>
    <w:rsid w:val="007505FE"/>
    <w:rsid w:val="007508B8"/>
    <w:rsid w:val="00750F8A"/>
    <w:rsid w:val="007512B4"/>
    <w:rsid w:val="0075152D"/>
    <w:rsid w:val="00751666"/>
    <w:rsid w:val="0075194D"/>
    <w:rsid w:val="007519C9"/>
    <w:rsid w:val="007519CE"/>
    <w:rsid w:val="00751CF2"/>
    <w:rsid w:val="00751E27"/>
    <w:rsid w:val="007520E9"/>
    <w:rsid w:val="007522AD"/>
    <w:rsid w:val="007524C0"/>
    <w:rsid w:val="007526F1"/>
    <w:rsid w:val="0075296D"/>
    <w:rsid w:val="00753466"/>
    <w:rsid w:val="0075380E"/>
    <w:rsid w:val="00753B3C"/>
    <w:rsid w:val="00753B42"/>
    <w:rsid w:val="00753FA9"/>
    <w:rsid w:val="00754383"/>
    <w:rsid w:val="00754691"/>
    <w:rsid w:val="007548B6"/>
    <w:rsid w:val="007552AC"/>
    <w:rsid w:val="0075547D"/>
    <w:rsid w:val="00755971"/>
    <w:rsid w:val="00755F29"/>
    <w:rsid w:val="00755FE9"/>
    <w:rsid w:val="00756090"/>
    <w:rsid w:val="0075664E"/>
    <w:rsid w:val="0075682D"/>
    <w:rsid w:val="00756A5C"/>
    <w:rsid w:val="00756EB7"/>
    <w:rsid w:val="00757424"/>
    <w:rsid w:val="007575F5"/>
    <w:rsid w:val="0075781D"/>
    <w:rsid w:val="00757C05"/>
    <w:rsid w:val="00760386"/>
    <w:rsid w:val="00760C53"/>
    <w:rsid w:val="00760E27"/>
    <w:rsid w:val="00760E50"/>
    <w:rsid w:val="00761CB2"/>
    <w:rsid w:val="00761D70"/>
    <w:rsid w:val="00761F52"/>
    <w:rsid w:val="0076213C"/>
    <w:rsid w:val="007623ED"/>
    <w:rsid w:val="007624B1"/>
    <w:rsid w:val="007624D3"/>
    <w:rsid w:val="0076273A"/>
    <w:rsid w:val="0076275C"/>
    <w:rsid w:val="007627E0"/>
    <w:rsid w:val="00762D5B"/>
    <w:rsid w:val="00762F35"/>
    <w:rsid w:val="007630B3"/>
    <w:rsid w:val="00763120"/>
    <w:rsid w:val="0076332F"/>
    <w:rsid w:val="00763390"/>
    <w:rsid w:val="0076349B"/>
    <w:rsid w:val="00763611"/>
    <w:rsid w:val="0076381C"/>
    <w:rsid w:val="00763CD7"/>
    <w:rsid w:val="0076421E"/>
    <w:rsid w:val="007643C4"/>
    <w:rsid w:val="007649DC"/>
    <w:rsid w:val="00764AC0"/>
    <w:rsid w:val="00764C09"/>
    <w:rsid w:val="00764D6C"/>
    <w:rsid w:val="00764E69"/>
    <w:rsid w:val="0076511E"/>
    <w:rsid w:val="00765370"/>
    <w:rsid w:val="00765536"/>
    <w:rsid w:val="007655EC"/>
    <w:rsid w:val="00765933"/>
    <w:rsid w:val="00765965"/>
    <w:rsid w:val="00765C0A"/>
    <w:rsid w:val="00765E19"/>
    <w:rsid w:val="007660C1"/>
    <w:rsid w:val="0076619C"/>
    <w:rsid w:val="0076620F"/>
    <w:rsid w:val="007668FB"/>
    <w:rsid w:val="00766E70"/>
    <w:rsid w:val="0076705E"/>
    <w:rsid w:val="0076706F"/>
    <w:rsid w:val="00767868"/>
    <w:rsid w:val="00767C3E"/>
    <w:rsid w:val="00767F23"/>
    <w:rsid w:val="00767F2D"/>
    <w:rsid w:val="007703B3"/>
    <w:rsid w:val="007704E0"/>
    <w:rsid w:val="00770854"/>
    <w:rsid w:val="007708CE"/>
    <w:rsid w:val="007712D0"/>
    <w:rsid w:val="0077174E"/>
    <w:rsid w:val="007717A5"/>
    <w:rsid w:val="00771873"/>
    <w:rsid w:val="00771FA9"/>
    <w:rsid w:val="00771FCC"/>
    <w:rsid w:val="0077228B"/>
    <w:rsid w:val="0077269E"/>
    <w:rsid w:val="007728EB"/>
    <w:rsid w:val="00772B65"/>
    <w:rsid w:val="007740BF"/>
    <w:rsid w:val="007747F4"/>
    <w:rsid w:val="00774B99"/>
    <w:rsid w:val="00774D10"/>
    <w:rsid w:val="007754FB"/>
    <w:rsid w:val="00775BF0"/>
    <w:rsid w:val="007760A3"/>
    <w:rsid w:val="0077625E"/>
    <w:rsid w:val="00776ADA"/>
    <w:rsid w:val="00777701"/>
    <w:rsid w:val="00777733"/>
    <w:rsid w:val="007777EE"/>
    <w:rsid w:val="0077793C"/>
    <w:rsid w:val="00777C67"/>
    <w:rsid w:val="00777D66"/>
    <w:rsid w:val="00777DB4"/>
    <w:rsid w:val="0078052D"/>
    <w:rsid w:val="007805ED"/>
    <w:rsid w:val="00780996"/>
    <w:rsid w:val="00780BD4"/>
    <w:rsid w:val="00780EBF"/>
    <w:rsid w:val="0078103B"/>
    <w:rsid w:val="0078249E"/>
    <w:rsid w:val="00782701"/>
    <w:rsid w:val="00783276"/>
    <w:rsid w:val="00783285"/>
    <w:rsid w:val="00783548"/>
    <w:rsid w:val="00783554"/>
    <w:rsid w:val="007835DF"/>
    <w:rsid w:val="00783C92"/>
    <w:rsid w:val="00783F83"/>
    <w:rsid w:val="0078483B"/>
    <w:rsid w:val="00784B22"/>
    <w:rsid w:val="00784EAE"/>
    <w:rsid w:val="00784F55"/>
    <w:rsid w:val="00785016"/>
    <w:rsid w:val="007851E8"/>
    <w:rsid w:val="00785236"/>
    <w:rsid w:val="00785931"/>
    <w:rsid w:val="00785C6E"/>
    <w:rsid w:val="00785C9F"/>
    <w:rsid w:val="00785FF2"/>
    <w:rsid w:val="00786207"/>
    <w:rsid w:val="0078621B"/>
    <w:rsid w:val="00786468"/>
    <w:rsid w:val="007867B5"/>
    <w:rsid w:val="007868F4"/>
    <w:rsid w:val="007869A5"/>
    <w:rsid w:val="0078706C"/>
    <w:rsid w:val="00787666"/>
    <w:rsid w:val="00790BF8"/>
    <w:rsid w:val="00790C75"/>
    <w:rsid w:val="00790CE0"/>
    <w:rsid w:val="00791154"/>
    <w:rsid w:val="0079162D"/>
    <w:rsid w:val="00791A2E"/>
    <w:rsid w:val="00791B88"/>
    <w:rsid w:val="00791CA7"/>
    <w:rsid w:val="00791EC6"/>
    <w:rsid w:val="00791ECC"/>
    <w:rsid w:val="0079203B"/>
    <w:rsid w:val="007921CA"/>
    <w:rsid w:val="00792253"/>
    <w:rsid w:val="00792521"/>
    <w:rsid w:val="0079259F"/>
    <w:rsid w:val="00792914"/>
    <w:rsid w:val="007929E6"/>
    <w:rsid w:val="00792A2F"/>
    <w:rsid w:val="00792AE4"/>
    <w:rsid w:val="00793027"/>
    <w:rsid w:val="0079346C"/>
    <w:rsid w:val="007934E1"/>
    <w:rsid w:val="00793669"/>
    <w:rsid w:val="00793681"/>
    <w:rsid w:val="0079394C"/>
    <w:rsid w:val="00793A59"/>
    <w:rsid w:val="007943EE"/>
    <w:rsid w:val="007944D2"/>
    <w:rsid w:val="0079471F"/>
    <w:rsid w:val="00794929"/>
    <w:rsid w:val="0079494A"/>
    <w:rsid w:val="007949D8"/>
    <w:rsid w:val="00794CCB"/>
    <w:rsid w:val="00795937"/>
    <w:rsid w:val="00796647"/>
    <w:rsid w:val="00797207"/>
    <w:rsid w:val="00797298"/>
    <w:rsid w:val="007975FC"/>
    <w:rsid w:val="0079763C"/>
    <w:rsid w:val="00797801"/>
    <w:rsid w:val="007A0C4E"/>
    <w:rsid w:val="007A0FC6"/>
    <w:rsid w:val="007A14A4"/>
    <w:rsid w:val="007A1647"/>
    <w:rsid w:val="007A18BD"/>
    <w:rsid w:val="007A1A52"/>
    <w:rsid w:val="007A1A79"/>
    <w:rsid w:val="007A1E01"/>
    <w:rsid w:val="007A2143"/>
    <w:rsid w:val="007A21EF"/>
    <w:rsid w:val="007A2741"/>
    <w:rsid w:val="007A287F"/>
    <w:rsid w:val="007A296B"/>
    <w:rsid w:val="007A2F4A"/>
    <w:rsid w:val="007A2FA7"/>
    <w:rsid w:val="007A3124"/>
    <w:rsid w:val="007A3B72"/>
    <w:rsid w:val="007A41A7"/>
    <w:rsid w:val="007A42FD"/>
    <w:rsid w:val="007A4396"/>
    <w:rsid w:val="007A46C7"/>
    <w:rsid w:val="007A52F9"/>
    <w:rsid w:val="007A540A"/>
    <w:rsid w:val="007A5495"/>
    <w:rsid w:val="007A60FA"/>
    <w:rsid w:val="007A64FB"/>
    <w:rsid w:val="007A673E"/>
    <w:rsid w:val="007A6B19"/>
    <w:rsid w:val="007A72B1"/>
    <w:rsid w:val="007A78DA"/>
    <w:rsid w:val="007A7A34"/>
    <w:rsid w:val="007B0852"/>
    <w:rsid w:val="007B10AC"/>
    <w:rsid w:val="007B18B4"/>
    <w:rsid w:val="007B191C"/>
    <w:rsid w:val="007B1CE4"/>
    <w:rsid w:val="007B1FEB"/>
    <w:rsid w:val="007B2494"/>
    <w:rsid w:val="007B2517"/>
    <w:rsid w:val="007B2D2E"/>
    <w:rsid w:val="007B2E28"/>
    <w:rsid w:val="007B31A4"/>
    <w:rsid w:val="007B3382"/>
    <w:rsid w:val="007B357D"/>
    <w:rsid w:val="007B3CDC"/>
    <w:rsid w:val="007B41AC"/>
    <w:rsid w:val="007B4508"/>
    <w:rsid w:val="007B46FC"/>
    <w:rsid w:val="007B4B0F"/>
    <w:rsid w:val="007B4FA2"/>
    <w:rsid w:val="007B533A"/>
    <w:rsid w:val="007B57A1"/>
    <w:rsid w:val="007B5D36"/>
    <w:rsid w:val="007B5EF6"/>
    <w:rsid w:val="007B65A2"/>
    <w:rsid w:val="007B65CC"/>
    <w:rsid w:val="007B6F10"/>
    <w:rsid w:val="007B769F"/>
    <w:rsid w:val="007B78D5"/>
    <w:rsid w:val="007B78DD"/>
    <w:rsid w:val="007B7CB8"/>
    <w:rsid w:val="007B7DBF"/>
    <w:rsid w:val="007B7F33"/>
    <w:rsid w:val="007C00A5"/>
    <w:rsid w:val="007C00E1"/>
    <w:rsid w:val="007C0426"/>
    <w:rsid w:val="007C0433"/>
    <w:rsid w:val="007C051E"/>
    <w:rsid w:val="007C0A8D"/>
    <w:rsid w:val="007C0B33"/>
    <w:rsid w:val="007C123C"/>
    <w:rsid w:val="007C1530"/>
    <w:rsid w:val="007C1C32"/>
    <w:rsid w:val="007C2075"/>
    <w:rsid w:val="007C2345"/>
    <w:rsid w:val="007C370E"/>
    <w:rsid w:val="007C3E09"/>
    <w:rsid w:val="007C3F89"/>
    <w:rsid w:val="007C40E8"/>
    <w:rsid w:val="007C416A"/>
    <w:rsid w:val="007C426B"/>
    <w:rsid w:val="007C49F1"/>
    <w:rsid w:val="007C4CF3"/>
    <w:rsid w:val="007C5386"/>
    <w:rsid w:val="007C5DFA"/>
    <w:rsid w:val="007C6C57"/>
    <w:rsid w:val="007C6C74"/>
    <w:rsid w:val="007C6DD5"/>
    <w:rsid w:val="007C7016"/>
    <w:rsid w:val="007C714B"/>
    <w:rsid w:val="007C7787"/>
    <w:rsid w:val="007C77D6"/>
    <w:rsid w:val="007C787B"/>
    <w:rsid w:val="007C7B29"/>
    <w:rsid w:val="007C7FC3"/>
    <w:rsid w:val="007D0000"/>
    <w:rsid w:val="007D02E5"/>
    <w:rsid w:val="007D03B6"/>
    <w:rsid w:val="007D0784"/>
    <w:rsid w:val="007D0DF0"/>
    <w:rsid w:val="007D15E7"/>
    <w:rsid w:val="007D1735"/>
    <w:rsid w:val="007D1BD4"/>
    <w:rsid w:val="007D2105"/>
    <w:rsid w:val="007D2730"/>
    <w:rsid w:val="007D2992"/>
    <w:rsid w:val="007D2B7B"/>
    <w:rsid w:val="007D2F0B"/>
    <w:rsid w:val="007D2F6A"/>
    <w:rsid w:val="007D3156"/>
    <w:rsid w:val="007D3287"/>
    <w:rsid w:val="007D36B9"/>
    <w:rsid w:val="007D3772"/>
    <w:rsid w:val="007D38AE"/>
    <w:rsid w:val="007D4032"/>
    <w:rsid w:val="007D4373"/>
    <w:rsid w:val="007D49F1"/>
    <w:rsid w:val="007D4A1B"/>
    <w:rsid w:val="007D4A89"/>
    <w:rsid w:val="007D4B3E"/>
    <w:rsid w:val="007D5043"/>
    <w:rsid w:val="007D566D"/>
    <w:rsid w:val="007D5BB4"/>
    <w:rsid w:val="007D5E0A"/>
    <w:rsid w:val="007D642B"/>
    <w:rsid w:val="007D669C"/>
    <w:rsid w:val="007D686E"/>
    <w:rsid w:val="007D74CA"/>
    <w:rsid w:val="007D797C"/>
    <w:rsid w:val="007D79E4"/>
    <w:rsid w:val="007D7C98"/>
    <w:rsid w:val="007D7D22"/>
    <w:rsid w:val="007D7E91"/>
    <w:rsid w:val="007E0201"/>
    <w:rsid w:val="007E02A7"/>
    <w:rsid w:val="007E02E9"/>
    <w:rsid w:val="007E08C7"/>
    <w:rsid w:val="007E0B37"/>
    <w:rsid w:val="007E1027"/>
    <w:rsid w:val="007E107B"/>
    <w:rsid w:val="007E1388"/>
    <w:rsid w:val="007E1461"/>
    <w:rsid w:val="007E1A2E"/>
    <w:rsid w:val="007E1B2D"/>
    <w:rsid w:val="007E1C56"/>
    <w:rsid w:val="007E1EF8"/>
    <w:rsid w:val="007E2342"/>
    <w:rsid w:val="007E2344"/>
    <w:rsid w:val="007E248B"/>
    <w:rsid w:val="007E2B6C"/>
    <w:rsid w:val="007E2BD5"/>
    <w:rsid w:val="007E2D83"/>
    <w:rsid w:val="007E2E14"/>
    <w:rsid w:val="007E2F00"/>
    <w:rsid w:val="007E356A"/>
    <w:rsid w:val="007E3A89"/>
    <w:rsid w:val="007E4154"/>
    <w:rsid w:val="007E4653"/>
    <w:rsid w:val="007E47EF"/>
    <w:rsid w:val="007E4D20"/>
    <w:rsid w:val="007E508F"/>
    <w:rsid w:val="007E50B7"/>
    <w:rsid w:val="007E54C4"/>
    <w:rsid w:val="007E5782"/>
    <w:rsid w:val="007E588A"/>
    <w:rsid w:val="007E6567"/>
    <w:rsid w:val="007E67A0"/>
    <w:rsid w:val="007E69FC"/>
    <w:rsid w:val="007E74DC"/>
    <w:rsid w:val="007E751A"/>
    <w:rsid w:val="007E79CE"/>
    <w:rsid w:val="007E79EE"/>
    <w:rsid w:val="007E7EE4"/>
    <w:rsid w:val="007E7FC8"/>
    <w:rsid w:val="007F00FB"/>
    <w:rsid w:val="007F023B"/>
    <w:rsid w:val="007F02B6"/>
    <w:rsid w:val="007F0703"/>
    <w:rsid w:val="007F0B1F"/>
    <w:rsid w:val="007F0C41"/>
    <w:rsid w:val="007F1243"/>
    <w:rsid w:val="007F136B"/>
    <w:rsid w:val="007F1641"/>
    <w:rsid w:val="007F176F"/>
    <w:rsid w:val="007F178F"/>
    <w:rsid w:val="007F17F3"/>
    <w:rsid w:val="007F2051"/>
    <w:rsid w:val="007F2067"/>
    <w:rsid w:val="007F250C"/>
    <w:rsid w:val="007F2719"/>
    <w:rsid w:val="007F2B73"/>
    <w:rsid w:val="007F2F48"/>
    <w:rsid w:val="007F3209"/>
    <w:rsid w:val="007F345C"/>
    <w:rsid w:val="007F3653"/>
    <w:rsid w:val="007F3B9D"/>
    <w:rsid w:val="007F3CBF"/>
    <w:rsid w:val="007F4209"/>
    <w:rsid w:val="007F43E9"/>
    <w:rsid w:val="007F441D"/>
    <w:rsid w:val="007F500B"/>
    <w:rsid w:val="007F51FE"/>
    <w:rsid w:val="007F59A2"/>
    <w:rsid w:val="007F5F99"/>
    <w:rsid w:val="007F60DE"/>
    <w:rsid w:val="007F61CB"/>
    <w:rsid w:val="007F637C"/>
    <w:rsid w:val="007F6438"/>
    <w:rsid w:val="007F65AE"/>
    <w:rsid w:val="007F6814"/>
    <w:rsid w:val="007F6EF6"/>
    <w:rsid w:val="007F70DE"/>
    <w:rsid w:val="007F726C"/>
    <w:rsid w:val="007F73D9"/>
    <w:rsid w:val="007F75C1"/>
    <w:rsid w:val="007F75DB"/>
    <w:rsid w:val="007F7644"/>
    <w:rsid w:val="007F781A"/>
    <w:rsid w:val="007F7B48"/>
    <w:rsid w:val="007F7C2E"/>
    <w:rsid w:val="0080060E"/>
    <w:rsid w:val="00800A30"/>
    <w:rsid w:val="00801476"/>
    <w:rsid w:val="00802508"/>
    <w:rsid w:val="0080251F"/>
    <w:rsid w:val="008034AA"/>
    <w:rsid w:val="008037F6"/>
    <w:rsid w:val="00803A7E"/>
    <w:rsid w:val="00803CBB"/>
    <w:rsid w:val="00803DA5"/>
    <w:rsid w:val="00803E7D"/>
    <w:rsid w:val="008040FC"/>
    <w:rsid w:val="008045DB"/>
    <w:rsid w:val="008045F3"/>
    <w:rsid w:val="00804630"/>
    <w:rsid w:val="00804B53"/>
    <w:rsid w:val="00804BC5"/>
    <w:rsid w:val="00804D5B"/>
    <w:rsid w:val="00805802"/>
    <w:rsid w:val="008059EE"/>
    <w:rsid w:val="00805FB0"/>
    <w:rsid w:val="0080619F"/>
    <w:rsid w:val="00806263"/>
    <w:rsid w:val="008066EC"/>
    <w:rsid w:val="008066FB"/>
    <w:rsid w:val="00806C64"/>
    <w:rsid w:val="00806CC6"/>
    <w:rsid w:val="0080700E"/>
    <w:rsid w:val="00807025"/>
    <w:rsid w:val="008074C1"/>
    <w:rsid w:val="00807E7B"/>
    <w:rsid w:val="008108CB"/>
    <w:rsid w:val="0081111E"/>
    <w:rsid w:val="0081123D"/>
    <w:rsid w:val="0081156F"/>
    <w:rsid w:val="00811E9A"/>
    <w:rsid w:val="00812570"/>
    <w:rsid w:val="0081287D"/>
    <w:rsid w:val="00812C0A"/>
    <w:rsid w:val="00812C15"/>
    <w:rsid w:val="00812C2F"/>
    <w:rsid w:val="00812D39"/>
    <w:rsid w:val="00812DD2"/>
    <w:rsid w:val="008130B1"/>
    <w:rsid w:val="0081328B"/>
    <w:rsid w:val="0081332B"/>
    <w:rsid w:val="008133E9"/>
    <w:rsid w:val="00813575"/>
    <w:rsid w:val="0081460D"/>
    <w:rsid w:val="0081497D"/>
    <w:rsid w:val="00814C5B"/>
    <w:rsid w:val="00814E17"/>
    <w:rsid w:val="00814F3A"/>
    <w:rsid w:val="008157B6"/>
    <w:rsid w:val="00815F2F"/>
    <w:rsid w:val="008166DD"/>
    <w:rsid w:val="00816AAD"/>
    <w:rsid w:val="00817015"/>
    <w:rsid w:val="00817085"/>
    <w:rsid w:val="008172B8"/>
    <w:rsid w:val="0081789E"/>
    <w:rsid w:val="0081794A"/>
    <w:rsid w:val="00817A04"/>
    <w:rsid w:val="00817AE1"/>
    <w:rsid w:val="00817E9E"/>
    <w:rsid w:val="00820134"/>
    <w:rsid w:val="008204EF"/>
    <w:rsid w:val="008205A2"/>
    <w:rsid w:val="008205CC"/>
    <w:rsid w:val="00820781"/>
    <w:rsid w:val="008207D4"/>
    <w:rsid w:val="00821301"/>
    <w:rsid w:val="00821309"/>
    <w:rsid w:val="00821F8F"/>
    <w:rsid w:val="00822644"/>
    <w:rsid w:val="008227A4"/>
    <w:rsid w:val="00822AC7"/>
    <w:rsid w:val="00822C23"/>
    <w:rsid w:val="00822C57"/>
    <w:rsid w:val="00823299"/>
    <w:rsid w:val="008232D7"/>
    <w:rsid w:val="00823712"/>
    <w:rsid w:val="00823795"/>
    <w:rsid w:val="00823A9D"/>
    <w:rsid w:val="00823CA2"/>
    <w:rsid w:val="0082438C"/>
    <w:rsid w:val="00824714"/>
    <w:rsid w:val="00824939"/>
    <w:rsid w:val="0082494A"/>
    <w:rsid w:val="00824C50"/>
    <w:rsid w:val="00824D9D"/>
    <w:rsid w:val="0082537F"/>
    <w:rsid w:val="008258B3"/>
    <w:rsid w:val="00825F02"/>
    <w:rsid w:val="008260BD"/>
    <w:rsid w:val="008260E2"/>
    <w:rsid w:val="0082638A"/>
    <w:rsid w:val="008264EB"/>
    <w:rsid w:val="00826956"/>
    <w:rsid w:val="0082788A"/>
    <w:rsid w:val="00827F65"/>
    <w:rsid w:val="00830160"/>
    <w:rsid w:val="008304F8"/>
    <w:rsid w:val="00830811"/>
    <w:rsid w:val="008309AF"/>
    <w:rsid w:val="00830B69"/>
    <w:rsid w:val="00830C05"/>
    <w:rsid w:val="0083112F"/>
    <w:rsid w:val="00831390"/>
    <w:rsid w:val="00831AA9"/>
    <w:rsid w:val="00831DBB"/>
    <w:rsid w:val="00832045"/>
    <w:rsid w:val="00832059"/>
    <w:rsid w:val="008322D0"/>
    <w:rsid w:val="00832763"/>
    <w:rsid w:val="00833220"/>
    <w:rsid w:val="00833306"/>
    <w:rsid w:val="00833C60"/>
    <w:rsid w:val="00834153"/>
    <w:rsid w:val="00834221"/>
    <w:rsid w:val="00834274"/>
    <w:rsid w:val="008342B2"/>
    <w:rsid w:val="00834766"/>
    <w:rsid w:val="00835456"/>
    <w:rsid w:val="00835514"/>
    <w:rsid w:val="008358E3"/>
    <w:rsid w:val="00835919"/>
    <w:rsid w:val="008359FC"/>
    <w:rsid w:val="00835D4A"/>
    <w:rsid w:val="00835D9F"/>
    <w:rsid w:val="00836928"/>
    <w:rsid w:val="00836BAE"/>
    <w:rsid w:val="00837097"/>
    <w:rsid w:val="00837815"/>
    <w:rsid w:val="00837D41"/>
    <w:rsid w:val="008400B5"/>
    <w:rsid w:val="008405BA"/>
    <w:rsid w:val="0084061A"/>
    <w:rsid w:val="00840B1E"/>
    <w:rsid w:val="00840C6F"/>
    <w:rsid w:val="00840E7F"/>
    <w:rsid w:val="00841005"/>
    <w:rsid w:val="008410EF"/>
    <w:rsid w:val="00841C8F"/>
    <w:rsid w:val="00841D33"/>
    <w:rsid w:val="008420AC"/>
    <w:rsid w:val="00842862"/>
    <w:rsid w:val="00842A4F"/>
    <w:rsid w:val="00842EAE"/>
    <w:rsid w:val="008435C9"/>
    <w:rsid w:val="008435F7"/>
    <w:rsid w:val="0084368A"/>
    <w:rsid w:val="00843784"/>
    <w:rsid w:val="00843A5D"/>
    <w:rsid w:val="008446C0"/>
    <w:rsid w:val="00845098"/>
    <w:rsid w:val="008452AC"/>
    <w:rsid w:val="008459AA"/>
    <w:rsid w:val="00846434"/>
    <w:rsid w:val="008464CE"/>
    <w:rsid w:val="00846B7B"/>
    <w:rsid w:val="00846EBF"/>
    <w:rsid w:val="008470C4"/>
    <w:rsid w:val="00847488"/>
    <w:rsid w:val="00847538"/>
    <w:rsid w:val="00847675"/>
    <w:rsid w:val="0084793A"/>
    <w:rsid w:val="00850166"/>
    <w:rsid w:val="00850E21"/>
    <w:rsid w:val="00850EC4"/>
    <w:rsid w:val="00850FE5"/>
    <w:rsid w:val="00851353"/>
    <w:rsid w:val="00851628"/>
    <w:rsid w:val="008516C0"/>
    <w:rsid w:val="00851832"/>
    <w:rsid w:val="008521D9"/>
    <w:rsid w:val="0085231C"/>
    <w:rsid w:val="00852382"/>
    <w:rsid w:val="0085248A"/>
    <w:rsid w:val="00852773"/>
    <w:rsid w:val="00852A26"/>
    <w:rsid w:val="0085357E"/>
    <w:rsid w:val="00853A75"/>
    <w:rsid w:val="00853D82"/>
    <w:rsid w:val="0085405B"/>
    <w:rsid w:val="008546C0"/>
    <w:rsid w:val="00854872"/>
    <w:rsid w:val="00854A50"/>
    <w:rsid w:val="00854C53"/>
    <w:rsid w:val="008551B1"/>
    <w:rsid w:val="008552C6"/>
    <w:rsid w:val="00855510"/>
    <w:rsid w:val="0085559A"/>
    <w:rsid w:val="008555F0"/>
    <w:rsid w:val="0085576F"/>
    <w:rsid w:val="008558CA"/>
    <w:rsid w:val="0085593C"/>
    <w:rsid w:val="00855B5C"/>
    <w:rsid w:val="00855EAE"/>
    <w:rsid w:val="00856588"/>
    <w:rsid w:val="008568E7"/>
    <w:rsid w:val="00856918"/>
    <w:rsid w:val="00856FC4"/>
    <w:rsid w:val="00856FC5"/>
    <w:rsid w:val="008570CF"/>
    <w:rsid w:val="008572E4"/>
    <w:rsid w:val="008577EB"/>
    <w:rsid w:val="00857893"/>
    <w:rsid w:val="00857A32"/>
    <w:rsid w:val="00857BDF"/>
    <w:rsid w:val="0086028B"/>
    <w:rsid w:val="0086043B"/>
    <w:rsid w:val="00860556"/>
    <w:rsid w:val="008606E8"/>
    <w:rsid w:val="00861063"/>
    <w:rsid w:val="00861085"/>
    <w:rsid w:val="0086144E"/>
    <w:rsid w:val="0086173B"/>
    <w:rsid w:val="00861893"/>
    <w:rsid w:val="00861C67"/>
    <w:rsid w:val="00861DAE"/>
    <w:rsid w:val="00861F25"/>
    <w:rsid w:val="00862251"/>
    <w:rsid w:val="00862276"/>
    <w:rsid w:val="008626FE"/>
    <w:rsid w:val="00862DAC"/>
    <w:rsid w:val="00862EC7"/>
    <w:rsid w:val="00863106"/>
    <w:rsid w:val="008631EE"/>
    <w:rsid w:val="008636B7"/>
    <w:rsid w:val="00863EB5"/>
    <w:rsid w:val="00864011"/>
    <w:rsid w:val="00864030"/>
    <w:rsid w:val="0086460D"/>
    <w:rsid w:val="008646FE"/>
    <w:rsid w:val="0086477F"/>
    <w:rsid w:val="0086487F"/>
    <w:rsid w:val="00864924"/>
    <w:rsid w:val="00864CCF"/>
    <w:rsid w:val="00864EF5"/>
    <w:rsid w:val="0086522D"/>
    <w:rsid w:val="008653C3"/>
    <w:rsid w:val="008653F8"/>
    <w:rsid w:val="00865620"/>
    <w:rsid w:val="008657CB"/>
    <w:rsid w:val="008664B4"/>
    <w:rsid w:val="00866688"/>
    <w:rsid w:val="00866994"/>
    <w:rsid w:val="008670E5"/>
    <w:rsid w:val="0086743C"/>
    <w:rsid w:val="00867CC4"/>
    <w:rsid w:val="00867EBA"/>
    <w:rsid w:val="00870A5E"/>
    <w:rsid w:val="00871095"/>
    <w:rsid w:val="00871207"/>
    <w:rsid w:val="0087144B"/>
    <w:rsid w:val="00871A61"/>
    <w:rsid w:val="00871ACE"/>
    <w:rsid w:val="00871C76"/>
    <w:rsid w:val="00871CA2"/>
    <w:rsid w:val="00871D7F"/>
    <w:rsid w:val="00872175"/>
    <w:rsid w:val="008726A0"/>
    <w:rsid w:val="0087301E"/>
    <w:rsid w:val="0087371C"/>
    <w:rsid w:val="00873793"/>
    <w:rsid w:val="00873E30"/>
    <w:rsid w:val="00874222"/>
    <w:rsid w:val="00874436"/>
    <w:rsid w:val="008745D9"/>
    <w:rsid w:val="00875408"/>
    <w:rsid w:val="0087562B"/>
    <w:rsid w:val="00875B90"/>
    <w:rsid w:val="00875D98"/>
    <w:rsid w:val="0087668E"/>
    <w:rsid w:val="008766B7"/>
    <w:rsid w:val="008766D0"/>
    <w:rsid w:val="00876727"/>
    <w:rsid w:val="00876B7C"/>
    <w:rsid w:val="00876D06"/>
    <w:rsid w:val="00876D31"/>
    <w:rsid w:val="008770DF"/>
    <w:rsid w:val="00877160"/>
    <w:rsid w:val="008775F2"/>
    <w:rsid w:val="00877A5C"/>
    <w:rsid w:val="00877A90"/>
    <w:rsid w:val="00877AC9"/>
    <w:rsid w:val="00877C64"/>
    <w:rsid w:val="00880178"/>
    <w:rsid w:val="00880466"/>
    <w:rsid w:val="008805E1"/>
    <w:rsid w:val="0088093C"/>
    <w:rsid w:val="008810D4"/>
    <w:rsid w:val="00881532"/>
    <w:rsid w:val="00881788"/>
    <w:rsid w:val="00881847"/>
    <w:rsid w:val="00881B7D"/>
    <w:rsid w:val="00881DBA"/>
    <w:rsid w:val="00881F36"/>
    <w:rsid w:val="00882515"/>
    <w:rsid w:val="00882BB0"/>
    <w:rsid w:val="00882BDD"/>
    <w:rsid w:val="00882EE8"/>
    <w:rsid w:val="008830B4"/>
    <w:rsid w:val="008834DD"/>
    <w:rsid w:val="00883770"/>
    <w:rsid w:val="00883C16"/>
    <w:rsid w:val="00883D26"/>
    <w:rsid w:val="00883DE8"/>
    <w:rsid w:val="0088466C"/>
    <w:rsid w:val="00884AF6"/>
    <w:rsid w:val="00884CCE"/>
    <w:rsid w:val="00884CF0"/>
    <w:rsid w:val="00884FC7"/>
    <w:rsid w:val="00885022"/>
    <w:rsid w:val="00885208"/>
    <w:rsid w:val="00885291"/>
    <w:rsid w:val="0088536C"/>
    <w:rsid w:val="00885661"/>
    <w:rsid w:val="00885927"/>
    <w:rsid w:val="00885AEE"/>
    <w:rsid w:val="00885DB4"/>
    <w:rsid w:val="00885E8E"/>
    <w:rsid w:val="008862D8"/>
    <w:rsid w:val="008864D2"/>
    <w:rsid w:val="00886EBE"/>
    <w:rsid w:val="00886F5C"/>
    <w:rsid w:val="00886FD1"/>
    <w:rsid w:val="008876DA"/>
    <w:rsid w:val="00887801"/>
    <w:rsid w:val="00887DB8"/>
    <w:rsid w:val="00887E80"/>
    <w:rsid w:val="00890048"/>
    <w:rsid w:val="0089033D"/>
    <w:rsid w:val="0089050A"/>
    <w:rsid w:val="00890724"/>
    <w:rsid w:val="00890920"/>
    <w:rsid w:val="00890B83"/>
    <w:rsid w:val="00890C8B"/>
    <w:rsid w:val="008912C3"/>
    <w:rsid w:val="0089140A"/>
    <w:rsid w:val="008915C5"/>
    <w:rsid w:val="00891863"/>
    <w:rsid w:val="00891CA5"/>
    <w:rsid w:val="00891E08"/>
    <w:rsid w:val="00892556"/>
    <w:rsid w:val="00892950"/>
    <w:rsid w:val="00892FAD"/>
    <w:rsid w:val="0089315C"/>
    <w:rsid w:val="00893169"/>
    <w:rsid w:val="00893242"/>
    <w:rsid w:val="0089331C"/>
    <w:rsid w:val="008935C9"/>
    <w:rsid w:val="008938EA"/>
    <w:rsid w:val="00893A34"/>
    <w:rsid w:val="00893D9A"/>
    <w:rsid w:val="0089412A"/>
    <w:rsid w:val="0089462D"/>
    <w:rsid w:val="00894AB0"/>
    <w:rsid w:val="00894C15"/>
    <w:rsid w:val="00894CB3"/>
    <w:rsid w:val="00894EDF"/>
    <w:rsid w:val="008952EE"/>
    <w:rsid w:val="008958D6"/>
    <w:rsid w:val="00895965"/>
    <w:rsid w:val="00895B87"/>
    <w:rsid w:val="00895F1B"/>
    <w:rsid w:val="00896BCD"/>
    <w:rsid w:val="00896E8E"/>
    <w:rsid w:val="00897111"/>
    <w:rsid w:val="008972C2"/>
    <w:rsid w:val="008974BE"/>
    <w:rsid w:val="008977CD"/>
    <w:rsid w:val="0089791F"/>
    <w:rsid w:val="00897D3B"/>
    <w:rsid w:val="00897EBD"/>
    <w:rsid w:val="00897F3D"/>
    <w:rsid w:val="00897F53"/>
    <w:rsid w:val="008A00F0"/>
    <w:rsid w:val="008A05B8"/>
    <w:rsid w:val="008A06C4"/>
    <w:rsid w:val="008A06D6"/>
    <w:rsid w:val="008A0AF3"/>
    <w:rsid w:val="008A0BC2"/>
    <w:rsid w:val="008A0E18"/>
    <w:rsid w:val="008A0E33"/>
    <w:rsid w:val="008A13AB"/>
    <w:rsid w:val="008A13E2"/>
    <w:rsid w:val="008A1730"/>
    <w:rsid w:val="008A1AAC"/>
    <w:rsid w:val="008A1DDC"/>
    <w:rsid w:val="008A23EB"/>
    <w:rsid w:val="008A2C6F"/>
    <w:rsid w:val="008A34CC"/>
    <w:rsid w:val="008A34DC"/>
    <w:rsid w:val="008A3698"/>
    <w:rsid w:val="008A375C"/>
    <w:rsid w:val="008A3E2A"/>
    <w:rsid w:val="008A3E3C"/>
    <w:rsid w:val="008A405A"/>
    <w:rsid w:val="008A4091"/>
    <w:rsid w:val="008A44F4"/>
    <w:rsid w:val="008A44FF"/>
    <w:rsid w:val="008A49F1"/>
    <w:rsid w:val="008A4B64"/>
    <w:rsid w:val="008A4BD5"/>
    <w:rsid w:val="008A4BDB"/>
    <w:rsid w:val="008A52D0"/>
    <w:rsid w:val="008A544A"/>
    <w:rsid w:val="008A585D"/>
    <w:rsid w:val="008A5B18"/>
    <w:rsid w:val="008A5CDC"/>
    <w:rsid w:val="008A635B"/>
    <w:rsid w:val="008A64FC"/>
    <w:rsid w:val="008A6DCF"/>
    <w:rsid w:val="008A6F0F"/>
    <w:rsid w:val="008A6FE6"/>
    <w:rsid w:val="008A715B"/>
    <w:rsid w:val="008A719C"/>
    <w:rsid w:val="008A74D5"/>
    <w:rsid w:val="008A75D4"/>
    <w:rsid w:val="008A7707"/>
    <w:rsid w:val="008A7861"/>
    <w:rsid w:val="008A7A9C"/>
    <w:rsid w:val="008A7BF5"/>
    <w:rsid w:val="008A7D3D"/>
    <w:rsid w:val="008A7D65"/>
    <w:rsid w:val="008A7F46"/>
    <w:rsid w:val="008B0075"/>
    <w:rsid w:val="008B01F6"/>
    <w:rsid w:val="008B02B4"/>
    <w:rsid w:val="008B02BF"/>
    <w:rsid w:val="008B0463"/>
    <w:rsid w:val="008B07A4"/>
    <w:rsid w:val="008B1083"/>
    <w:rsid w:val="008B153E"/>
    <w:rsid w:val="008B1627"/>
    <w:rsid w:val="008B1A29"/>
    <w:rsid w:val="008B1FB3"/>
    <w:rsid w:val="008B25EE"/>
    <w:rsid w:val="008B29D9"/>
    <w:rsid w:val="008B2B43"/>
    <w:rsid w:val="008B35B7"/>
    <w:rsid w:val="008B35E0"/>
    <w:rsid w:val="008B3753"/>
    <w:rsid w:val="008B379E"/>
    <w:rsid w:val="008B43C9"/>
    <w:rsid w:val="008B4541"/>
    <w:rsid w:val="008B46ED"/>
    <w:rsid w:val="008B4C7C"/>
    <w:rsid w:val="008B4F22"/>
    <w:rsid w:val="008B536D"/>
    <w:rsid w:val="008B54A8"/>
    <w:rsid w:val="008B5A18"/>
    <w:rsid w:val="008B5DF5"/>
    <w:rsid w:val="008B6081"/>
    <w:rsid w:val="008B66D4"/>
    <w:rsid w:val="008B6778"/>
    <w:rsid w:val="008B688D"/>
    <w:rsid w:val="008B68DF"/>
    <w:rsid w:val="008B6DC0"/>
    <w:rsid w:val="008B6E11"/>
    <w:rsid w:val="008B6E35"/>
    <w:rsid w:val="008B7078"/>
    <w:rsid w:val="008B761F"/>
    <w:rsid w:val="008B77B8"/>
    <w:rsid w:val="008B78A5"/>
    <w:rsid w:val="008B7D15"/>
    <w:rsid w:val="008B7D64"/>
    <w:rsid w:val="008B7DF7"/>
    <w:rsid w:val="008B7E15"/>
    <w:rsid w:val="008B7ECE"/>
    <w:rsid w:val="008B7ED2"/>
    <w:rsid w:val="008B7F44"/>
    <w:rsid w:val="008C03EE"/>
    <w:rsid w:val="008C0BA0"/>
    <w:rsid w:val="008C0BCB"/>
    <w:rsid w:val="008C0D51"/>
    <w:rsid w:val="008C0F09"/>
    <w:rsid w:val="008C0F2C"/>
    <w:rsid w:val="008C19D9"/>
    <w:rsid w:val="008C1B45"/>
    <w:rsid w:val="008C1BCA"/>
    <w:rsid w:val="008C1C68"/>
    <w:rsid w:val="008C1E8E"/>
    <w:rsid w:val="008C1EDF"/>
    <w:rsid w:val="008C2008"/>
    <w:rsid w:val="008C2046"/>
    <w:rsid w:val="008C214B"/>
    <w:rsid w:val="008C2413"/>
    <w:rsid w:val="008C24EF"/>
    <w:rsid w:val="008C27D0"/>
    <w:rsid w:val="008C294F"/>
    <w:rsid w:val="008C298B"/>
    <w:rsid w:val="008C2DE0"/>
    <w:rsid w:val="008C3240"/>
    <w:rsid w:val="008C3462"/>
    <w:rsid w:val="008C35A5"/>
    <w:rsid w:val="008C3C6A"/>
    <w:rsid w:val="008C3D67"/>
    <w:rsid w:val="008C3F6C"/>
    <w:rsid w:val="008C44C2"/>
    <w:rsid w:val="008C44F0"/>
    <w:rsid w:val="008C455F"/>
    <w:rsid w:val="008C49F9"/>
    <w:rsid w:val="008C4D6C"/>
    <w:rsid w:val="008C5AC7"/>
    <w:rsid w:val="008C5AED"/>
    <w:rsid w:val="008C6042"/>
    <w:rsid w:val="008C6C9A"/>
    <w:rsid w:val="008C7145"/>
    <w:rsid w:val="008C78CE"/>
    <w:rsid w:val="008C7A6C"/>
    <w:rsid w:val="008D0497"/>
    <w:rsid w:val="008D0840"/>
    <w:rsid w:val="008D08BE"/>
    <w:rsid w:val="008D0B7C"/>
    <w:rsid w:val="008D1293"/>
    <w:rsid w:val="008D1603"/>
    <w:rsid w:val="008D1A29"/>
    <w:rsid w:val="008D1C6A"/>
    <w:rsid w:val="008D35CA"/>
    <w:rsid w:val="008D3C48"/>
    <w:rsid w:val="008D3EB6"/>
    <w:rsid w:val="008D4706"/>
    <w:rsid w:val="008D4D7B"/>
    <w:rsid w:val="008D50DA"/>
    <w:rsid w:val="008D5138"/>
    <w:rsid w:val="008D5C8B"/>
    <w:rsid w:val="008D5E8C"/>
    <w:rsid w:val="008D6292"/>
    <w:rsid w:val="008D62E8"/>
    <w:rsid w:val="008D63DC"/>
    <w:rsid w:val="008D6D51"/>
    <w:rsid w:val="008D6EB1"/>
    <w:rsid w:val="008D7291"/>
    <w:rsid w:val="008D7374"/>
    <w:rsid w:val="008D7709"/>
    <w:rsid w:val="008D7F80"/>
    <w:rsid w:val="008E001E"/>
    <w:rsid w:val="008E005B"/>
    <w:rsid w:val="008E03EF"/>
    <w:rsid w:val="008E0641"/>
    <w:rsid w:val="008E07B0"/>
    <w:rsid w:val="008E089B"/>
    <w:rsid w:val="008E09B0"/>
    <w:rsid w:val="008E0DBE"/>
    <w:rsid w:val="008E0F5B"/>
    <w:rsid w:val="008E11EB"/>
    <w:rsid w:val="008E135B"/>
    <w:rsid w:val="008E182B"/>
    <w:rsid w:val="008E1A1F"/>
    <w:rsid w:val="008E1C2E"/>
    <w:rsid w:val="008E23DE"/>
    <w:rsid w:val="008E2AFF"/>
    <w:rsid w:val="008E2BA5"/>
    <w:rsid w:val="008E2E94"/>
    <w:rsid w:val="008E2EB8"/>
    <w:rsid w:val="008E3373"/>
    <w:rsid w:val="008E34E5"/>
    <w:rsid w:val="008E3960"/>
    <w:rsid w:val="008E3992"/>
    <w:rsid w:val="008E3BFC"/>
    <w:rsid w:val="008E3F26"/>
    <w:rsid w:val="008E3F75"/>
    <w:rsid w:val="008E3FA8"/>
    <w:rsid w:val="008E4413"/>
    <w:rsid w:val="008E445F"/>
    <w:rsid w:val="008E45AF"/>
    <w:rsid w:val="008E5BB3"/>
    <w:rsid w:val="008E5C1A"/>
    <w:rsid w:val="008E5CD4"/>
    <w:rsid w:val="008E5F3E"/>
    <w:rsid w:val="008E6265"/>
    <w:rsid w:val="008E6267"/>
    <w:rsid w:val="008E6350"/>
    <w:rsid w:val="008E735E"/>
    <w:rsid w:val="008E7AD6"/>
    <w:rsid w:val="008E7B76"/>
    <w:rsid w:val="008E7F61"/>
    <w:rsid w:val="008F0725"/>
    <w:rsid w:val="008F0798"/>
    <w:rsid w:val="008F0A08"/>
    <w:rsid w:val="008F0ADD"/>
    <w:rsid w:val="008F0C06"/>
    <w:rsid w:val="008F1BE3"/>
    <w:rsid w:val="008F1CD5"/>
    <w:rsid w:val="008F20B2"/>
    <w:rsid w:val="008F2607"/>
    <w:rsid w:val="008F280F"/>
    <w:rsid w:val="008F28D4"/>
    <w:rsid w:val="008F2B47"/>
    <w:rsid w:val="008F2EA0"/>
    <w:rsid w:val="008F30CB"/>
    <w:rsid w:val="008F3242"/>
    <w:rsid w:val="008F388E"/>
    <w:rsid w:val="008F3899"/>
    <w:rsid w:val="008F38FF"/>
    <w:rsid w:val="008F39AA"/>
    <w:rsid w:val="008F3BB5"/>
    <w:rsid w:val="008F3EBA"/>
    <w:rsid w:val="008F4212"/>
    <w:rsid w:val="008F4ADC"/>
    <w:rsid w:val="008F50B7"/>
    <w:rsid w:val="008F518A"/>
    <w:rsid w:val="008F5442"/>
    <w:rsid w:val="008F549A"/>
    <w:rsid w:val="008F54ED"/>
    <w:rsid w:val="008F56A6"/>
    <w:rsid w:val="008F5A5B"/>
    <w:rsid w:val="008F5ABE"/>
    <w:rsid w:val="008F5B62"/>
    <w:rsid w:val="008F6371"/>
    <w:rsid w:val="008F6552"/>
    <w:rsid w:val="008F6710"/>
    <w:rsid w:val="008F6778"/>
    <w:rsid w:val="008F6C85"/>
    <w:rsid w:val="008F6FD0"/>
    <w:rsid w:val="008F731F"/>
    <w:rsid w:val="008F73B7"/>
    <w:rsid w:val="008F7722"/>
    <w:rsid w:val="008F7766"/>
    <w:rsid w:val="008F79DD"/>
    <w:rsid w:val="008F7C32"/>
    <w:rsid w:val="008F7F39"/>
    <w:rsid w:val="009006FA"/>
    <w:rsid w:val="009009D6"/>
    <w:rsid w:val="00900E3E"/>
    <w:rsid w:val="00900F10"/>
    <w:rsid w:val="00901090"/>
    <w:rsid w:val="00901615"/>
    <w:rsid w:val="0090169A"/>
    <w:rsid w:val="00901C5C"/>
    <w:rsid w:val="0090213A"/>
    <w:rsid w:val="00902205"/>
    <w:rsid w:val="00902578"/>
    <w:rsid w:val="00902918"/>
    <w:rsid w:val="00902997"/>
    <w:rsid w:val="009032AC"/>
    <w:rsid w:val="00903412"/>
    <w:rsid w:val="009035E7"/>
    <w:rsid w:val="0090385B"/>
    <w:rsid w:val="009038F8"/>
    <w:rsid w:val="00903B24"/>
    <w:rsid w:val="00903C9A"/>
    <w:rsid w:val="00903E28"/>
    <w:rsid w:val="00903EFD"/>
    <w:rsid w:val="00904A2E"/>
    <w:rsid w:val="00904E02"/>
    <w:rsid w:val="00905100"/>
    <w:rsid w:val="009051BC"/>
    <w:rsid w:val="00905320"/>
    <w:rsid w:val="00905497"/>
    <w:rsid w:val="00905506"/>
    <w:rsid w:val="00905988"/>
    <w:rsid w:val="00905ACE"/>
    <w:rsid w:val="00905C5E"/>
    <w:rsid w:val="00905CC0"/>
    <w:rsid w:val="00905EE9"/>
    <w:rsid w:val="00906257"/>
    <w:rsid w:val="0090625F"/>
    <w:rsid w:val="00906411"/>
    <w:rsid w:val="009064AC"/>
    <w:rsid w:val="00906567"/>
    <w:rsid w:val="00906A56"/>
    <w:rsid w:val="00907139"/>
    <w:rsid w:val="009071AD"/>
    <w:rsid w:val="00907726"/>
    <w:rsid w:val="0090773A"/>
    <w:rsid w:val="009077BE"/>
    <w:rsid w:val="00907AB5"/>
    <w:rsid w:val="00910150"/>
    <w:rsid w:val="0091053E"/>
    <w:rsid w:val="009105CD"/>
    <w:rsid w:val="00910AB8"/>
    <w:rsid w:val="00910E7D"/>
    <w:rsid w:val="00910F14"/>
    <w:rsid w:val="009115EA"/>
    <w:rsid w:val="00911649"/>
    <w:rsid w:val="00911820"/>
    <w:rsid w:val="00911BB6"/>
    <w:rsid w:val="009124D4"/>
    <w:rsid w:val="00912D90"/>
    <w:rsid w:val="00912EB3"/>
    <w:rsid w:val="00912F3D"/>
    <w:rsid w:val="00913059"/>
    <w:rsid w:val="00913160"/>
    <w:rsid w:val="00913294"/>
    <w:rsid w:val="009133D1"/>
    <w:rsid w:val="009134EC"/>
    <w:rsid w:val="00913704"/>
    <w:rsid w:val="009137F0"/>
    <w:rsid w:val="00913B3A"/>
    <w:rsid w:val="00913E0E"/>
    <w:rsid w:val="00913EA8"/>
    <w:rsid w:val="009146D8"/>
    <w:rsid w:val="009147C5"/>
    <w:rsid w:val="00914FBE"/>
    <w:rsid w:val="00915033"/>
    <w:rsid w:val="0091523F"/>
    <w:rsid w:val="009155BF"/>
    <w:rsid w:val="009155EC"/>
    <w:rsid w:val="0091588A"/>
    <w:rsid w:val="009161FF"/>
    <w:rsid w:val="009163DB"/>
    <w:rsid w:val="009164DA"/>
    <w:rsid w:val="009167AB"/>
    <w:rsid w:val="009168CA"/>
    <w:rsid w:val="00916BD4"/>
    <w:rsid w:val="00916D6A"/>
    <w:rsid w:val="00916F9F"/>
    <w:rsid w:val="00916FCF"/>
    <w:rsid w:val="0091712E"/>
    <w:rsid w:val="0091727C"/>
    <w:rsid w:val="009175F7"/>
    <w:rsid w:val="009200D8"/>
    <w:rsid w:val="0092016F"/>
    <w:rsid w:val="00920330"/>
    <w:rsid w:val="009205CE"/>
    <w:rsid w:val="009210AC"/>
    <w:rsid w:val="00921343"/>
    <w:rsid w:val="00922481"/>
    <w:rsid w:val="00922886"/>
    <w:rsid w:val="0092294A"/>
    <w:rsid w:val="00922953"/>
    <w:rsid w:val="00922AA1"/>
    <w:rsid w:val="00922B24"/>
    <w:rsid w:val="00922F80"/>
    <w:rsid w:val="00923113"/>
    <w:rsid w:val="00923346"/>
    <w:rsid w:val="009236C7"/>
    <w:rsid w:val="00923829"/>
    <w:rsid w:val="00923830"/>
    <w:rsid w:val="009238AF"/>
    <w:rsid w:val="00923912"/>
    <w:rsid w:val="00923A88"/>
    <w:rsid w:val="00923B93"/>
    <w:rsid w:val="00924096"/>
    <w:rsid w:val="00924FFC"/>
    <w:rsid w:val="00925266"/>
    <w:rsid w:val="00925406"/>
    <w:rsid w:val="009255F9"/>
    <w:rsid w:val="00925650"/>
    <w:rsid w:val="00925674"/>
    <w:rsid w:val="009257E1"/>
    <w:rsid w:val="00925DBB"/>
    <w:rsid w:val="009269B5"/>
    <w:rsid w:val="00926A23"/>
    <w:rsid w:val="00926F48"/>
    <w:rsid w:val="00927C34"/>
    <w:rsid w:val="00930194"/>
    <w:rsid w:val="00930B7E"/>
    <w:rsid w:val="00931038"/>
    <w:rsid w:val="009314A2"/>
    <w:rsid w:val="0093198A"/>
    <w:rsid w:val="00931BC4"/>
    <w:rsid w:val="00932026"/>
    <w:rsid w:val="00932160"/>
    <w:rsid w:val="00932180"/>
    <w:rsid w:val="009324A7"/>
    <w:rsid w:val="00932934"/>
    <w:rsid w:val="00932B93"/>
    <w:rsid w:val="00933553"/>
    <w:rsid w:val="009335F1"/>
    <w:rsid w:val="00934174"/>
    <w:rsid w:val="00934C64"/>
    <w:rsid w:val="00934DB0"/>
    <w:rsid w:val="00934F1A"/>
    <w:rsid w:val="00936307"/>
    <w:rsid w:val="0093644A"/>
    <w:rsid w:val="00936752"/>
    <w:rsid w:val="00936769"/>
    <w:rsid w:val="00936D65"/>
    <w:rsid w:val="00937252"/>
    <w:rsid w:val="00937297"/>
    <w:rsid w:val="00937441"/>
    <w:rsid w:val="00937490"/>
    <w:rsid w:val="0093778C"/>
    <w:rsid w:val="00937B33"/>
    <w:rsid w:val="00937CD1"/>
    <w:rsid w:val="0094098B"/>
    <w:rsid w:val="00940A89"/>
    <w:rsid w:val="00940ABC"/>
    <w:rsid w:val="00940D6E"/>
    <w:rsid w:val="00940EF6"/>
    <w:rsid w:val="00941130"/>
    <w:rsid w:val="0094122F"/>
    <w:rsid w:val="009413D0"/>
    <w:rsid w:val="00941426"/>
    <w:rsid w:val="00941463"/>
    <w:rsid w:val="00941657"/>
    <w:rsid w:val="009417F6"/>
    <w:rsid w:val="00941BD9"/>
    <w:rsid w:val="009420A0"/>
    <w:rsid w:val="009426AA"/>
    <w:rsid w:val="009426D2"/>
    <w:rsid w:val="00942A79"/>
    <w:rsid w:val="00942EB8"/>
    <w:rsid w:val="00943762"/>
    <w:rsid w:val="00943C8C"/>
    <w:rsid w:val="00943E9E"/>
    <w:rsid w:val="009447FE"/>
    <w:rsid w:val="00944A96"/>
    <w:rsid w:val="00944AB0"/>
    <w:rsid w:val="009457AB"/>
    <w:rsid w:val="00945914"/>
    <w:rsid w:val="00946266"/>
    <w:rsid w:val="00946E7F"/>
    <w:rsid w:val="00946F2A"/>
    <w:rsid w:val="0094764D"/>
    <w:rsid w:val="009479F0"/>
    <w:rsid w:val="00947ADB"/>
    <w:rsid w:val="00947D92"/>
    <w:rsid w:val="009506CB"/>
    <w:rsid w:val="00950E6D"/>
    <w:rsid w:val="009513B7"/>
    <w:rsid w:val="009516A4"/>
    <w:rsid w:val="009518AF"/>
    <w:rsid w:val="00951B96"/>
    <w:rsid w:val="009520DA"/>
    <w:rsid w:val="00952263"/>
    <w:rsid w:val="0095255E"/>
    <w:rsid w:val="00952C54"/>
    <w:rsid w:val="00952FAB"/>
    <w:rsid w:val="00952FC8"/>
    <w:rsid w:val="00953116"/>
    <w:rsid w:val="00953305"/>
    <w:rsid w:val="009535E8"/>
    <w:rsid w:val="00953642"/>
    <w:rsid w:val="0095387D"/>
    <w:rsid w:val="00953896"/>
    <w:rsid w:val="00953BEB"/>
    <w:rsid w:val="00953D1E"/>
    <w:rsid w:val="00953E54"/>
    <w:rsid w:val="0095439D"/>
    <w:rsid w:val="0095487A"/>
    <w:rsid w:val="00954893"/>
    <w:rsid w:val="00955F8B"/>
    <w:rsid w:val="00956247"/>
    <w:rsid w:val="009567C4"/>
    <w:rsid w:val="00957037"/>
    <w:rsid w:val="009570D8"/>
    <w:rsid w:val="009574FF"/>
    <w:rsid w:val="009577E4"/>
    <w:rsid w:val="00957F67"/>
    <w:rsid w:val="00957F7A"/>
    <w:rsid w:val="0096034E"/>
    <w:rsid w:val="00960863"/>
    <w:rsid w:val="00960B35"/>
    <w:rsid w:val="00960BFE"/>
    <w:rsid w:val="00960E01"/>
    <w:rsid w:val="009614F2"/>
    <w:rsid w:val="0096151C"/>
    <w:rsid w:val="00961676"/>
    <w:rsid w:val="00961902"/>
    <w:rsid w:val="00961971"/>
    <w:rsid w:val="00961BE5"/>
    <w:rsid w:val="00961FAE"/>
    <w:rsid w:val="0096207C"/>
    <w:rsid w:val="009620AE"/>
    <w:rsid w:val="00962257"/>
    <w:rsid w:val="0096276A"/>
    <w:rsid w:val="00962D55"/>
    <w:rsid w:val="0096360D"/>
    <w:rsid w:val="00963910"/>
    <w:rsid w:val="00963F67"/>
    <w:rsid w:val="0096427B"/>
    <w:rsid w:val="00964F41"/>
    <w:rsid w:val="00964FFD"/>
    <w:rsid w:val="0096579B"/>
    <w:rsid w:val="00965823"/>
    <w:rsid w:val="00965AE3"/>
    <w:rsid w:val="009662CD"/>
    <w:rsid w:val="00966350"/>
    <w:rsid w:val="00966720"/>
    <w:rsid w:val="00966933"/>
    <w:rsid w:val="00966A7A"/>
    <w:rsid w:val="00966A7F"/>
    <w:rsid w:val="00966CEA"/>
    <w:rsid w:val="00966D11"/>
    <w:rsid w:val="00966E90"/>
    <w:rsid w:val="0096700A"/>
    <w:rsid w:val="009671EF"/>
    <w:rsid w:val="00967781"/>
    <w:rsid w:val="00967B0F"/>
    <w:rsid w:val="00967D1B"/>
    <w:rsid w:val="00970039"/>
    <w:rsid w:val="00970201"/>
    <w:rsid w:val="0097029A"/>
    <w:rsid w:val="00970582"/>
    <w:rsid w:val="00970789"/>
    <w:rsid w:val="00971042"/>
    <w:rsid w:val="00971102"/>
    <w:rsid w:val="00971210"/>
    <w:rsid w:val="00971319"/>
    <w:rsid w:val="0097149E"/>
    <w:rsid w:val="00971680"/>
    <w:rsid w:val="00971845"/>
    <w:rsid w:val="0097248F"/>
    <w:rsid w:val="009724E3"/>
    <w:rsid w:val="0097261F"/>
    <w:rsid w:val="009727EC"/>
    <w:rsid w:val="009729A8"/>
    <w:rsid w:val="00972B45"/>
    <w:rsid w:val="00972C7A"/>
    <w:rsid w:val="0097307F"/>
    <w:rsid w:val="009734E5"/>
    <w:rsid w:val="00973683"/>
    <w:rsid w:val="009738F9"/>
    <w:rsid w:val="00973BAC"/>
    <w:rsid w:val="00974038"/>
    <w:rsid w:val="00974127"/>
    <w:rsid w:val="00974498"/>
    <w:rsid w:val="009744F4"/>
    <w:rsid w:val="00974578"/>
    <w:rsid w:val="00974CC0"/>
    <w:rsid w:val="00975629"/>
    <w:rsid w:val="00975723"/>
    <w:rsid w:val="00975E91"/>
    <w:rsid w:val="009763C9"/>
    <w:rsid w:val="009764CB"/>
    <w:rsid w:val="009765D7"/>
    <w:rsid w:val="00976D2D"/>
    <w:rsid w:val="00976FA2"/>
    <w:rsid w:val="00977136"/>
    <w:rsid w:val="009771CE"/>
    <w:rsid w:val="009775A3"/>
    <w:rsid w:val="00977834"/>
    <w:rsid w:val="009778EA"/>
    <w:rsid w:val="00977D13"/>
    <w:rsid w:val="00977EF3"/>
    <w:rsid w:val="0098021F"/>
    <w:rsid w:val="00980551"/>
    <w:rsid w:val="009806D3"/>
    <w:rsid w:val="0098076A"/>
    <w:rsid w:val="00981051"/>
    <w:rsid w:val="009813E1"/>
    <w:rsid w:val="0098163B"/>
    <w:rsid w:val="00981AD4"/>
    <w:rsid w:val="00982319"/>
    <w:rsid w:val="0098231E"/>
    <w:rsid w:val="00982B82"/>
    <w:rsid w:val="0098301E"/>
    <w:rsid w:val="0098330A"/>
    <w:rsid w:val="009833CA"/>
    <w:rsid w:val="009834B1"/>
    <w:rsid w:val="009834BE"/>
    <w:rsid w:val="00983575"/>
    <w:rsid w:val="00983653"/>
    <w:rsid w:val="009837BD"/>
    <w:rsid w:val="009837DB"/>
    <w:rsid w:val="00983D72"/>
    <w:rsid w:val="00983ED8"/>
    <w:rsid w:val="00984488"/>
    <w:rsid w:val="00984BFF"/>
    <w:rsid w:val="00984EAC"/>
    <w:rsid w:val="00984F36"/>
    <w:rsid w:val="00985B35"/>
    <w:rsid w:val="00985BE6"/>
    <w:rsid w:val="00985F43"/>
    <w:rsid w:val="0098604C"/>
    <w:rsid w:val="00986533"/>
    <w:rsid w:val="009868EE"/>
    <w:rsid w:val="00986973"/>
    <w:rsid w:val="009869E5"/>
    <w:rsid w:val="00986C5C"/>
    <w:rsid w:val="00987088"/>
    <w:rsid w:val="0098724E"/>
    <w:rsid w:val="0098780D"/>
    <w:rsid w:val="00987AC8"/>
    <w:rsid w:val="00990439"/>
    <w:rsid w:val="009904A3"/>
    <w:rsid w:val="00990854"/>
    <w:rsid w:val="00990C93"/>
    <w:rsid w:val="009910BA"/>
    <w:rsid w:val="009914F4"/>
    <w:rsid w:val="00991750"/>
    <w:rsid w:val="00991A47"/>
    <w:rsid w:val="009922D4"/>
    <w:rsid w:val="009927A3"/>
    <w:rsid w:val="00992B1B"/>
    <w:rsid w:val="00992E2B"/>
    <w:rsid w:val="00992E80"/>
    <w:rsid w:val="00992EDF"/>
    <w:rsid w:val="009932DE"/>
    <w:rsid w:val="009934E6"/>
    <w:rsid w:val="00993C3A"/>
    <w:rsid w:val="0099411A"/>
    <w:rsid w:val="00994213"/>
    <w:rsid w:val="009944B3"/>
    <w:rsid w:val="00994589"/>
    <w:rsid w:val="009945FB"/>
    <w:rsid w:val="00994DCB"/>
    <w:rsid w:val="00994FD0"/>
    <w:rsid w:val="00995BA2"/>
    <w:rsid w:val="00995D3F"/>
    <w:rsid w:val="00995E1F"/>
    <w:rsid w:val="009965D3"/>
    <w:rsid w:val="00996833"/>
    <w:rsid w:val="009969B3"/>
    <w:rsid w:val="0099759D"/>
    <w:rsid w:val="00997887"/>
    <w:rsid w:val="0099798B"/>
    <w:rsid w:val="00997E71"/>
    <w:rsid w:val="009A0204"/>
    <w:rsid w:val="009A06C9"/>
    <w:rsid w:val="009A06E2"/>
    <w:rsid w:val="009A07C4"/>
    <w:rsid w:val="009A08AF"/>
    <w:rsid w:val="009A0966"/>
    <w:rsid w:val="009A0DC4"/>
    <w:rsid w:val="009A1898"/>
    <w:rsid w:val="009A1A29"/>
    <w:rsid w:val="009A1BED"/>
    <w:rsid w:val="009A2054"/>
    <w:rsid w:val="009A20C2"/>
    <w:rsid w:val="009A211B"/>
    <w:rsid w:val="009A222C"/>
    <w:rsid w:val="009A23CD"/>
    <w:rsid w:val="009A2569"/>
    <w:rsid w:val="009A2F01"/>
    <w:rsid w:val="009A3684"/>
    <w:rsid w:val="009A4172"/>
    <w:rsid w:val="009A4476"/>
    <w:rsid w:val="009A44BC"/>
    <w:rsid w:val="009A4B7E"/>
    <w:rsid w:val="009A4DAF"/>
    <w:rsid w:val="009A5101"/>
    <w:rsid w:val="009A5A94"/>
    <w:rsid w:val="009A5E50"/>
    <w:rsid w:val="009A622D"/>
    <w:rsid w:val="009A62CA"/>
    <w:rsid w:val="009A6CA2"/>
    <w:rsid w:val="009A6EFE"/>
    <w:rsid w:val="009A721A"/>
    <w:rsid w:val="009A75C9"/>
    <w:rsid w:val="009A787F"/>
    <w:rsid w:val="009A7BA2"/>
    <w:rsid w:val="009A7C49"/>
    <w:rsid w:val="009B04B4"/>
    <w:rsid w:val="009B05C9"/>
    <w:rsid w:val="009B07BE"/>
    <w:rsid w:val="009B08ED"/>
    <w:rsid w:val="009B0EBB"/>
    <w:rsid w:val="009B11C4"/>
    <w:rsid w:val="009B153E"/>
    <w:rsid w:val="009B156A"/>
    <w:rsid w:val="009B187F"/>
    <w:rsid w:val="009B1CF7"/>
    <w:rsid w:val="009B1E1A"/>
    <w:rsid w:val="009B1F3F"/>
    <w:rsid w:val="009B2481"/>
    <w:rsid w:val="009B28D5"/>
    <w:rsid w:val="009B2BF2"/>
    <w:rsid w:val="009B2C53"/>
    <w:rsid w:val="009B2EC5"/>
    <w:rsid w:val="009B3221"/>
    <w:rsid w:val="009B32CC"/>
    <w:rsid w:val="009B3455"/>
    <w:rsid w:val="009B34F1"/>
    <w:rsid w:val="009B3678"/>
    <w:rsid w:val="009B3887"/>
    <w:rsid w:val="009B3C70"/>
    <w:rsid w:val="009B4240"/>
    <w:rsid w:val="009B4B45"/>
    <w:rsid w:val="009B4B96"/>
    <w:rsid w:val="009B4F9D"/>
    <w:rsid w:val="009B5010"/>
    <w:rsid w:val="009B52AE"/>
    <w:rsid w:val="009B52EC"/>
    <w:rsid w:val="009B53D7"/>
    <w:rsid w:val="009B545B"/>
    <w:rsid w:val="009B5490"/>
    <w:rsid w:val="009B54FC"/>
    <w:rsid w:val="009B5671"/>
    <w:rsid w:val="009B5A1C"/>
    <w:rsid w:val="009B5C97"/>
    <w:rsid w:val="009B5EC2"/>
    <w:rsid w:val="009B5F6D"/>
    <w:rsid w:val="009B5FE0"/>
    <w:rsid w:val="009B615E"/>
    <w:rsid w:val="009B61F0"/>
    <w:rsid w:val="009B63F5"/>
    <w:rsid w:val="009B73FD"/>
    <w:rsid w:val="009B7443"/>
    <w:rsid w:val="009B7570"/>
    <w:rsid w:val="009B75CF"/>
    <w:rsid w:val="009B7938"/>
    <w:rsid w:val="009B7A09"/>
    <w:rsid w:val="009B7D52"/>
    <w:rsid w:val="009B7D86"/>
    <w:rsid w:val="009B7FA7"/>
    <w:rsid w:val="009B7FB1"/>
    <w:rsid w:val="009C00F6"/>
    <w:rsid w:val="009C02D2"/>
    <w:rsid w:val="009C0509"/>
    <w:rsid w:val="009C10DF"/>
    <w:rsid w:val="009C162C"/>
    <w:rsid w:val="009C1E32"/>
    <w:rsid w:val="009C1E54"/>
    <w:rsid w:val="009C2362"/>
    <w:rsid w:val="009C2398"/>
    <w:rsid w:val="009C2477"/>
    <w:rsid w:val="009C2492"/>
    <w:rsid w:val="009C25AE"/>
    <w:rsid w:val="009C2719"/>
    <w:rsid w:val="009C2857"/>
    <w:rsid w:val="009C2A4A"/>
    <w:rsid w:val="009C2A63"/>
    <w:rsid w:val="009C3086"/>
    <w:rsid w:val="009C320E"/>
    <w:rsid w:val="009C38EF"/>
    <w:rsid w:val="009C4001"/>
    <w:rsid w:val="009C4030"/>
    <w:rsid w:val="009C431F"/>
    <w:rsid w:val="009C44B0"/>
    <w:rsid w:val="009C49C2"/>
    <w:rsid w:val="009C5628"/>
    <w:rsid w:val="009C576F"/>
    <w:rsid w:val="009C5D3D"/>
    <w:rsid w:val="009C5D4A"/>
    <w:rsid w:val="009C5D84"/>
    <w:rsid w:val="009C5E85"/>
    <w:rsid w:val="009C62F9"/>
    <w:rsid w:val="009C65F6"/>
    <w:rsid w:val="009C67D8"/>
    <w:rsid w:val="009C78B5"/>
    <w:rsid w:val="009C7990"/>
    <w:rsid w:val="009D072A"/>
    <w:rsid w:val="009D0EED"/>
    <w:rsid w:val="009D10FE"/>
    <w:rsid w:val="009D11A6"/>
    <w:rsid w:val="009D1216"/>
    <w:rsid w:val="009D183C"/>
    <w:rsid w:val="009D18C0"/>
    <w:rsid w:val="009D1C85"/>
    <w:rsid w:val="009D1EC3"/>
    <w:rsid w:val="009D207B"/>
    <w:rsid w:val="009D2619"/>
    <w:rsid w:val="009D26D2"/>
    <w:rsid w:val="009D26F8"/>
    <w:rsid w:val="009D2BFB"/>
    <w:rsid w:val="009D3156"/>
    <w:rsid w:val="009D34C8"/>
    <w:rsid w:val="009D3588"/>
    <w:rsid w:val="009D3A4F"/>
    <w:rsid w:val="009D3A98"/>
    <w:rsid w:val="009D3D1E"/>
    <w:rsid w:val="009D40D0"/>
    <w:rsid w:val="009D40F4"/>
    <w:rsid w:val="009D4148"/>
    <w:rsid w:val="009D4807"/>
    <w:rsid w:val="009D483D"/>
    <w:rsid w:val="009D4966"/>
    <w:rsid w:val="009D4B37"/>
    <w:rsid w:val="009D5248"/>
    <w:rsid w:val="009D5537"/>
    <w:rsid w:val="009D55FE"/>
    <w:rsid w:val="009D585C"/>
    <w:rsid w:val="009D58C6"/>
    <w:rsid w:val="009D594E"/>
    <w:rsid w:val="009D5A21"/>
    <w:rsid w:val="009D5E23"/>
    <w:rsid w:val="009D6077"/>
    <w:rsid w:val="009D6470"/>
    <w:rsid w:val="009D716D"/>
    <w:rsid w:val="009D72FA"/>
    <w:rsid w:val="009D740E"/>
    <w:rsid w:val="009D743C"/>
    <w:rsid w:val="009D74AB"/>
    <w:rsid w:val="009D7CE9"/>
    <w:rsid w:val="009E02DA"/>
    <w:rsid w:val="009E049F"/>
    <w:rsid w:val="009E0978"/>
    <w:rsid w:val="009E09EC"/>
    <w:rsid w:val="009E0CD6"/>
    <w:rsid w:val="009E104E"/>
    <w:rsid w:val="009E1071"/>
    <w:rsid w:val="009E13D5"/>
    <w:rsid w:val="009E1450"/>
    <w:rsid w:val="009E14B4"/>
    <w:rsid w:val="009E1838"/>
    <w:rsid w:val="009E183A"/>
    <w:rsid w:val="009E196E"/>
    <w:rsid w:val="009E2932"/>
    <w:rsid w:val="009E2B10"/>
    <w:rsid w:val="009E2C8A"/>
    <w:rsid w:val="009E3872"/>
    <w:rsid w:val="009E41CB"/>
    <w:rsid w:val="009E44AC"/>
    <w:rsid w:val="009E4B27"/>
    <w:rsid w:val="009E55D9"/>
    <w:rsid w:val="009E55F6"/>
    <w:rsid w:val="009E561F"/>
    <w:rsid w:val="009E586E"/>
    <w:rsid w:val="009E59E8"/>
    <w:rsid w:val="009E62E2"/>
    <w:rsid w:val="009E6393"/>
    <w:rsid w:val="009E682B"/>
    <w:rsid w:val="009E6AF3"/>
    <w:rsid w:val="009E749B"/>
    <w:rsid w:val="009E76CF"/>
    <w:rsid w:val="009E7880"/>
    <w:rsid w:val="009E78A9"/>
    <w:rsid w:val="009E78FE"/>
    <w:rsid w:val="009E7D8A"/>
    <w:rsid w:val="009F0534"/>
    <w:rsid w:val="009F095A"/>
    <w:rsid w:val="009F0A08"/>
    <w:rsid w:val="009F1387"/>
    <w:rsid w:val="009F14B7"/>
    <w:rsid w:val="009F1655"/>
    <w:rsid w:val="009F2552"/>
    <w:rsid w:val="009F2578"/>
    <w:rsid w:val="009F29CF"/>
    <w:rsid w:val="009F2F43"/>
    <w:rsid w:val="009F35D7"/>
    <w:rsid w:val="009F3622"/>
    <w:rsid w:val="009F36CD"/>
    <w:rsid w:val="009F3C66"/>
    <w:rsid w:val="009F3DDE"/>
    <w:rsid w:val="009F3E64"/>
    <w:rsid w:val="009F40E4"/>
    <w:rsid w:val="009F4508"/>
    <w:rsid w:val="009F4570"/>
    <w:rsid w:val="009F47A9"/>
    <w:rsid w:val="009F4B18"/>
    <w:rsid w:val="009F50FB"/>
    <w:rsid w:val="009F559A"/>
    <w:rsid w:val="009F5611"/>
    <w:rsid w:val="009F5883"/>
    <w:rsid w:val="009F5C65"/>
    <w:rsid w:val="009F5C9B"/>
    <w:rsid w:val="009F6A98"/>
    <w:rsid w:val="009F6AD3"/>
    <w:rsid w:val="009F6C46"/>
    <w:rsid w:val="009F6FE8"/>
    <w:rsid w:val="009F7466"/>
    <w:rsid w:val="009F7F00"/>
    <w:rsid w:val="00A00387"/>
    <w:rsid w:val="00A00DA8"/>
    <w:rsid w:val="00A00EC7"/>
    <w:rsid w:val="00A00EED"/>
    <w:rsid w:val="00A00F85"/>
    <w:rsid w:val="00A011D6"/>
    <w:rsid w:val="00A014AF"/>
    <w:rsid w:val="00A01F32"/>
    <w:rsid w:val="00A02134"/>
    <w:rsid w:val="00A02737"/>
    <w:rsid w:val="00A0282E"/>
    <w:rsid w:val="00A028ED"/>
    <w:rsid w:val="00A029F4"/>
    <w:rsid w:val="00A03039"/>
    <w:rsid w:val="00A03081"/>
    <w:rsid w:val="00A036E6"/>
    <w:rsid w:val="00A03DFC"/>
    <w:rsid w:val="00A041A1"/>
    <w:rsid w:val="00A0453F"/>
    <w:rsid w:val="00A045D8"/>
    <w:rsid w:val="00A052AA"/>
    <w:rsid w:val="00A054C8"/>
    <w:rsid w:val="00A05C35"/>
    <w:rsid w:val="00A05C88"/>
    <w:rsid w:val="00A05E26"/>
    <w:rsid w:val="00A060E2"/>
    <w:rsid w:val="00A0698E"/>
    <w:rsid w:val="00A06A2F"/>
    <w:rsid w:val="00A06ABB"/>
    <w:rsid w:val="00A06E76"/>
    <w:rsid w:val="00A0716B"/>
    <w:rsid w:val="00A07547"/>
    <w:rsid w:val="00A07684"/>
    <w:rsid w:val="00A07AFD"/>
    <w:rsid w:val="00A07BDB"/>
    <w:rsid w:val="00A07E45"/>
    <w:rsid w:val="00A10405"/>
    <w:rsid w:val="00A1092C"/>
    <w:rsid w:val="00A10A0E"/>
    <w:rsid w:val="00A10A35"/>
    <w:rsid w:val="00A10DB6"/>
    <w:rsid w:val="00A1122A"/>
    <w:rsid w:val="00A11775"/>
    <w:rsid w:val="00A118D9"/>
    <w:rsid w:val="00A119F7"/>
    <w:rsid w:val="00A11A63"/>
    <w:rsid w:val="00A11A6D"/>
    <w:rsid w:val="00A12003"/>
    <w:rsid w:val="00A12008"/>
    <w:rsid w:val="00A123B4"/>
    <w:rsid w:val="00A1248F"/>
    <w:rsid w:val="00A124A8"/>
    <w:rsid w:val="00A12967"/>
    <w:rsid w:val="00A12B82"/>
    <w:rsid w:val="00A12E59"/>
    <w:rsid w:val="00A12F4A"/>
    <w:rsid w:val="00A12FF6"/>
    <w:rsid w:val="00A13193"/>
    <w:rsid w:val="00A131B1"/>
    <w:rsid w:val="00A13577"/>
    <w:rsid w:val="00A13705"/>
    <w:rsid w:val="00A139D1"/>
    <w:rsid w:val="00A13A3C"/>
    <w:rsid w:val="00A13E71"/>
    <w:rsid w:val="00A142BC"/>
    <w:rsid w:val="00A14D31"/>
    <w:rsid w:val="00A14DD3"/>
    <w:rsid w:val="00A1504E"/>
    <w:rsid w:val="00A15267"/>
    <w:rsid w:val="00A15C12"/>
    <w:rsid w:val="00A15C61"/>
    <w:rsid w:val="00A15EEE"/>
    <w:rsid w:val="00A15F0A"/>
    <w:rsid w:val="00A164F1"/>
    <w:rsid w:val="00A16657"/>
    <w:rsid w:val="00A16778"/>
    <w:rsid w:val="00A16D59"/>
    <w:rsid w:val="00A16EEF"/>
    <w:rsid w:val="00A16F34"/>
    <w:rsid w:val="00A17352"/>
    <w:rsid w:val="00A17A1C"/>
    <w:rsid w:val="00A17A47"/>
    <w:rsid w:val="00A20338"/>
    <w:rsid w:val="00A20735"/>
    <w:rsid w:val="00A208AF"/>
    <w:rsid w:val="00A220E4"/>
    <w:rsid w:val="00A221D0"/>
    <w:rsid w:val="00A22251"/>
    <w:rsid w:val="00A224D6"/>
    <w:rsid w:val="00A2280C"/>
    <w:rsid w:val="00A22892"/>
    <w:rsid w:val="00A22961"/>
    <w:rsid w:val="00A23571"/>
    <w:rsid w:val="00A23741"/>
    <w:rsid w:val="00A23801"/>
    <w:rsid w:val="00A238C4"/>
    <w:rsid w:val="00A23A8F"/>
    <w:rsid w:val="00A23AFB"/>
    <w:rsid w:val="00A23DAF"/>
    <w:rsid w:val="00A23E3B"/>
    <w:rsid w:val="00A23ECA"/>
    <w:rsid w:val="00A2436B"/>
    <w:rsid w:val="00A243F8"/>
    <w:rsid w:val="00A2459A"/>
    <w:rsid w:val="00A24BDF"/>
    <w:rsid w:val="00A251E2"/>
    <w:rsid w:val="00A25374"/>
    <w:rsid w:val="00A2563A"/>
    <w:rsid w:val="00A2563D"/>
    <w:rsid w:val="00A258E2"/>
    <w:rsid w:val="00A25AB1"/>
    <w:rsid w:val="00A2602A"/>
    <w:rsid w:val="00A261C7"/>
    <w:rsid w:val="00A264A4"/>
    <w:rsid w:val="00A273FD"/>
    <w:rsid w:val="00A27CE8"/>
    <w:rsid w:val="00A27EE2"/>
    <w:rsid w:val="00A309B2"/>
    <w:rsid w:val="00A30D95"/>
    <w:rsid w:val="00A30F0F"/>
    <w:rsid w:val="00A3113B"/>
    <w:rsid w:val="00A31682"/>
    <w:rsid w:val="00A31A36"/>
    <w:rsid w:val="00A31C20"/>
    <w:rsid w:val="00A31DC8"/>
    <w:rsid w:val="00A32161"/>
    <w:rsid w:val="00A322A4"/>
    <w:rsid w:val="00A32571"/>
    <w:rsid w:val="00A3257B"/>
    <w:rsid w:val="00A339AD"/>
    <w:rsid w:val="00A33B22"/>
    <w:rsid w:val="00A33BDF"/>
    <w:rsid w:val="00A33C45"/>
    <w:rsid w:val="00A33C4B"/>
    <w:rsid w:val="00A3408F"/>
    <w:rsid w:val="00A35105"/>
    <w:rsid w:val="00A3515A"/>
    <w:rsid w:val="00A3532E"/>
    <w:rsid w:val="00A359D7"/>
    <w:rsid w:val="00A35B74"/>
    <w:rsid w:val="00A3613D"/>
    <w:rsid w:val="00A361F6"/>
    <w:rsid w:val="00A3648B"/>
    <w:rsid w:val="00A36AA2"/>
    <w:rsid w:val="00A36E34"/>
    <w:rsid w:val="00A36FE6"/>
    <w:rsid w:val="00A373EB"/>
    <w:rsid w:val="00A375AE"/>
    <w:rsid w:val="00A376F0"/>
    <w:rsid w:val="00A401E2"/>
    <w:rsid w:val="00A40548"/>
    <w:rsid w:val="00A4073E"/>
    <w:rsid w:val="00A407A9"/>
    <w:rsid w:val="00A40942"/>
    <w:rsid w:val="00A4101D"/>
    <w:rsid w:val="00A41569"/>
    <w:rsid w:val="00A4161B"/>
    <w:rsid w:val="00A4179A"/>
    <w:rsid w:val="00A41A93"/>
    <w:rsid w:val="00A42147"/>
    <w:rsid w:val="00A421A7"/>
    <w:rsid w:val="00A423C8"/>
    <w:rsid w:val="00A424A5"/>
    <w:rsid w:val="00A4292D"/>
    <w:rsid w:val="00A42BFB"/>
    <w:rsid w:val="00A430C2"/>
    <w:rsid w:val="00A431A9"/>
    <w:rsid w:val="00A434BE"/>
    <w:rsid w:val="00A436A7"/>
    <w:rsid w:val="00A439ED"/>
    <w:rsid w:val="00A43B50"/>
    <w:rsid w:val="00A44920"/>
    <w:rsid w:val="00A44957"/>
    <w:rsid w:val="00A44A70"/>
    <w:rsid w:val="00A44DD3"/>
    <w:rsid w:val="00A45503"/>
    <w:rsid w:val="00A456BB"/>
    <w:rsid w:val="00A458A5"/>
    <w:rsid w:val="00A458F0"/>
    <w:rsid w:val="00A459D6"/>
    <w:rsid w:val="00A45CDA"/>
    <w:rsid w:val="00A45D1D"/>
    <w:rsid w:val="00A45E0F"/>
    <w:rsid w:val="00A45F9D"/>
    <w:rsid w:val="00A461F6"/>
    <w:rsid w:val="00A46223"/>
    <w:rsid w:val="00A465CB"/>
    <w:rsid w:val="00A46733"/>
    <w:rsid w:val="00A4680D"/>
    <w:rsid w:val="00A46A69"/>
    <w:rsid w:val="00A46E91"/>
    <w:rsid w:val="00A46F21"/>
    <w:rsid w:val="00A4712E"/>
    <w:rsid w:val="00A473A6"/>
    <w:rsid w:val="00A474A3"/>
    <w:rsid w:val="00A477B2"/>
    <w:rsid w:val="00A477E1"/>
    <w:rsid w:val="00A47A3C"/>
    <w:rsid w:val="00A50587"/>
    <w:rsid w:val="00A50B6D"/>
    <w:rsid w:val="00A50C70"/>
    <w:rsid w:val="00A50D60"/>
    <w:rsid w:val="00A50E42"/>
    <w:rsid w:val="00A510AF"/>
    <w:rsid w:val="00A51333"/>
    <w:rsid w:val="00A5157B"/>
    <w:rsid w:val="00A5186F"/>
    <w:rsid w:val="00A519BB"/>
    <w:rsid w:val="00A51B7A"/>
    <w:rsid w:val="00A52246"/>
    <w:rsid w:val="00A525C0"/>
    <w:rsid w:val="00A52778"/>
    <w:rsid w:val="00A533DD"/>
    <w:rsid w:val="00A5343A"/>
    <w:rsid w:val="00A535EF"/>
    <w:rsid w:val="00A539C0"/>
    <w:rsid w:val="00A539CE"/>
    <w:rsid w:val="00A53DD9"/>
    <w:rsid w:val="00A54073"/>
    <w:rsid w:val="00A54141"/>
    <w:rsid w:val="00A54260"/>
    <w:rsid w:val="00A54322"/>
    <w:rsid w:val="00A54423"/>
    <w:rsid w:val="00A546FB"/>
    <w:rsid w:val="00A54B31"/>
    <w:rsid w:val="00A54B48"/>
    <w:rsid w:val="00A54BB2"/>
    <w:rsid w:val="00A54D9E"/>
    <w:rsid w:val="00A54DCA"/>
    <w:rsid w:val="00A54FAA"/>
    <w:rsid w:val="00A553DD"/>
    <w:rsid w:val="00A55586"/>
    <w:rsid w:val="00A55818"/>
    <w:rsid w:val="00A55861"/>
    <w:rsid w:val="00A55880"/>
    <w:rsid w:val="00A562C7"/>
    <w:rsid w:val="00A56BA1"/>
    <w:rsid w:val="00A571E5"/>
    <w:rsid w:val="00A5731B"/>
    <w:rsid w:val="00A57935"/>
    <w:rsid w:val="00A57B65"/>
    <w:rsid w:val="00A57F2F"/>
    <w:rsid w:val="00A60598"/>
    <w:rsid w:val="00A6080D"/>
    <w:rsid w:val="00A608C8"/>
    <w:rsid w:val="00A60995"/>
    <w:rsid w:val="00A60B30"/>
    <w:rsid w:val="00A60C06"/>
    <w:rsid w:val="00A60D0C"/>
    <w:rsid w:val="00A61061"/>
    <w:rsid w:val="00A6120E"/>
    <w:rsid w:val="00A613B3"/>
    <w:rsid w:val="00A615A2"/>
    <w:rsid w:val="00A61634"/>
    <w:rsid w:val="00A617E8"/>
    <w:rsid w:val="00A6186B"/>
    <w:rsid w:val="00A61B59"/>
    <w:rsid w:val="00A61D69"/>
    <w:rsid w:val="00A626DC"/>
    <w:rsid w:val="00A62C01"/>
    <w:rsid w:val="00A63214"/>
    <w:rsid w:val="00A63929"/>
    <w:rsid w:val="00A63A91"/>
    <w:rsid w:val="00A63C7F"/>
    <w:rsid w:val="00A63CC5"/>
    <w:rsid w:val="00A63D65"/>
    <w:rsid w:val="00A64318"/>
    <w:rsid w:val="00A64336"/>
    <w:rsid w:val="00A64543"/>
    <w:rsid w:val="00A6462E"/>
    <w:rsid w:val="00A6470C"/>
    <w:rsid w:val="00A64974"/>
    <w:rsid w:val="00A64CD5"/>
    <w:rsid w:val="00A64F3B"/>
    <w:rsid w:val="00A6503D"/>
    <w:rsid w:val="00A65041"/>
    <w:rsid w:val="00A65444"/>
    <w:rsid w:val="00A657A6"/>
    <w:rsid w:val="00A659FB"/>
    <w:rsid w:val="00A65A53"/>
    <w:rsid w:val="00A65E61"/>
    <w:rsid w:val="00A66453"/>
    <w:rsid w:val="00A66484"/>
    <w:rsid w:val="00A66553"/>
    <w:rsid w:val="00A665B0"/>
    <w:rsid w:val="00A666C1"/>
    <w:rsid w:val="00A6671B"/>
    <w:rsid w:val="00A6692E"/>
    <w:rsid w:val="00A66B73"/>
    <w:rsid w:val="00A66CAA"/>
    <w:rsid w:val="00A66F52"/>
    <w:rsid w:val="00A66F54"/>
    <w:rsid w:val="00A67453"/>
    <w:rsid w:val="00A67745"/>
    <w:rsid w:val="00A705CE"/>
    <w:rsid w:val="00A70995"/>
    <w:rsid w:val="00A70EC2"/>
    <w:rsid w:val="00A713F3"/>
    <w:rsid w:val="00A717C7"/>
    <w:rsid w:val="00A719A4"/>
    <w:rsid w:val="00A721D5"/>
    <w:rsid w:val="00A7236E"/>
    <w:rsid w:val="00A72F58"/>
    <w:rsid w:val="00A7304F"/>
    <w:rsid w:val="00A73794"/>
    <w:rsid w:val="00A739C8"/>
    <w:rsid w:val="00A73F8C"/>
    <w:rsid w:val="00A749F3"/>
    <w:rsid w:val="00A74C08"/>
    <w:rsid w:val="00A74C6B"/>
    <w:rsid w:val="00A74CA8"/>
    <w:rsid w:val="00A759F9"/>
    <w:rsid w:val="00A764EE"/>
    <w:rsid w:val="00A7651E"/>
    <w:rsid w:val="00A7663E"/>
    <w:rsid w:val="00A76743"/>
    <w:rsid w:val="00A76747"/>
    <w:rsid w:val="00A76A8C"/>
    <w:rsid w:val="00A76C81"/>
    <w:rsid w:val="00A76E6A"/>
    <w:rsid w:val="00A76ECE"/>
    <w:rsid w:val="00A76F33"/>
    <w:rsid w:val="00A776BC"/>
    <w:rsid w:val="00A77A65"/>
    <w:rsid w:val="00A77B0E"/>
    <w:rsid w:val="00A77BBA"/>
    <w:rsid w:val="00A80314"/>
    <w:rsid w:val="00A80493"/>
    <w:rsid w:val="00A808AB"/>
    <w:rsid w:val="00A809D1"/>
    <w:rsid w:val="00A809E5"/>
    <w:rsid w:val="00A80A78"/>
    <w:rsid w:val="00A80D97"/>
    <w:rsid w:val="00A80E30"/>
    <w:rsid w:val="00A8103F"/>
    <w:rsid w:val="00A81878"/>
    <w:rsid w:val="00A81F14"/>
    <w:rsid w:val="00A82BC4"/>
    <w:rsid w:val="00A82D6F"/>
    <w:rsid w:val="00A831EE"/>
    <w:rsid w:val="00A83318"/>
    <w:rsid w:val="00A8370E"/>
    <w:rsid w:val="00A83C08"/>
    <w:rsid w:val="00A83E1C"/>
    <w:rsid w:val="00A84213"/>
    <w:rsid w:val="00A84890"/>
    <w:rsid w:val="00A8492E"/>
    <w:rsid w:val="00A84B03"/>
    <w:rsid w:val="00A84E01"/>
    <w:rsid w:val="00A8511C"/>
    <w:rsid w:val="00A8574C"/>
    <w:rsid w:val="00A85B7F"/>
    <w:rsid w:val="00A85EFF"/>
    <w:rsid w:val="00A86633"/>
    <w:rsid w:val="00A86B37"/>
    <w:rsid w:val="00A86D18"/>
    <w:rsid w:val="00A86DB2"/>
    <w:rsid w:val="00A871A3"/>
    <w:rsid w:val="00A874C4"/>
    <w:rsid w:val="00A87A21"/>
    <w:rsid w:val="00A9021B"/>
    <w:rsid w:val="00A9069C"/>
    <w:rsid w:val="00A906F9"/>
    <w:rsid w:val="00A908EE"/>
    <w:rsid w:val="00A90E3E"/>
    <w:rsid w:val="00A90F71"/>
    <w:rsid w:val="00A91510"/>
    <w:rsid w:val="00A91C62"/>
    <w:rsid w:val="00A91D1E"/>
    <w:rsid w:val="00A921C1"/>
    <w:rsid w:val="00A92229"/>
    <w:rsid w:val="00A92647"/>
    <w:rsid w:val="00A926FA"/>
    <w:rsid w:val="00A9291A"/>
    <w:rsid w:val="00A92E1C"/>
    <w:rsid w:val="00A932C0"/>
    <w:rsid w:val="00A93435"/>
    <w:rsid w:val="00A9396E"/>
    <w:rsid w:val="00A93E8C"/>
    <w:rsid w:val="00A94AA8"/>
    <w:rsid w:val="00A94ABB"/>
    <w:rsid w:val="00A94BF6"/>
    <w:rsid w:val="00A94CA2"/>
    <w:rsid w:val="00A94D08"/>
    <w:rsid w:val="00A94D30"/>
    <w:rsid w:val="00A95137"/>
    <w:rsid w:val="00A9543E"/>
    <w:rsid w:val="00A95950"/>
    <w:rsid w:val="00A95A5A"/>
    <w:rsid w:val="00A95BB9"/>
    <w:rsid w:val="00A95CFB"/>
    <w:rsid w:val="00A962D1"/>
    <w:rsid w:val="00A968C7"/>
    <w:rsid w:val="00A968D6"/>
    <w:rsid w:val="00A96ADD"/>
    <w:rsid w:val="00A96BC1"/>
    <w:rsid w:val="00A9711F"/>
    <w:rsid w:val="00A971EF"/>
    <w:rsid w:val="00A9745D"/>
    <w:rsid w:val="00A9754F"/>
    <w:rsid w:val="00A97632"/>
    <w:rsid w:val="00A97670"/>
    <w:rsid w:val="00A976D3"/>
    <w:rsid w:val="00A9795D"/>
    <w:rsid w:val="00AA11CC"/>
    <w:rsid w:val="00AA139A"/>
    <w:rsid w:val="00AA1532"/>
    <w:rsid w:val="00AA154B"/>
    <w:rsid w:val="00AA17B5"/>
    <w:rsid w:val="00AA209F"/>
    <w:rsid w:val="00AA21C3"/>
    <w:rsid w:val="00AA22FA"/>
    <w:rsid w:val="00AA2310"/>
    <w:rsid w:val="00AA254F"/>
    <w:rsid w:val="00AA278C"/>
    <w:rsid w:val="00AA27D5"/>
    <w:rsid w:val="00AA2CA4"/>
    <w:rsid w:val="00AA3133"/>
    <w:rsid w:val="00AA329D"/>
    <w:rsid w:val="00AA33B9"/>
    <w:rsid w:val="00AA3511"/>
    <w:rsid w:val="00AA35F2"/>
    <w:rsid w:val="00AA37DB"/>
    <w:rsid w:val="00AA37FF"/>
    <w:rsid w:val="00AA385B"/>
    <w:rsid w:val="00AA4173"/>
    <w:rsid w:val="00AA448A"/>
    <w:rsid w:val="00AA44FD"/>
    <w:rsid w:val="00AA464B"/>
    <w:rsid w:val="00AA47FF"/>
    <w:rsid w:val="00AA488B"/>
    <w:rsid w:val="00AA4A43"/>
    <w:rsid w:val="00AA4DAF"/>
    <w:rsid w:val="00AA4E7C"/>
    <w:rsid w:val="00AA510D"/>
    <w:rsid w:val="00AA513F"/>
    <w:rsid w:val="00AA533E"/>
    <w:rsid w:val="00AA5461"/>
    <w:rsid w:val="00AA57AC"/>
    <w:rsid w:val="00AA5C83"/>
    <w:rsid w:val="00AA5DB3"/>
    <w:rsid w:val="00AA60D6"/>
    <w:rsid w:val="00AA629C"/>
    <w:rsid w:val="00AA6B12"/>
    <w:rsid w:val="00AA6F40"/>
    <w:rsid w:val="00AA729E"/>
    <w:rsid w:val="00AA784F"/>
    <w:rsid w:val="00AA7B2D"/>
    <w:rsid w:val="00AA7E24"/>
    <w:rsid w:val="00AA7F29"/>
    <w:rsid w:val="00AB0048"/>
    <w:rsid w:val="00AB04C1"/>
    <w:rsid w:val="00AB0CF1"/>
    <w:rsid w:val="00AB0D64"/>
    <w:rsid w:val="00AB10FF"/>
    <w:rsid w:val="00AB1CF1"/>
    <w:rsid w:val="00AB28F3"/>
    <w:rsid w:val="00AB2DC8"/>
    <w:rsid w:val="00AB2EEB"/>
    <w:rsid w:val="00AB3003"/>
    <w:rsid w:val="00AB34C1"/>
    <w:rsid w:val="00AB36C6"/>
    <w:rsid w:val="00AB3C5F"/>
    <w:rsid w:val="00AB3C92"/>
    <w:rsid w:val="00AB3FC6"/>
    <w:rsid w:val="00AB425A"/>
    <w:rsid w:val="00AB459E"/>
    <w:rsid w:val="00AB49A9"/>
    <w:rsid w:val="00AB4A94"/>
    <w:rsid w:val="00AB4F71"/>
    <w:rsid w:val="00AB51F2"/>
    <w:rsid w:val="00AB54F5"/>
    <w:rsid w:val="00AB5A22"/>
    <w:rsid w:val="00AB5C0B"/>
    <w:rsid w:val="00AB5DE9"/>
    <w:rsid w:val="00AB600A"/>
    <w:rsid w:val="00AB626B"/>
    <w:rsid w:val="00AB6790"/>
    <w:rsid w:val="00AB6963"/>
    <w:rsid w:val="00AB6E84"/>
    <w:rsid w:val="00AB755D"/>
    <w:rsid w:val="00AB7F9D"/>
    <w:rsid w:val="00AB7FF9"/>
    <w:rsid w:val="00AC01F0"/>
    <w:rsid w:val="00AC02A4"/>
    <w:rsid w:val="00AC073E"/>
    <w:rsid w:val="00AC0A12"/>
    <w:rsid w:val="00AC0ECB"/>
    <w:rsid w:val="00AC10E8"/>
    <w:rsid w:val="00AC1913"/>
    <w:rsid w:val="00AC1A75"/>
    <w:rsid w:val="00AC1B9A"/>
    <w:rsid w:val="00AC1F60"/>
    <w:rsid w:val="00AC2DAE"/>
    <w:rsid w:val="00AC3202"/>
    <w:rsid w:val="00AC34EA"/>
    <w:rsid w:val="00AC3670"/>
    <w:rsid w:val="00AC3917"/>
    <w:rsid w:val="00AC3C6B"/>
    <w:rsid w:val="00AC42B0"/>
    <w:rsid w:val="00AC4318"/>
    <w:rsid w:val="00AC46DE"/>
    <w:rsid w:val="00AC49DB"/>
    <w:rsid w:val="00AC4BA2"/>
    <w:rsid w:val="00AC4CC8"/>
    <w:rsid w:val="00AC59BD"/>
    <w:rsid w:val="00AC5C5C"/>
    <w:rsid w:val="00AC5FDC"/>
    <w:rsid w:val="00AC6428"/>
    <w:rsid w:val="00AC6474"/>
    <w:rsid w:val="00AC6575"/>
    <w:rsid w:val="00AC6C24"/>
    <w:rsid w:val="00AC6D2B"/>
    <w:rsid w:val="00AC70AF"/>
    <w:rsid w:val="00AC78FF"/>
    <w:rsid w:val="00AC7B1F"/>
    <w:rsid w:val="00AC7B3F"/>
    <w:rsid w:val="00AC7C1C"/>
    <w:rsid w:val="00AC7CE1"/>
    <w:rsid w:val="00AC7E50"/>
    <w:rsid w:val="00AC7FC8"/>
    <w:rsid w:val="00AC7FCC"/>
    <w:rsid w:val="00AD08E4"/>
    <w:rsid w:val="00AD0A4E"/>
    <w:rsid w:val="00AD0D41"/>
    <w:rsid w:val="00AD0D61"/>
    <w:rsid w:val="00AD11E1"/>
    <w:rsid w:val="00AD1323"/>
    <w:rsid w:val="00AD135B"/>
    <w:rsid w:val="00AD231E"/>
    <w:rsid w:val="00AD23FF"/>
    <w:rsid w:val="00AD2741"/>
    <w:rsid w:val="00AD28B8"/>
    <w:rsid w:val="00AD2F3B"/>
    <w:rsid w:val="00AD34B6"/>
    <w:rsid w:val="00AD3756"/>
    <w:rsid w:val="00AD43F3"/>
    <w:rsid w:val="00AD4919"/>
    <w:rsid w:val="00AD4F19"/>
    <w:rsid w:val="00AD51E4"/>
    <w:rsid w:val="00AD5464"/>
    <w:rsid w:val="00AD59D0"/>
    <w:rsid w:val="00AD5A19"/>
    <w:rsid w:val="00AD5AD7"/>
    <w:rsid w:val="00AD5EA5"/>
    <w:rsid w:val="00AD6103"/>
    <w:rsid w:val="00AD64B6"/>
    <w:rsid w:val="00AD64D3"/>
    <w:rsid w:val="00AD6B9B"/>
    <w:rsid w:val="00AD6C1A"/>
    <w:rsid w:val="00AD6D4B"/>
    <w:rsid w:val="00AD6D7C"/>
    <w:rsid w:val="00AD6E83"/>
    <w:rsid w:val="00AD6FDD"/>
    <w:rsid w:val="00AD7C14"/>
    <w:rsid w:val="00AE04A1"/>
    <w:rsid w:val="00AE066B"/>
    <w:rsid w:val="00AE07D5"/>
    <w:rsid w:val="00AE0B4C"/>
    <w:rsid w:val="00AE0D45"/>
    <w:rsid w:val="00AE1026"/>
    <w:rsid w:val="00AE1028"/>
    <w:rsid w:val="00AE112B"/>
    <w:rsid w:val="00AE1A40"/>
    <w:rsid w:val="00AE1B3A"/>
    <w:rsid w:val="00AE208F"/>
    <w:rsid w:val="00AE2193"/>
    <w:rsid w:val="00AE21E2"/>
    <w:rsid w:val="00AE2319"/>
    <w:rsid w:val="00AE2340"/>
    <w:rsid w:val="00AE2637"/>
    <w:rsid w:val="00AE2918"/>
    <w:rsid w:val="00AE2DDA"/>
    <w:rsid w:val="00AE2DEF"/>
    <w:rsid w:val="00AE2E3E"/>
    <w:rsid w:val="00AE2F8A"/>
    <w:rsid w:val="00AE3203"/>
    <w:rsid w:val="00AE34AD"/>
    <w:rsid w:val="00AE385C"/>
    <w:rsid w:val="00AE3A31"/>
    <w:rsid w:val="00AE3A53"/>
    <w:rsid w:val="00AE3C5A"/>
    <w:rsid w:val="00AE3D05"/>
    <w:rsid w:val="00AE3E09"/>
    <w:rsid w:val="00AE3E7C"/>
    <w:rsid w:val="00AE40F9"/>
    <w:rsid w:val="00AE4CCF"/>
    <w:rsid w:val="00AE4D98"/>
    <w:rsid w:val="00AE5197"/>
    <w:rsid w:val="00AE5BA9"/>
    <w:rsid w:val="00AE5CB3"/>
    <w:rsid w:val="00AE60CF"/>
    <w:rsid w:val="00AE6144"/>
    <w:rsid w:val="00AE62EB"/>
    <w:rsid w:val="00AE63B0"/>
    <w:rsid w:val="00AE6930"/>
    <w:rsid w:val="00AE69AC"/>
    <w:rsid w:val="00AE6B23"/>
    <w:rsid w:val="00AE7041"/>
    <w:rsid w:val="00AE70E3"/>
    <w:rsid w:val="00AE7424"/>
    <w:rsid w:val="00AE7554"/>
    <w:rsid w:val="00AE7710"/>
    <w:rsid w:val="00AE77D5"/>
    <w:rsid w:val="00AE7FC5"/>
    <w:rsid w:val="00AF076E"/>
    <w:rsid w:val="00AF0C05"/>
    <w:rsid w:val="00AF0E5C"/>
    <w:rsid w:val="00AF11CA"/>
    <w:rsid w:val="00AF127F"/>
    <w:rsid w:val="00AF1799"/>
    <w:rsid w:val="00AF17BB"/>
    <w:rsid w:val="00AF17BC"/>
    <w:rsid w:val="00AF1AD0"/>
    <w:rsid w:val="00AF1B87"/>
    <w:rsid w:val="00AF1CB0"/>
    <w:rsid w:val="00AF23ED"/>
    <w:rsid w:val="00AF23F4"/>
    <w:rsid w:val="00AF2830"/>
    <w:rsid w:val="00AF306D"/>
    <w:rsid w:val="00AF3164"/>
    <w:rsid w:val="00AF362D"/>
    <w:rsid w:val="00AF38C6"/>
    <w:rsid w:val="00AF3B5D"/>
    <w:rsid w:val="00AF3BAB"/>
    <w:rsid w:val="00AF4007"/>
    <w:rsid w:val="00AF4746"/>
    <w:rsid w:val="00AF4855"/>
    <w:rsid w:val="00AF4A98"/>
    <w:rsid w:val="00AF5054"/>
    <w:rsid w:val="00AF5790"/>
    <w:rsid w:val="00AF5A7C"/>
    <w:rsid w:val="00AF5D5F"/>
    <w:rsid w:val="00AF6A41"/>
    <w:rsid w:val="00AF6CF6"/>
    <w:rsid w:val="00AF6F9B"/>
    <w:rsid w:val="00AF72A8"/>
    <w:rsid w:val="00AF764E"/>
    <w:rsid w:val="00AF7769"/>
    <w:rsid w:val="00AF78EC"/>
    <w:rsid w:val="00AF7C91"/>
    <w:rsid w:val="00AF7ED3"/>
    <w:rsid w:val="00B00145"/>
    <w:rsid w:val="00B001E1"/>
    <w:rsid w:val="00B00256"/>
    <w:rsid w:val="00B003F1"/>
    <w:rsid w:val="00B00412"/>
    <w:rsid w:val="00B00469"/>
    <w:rsid w:val="00B0053A"/>
    <w:rsid w:val="00B00598"/>
    <w:rsid w:val="00B008F5"/>
    <w:rsid w:val="00B00A6A"/>
    <w:rsid w:val="00B00B0E"/>
    <w:rsid w:val="00B00B71"/>
    <w:rsid w:val="00B00DAC"/>
    <w:rsid w:val="00B010CF"/>
    <w:rsid w:val="00B01112"/>
    <w:rsid w:val="00B011C5"/>
    <w:rsid w:val="00B01385"/>
    <w:rsid w:val="00B01949"/>
    <w:rsid w:val="00B021A3"/>
    <w:rsid w:val="00B0239D"/>
    <w:rsid w:val="00B0275C"/>
    <w:rsid w:val="00B02A29"/>
    <w:rsid w:val="00B02B1E"/>
    <w:rsid w:val="00B03730"/>
    <w:rsid w:val="00B03886"/>
    <w:rsid w:val="00B03A87"/>
    <w:rsid w:val="00B045B8"/>
    <w:rsid w:val="00B04905"/>
    <w:rsid w:val="00B04A5D"/>
    <w:rsid w:val="00B04BDC"/>
    <w:rsid w:val="00B04DBB"/>
    <w:rsid w:val="00B056C0"/>
    <w:rsid w:val="00B05877"/>
    <w:rsid w:val="00B05B38"/>
    <w:rsid w:val="00B05CDF"/>
    <w:rsid w:val="00B05E6E"/>
    <w:rsid w:val="00B05FC9"/>
    <w:rsid w:val="00B06133"/>
    <w:rsid w:val="00B06138"/>
    <w:rsid w:val="00B062D5"/>
    <w:rsid w:val="00B063DE"/>
    <w:rsid w:val="00B06965"/>
    <w:rsid w:val="00B06970"/>
    <w:rsid w:val="00B06B06"/>
    <w:rsid w:val="00B06E87"/>
    <w:rsid w:val="00B06F3E"/>
    <w:rsid w:val="00B06F73"/>
    <w:rsid w:val="00B07301"/>
    <w:rsid w:val="00B07326"/>
    <w:rsid w:val="00B07947"/>
    <w:rsid w:val="00B07987"/>
    <w:rsid w:val="00B079FF"/>
    <w:rsid w:val="00B07F0B"/>
    <w:rsid w:val="00B10847"/>
    <w:rsid w:val="00B108AE"/>
    <w:rsid w:val="00B109AF"/>
    <w:rsid w:val="00B11C53"/>
    <w:rsid w:val="00B11DEA"/>
    <w:rsid w:val="00B11DEF"/>
    <w:rsid w:val="00B11E70"/>
    <w:rsid w:val="00B11EBB"/>
    <w:rsid w:val="00B12310"/>
    <w:rsid w:val="00B1270E"/>
    <w:rsid w:val="00B12978"/>
    <w:rsid w:val="00B12CED"/>
    <w:rsid w:val="00B12EC5"/>
    <w:rsid w:val="00B14246"/>
    <w:rsid w:val="00B14326"/>
    <w:rsid w:val="00B14528"/>
    <w:rsid w:val="00B145B0"/>
    <w:rsid w:val="00B147CC"/>
    <w:rsid w:val="00B148DB"/>
    <w:rsid w:val="00B14CEC"/>
    <w:rsid w:val="00B14D9D"/>
    <w:rsid w:val="00B1520C"/>
    <w:rsid w:val="00B1535F"/>
    <w:rsid w:val="00B1551B"/>
    <w:rsid w:val="00B15628"/>
    <w:rsid w:val="00B158C8"/>
    <w:rsid w:val="00B15962"/>
    <w:rsid w:val="00B15A00"/>
    <w:rsid w:val="00B15B97"/>
    <w:rsid w:val="00B15C98"/>
    <w:rsid w:val="00B15F35"/>
    <w:rsid w:val="00B15F3A"/>
    <w:rsid w:val="00B15F3E"/>
    <w:rsid w:val="00B16069"/>
    <w:rsid w:val="00B16CF2"/>
    <w:rsid w:val="00B16FA4"/>
    <w:rsid w:val="00B1790B"/>
    <w:rsid w:val="00B2059A"/>
    <w:rsid w:val="00B20664"/>
    <w:rsid w:val="00B20A72"/>
    <w:rsid w:val="00B20C96"/>
    <w:rsid w:val="00B213E7"/>
    <w:rsid w:val="00B214E2"/>
    <w:rsid w:val="00B21502"/>
    <w:rsid w:val="00B2187A"/>
    <w:rsid w:val="00B219CC"/>
    <w:rsid w:val="00B21EE7"/>
    <w:rsid w:val="00B22CEC"/>
    <w:rsid w:val="00B23133"/>
    <w:rsid w:val="00B233BE"/>
    <w:rsid w:val="00B236EA"/>
    <w:rsid w:val="00B23740"/>
    <w:rsid w:val="00B23A93"/>
    <w:rsid w:val="00B23BE3"/>
    <w:rsid w:val="00B23D76"/>
    <w:rsid w:val="00B23F69"/>
    <w:rsid w:val="00B24412"/>
    <w:rsid w:val="00B2464B"/>
    <w:rsid w:val="00B24748"/>
    <w:rsid w:val="00B247A2"/>
    <w:rsid w:val="00B24BCA"/>
    <w:rsid w:val="00B25078"/>
    <w:rsid w:val="00B255C8"/>
    <w:rsid w:val="00B25708"/>
    <w:rsid w:val="00B25B58"/>
    <w:rsid w:val="00B25DDE"/>
    <w:rsid w:val="00B26719"/>
    <w:rsid w:val="00B2675D"/>
    <w:rsid w:val="00B26E68"/>
    <w:rsid w:val="00B270E2"/>
    <w:rsid w:val="00B2737F"/>
    <w:rsid w:val="00B276AB"/>
    <w:rsid w:val="00B27A0D"/>
    <w:rsid w:val="00B27AC3"/>
    <w:rsid w:val="00B27DF0"/>
    <w:rsid w:val="00B27DF1"/>
    <w:rsid w:val="00B30B43"/>
    <w:rsid w:val="00B315C7"/>
    <w:rsid w:val="00B317ED"/>
    <w:rsid w:val="00B3187E"/>
    <w:rsid w:val="00B31AF5"/>
    <w:rsid w:val="00B31FD6"/>
    <w:rsid w:val="00B32323"/>
    <w:rsid w:val="00B32B5F"/>
    <w:rsid w:val="00B32DAB"/>
    <w:rsid w:val="00B32DDD"/>
    <w:rsid w:val="00B33615"/>
    <w:rsid w:val="00B33711"/>
    <w:rsid w:val="00B33D69"/>
    <w:rsid w:val="00B33E5C"/>
    <w:rsid w:val="00B33F4D"/>
    <w:rsid w:val="00B34008"/>
    <w:rsid w:val="00B348B6"/>
    <w:rsid w:val="00B34C66"/>
    <w:rsid w:val="00B35201"/>
    <w:rsid w:val="00B3545F"/>
    <w:rsid w:val="00B35A1C"/>
    <w:rsid w:val="00B35A36"/>
    <w:rsid w:val="00B35C48"/>
    <w:rsid w:val="00B361B3"/>
    <w:rsid w:val="00B365F6"/>
    <w:rsid w:val="00B36A10"/>
    <w:rsid w:val="00B36D83"/>
    <w:rsid w:val="00B371F9"/>
    <w:rsid w:val="00B378D5"/>
    <w:rsid w:val="00B37DF8"/>
    <w:rsid w:val="00B37E1B"/>
    <w:rsid w:val="00B37F62"/>
    <w:rsid w:val="00B401EA"/>
    <w:rsid w:val="00B40735"/>
    <w:rsid w:val="00B41592"/>
    <w:rsid w:val="00B4171E"/>
    <w:rsid w:val="00B41781"/>
    <w:rsid w:val="00B417F4"/>
    <w:rsid w:val="00B41B08"/>
    <w:rsid w:val="00B41D29"/>
    <w:rsid w:val="00B423ED"/>
    <w:rsid w:val="00B42409"/>
    <w:rsid w:val="00B42629"/>
    <w:rsid w:val="00B427B7"/>
    <w:rsid w:val="00B42851"/>
    <w:rsid w:val="00B42976"/>
    <w:rsid w:val="00B42A61"/>
    <w:rsid w:val="00B42DDE"/>
    <w:rsid w:val="00B43352"/>
    <w:rsid w:val="00B43D51"/>
    <w:rsid w:val="00B43F7D"/>
    <w:rsid w:val="00B44441"/>
    <w:rsid w:val="00B44B2F"/>
    <w:rsid w:val="00B44FFB"/>
    <w:rsid w:val="00B450F7"/>
    <w:rsid w:val="00B45329"/>
    <w:rsid w:val="00B45551"/>
    <w:rsid w:val="00B4577D"/>
    <w:rsid w:val="00B4585C"/>
    <w:rsid w:val="00B45DFF"/>
    <w:rsid w:val="00B46053"/>
    <w:rsid w:val="00B469A0"/>
    <w:rsid w:val="00B46BCD"/>
    <w:rsid w:val="00B46DC3"/>
    <w:rsid w:val="00B47BFB"/>
    <w:rsid w:val="00B47C7E"/>
    <w:rsid w:val="00B504B8"/>
    <w:rsid w:val="00B50A56"/>
    <w:rsid w:val="00B50B59"/>
    <w:rsid w:val="00B50BED"/>
    <w:rsid w:val="00B51979"/>
    <w:rsid w:val="00B51AA6"/>
    <w:rsid w:val="00B51BE0"/>
    <w:rsid w:val="00B51F71"/>
    <w:rsid w:val="00B5270F"/>
    <w:rsid w:val="00B52866"/>
    <w:rsid w:val="00B52AC5"/>
    <w:rsid w:val="00B52DFE"/>
    <w:rsid w:val="00B52ED2"/>
    <w:rsid w:val="00B52FD3"/>
    <w:rsid w:val="00B532A0"/>
    <w:rsid w:val="00B536F7"/>
    <w:rsid w:val="00B53A33"/>
    <w:rsid w:val="00B53A7B"/>
    <w:rsid w:val="00B54042"/>
    <w:rsid w:val="00B54163"/>
    <w:rsid w:val="00B547A4"/>
    <w:rsid w:val="00B55000"/>
    <w:rsid w:val="00B55212"/>
    <w:rsid w:val="00B553F0"/>
    <w:rsid w:val="00B55C14"/>
    <w:rsid w:val="00B55CCC"/>
    <w:rsid w:val="00B55D36"/>
    <w:rsid w:val="00B55FB7"/>
    <w:rsid w:val="00B56411"/>
    <w:rsid w:val="00B564AC"/>
    <w:rsid w:val="00B56612"/>
    <w:rsid w:val="00B5668A"/>
    <w:rsid w:val="00B56AC7"/>
    <w:rsid w:val="00B57617"/>
    <w:rsid w:val="00B5767E"/>
    <w:rsid w:val="00B576F8"/>
    <w:rsid w:val="00B57723"/>
    <w:rsid w:val="00B5790E"/>
    <w:rsid w:val="00B57D33"/>
    <w:rsid w:val="00B57FBD"/>
    <w:rsid w:val="00B6036B"/>
    <w:rsid w:val="00B60632"/>
    <w:rsid w:val="00B60658"/>
    <w:rsid w:val="00B6077E"/>
    <w:rsid w:val="00B609FF"/>
    <w:rsid w:val="00B60F4C"/>
    <w:rsid w:val="00B618B6"/>
    <w:rsid w:val="00B629E5"/>
    <w:rsid w:val="00B62A7E"/>
    <w:rsid w:val="00B62FF8"/>
    <w:rsid w:val="00B63034"/>
    <w:rsid w:val="00B63371"/>
    <w:rsid w:val="00B636FC"/>
    <w:rsid w:val="00B637A1"/>
    <w:rsid w:val="00B63B4B"/>
    <w:rsid w:val="00B63B54"/>
    <w:rsid w:val="00B63FC5"/>
    <w:rsid w:val="00B642B9"/>
    <w:rsid w:val="00B64415"/>
    <w:rsid w:val="00B64518"/>
    <w:rsid w:val="00B6474A"/>
    <w:rsid w:val="00B64CF2"/>
    <w:rsid w:val="00B64ED3"/>
    <w:rsid w:val="00B651B7"/>
    <w:rsid w:val="00B652DB"/>
    <w:rsid w:val="00B6569C"/>
    <w:rsid w:val="00B65872"/>
    <w:rsid w:val="00B65AAE"/>
    <w:rsid w:val="00B65C81"/>
    <w:rsid w:val="00B66245"/>
    <w:rsid w:val="00B6680C"/>
    <w:rsid w:val="00B66D0C"/>
    <w:rsid w:val="00B66EB2"/>
    <w:rsid w:val="00B67333"/>
    <w:rsid w:val="00B67B0E"/>
    <w:rsid w:val="00B67B47"/>
    <w:rsid w:val="00B67C79"/>
    <w:rsid w:val="00B67ECA"/>
    <w:rsid w:val="00B70160"/>
    <w:rsid w:val="00B70641"/>
    <w:rsid w:val="00B70E0E"/>
    <w:rsid w:val="00B71B7F"/>
    <w:rsid w:val="00B71F6E"/>
    <w:rsid w:val="00B721AA"/>
    <w:rsid w:val="00B721BD"/>
    <w:rsid w:val="00B72324"/>
    <w:rsid w:val="00B73CC3"/>
    <w:rsid w:val="00B7439B"/>
    <w:rsid w:val="00B7489E"/>
    <w:rsid w:val="00B74CD2"/>
    <w:rsid w:val="00B754BB"/>
    <w:rsid w:val="00B75632"/>
    <w:rsid w:val="00B75853"/>
    <w:rsid w:val="00B75A30"/>
    <w:rsid w:val="00B75BD4"/>
    <w:rsid w:val="00B75D4E"/>
    <w:rsid w:val="00B766C6"/>
    <w:rsid w:val="00B76F43"/>
    <w:rsid w:val="00B77015"/>
    <w:rsid w:val="00B7733F"/>
    <w:rsid w:val="00B774E9"/>
    <w:rsid w:val="00B775FF"/>
    <w:rsid w:val="00B77693"/>
    <w:rsid w:val="00B7772C"/>
    <w:rsid w:val="00B77743"/>
    <w:rsid w:val="00B7780A"/>
    <w:rsid w:val="00B77EA7"/>
    <w:rsid w:val="00B800D5"/>
    <w:rsid w:val="00B802CE"/>
    <w:rsid w:val="00B804FC"/>
    <w:rsid w:val="00B806E3"/>
    <w:rsid w:val="00B812A8"/>
    <w:rsid w:val="00B81A4D"/>
    <w:rsid w:val="00B81C2F"/>
    <w:rsid w:val="00B81E59"/>
    <w:rsid w:val="00B8219B"/>
    <w:rsid w:val="00B824FE"/>
    <w:rsid w:val="00B82754"/>
    <w:rsid w:val="00B83518"/>
    <w:rsid w:val="00B8389D"/>
    <w:rsid w:val="00B838EB"/>
    <w:rsid w:val="00B83E4D"/>
    <w:rsid w:val="00B83F35"/>
    <w:rsid w:val="00B83F38"/>
    <w:rsid w:val="00B83F7A"/>
    <w:rsid w:val="00B83FF0"/>
    <w:rsid w:val="00B84517"/>
    <w:rsid w:val="00B8482D"/>
    <w:rsid w:val="00B84A66"/>
    <w:rsid w:val="00B84C4F"/>
    <w:rsid w:val="00B84DBA"/>
    <w:rsid w:val="00B84E2A"/>
    <w:rsid w:val="00B85435"/>
    <w:rsid w:val="00B85B41"/>
    <w:rsid w:val="00B85D72"/>
    <w:rsid w:val="00B85EC4"/>
    <w:rsid w:val="00B85FC7"/>
    <w:rsid w:val="00B86394"/>
    <w:rsid w:val="00B8640F"/>
    <w:rsid w:val="00B86CF8"/>
    <w:rsid w:val="00B86E92"/>
    <w:rsid w:val="00B86FB9"/>
    <w:rsid w:val="00B871A5"/>
    <w:rsid w:val="00B90041"/>
    <w:rsid w:val="00B9097D"/>
    <w:rsid w:val="00B90986"/>
    <w:rsid w:val="00B90AA8"/>
    <w:rsid w:val="00B90BAA"/>
    <w:rsid w:val="00B913F6"/>
    <w:rsid w:val="00B914CC"/>
    <w:rsid w:val="00B9160A"/>
    <w:rsid w:val="00B9169A"/>
    <w:rsid w:val="00B92132"/>
    <w:rsid w:val="00B92542"/>
    <w:rsid w:val="00B92CA3"/>
    <w:rsid w:val="00B92EB8"/>
    <w:rsid w:val="00B93419"/>
    <w:rsid w:val="00B93BAF"/>
    <w:rsid w:val="00B9414A"/>
    <w:rsid w:val="00B94179"/>
    <w:rsid w:val="00B9445F"/>
    <w:rsid w:val="00B9558A"/>
    <w:rsid w:val="00B9570C"/>
    <w:rsid w:val="00B95915"/>
    <w:rsid w:val="00B95BB0"/>
    <w:rsid w:val="00B95F30"/>
    <w:rsid w:val="00B95F6C"/>
    <w:rsid w:val="00B962EC"/>
    <w:rsid w:val="00B96558"/>
    <w:rsid w:val="00B9666F"/>
    <w:rsid w:val="00B96715"/>
    <w:rsid w:val="00B96B7B"/>
    <w:rsid w:val="00B96C6E"/>
    <w:rsid w:val="00B97469"/>
    <w:rsid w:val="00B975F5"/>
    <w:rsid w:val="00B9770B"/>
    <w:rsid w:val="00B97B76"/>
    <w:rsid w:val="00B97ECB"/>
    <w:rsid w:val="00BA06B5"/>
    <w:rsid w:val="00BA075B"/>
    <w:rsid w:val="00BA0A38"/>
    <w:rsid w:val="00BA0B9A"/>
    <w:rsid w:val="00BA0CF7"/>
    <w:rsid w:val="00BA1480"/>
    <w:rsid w:val="00BA1621"/>
    <w:rsid w:val="00BA189B"/>
    <w:rsid w:val="00BA1A46"/>
    <w:rsid w:val="00BA1CCC"/>
    <w:rsid w:val="00BA2168"/>
    <w:rsid w:val="00BA23FB"/>
    <w:rsid w:val="00BA24F4"/>
    <w:rsid w:val="00BA2755"/>
    <w:rsid w:val="00BA29AE"/>
    <w:rsid w:val="00BA2F72"/>
    <w:rsid w:val="00BA361F"/>
    <w:rsid w:val="00BA3782"/>
    <w:rsid w:val="00BA391E"/>
    <w:rsid w:val="00BA3F0C"/>
    <w:rsid w:val="00BA4A55"/>
    <w:rsid w:val="00BA4D9B"/>
    <w:rsid w:val="00BA4E11"/>
    <w:rsid w:val="00BA4E6A"/>
    <w:rsid w:val="00BA5449"/>
    <w:rsid w:val="00BA561E"/>
    <w:rsid w:val="00BA5727"/>
    <w:rsid w:val="00BA595A"/>
    <w:rsid w:val="00BA5BCC"/>
    <w:rsid w:val="00BA5C2A"/>
    <w:rsid w:val="00BA5E14"/>
    <w:rsid w:val="00BA6769"/>
    <w:rsid w:val="00BA6B22"/>
    <w:rsid w:val="00BA7415"/>
    <w:rsid w:val="00BA7649"/>
    <w:rsid w:val="00BA7E18"/>
    <w:rsid w:val="00BB01CC"/>
    <w:rsid w:val="00BB03F6"/>
    <w:rsid w:val="00BB0829"/>
    <w:rsid w:val="00BB0CD7"/>
    <w:rsid w:val="00BB0EA5"/>
    <w:rsid w:val="00BB10A8"/>
    <w:rsid w:val="00BB13A2"/>
    <w:rsid w:val="00BB13C7"/>
    <w:rsid w:val="00BB1C20"/>
    <w:rsid w:val="00BB1CB4"/>
    <w:rsid w:val="00BB1CFA"/>
    <w:rsid w:val="00BB1FF9"/>
    <w:rsid w:val="00BB221B"/>
    <w:rsid w:val="00BB2271"/>
    <w:rsid w:val="00BB22D8"/>
    <w:rsid w:val="00BB2438"/>
    <w:rsid w:val="00BB2620"/>
    <w:rsid w:val="00BB2B29"/>
    <w:rsid w:val="00BB2EBA"/>
    <w:rsid w:val="00BB2FA5"/>
    <w:rsid w:val="00BB359F"/>
    <w:rsid w:val="00BB35EA"/>
    <w:rsid w:val="00BB3755"/>
    <w:rsid w:val="00BB3770"/>
    <w:rsid w:val="00BB3AE7"/>
    <w:rsid w:val="00BB3C7D"/>
    <w:rsid w:val="00BB3DBD"/>
    <w:rsid w:val="00BB3F3F"/>
    <w:rsid w:val="00BB4967"/>
    <w:rsid w:val="00BB4EFA"/>
    <w:rsid w:val="00BB514E"/>
    <w:rsid w:val="00BB519B"/>
    <w:rsid w:val="00BB5315"/>
    <w:rsid w:val="00BB53DB"/>
    <w:rsid w:val="00BB5B0C"/>
    <w:rsid w:val="00BB5E60"/>
    <w:rsid w:val="00BB5ECA"/>
    <w:rsid w:val="00BB69EC"/>
    <w:rsid w:val="00BB6C9E"/>
    <w:rsid w:val="00BB6E50"/>
    <w:rsid w:val="00BB6ED7"/>
    <w:rsid w:val="00BB6FDC"/>
    <w:rsid w:val="00BB7286"/>
    <w:rsid w:val="00BB7913"/>
    <w:rsid w:val="00BB7ACB"/>
    <w:rsid w:val="00BC1241"/>
    <w:rsid w:val="00BC1336"/>
    <w:rsid w:val="00BC1374"/>
    <w:rsid w:val="00BC14DA"/>
    <w:rsid w:val="00BC1747"/>
    <w:rsid w:val="00BC196C"/>
    <w:rsid w:val="00BC1CFB"/>
    <w:rsid w:val="00BC2570"/>
    <w:rsid w:val="00BC2920"/>
    <w:rsid w:val="00BC339C"/>
    <w:rsid w:val="00BC391B"/>
    <w:rsid w:val="00BC3F51"/>
    <w:rsid w:val="00BC454C"/>
    <w:rsid w:val="00BC4641"/>
    <w:rsid w:val="00BC46C0"/>
    <w:rsid w:val="00BC48C5"/>
    <w:rsid w:val="00BC4BC9"/>
    <w:rsid w:val="00BC4FD0"/>
    <w:rsid w:val="00BC4FEB"/>
    <w:rsid w:val="00BC53AC"/>
    <w:rsid w:val="00BC572C"/>
    <w:rsid w:val="00BC5AE0"/>
    <w:rsid w:val="00BC616A"/>
    <w:rsid w:val="00BC6531"/>
    <w:rsid w:val="00BC669B"/>
    <w:rsid w:val="00BC7152"/>
    <w:rsid w:val="00BC715C"/>
    <w:rsid w:val="00BC7648"/>
    <w:rsid w:val="00BC7F4F"/>
    <w:rsid w:val="00BD0190"/>
    <w:rsid w:val="00BD09D5"/>
    <w:rsid w:val="00BD139D"/>
    <w:rsid w:val="00BD1440"/>
    <w:rsid w:val="00BD148F"/>
    <w:rsid w:val="00BD16DD"/>
    <w:rsid w:val="00BD172F"/>
    <w:rsid w:val="00BD189B"/>
    <w:rsid w:val="00BD1A3D"/>
    <w:rsid w:val="00BD25D6"/>
    <w:rsid w:val="00BD2658"/>
    <w:rsid w:val="00BD26EB"/>
    <w:rsid w:val="00BD2E78"/>
    <w:rsid w:val="00BD30C8"/>
    <w:rsid w:val="00BD35AF"/>
    <w:rsid w:val="00BD35B2"/>
    <w:rsid w:val="00BD3695"/>
    <w:rsid w:val="00BD3C3A"/>
    <w:rsid w:val="00BD3C93"/>
    <w:rsid w:val="00BD3F1F"/>
    <w:rsid w:val="00BD41EF"/>
    <w:rsid w:val="00BD42FC"/>
    <w:rsid w:val="00BD4FEC"/>
    <w:rsid w:val="00BD5456"/>
    <w:rsid w:val="00BD5B35"/>
    <w:rsid w:val="00BD5C58"/>
    <w:rsid w:val="00BD5C7A"/>
    <w:rsid w:val="00BD5C8D"/>
    <w:rsid w:val="00BD5C9F"/>
    <w:rsid w:val="00BD5D71"/>
    <w:rsid w:val="00BD5F72"/>
    <w:rsid w:val="00BD6486"/>
    <w:rsid w:val="00BD6890"/>
    <w:rsid w:val="00BD6F5B"/>
    <w:rsid w:val="00BD7AB1"/>
    <w:rsid w:val="00BD7AF2"/>
    <w:rsid w:val="00BD7D2F"/>
    <w:rsid w:val="00BD7EE7"/>
    <w:rsid w:val="00BD7FBD"/>
    <w:rsid w:val="00BE118A"/>
    <w:rsid w:val="00BE1434"/>
    <w:rsid w:val="00BE151A"/>
    <w:rsid w:val="00BE1658"/>
    <w:rsid w:val="00BE1828"/>
    <w:rsid w:val="00BE1D16"/>
    <w:rsid w:val="00BE1D72"/>
    <w:rsid w:val="00BE2373"/>
    <w:rsid w:val="00BE2DD6"/>
    <w:rsid w:val="00BE3064"/>
    <w:rsid w:val="00BE352C"/>
    <w:rsid w:val="00BE3771"/>
    <w:rsid w:val="00BE46BD"/>
    <w:rsid w:val="00BE48ED"/>
    <w:rsid w:val="00BE4C88"/>
    <w:rsid w:val="00BE50B1"/>
    <w:rsid w:val="00BE5340"/>
    <w:rsid w:val="00BE5B2F"/>
    <w:rsid w:val="00BE5FCE"/>
    <w:rsid w:val="00BE5FCF"/>
    <w:rsid w:val="00BE62DE"/>
    <w:rsid w:val="00BE63C6"/>
    <w:rsid w:val="00BE63C7"/>
    <w:rsid w:val="00BE6CC3"/>
    <w:rsid w:val="00BE6DAC"/>
    <w:rsid w:val="00BE6F03"/>
    <w:rsid w:val="00BE6F84"/>
    <w:rsid w:val="00BE7064"/>
    <w:rsid w:val="00BE742A"/>
    <w:rsid w:val="00BE7880"/>
    <w:rsid w:val="00BE7D0B"/>
    <w:rsid w:val="00BF012E"/>
    <w:rsid w:val="00BF0E4D"/>
    <w:rsid w:val="00BF0F88"/>
    <w:rsid w:val="00BF101D"/>
    <w:rsid w:val="00BF19B0"/>
    <w:rsid w:val="00BF1DDB"/>
    <w:rsid w:val="00BF206F"/>
    <w:rsid w:val="00BF20F0"/>
    <w:rsid w:val="00BF2964"/>
    <w:rsid w:val="00BF2C12"/>
    <w:rsid w:val="00BF2C75"/>
    <w:rsid w:val="00BF2CAF"/>
    <w:rsid w:val="00BF34BE"/>
    <w:rsid w:val="00BF3CB8"/>
    <w:rsid w:val="00BF3D48"/>
    <w:rsid w:val="00BF3F60"/>
    <w:rsid w:val="00BF3FEC"/>
    <w:rsid w:val="00BF41FF"/>
    <w:rsid w:val="00BF4267"/>
    <w:rsid w:val="00BF4C3B"/>
    <w:rsid w:val="00BF4DF1"/>
    <w:rsid w:val="00BF5478"/>
    <w:rsid w:val="00BF54A3"/>
    <w:rsid w:val="00BF5810"/>
    <w:rsid w:val="00BF58D5"/>
    <w:rsid w:val="00BF5A71"/>
    <w:rsid w:val="00BF5B0F"/>
    <w:rsid w:val="00BF60D2"/>
    <w:rsid w:val="00BF61B9"/>
    <w:rsid w:val="00BF659B"/>
    <w:rsid w:val="00BF682D"/>
    <w:rsid w:val="00BF7113"/>
    <w:rsid w:val="00BF7427"/>
    <w:rsid w:val="00BF746B"/>
    <w:rsid w:val="00BF7922"/>
    <w:rsid w:val="00BF7EAD"/>
    <w:rsid w:val="00C0022A"/>
    <w:rsid w:val="00C005CF"/>
    <w:rsid w:val="00C005ED"/>
    <w:rsid w:val="00C0099A"/>
    <w:rsid w:val="00C0099E"/>
    <w:rsid w:val="00C01006"/>
    <w:rsid w:val="00C01489"/>
    <w:rsid w:val="00C01B17"/>
    <w:rsid w:val="00C024E6"/>
    <w:rsid w:val="00C026B8"/>
    <w:rsid w:val="00C02DC8"/>
    <w:rsid w:val="00C02FFA"/>
    <w:rsid w:val="00C0314A"/>
    <w:rsid w:val="00C035DF"/>
    <w:rsid w:val="00C0367F"/>
    <w:rsid w:val="00C03E7E"/>
    <w:rsid w:val="00C04306"/>
    <w:rsid w:val="00C04D55"/>
    <w:rsid w:val="00C04DE3"/>
    <w:rsid w:val="00C05054"/>
    <w:rsid w:val="00C0506F"/>
    <w:rsid w:val="00C0524A"/>
    <w:rsid w:val="00C052A6"/>
    <w:rsid w:val="00C05302"/>
    <w:rsid w:val="00C0550A"/>
    <w:rsid w:val="00C05DC3"/>
    <w:rsid w:val="00C05F8F"/>
    <w:rsid w:val="00C05FB5"/>
    <w:rsid w:val="00C069D4"/>
    <w:rsid w:val="00C072AB"/>
    <w:rsid w:val="00C075C2"/>
    <w:rsid w:val="00C0768F"/>
    <w:rsid w:val="00C076CA"/>
    <w:rsid w:val="00C07B75"/>
    <w:rsid w:val="00C10093"/>
    <w:rsid w:val="00C100FB"/>
    <w:rsid w:val="00C1095C"/>
    <w:rsid w:val="00C10C98"/>
    <w:rsid w:val="00C10E23"/>
    <w:rsid w:val="00C110A8"/>
    <w:rsid w:val="00C11F5A"/>
    <w:rsid w:val="00C123ED"/>
    <w:rsid w:val="00C127DA"/>
    <w:rsid w:val="00C12862"/>
    <w:rsid w:val="00C12CE5"/>
    <w:rsid w:val="00C1311F"/>
    <w:rsid w:val="00C13B43"/>
    <w:rsid w:val="00C13D6A"/>
    <w:rsid w:val="00C14049"/>
    <w:rsid w:val="00C1458F"/>
    <w:rsid w:val="00C14752"/>
    <w:rsid w:val="00C14AE6"/>
    <w:rsid w:val="00C14AE7"/>
    <w:rsid w:val="00C14D13"/>
    <w:rsid w:val="00C14DF4"/>
    <w:rsid w:val="00C14FED"/>
    <w:rsid w:val="00C157FC"/>
    <w:rsid w:val="00C15F9D"/>
    <w:rsid w:val="00C1610A"/>
    <w:rsid w:val="00C16370"/>
    <w:rsid w:val="00C172DC"/>
    <w:rsid w:val="00C17824"/>
    <w:rsid w:val="00C17978"/>
    <w:rsid w:val="00C179E2"/>
    <w:rsid w:val="00C17B3E"/>
    <w:rsid w:val="00C17B92"/>
    <w:rsid w:val="00C17F86"/>
    <w:rsid w:val="00C2027D"/>
    <w:rsid w:val="00C203A8"/>
    <w:rsid w:val="00C20606"/>
    <w:rsid w:val="00C20676"/>
    <w:rsid w:val="00C207EA"/>
    <w:rsid w:val="00C209A6"/>
    <w:rsid w:val="00C20DF8"/>
    <w:rsid w:val="00C212D6"/>
    <w:rsid w:val="00C21422"/>
    <w:rsid w:val="00C21485"/>
    <w:rsid w:val="00C2179D"/>
    <w:rsid w:val="00C2199E"/>
    <w:rsid w:val="00C21F0B"/>
    <w:rsid w:val="00C221B9"/>
    <w:rsid w:val="00C221EC"/>
    <w:rsid w:val="00C2224D"/>
    <w:rsid w:val="00C222A1"/>
    <w:rsid w:val="00C225D2"/>
    <w:rsid w:val="00C22709"/>
    <w:rsid w:val="00C22EB7"/>
    <w:rsid w:val="00C22F0F"/>
    <w:rsid w:val="00C230FE"/>
    <w:rsid w:val="00C233FF"/>
    <w:rsid w:val="00C235F2"/>
    <w:rsid w:val="00C23C1D"/>
    <w:rsid w:val="00C24060"/>
    <w:rsid w:val="00C24897"/>
    <w:rsid w:val="00C249BA"/>
    <w:rsid w:val="00C25432"/>
    <w:rsid w:val="00C2544F"/>
    <w:rsid w:val="00C254A3"/>
    <w:rsid w:val="00C25556"/>
    <w:rsid w:val="00C260E5"/>
    <w:rsid w:val="00C26254"/>
    <w:rsid w:val="00C263AE"/>
    <w:rsid w:val="00C26764"/>
    <w:rsid w:val="00C26DD0"/>
    <w:rsid w:val="00C26E5D"/>
    <w:rsid w:val="00C272AE"/>
    <w:rsid w:val="00C277A5"/>
    <w:rsid w:val="00C279BB"/>
    <w:rsid w:val="00C27E6B"/>
    <w:rsid w:val="00C30340"/>
    <w:rsid w:val="00C309A6"/>
    <w:rsid w:val="00C30D83"/>
    <w:rsid w:val="00C31232"/>
    <w:rsid w:val="00C313DD"/>
    <w:rsid w:val="00C3157F"/>
    <w:rsid w:val="00C31763"/>
    <w:rsid w:val="00C31996"/>
    <w:rsid w:val="00C319F8"/>
    <w:rsid w:val="00C31AF4"/>
    <w:rsid w:val="00C31F03"/>
    <w:rsid w:val="00C323ED"/>
    <w:rsid w:val="00C32668"/>
    <w:rsid w:val="00C32780"/>
    <w:rsid w:val="00C32B83"/>
    <w:rsid w:val="00C32C5F"/>
    <w:rsid w:val="00C3352B"/>
    <w:rsid w:val="00C33981"/>
    <w:rsid w:val="00C339F7"/>
    <w:rsid w:val="00C33A00"/>
    <w:rsid w:val="00C33AB5"/>
    <w:rsid w:val="00C33C0B"/>
    <w:rsid w:val="00C34093"/>
    <w:rsid w:val="00C341D2"/>
    <w:rsid w:val="00C341E5"/>
    <w:rsid w:val="00C344C9"/>
    <w:rsid w:val="00C3493B"/>
    <w:rsid w:val="00C34A0C"/>
    <w:rsid w:val="00C34B61"/>
    <w:rsid w:val="00C351B1"/>
    <w:rsid w:val="00C352D4"/>
    <w:rsid w:val="00C35606"/>
    <w:rsid w:val="00C35BB3"/>
    <w:rsid w:val="00C35D19"/>
    <w:rsid w:val="00C35F23"/>
    <w:rsid w:val="00C365BC"/>
    <w:rsid w:val="00C36771"/>
    <w:rsid w:val="00C37227"/>
    <w:rsid w:val="00C374DB"/>
    <w:rsid w:val="00C376B2"/>
    <w:rsid w:val="00C37928"/>
    <w:rsid w:val="00C37CC0"/>
    <w:rsid w:val="00C37DE8"/>
    <w:rsid w:val="00C37DF5"/>
    <w:rsid w:val="00C40520"/>
    <w:rsid w:val="00C40A4A"/>
    <w:rsid w:val="00C40BE7"/>
    <w:rsid w:val="00C40EF9"/>
    <w:rsid w:val="00C41161"/>
    <w:rsid w:val="00C411DE"/>
    <w:rsid w:val="00C41365"/>
    <w:rsid w:val="00C41659"/>
    <w:rsid w:val="00C41DB8"/>
    <w:rsid w:val="00C4248C"/>
    <w:rsid w:val="00C426B1"/>
    <w:rsid w:val="00C43008"/>
    <w:rsid w:val="00C4302C"/>
    <w:rsid w:val="00C4348A"/>
    <w:rsid w:val="00C436F4"/>
    <w:rsid w:val="00C43CD8"/>
    <w:rsid w:val="00C43D1E"/>
    <w:rsid w:val="00C43DEC"/>
    <w:rsid w:val="00C440BC"/>
    <w:rsid w:val="00C44417"/>
    <w:rsid w:val="00C4490E"/>
    <w:rsid w:val="00C44A41"/>
    <w:rsid w:val="00C44E9F"/>
    <w:rsid w:val="00C45005"/>
    <w:rsid w:val="00C4554C"/>
    <w:rsid w:val="00C459B8"/>
    <w:rsid w:val="00C45C25"/>
    <w:rsid w:val="00C45E0F"/>
    <w:rsid w:val="00C45F48"/>
    <w:rsid w:val="00C45F5E"/>
    <w:rsid w:val="00C463F6"/>
    <w:rsid w:val="00C465C1"/>
    <w:rsid w:val="00C46C2A"/>
    <w:rsid w:val="00C47078"/>
    <w:rsid w:val="00C47132"/>
    <w:rsid w:val="00C47353"/>
    <w:rsid w:val="00C474A8"/>
    <w:rsid w:val="00C47C5F"/>
    <w:rsid w:val="00C47D6C"/>
    <w:rsid w:val="00C501AF"/>
    <w:rsid w:val="00C50AC0"/>
    <w:rsid w:val="00C50B0E"/>
    <w:rsid w:val="00C50FA9"/>
    <w:rsid w:val="00C51065"/>
    <w:rsid w:val="00C51407"/>
    <w:rsid w:val="00C516B5"/>
    <w:rsid w:val="00C51E67"/>
    <w:rsid w:val="00C5215F"/>
    <w:rsid w:val="00C52368"/>
    <w:rsid w:val="00C52526"/>
    <w:rsid w:val="00C52786"/>
    <w:rsid w:val="00C52816"/>
    <w:rsid w:val="00C52C3B"/>
    <w:rsid w:val="00C53060"/>
    <w:rsid w:val="00C53783"/>
    <w:rsid w:val="00C53A92"/>
    <w:rsid w:val="00C53E01"/>
    <w:rsid w:val="00C53F26"/>
    <w:rsid w:val="00C54520"/>
    <w:rsid w:val="00C548D0"/>
    <w:rsid w:val="00C54A35"/>
    <w:rsid w:val="00C55214"/>
    <w:rsid w:val="00C553C5"/>
    <w:rsid w:val="00C55935"/>
    <w:rsid w:val="00C5598A"/>
    <w:rsid w:val="00C55B59"/>
    <w:rsid w:val="00C55B70"/>
    <w:rsid w:val="00C55BBF"/>
    <w:rsid w:val="00C569E2"/>
    <w:rsid w:val="00C56B46"/>
    <w:rsid w:val="00C56B54"/>
    <w:rsid w:val="00C56D51"/>
    <w:rsid w:val="00C56D96"/>
    <w:rsid w:val="00C56DF9"/>
    <w:rsid w:val="00C56EA8"/>
    <w:rsid w:val="00C56EAB"/>
    <w:rsid w:val="00C56F4D"/>
    <w:rsid w:val="00C5777F"/>
    <w:rsid w:val="00C57A17"/>
    <w:rsid w:val="00C57F84"/>
    <w:rsid w:val="00C600AB"/>
    <w:rsid w:val="00C60857"/>
    <w:rsid w:val="00C60906"/>
    <w:rsid w:val="00C60A3A"/>
    <w:rsid w:val="00C60CE9"/>
    <w:rsid w:val="00C60D93"/>
    <w:rsid w:val="00C60DF4"/>
    <w:rsid w:val="00C60FBE"/>
    <w:rsid w:val="00C60FCA"/>
    <w:rsid w:val="00C61149"/>
    <w:rsid w:val="00C6168D"/>
    <w:rsid w:val="00C61AEB"/>
    <w:rsid w:val="00C61E62"/>
    <w:rsid w:val="00C6221E"/>
    <w:rsid w:val="00C62269"/>
    <w:rsid w:val="00C62378"/>
    <w:rsid w:val="00C628C3"/>
    <w:rsid w:val="00C62981"/>
    <w:rsid w:val="00C62BC5"/>
    <w:rsid w:val="00C62E46"/>
    <w:rsid w:val="00C635A8"/>
    <w:rsid w:val="00C63824"/>
    <w:rsid w:val="00C63B11"/>
    <w:rsid w:val="00C63BD1"/>
    <w:rsid w:val="00C63F4E"/>
    <w:rsid w:val="00C64174"/>
    <w:rsid w:val="00C641D0"/>
    <w:rsid w:val="00C641E4"/>
    <w:rsid w:val="00C64440"/>
    <w:rsid w:val="00C64CF7"/>
    <w:rsid w:val="00C64FAF"/>
    <w:rsid w:val="00C6550A"/>
    <w:rsid w:val="00C65670"/>
    <w:rsid w:val="00C65861"/>
    <w:rsid w:val="00C659C3"/>
    <w:rsid w:val="00C65B0C"/>
    <w:rsid w:val="00C66104"/>
    <w:rsid w:val="00C6641A"/>
    <w:rsid w:val="00C6642D"/>
    <w:rsid w:val="00C667DF"/>
    <w:rsid w:val="00C6692D"/>
    <w:rsid w:val="00C6719B"/>
    <w:rsid w:val="00C67501"/>
    <w:rsid w:val="00C678B0"/>
    <w:rsid w:val="00C679E5"/>
    <w:rsid w:val="00C67C84"/>
    <w:rsid w:val="00C70845"/>
    <w:rsid w:val="00C70B9E"/>
    <w:rsid w:val="00C70E55"/>
    <w:rsid w:val="00C70F2D"/>
    <w:rsid w:val="00C71194"/>
    <w:rsid w:val="00C71414"/>
    <w:rsid w:val="00C7141F"/>
    <w:rsid w:val="00C7146A"/>
    <w:rsid w:val="00C7153B"/>
    <w:rsid w:val="00C7191E"/>
    <w:rsid w:val="00C719DA"/>
    <w:rsid w:val="00C71A83"/>
    <w:rsid w:val="00C71AA9"/>
    <w:rsid w:val="00C71B13"/>
    <w:rsid w:val="00C71C59"/>
    <w:rsid w:val="00C71DCD"/>
    <w:rsid w:val="00C71FF8"/>
    <w:rsid w:val="00C727A8"/>
    <w:rsid w:val="00C72869"/>
    <w:rsid w:val="00C72CD1"/>
    <w:rsid w:val="00C72F36"/>
    <w:rsid w:val="00C730F7"/>
    <w:rsid w:val="00C73227"/>
    <w:rsid w:val="00C7339A"/>
    <w:rsid w:val="00C733C8"/>
    <w:rsid w:val="00C7390D"/>
    <w:rsid w:val="00C7397D"/>
    <w:rsid w:val="00C73B8B"/>
    <w:rsid w:val="00C742AC"/>
    <w:rsid w:val="00C74CDD"/>
    <w:rsid w:val="00C752E6"/>
    <w:rsid w:val="00C75CBA"/>
    <w:rsid w:val="00C75FBD"/>
    <w:rsid w:val="00C76139"/>
    <w:rsid w:val="00C7643A"/>
    <w:rsid w:val="00C764C8"/>
    <w:rsid w:val="00C7683D"/>
    <w:rsid w:val="00C76A58"/>
    <w:rsid w:val="00C76F34"/>
    <w:rsid w:val="00C770E0"/>
    <w:rsid w:val="00C7715C"/>
    <w:rsid w:val="00C775AB"/>
    <w:rsid w:val="00C776A8"/>
    <w:rsid w:val="00C77E7A"/>
    <w:rsid w:val="00C8046E"/>
    <w:rsid w:val="00C80539"/>
    <w:rsid w:val="00C8059C"/>
    <w:rsid w:val="00C80CC3"/>
    <w:rsid w:val="00C80CC5"/>
    <w:rsid w:val="00C81049"/>
    <w:rsid w:val="00C8110C"/>
    <w:rsid w:val="00C81211"/>
    <w:rsid w:val="00C812B0"/>
    <w:rsid w:val="00C81B99"/>
    <w:rsid w:val="00C81C82"/>
    <w:rsid w:val="00C81D1F"/>
    <w:rsid w:val="00C82065"/>
    <w:rsid w:val="00C820B5"/>
    <w:rsid w:val="00C82112"/>
    <w:rsid w:val="00C822BD"/>
    <w:rsid w:val="00C8275D"/>
    <w:rsid w:val="00C827A6"/>
    <w:rsid w:val="00C82BD7"/>
    <w:rsid w:val="00C82E3C"/>
    <w:rsid w:val="00C83279"/>
    <w:rsid w:val="00C835C3"/>
    <w:rsid w:val="00C8365D"/>
    <w:rsid w:val="00C839FF"/>
    <w:rsid w:val="00C83A7C"/>
    <w:rsid w:val="00C83BA5"/>
    <w:rsid w:val="00C83FB4"/>
    <w:rsid w:val="00C8435D"/>
    <w:rsid w:val="00C84632"/>
    <w:rsid w:val="00C848B4"/>
    <w:rsid w:val="00C84CB4"/>
    <w:rsid w:val="00C84D9F"/>
    <w:rsid w:val="00C84E7B"/>
    <w:rsid w:val="00C8509C"/>
    <w:rsid w:val="00C85332"/>
    <w:rsid w:val="00C8560D"/>
    <w:rsid w:val="00C8572C"/>
    <w:rsid w:val="00C85934"/>
    <w:rsid w:val="00C85C62"/>
    <w:rsid w:val="00C85F2F"/>
    <w:rsid w:val="00C87415"/>
    <w:rsid w:val="00C87434"/>
    <w:rsid w:val="00C87458"/>
    <w:rsid w:val="00C87AA4"/>
    <w:rsid w:val="00C87AA8"/>
    <w:rsid w:val="00C87D33"/>
    <w:rsid w:val="00C87E83"/>
    <w:rsid w:val="00C87F79"/>
    <w:rsid w:val="00C90552"/>
    <w:rsid w:val="00C90776"/>
    <w:rsid w:val="00C907EA"/>
    <w:rsid w:val="00C90D39"/>
    <w:rsid w:val="00C910A8"/>
    <w:rsid w:val="00C9132F"/>
    <w:rsid w:val="00C9194B"/>
    <w:rsid w:val="00C91AB0"/>
    <w:rsid w:val="00C92003"/>
    <w:rsid w:val="00C921A0"/>
    <w:rsid w:val="00C92234"/>
    <w:rsid w:val="00C925B7"/>
    <w:rsid w:val="00C92886"/>
    <w:rsid w:val="00C92B63"/>
    <w:rsid w:val="00C93095"/>
    <w:rsid w:val="00C9321A"/>
    <w:rsid w:val="00C934AC"/>
    <w:rsid w:val="00C936AF"/>
    <w:rsid w:val="00C93A12"/>
    <w:rsid w:val="00C93C29"/>
    <w:rsid w:val="00C94175"/>
    <w:rsid w:val="00C9454F"/>
    <w:rsid w:val="00C950F8"/>
    <w:rsid w:val="00C95253"/>
    <w:rsid w:val="00C9527D"/>
    <w:rsid w:val="00C958D4"/>
    <w:rsid w:val="00C95CBF"/>
    <w:rsid w:val="00C96228"/>
    <w:rsid w:val="00C963F1"/>
    <w:rsid w:val="00C96B34"/>
    <w:rsid w:val="00C96B5F"/>
    <w:rsid w:val="00C96BCE"/>
    <w:rsid w:val="00C96D9A"/>
    <w:rsid w:val="00C971DB"/>
    <w:rsid w:val="00C97230"/>
    <w:rsid w:val="00C972EF"/>
    <w:rsid w:val="00C9738B"/>
    <w:rsid w:val="00C97407"/>
    <w:rsid w:val="00C976DA"/>
    <w:rsid w:val="00CA0069"/>
    <w:rsid w:val="00CA0275"/>
    <w:rsid w:val="00CA027C"/>
    <w:rsid w:val="00CA04C5"/>
    <w:rsid w:val="00CA0C11"/>
    <w:rsid w:val="00CA0C38"/>
    <w:rsid w:val="00CA0FC9"/>
    <w:rsid w:val="00CA1122"/>
    <w:rsid w:val="00CA16CD"/>
    <w:rsid w:val="00CA16FE"/>
    <w:rsid w:val="00CA170D"/>
    <w:rsid w:val="00CA17FD"/>
    <w:rsid w:val="00CA200B"/>
    <w:rsid w:val="00CA20FF"/>
    <w:rsid w:val="00CA2155"/>
    <w:rsid w:val="00CA2633"/>
    <w:rsid w:val="00CA2A25"/>
    <w:rsid w:val="00CA2AC0"/>
    <w:rsid w:val="00CA2B7A"/>
    <w:rsid w:val="00CA2C86"/>
    <w:rsid w:val="00CA2C99"/>
    <w:rsid w:val="00CA2D15"/>
    <w:rsid w:val="00CA30DC"/>
    <w:rsid w:val="00CA3169"/>
    <w:rsid w:val="00CA3500"/>
    <w:rsid w:val="00CA3537"/>
    <w:rsid w:val="00CA387A"/>
    <w:rsid w:val="00CA3893"/>
    <w:rsid w:val="00CA38E2"/>
    <w:rsid w:val="00CA46A4"/>
    <w:rsid w:val="00CA4735"/>
    <w:rsid w:val="00CA47CB"/>
    <w:rsid w:val="00CA4A9A"/>
    <w:rsid w:val="00CA4C2B"/>
    <w:rsid w:val="00CA4C5C"/>
    <w:rsid w:val="00CA52CF"/>
    <w:rsid w:val="00CA54AD"/>
    <w:rsid w:val="00CA5962"/>
    <w:rsid w:val="00CA5B11"/>
    <w:rsid w:val="00CA5B2A"/>
    <w:rsid w:val="00CA6257"/>
    <w:rsid w:val="00CA6263"/>
    <w:rsid w:val="00CA6426"/>
    <w:rsid w:val="00CA6865"/>
    <w:rsid w:val="00CA68FB"/>
    <w:rsid w:val="00CA6BB7"/>
    <w:rsid w:val="00CA70FA"/>
    <w:rsid w:val="00CA74B7"/>
    <w:rsid w:val="00CA7653"/>
    <w:rsid w:val="00CA780C"/>
    <w:rsid w:val="00CB0621"/>
    <w:rsid w:val="00CB0761"/>
    <w:rsid w:val="00CB078E"/>
    <w:rsid w:val="00CB086C"/>
    <w:rsid w:val="00CB087E"/>
    <w:rsid w:val="00CB13F2"/>
    <w:rsid w:val="00CB19E3"/>
    <w:rsid w:val="00CB1AB6"/>
    <w:rsid w:val="00CB205C"/>
    <w:rsid w:val="00CB218C"/>
    <w:rsid w:val="00CB257F"/>
    <w:rsid w:val="00CB271F"/>
    <w:rsid w:val="00CB2933"/>
    <w:rsid w:val="00CB2F92"/>
    <w:rsid w:val="00CB2FA9"/>
    <w:rsid w:val="00CB332F"/>
    <w:rsid w:val="00CB3348"/>
    <w:rsid w:val="00CB3B18"/>
    <w:rsid w:val="00CB3EB0"/>
    <w:rsid w:val="00CB4338"/>
    <w:rsid w:val="00CB4367"/>
    <w:rsid w:val="00CB450B"/>
    <w:rsid w:val="00CB462C"/>
    <w:rsid w:val="00CB4AC8"/>
    <w:rsid w:val="00CB4F1A"/>
    <w:rsid w:val="00CB4F36"/>
    <w:rsid w:val="00CB5328"/>
    <w:rsid w:val="00CB543A"/>
    <w:rsid w:val="00CB551C"/>
    <w:rsid w:val="00CB564E"/>
    <w:rsid w:val="00CB582E"/>
    <w:rsid w:val="00CB599C"/>
    <w:rsid w:val="00CB5B1A"/>
    <w:rsid w:val="00CB5DF1"/>
    <w:rsid w:val="00CB604A"/>
    <w:rsid w:val="00CB60F8"/>
    <w:rsid w:val="00CB6960"/>
    <w:rsid w:val="00CB6DF9"/>
    <w:rsid w:val="00CB709A"/>
    <w:rsid w:val="00CB7689"/>
    <w:rsid w:val="00CB7832"/>
    <w:rsid w:val="00CB7AAA"/>
    <w:rsid w:val="00CC01D7"/>
    <w:rsid w:val="00CC0D08"/>
    <w:rsid w:val="00CC1043"/>
    <w:rsid w:val="00CC10CF"/>
    <w:rsid w:val="00CC115B"/>
    <w:rsid w:val="00CC11CD"/>
    <w:rsid w:val="00CC1211"/>
    <w:rsid w:val="00CC1293"/>
    <w:rsid w:val="00CC12BC"/>
    <w:rsid w:val="00CC1304"/>
    <w:rsid w:val="00CC1310"/>
    <w:rsid w:val="00CC13A2"/>
    <w:rsid w:val="00CC1C86"/>
    <w:rsid w:val="00CC1D2E"/>
    <w:rsid w:val="00CC260D"/>
    <w:rsid w:val="00CC2A09"/>
    <w:rsid w:val="00CC2F28"/>
    <w:rsid w:val="00CC3213"/>
    <w:rsid w:val="00CC33E0"/>
    <w:rsid w:val="00CC3504"/>
    <w:rsid w:val="00CC36A6"/>
    <w:rsid w:val="00CC3935"/>
    <w:rsid w:val="00CC3A63"/>
    <w:rsid w:val="00CC3ADA"/>
    <w:rsid w:val="00CC3B74"/>
    <w:rsid w:val="00CC401C"/>
    <w:rsid w:val="00CC4730"/>
    <w:rsid w:val="00CC4A5B"/>
    <w:rsid w:val="00CC4AAA"/>
    <w:rsid w:val="00CC4C64"/>
    <w:rsid w:val="00CC4E66"/>
    <w:rsid w:val="00CC50CC"/>
    <w:rsid w:val="00CC52F5"/>
    <w:rsid w:val="00CC573A"/>
    <w:rsid w:val="00CC5791"/>
    <w:rsid w:val="00CC5E74"/>
    <w:rsid w:val="00CC628A"/>
    <w:rsid w:val="00CC644D"/>
    <w:rsid w:val="00CC64E0"/>
    <w:rsid w:val="00CC6A8E"/>
    <w:rsid w:val="00CC6AEF"/>
    <w:rsid w:val="00CC6BC9"/>
    <w:rsid w:val="00CC6D93"/>
    <w:rsid w:val="00CC73BE"/>
    <w:rsid w:val="00CC7818"/>
    <w:rsid w:val="00CC7C53"/>
    <w:rsid w:val="00CC7DDC"/>
    <w:rsid w:val="00CD012E"/>
    <w:rsid w:val="00CD049D"/>
    <w:rsid w:val="00CD0604"/>
    <w:rsid w:val="00CD1177"/>
    <w:rsid w:val="00CD1B21"/>
    <w:rsid w:val="00CD1CFE"/>
    <w:rsid w:val="00CD255A"/>
    <w:rsid w:val="00CD27DB"/>
    <w:rsid w:val="00CD292D"/>
    <w:rsid w:val="00CD293B"/>
    <w:rsid w:val="00CD2948"/>
    <w:rsid w:val="00CD2964"/>
    <w:rsid w:val="00CD2BB5"/>
    <w:rsid w:val="00CD2ED6"/>
    <w:rsid w:val="00CD3247"/>
    <w:rsid w:val="00CD3BB7"/>
    <w:rsid w:val="00CD3EC9"/>
    <w:rsid w:val="00CD40A2"/>
    <w:rsid w:val="00CD412F"/>
    <w:rsid w:val="00CD4146"/>
    <w:rsid w:val="00CD4926"/>
    <w:rsid w:val="00CD4994"/>
    <w:rsid w:val="00CD4DE2"/>
    <w:rsid w:val="00CD5F84"/>
    <w:rsid w:val="00CD6203"/>
    <w:rsid w:val="00CD620E"/>
    <w:rsid w:val="00CD63AF"/>
    <w:rsid w:val="00CD64A9"/>
    <w:rsid w:val="00CD65BA"/>
    <w:rsid w:val="00CD65FD"/>
    <w:rsid w:val="00CD6819"/>
    <w:rsid w:val="00CD6A17"/>
    <w:rsid w:val="00CD6F63"/>
    <w:rsid w:val="00CD717A"/>
    <w:rsid w:val="00CD7356"/>
    <w:rsid w:val="00CD73EF"/>
    <w:rsid w:val="00CD75F2"/>
    <w:rsid w:val="00CD75FB"/>
    <w:rsid w:val="00CD7A89"/>
    <w:rsid w:val="00CE07D1"/>
    <w:rsid w:val="00CE0E68"/>
    <w:rsid w:val="00CE1022"/>
    <w:rsid w:val="00CE1453"/>
    <w:rsid w:val="00CE152A"/>
    <w:rsid w:val="00CE1B22"/>
    <w:rsid w:val="00CE1B76"/>
    <w:rsid w:val="00CE1D1C"/>
    <w:rsid w:val="00CE1E1F"/>
    <w:rsid w:val="00CE2222"/>
    <w:rsid w:val="00CE22F2"/>
    <w:rsid w:val="00CE26C1"/>
    <w:rsid w:val="00CE284B"/>
    <w:rsid w:val="00CE2C06"/>
    <w:rsid w:val="00CE347E"/>
    <w:rsid w:val="00CE3F1D"/>
    <w:rsid w:val="00CE434A"/>
    <w:rsid w:val="00CE43AA"/>
    <w:rsid w:val="00CE4491"/>
    <w:rsid w:val="00CE4554"/>
    <w:rsid w:val="00CE45C2"/>
    <w:rsid w:val="00CE4B31"/>
    <w:rsid w:val="00CE4BA1"/>
    <w:rsid w:val="00CE4D00"/>
    <w:rsid w:val="00CE4E0D"/>
    <w:rsid w:val="00CE4E66"/>
    <w:rsid w:val="00CE55D5"/>
    <w:rsid w:val="00CE5614"/>
    <w:rsid w:val="00CE59AE"/>
    <w:rsid w:val="00CE5DBC"/>
    <w:rsid w:val="00CE5F63"/>
    <w:rsid w:val="00CE62A9"/>
    <w:rsid w:val="00CE6373"/>
    <w:rsid w:val="00CE6606"/>
    <w:rsid w:val="00CE684C"/>
    <w:rsid w:val="00CE6920"/>
    <w:rsid w:val="00CE6943"/>
    <w:rsid w:val="00CE6B16"/>
    <w:rsid w:val="00CE7018"/>
    <w:rsid w:val="00CE72C4"/>
    <w:rsid w:val="00CE75AC"/>
    <w:rsid w:val="00CE7A79"/>
    <w:rsid w:val="00CE7AA4"/>
    <w:rsid w:val="00CF0145"/>
    <w:rsid w:val="00CF0516"/>
    <w:rsid w:val="00CF064A"/>
    <w:rsid w:val="00CF0A05"/>
    <w:rsid w:val="00CF0E3A"/>
    <w:rsid w:val="00CF1029"/>
    <w:rsid w:val="00CF1302"/>
    <w:rsid w:val="00CF1342"/>
    <w:rsid w:val="00CF1E64"/>
    <w:rsid w:val="00CF2779"/>
    <w:rsid w:val="00CF27FC"/>
    <w:rsid w:val="00CF3361"/>
    <w:rsid w:val="00CF3543"/>
    <w:rsid w:val="00CF36F3"/>
    <w:rsid w:val="00CF38BC"/>
    <w:rsid w:val="00CF3A42"/>
    <w:rsid w:val="00CF3B13"/>
    <w:rsid w:val="00CF3CDF"/>
    <w:rsid w:val="00CF429A"/>
    <w:rsid w:val="00CF4450"/>
    <w:rsid w:val="00CF4495"/>
    <w:rsid w:val="00CF4741"/>
    <w:rsid w:val="00CF4DD0"/>
    <w:rsid w:val="00CF4FE0"/>
    <w:rsid w:val="00CF522D"/>
    <w:rsid w:val="00CF5262"/>
    <w:rsid w:val="00CF5622"/>
    <w:rsid w:val="00CF5766"/>
    <w:rsid w:val="00CF5921"/>
    <w:rsid w:val="00CF5AD5"/>
    <w:rsid w:val="00CF65A1"/>
    <w:rsid w:val="00CF65E9"/>
    <w:rsid w:val="00CF663E"/>
    <w:rsid w:val="00CF713C"/>
    <w:rsid w:val="00CF7235"/>
    <w:rsid w:val="00CF724C"/>
    <w:rsid w:val="00CF7668"/>
    <w:rsid w:val="00CF7950"/>
    <w:rsid w:val="00CF7BF7"/>
    <w:rsid w:val="00CF7CBD"/>
    <w:rsid w:val="00D000CB"/>
    <w:rsid w:val="00D005FA"/>
    <w:rsid w:val="00D00F98"/>
    <w:rsid w:val="00D010E4"/>
    <w:rsid w:val="00D0112E"/>
    <w:rsid w:val="00D01141"/>
    <w:rsid w:val="00D014E4"/>
    <w:rsid w:val="00D01544"/>
    <w:rsid w:val="00D01B22"/>
    <w:rsid w:val="00D01B58"/>
    <w:rsid w:val="00D01F0D"/>
    <w:rsid w:val="00D02CD9"/>
    <w:rsid w:val="00D02E0F"/>
    <w:rsid w:val="00D035DF"/>
    <w:rsid w:val="00D0377A"/>
    <w:rsid w:val="00D03E5F"/>
    <w:rsid w:val="00D03F6A"/>
    <w:rsid w:val="00D04243"/>
    <w:rsid w:val="00D045EB"/>
    <w:rsid w:val="00D047B3"/>
    <w:rsid w:val="00D04952"/>
    <w:rsid w:val="00D049FB"/>
    <w:rsid w:val="00D05157"/>
    <w:rsid w:val="00D05246"/>
    <w:rsid w:val="00D05439"/>
    <w:rsid w:val="00D059C5"/>
    <w:rsid w:val="00D05B6D"/>
    <w:rsid w:val="00D05C23"/>
    <w:rsid w:val="00D05CE6"/>
    <w:rsid w:val="00D063C5"/>
    <w:rsid w:val="00D063EB"/>
    <w:rsid w:val="00D06CC8"/>
    <w:rsid w:val="00D06CCE"/>
    <w:rsid w:val="00D07315"/>
    <w:rsid w:val="00D0787A"/>
    <w:rsid w:val="00D07A3B"/>
    <w:rsid w:val="00D07CF7"/>
    <w:rsid w:val="00D07D5F"/>
    <w:rsid w:val="00D1020B"/>
    <w:rsid w:val="00D10459"/>
    <w:rsid w:val="00D1056D"/>
    <w:rsid w:val="00D10B34"/>
    <w:rsid w:val="00D11214"/>
    <w:rsid w:val="00D115BA"/>
    <w:rsid w:val="00D11ABF"/>
    <w:rsid w:val="00D11D80"/>
    <w:rsid w:val="00D12404"/>
    <w:rsid w:val="00D12771"/>
    <w:rsid w:val="00D12BA8"/>
    <w:rsid w:val="00D12D87"/>
    <w:rsid w:val="00D13395"/>
    <w:rsid w:val="00D13400"/>
    <w:rsid w:val="00D134D3"/>
    <w:rsid w:val="00D13CB8"/>
    <w:rsid w:val="00D13E54"/>
    <w:rsid w:val="00D14062"/>
    <w:rsid w:val="00D14876"/>
    <w:rsid w:val="00D14986"/>
    <w:rsid w:val="00D157E8"/>
    <w:rsid w:val="00D15B21"/>
    <w:rsid w:val="00D160BB"/>
    <w:rsid w:val="00D16149"/>
    <w:rsid w:val="00D16328"/>
    <w:rsid w:val="00D16347"/>
    <w:rsid w:val="00D168B6"/>
    <w:rsid w:val="00D169E5"/>
    <w:rsid w:val="00D16B84"/>
    <w:rsid w:val="00D16C6B"/>
    <w:rsid w:val="00D16F5F"/>
    <w:rsid w:val="00D16F8B"/>
    <w:rsid w:val="00D173A4"/>
    <w:rsid w:val="00D17550"/>
    <w:rsid w:val="00D17921"/>
    <w:rsid w:val="00D17946"/>
    <w:rsid w:val="00D17A1E"/>
    <w:rsid w:val="00D17F3F"/>
    <w:rsid w:val="00D201B4"/>
    <w:rsid w:val="00D2036F"/>
    <w:rsid w:val="00D20840"/>
    <w:rsid w:val="00D20C5E"/>
    <w:rsid w:val="00D20D77"/>
    <w:rsid w:val="00D21154"/>
    <w:rsid w:val="00D21344"/>
    <w:rsid w:val="00D216C4"/>
    <w:rsid w:val="00D21E79"/>
    <w:rsid w:val="00D2271B"/>
    <w:rsid w:val="00D22998"/>
    <w:rsid w:val="00D22EE6"/>
    <w:rsid w:val="00D22F71"/>
    <w:rsid w:val="00D232B1"/>
    <w:rsid w:val="00D23596"/>
    <w:rsid w:val="00D237B1"/>
    <w:rsid w:val="00D2440E"/>
    <w:rsid w:val="00D24AE7"/>
    <w:rsid w:val="00D24D00"/>
    <w:rsid w:val="00D24F1A"/>
    <w:rsid w:val="00D24FB3"/>
    <w:rsid w:val="00D2577E"/>
    <w:rsid w:val="00D258A6"/>
    <w:rsid w:val="00D2599A"/>
    <w:rsid w:val="00D25FFA"/>
    <w:rsid w:val="00D26366"/>
    <w:rsid w:val="00D2637A"/>
    <w:rsid w:val="00D266B5"/>
    <w:rsid w:val="00D269B6"/>
    <w:rsid w:val="00D26C6F"/>
    <w:rsid w:val="00D26D4C"/>
    <w:rsid w:val="00D26F50"/>
    <w:rsid w:val="00D27166"/>
    <w:rsid w:val="00D274D9"/>
    <w:rsid w:val="00D275E0"/>
    <w:rsid w:val="00D27978"/>
    <w:rsid w:val="00D27CC2"/>
    <w:rsid w:val="00D27D35"/>
    <w:rsid w:val="00D30AF2"/>
    <w:rsid w:val="00D30B7D"/>
    <w:rsid w:val="00D31932"/>
    <w:rsid w:val="00D31AAB"/>
    <w:rsid w:val="00D31AC2"/>
    <w:rsid w:val="00D31B6B"/>
    <w:rsid w:val="00D31ED1"/>
    <w:rsid w:val="00D327B2"/>
    <w:rsid w:val="00D328AD"/>
    <w:rsid w:val="00D328FA"/>
    <w:rsid w:val="00D32D83"/>
    <w:rsid w:val="00D32F8A"/>
    <w:rsid w:val="00D33F0A"/>
    <w:rsid w:val="00D34F76"/>
    <w:rsid w:val="00D3527C"/>
    <w:rsid w:val="00D355A5"/>
    <w:rsid w:val="00D355D7"/>
    <w:rsid w:val="00D35606"/>
    <w:rsid w:val="00D35A64"/>
    <w:rsid w:val="00D36823"/>
    <w:rsid w:val="00D36DA5"/>
    <w:rsid w:val="00D36EA6"/>
    <w:rsid w:val="00D37221"/>
    <w:rsid w:val="00D373FD"/>
    <w:rsid w:val="00D3793F"/>
    <w:rsid w:val="00D401AE"/>
    <w:rsid w:val="00D401DC"/>
    <w:rsid w:val="00D404D8"/>
    <w:rsid w:val="00D40625"/>
    <w:rsid w:val="00D40B6B"/>
    <w:rsid w:val="00D40BB4"/>
    <w:rsid w:val="00D40EB9"/>
    <w:rsid w:val="00D40F17"/>
    <w:rsid w:val="00D41003"/>
    <w:rsid w:val="00D4100D"/>
    <w:rsid w:val="00D4179B"/>
    <w:rsid w:val="00D41856"/>
    <w:rsid w:val="00D423E7"/>
    <w:rsid w:val="00D42FB0"/>
    <w:rsid w:val="00D43403"/>
    <w:rsid w:val="00D4365D"/>
    <w:rsid w:val="00D4387F"/>
    <w:rsid w:val="00D43ECE"/>
    <w:rsid w:val="00D4436B"/>
    <w:rsid w:val="00D44517"/>
    <w:rsid w:val="00D447C6"/>
    <w:rsid w:val="00D453F3"/>
    <w:rsid w:val="00D45A2E"/>
    <w:rsid w:val="00D462FB"/>
    <w:rsid w:val="00D46652"/>
    <w:rsid w:val="00D467C6"/>
    <w:rsid w:val="00D4682B"/>
    <w:rsid w:val="00D468E8"/>
    <w:rsid w:val="00D474F9"/>
    <w:rsid w:val="00D475A6"/>
    <w:rsid w:val="00D4773F"/>
    <w:rsid w:val="00D47A26"/>
    <w:rsid w:val="00D47C4A"/>
    <w:rsid w:val="00D47E23"/>
    <w:rsid w:val="00D505B9"/>
    <w:rsid w:val="00D50931"/>
    <w:rsid w:val="00D50A53"/>
    <w:rsid w:val="00D50DA1"/>
    <w:rsid w:val="00D5167B"/>
    <w:rsid w:val="00D518D5"/>
    <w:rsid w:val="00D518F6"/>
    <w:rsid w:val="00D51AE7"/>
    <w:rsid w:val="00D51BF3"/>
    <w:rsid w:val="00D51D3E"/>
    <w:rsid w:val="00D51E7F"/>
    <w:rsid w:val="00D51FA3"/>
    <w:rsid w:val="00D52248"/>
    <w:rsid w:val="00D530FE"/>
    <w:rsid w:val="00D5313C"/>
    <w:rsid w:val="00D5393E"/>
    <w:rsid w:val="00D53AF2"/>
    <w:rsid w:val="00D54263"/>
    <w:rsid w:val="00D54593"/>
    <w:rsid w:val="00D547E8"/>
    <w:rsid w:val="00D55108"/>
    <w:rsid w:val="00D551C2"/>
    <w:rsid w:val="00D5537D"/>
    <w:rsid w:val="00D557D2"/>
    <w:rsid w:val="00D559D6"/>
    <w:rsid w:val="00D55D73"/>
    <w:rsid w:val="00D55DF9"/>
    <w:rsid w:val="00D56328"/>
    <w:rsid w:val="00D564AA"/>
    <w:rsid w:val="00D5694F"/>
    <w:rsid w:val="00D56A62"/>
    <w:rsid w:val="00D56BBF"/>
    <w:rsid w:val="00D5751F"/>
    <w:rsid w:val="00D575A9"/>
    <w:rsid w:val="00D57793"/>
    <w:rsid w:val="00D5799B"/>
    <w:rsid w:val="00D57DBC"/>
    <w:rsid w:val="00D6052F"/>
    <w:rsid w:val="00D6058C"/>
    <w:rsid w:val="00D609C7"/>
    <w:rsid w:val="00D61068"/>
    <w:rsid w:val="00D61717"/>
    <w:rsid w:val="00D62034"/>
    <w:rsid w:val="00D622EB"/>
    <w:rsid w:val="00D62BCA"/>
    <w:rsid w:val="00D62BD7"/>
    <w:rsid w:val="00D62C57"/>
    <w:rsid w:val="00D62CC5"/>
    <w:rsid w:val="00D63477"/>
    <w:rsid w:val="00D63537"/>
    <w:rsid w:val="00D63549"/>
    <w:rsid w:val="00D63760"/>
    <w:rsid w:val="00D63EA0"/>
    <w:rsid w:val="00D64073"/>
    <w:rsid w:val="00D641B6"/>
    <w:rsid w:val="00D641EC"/>
    <w:rsid w:val="00D64219"/>
    <w:rsid w:val="00D643F6"/>
    <w:rsid w:val="00D650AD"/>
    <w:rsid w:val="00D6526B"/>
    <w:rsid w:val="00D65693"/>
    <w:rsid w:val="00D65AD5"/>
    <w:rsid w:val="00D65B79"/>
    <w:rsid w:val="00D65C76"/>
    <w:rsid w:val="00D65CC9"/>
    <w:rsid w:val="00D65EFF"/>
    <w:rsid w:val="00D66050"/>
    <w:rsid w:val="00D661EB"/>
    <w:rsid w:val="00D663A2"/>
    <w:rsid w:val="00D66821"/>
    <w:rsid w:val="00D66FEC"/>
    <w:rsid w:val="00D67045"/>
    <w:rsid w:val="00D67260"/>
    <w:rsid w:val="00D6740E"/>
    <w:rsid w:val="00D6754F"/>
    <w:rsid w:val="00D67576"/>
    <w:rsid w:val="00D6783D"/>
    <w:rsid w:val="00D678CD"/>
    <w:rsid w:val="00D67AE3"/>
    <w:rsid w:val="00D67DC6"/>
    <w:rsid w:val="00D705EC"/>
    <w:rsid w:val="00D706C3"/>
    <w:rsid w:val="00D70F17"/>
    <w:rsid w:val="00D71486"/>
    <w:rsid w:val="00D71C76"/>
    <w:rsid w:val="00D71E2C"/>
    <w:rsid w:val="00D71EE3"/>
    <w:rsid w:val="00D72088"/>
    <w:rsid w:val="00D72A44"/>
    <w:rsid w:val="00D73144"/>
    <w:rsid w:val="00D73235"/>
    <w:rsid w:val="00D7333E"/>
    <w:rsid w:val="00D73C4A"/>
    <w:rsid w:val="00D73F02"/>
    <w:rsid w:val="00D73FC2"/>
    <w:rsid w:val="00D74020"/>
    <w:rsid w:val="00D7410F"/>
    <w:rsid w:val="00D74397"/>
    <w:rsid w:val="00D74415"/>
    <w:rsid w:val="00D74580"/>
    <w:rsid w:val="00D74A17"/>
    <w:rsid w:val="00D74B54"/>
    <w:rsid w:val="00D752D4"/>
    <w:rsid w:val="00D75363"/>
    <w:rsid w:val="00D7544E"/>
    <w:rsid w:val="00D75F80"/>
    <w:rsid w:val="00D7627F"/>
    <w:rsid w:val="00D76326"/>
    <w:rsid w:val="00D765A7"/>
    <w:rsid w:val="00D76629"/>
    <w:rsid w:val="00D770BE"/>
    <w:rsid w:val="00D7711C"/>
    <w:rsid w:val="00D77149"/>
    <w:rsid w:val="00D771FA"/>
    <w:rsid w:val="00D77862"/>
    <w:rsid w:val="00D77C4B"/>
    <w:rsid w:val="00D800A9"/>
    <w:rsid w:val="00D80492"/>
    <w:rsid w:val="00D8056C"/>
    <w:rsid w:val="00D80739"/>
    <w:rsid w:val="00D80E78"/>
    <w:rsid w:val="00D80ED4"/>
    <w:rsid w:val="00D80F12"/>
    <w:rsid w:val="00D8120A"/>
    <w:rsid w:val="00D81B43"/>
    <w:rsid w:val="00D81C5D"/>
    <w:rsid w:val="00D81DC6"/>
    <w:rsid w:val="00D820FF"/>
    <w:rsid w:val="00D82202"/>
    <w:rsid w:val="00D8261A"/>
    <w:rsid w:val="00D82C16"/>
    <w:rsid w:val="00D82D2D"/>
    <w:rsid w:val="00D82F42"/>
    <w:rsid w:val="00D83082"/>
    <w:rsid w:val="00D83272"/>
    <w:rsid w:val="00D832C6"/>
    <w:rsid w:val="00D83327"/>
    <w:rsid w:val="00D8332E"/>
    <w:rsid w:val="00D8336A"/>
    <w:rsid w:val="00D8387A"/>
    <w:rsid w:val="00D83D36"/>
    <w:rsid w:val="00D83D83"/>
    <w:rsid w:val="00D84272"/>
    <w:rsid w:val="00D84485"/>
    <w:rsid w:val="00D84D22"/>
    <w:rsid w:val="00D851D7"/>
    <w:rsid w:val="00D856FC"/>
    <w:rsid w:val="00D85783"/>
    <w:rsid w:val="00D85BC0"/>
    <w:rsid w:val="00D8608B"/>
    <w:rsid w:val="00D861C5"/>
    <w:rsid w:val="00D8622A"/>
    <w:rsid w:val="00D8638E"/>
    <w:rsid w:val="00D865F8"/>
    <w:rsid w:val="00D86941"/>
    <w:rsid w:val="00D8706D"/>
    <w:rsid w:val="00D87071"/>
    <w:rsid w:val="00D871F1"/>
    <w:rsid w:val="00D872D6"/>
    <w:rsid w:val="00D874EC"/>
    <w:rsid w:val="00D87782"/>
    <w:rsid w:val="00D8782B"/>
    <w:rsid w:val="00D87AAD"/>
    <w:rsid w:val="00D87B34"/>
    <w:rsid w:val="00D87B61"/>
    <w:rsid w:val="00D87CA3"/>
    <w:rsid w:val="00D87D73"/>
    <w:rsid w:val="00D90794"/>
    <w:rsid w:val="00D909FE"/>
    <w:rsid w:val="00D90F3D"/>
    <w:rsid w:val="00D90F7B"/>
    <w:rsid w:val="00D917C6"/>
    <w:rsid w:val="00D922AF"/>
    <w:rsid w:val="00D9233A"/>
    <w:rsid w:val="00D925A9"/>
    <w:rsid w:val="00D92AAE"/>
    <w:rsid w:val="00D92B97"/>
    <w:rsid w:val="00D92E8E"/>
    <w:rsid w:val="00D9327B"/>
    <w:rsid w:val="00D93498"/>
    <w:rsid w:val="00D937FC"/>
    <w:rsid w:val="00D9390C"/>
    <w:rsid w:val="00D93A69"/>
    <w:rsid w:val="00D93D31"/>
    <w:rsid w:val="00D93ED1"/>
    <w:rsid w:val="00D946AF"/>
    <w:rsid w:val="00D9489F"/>
    <w:rsid w:val="00D94A03"/>
    <w:rsid w:val="00D94DBB"/>
    <w:rsid w:val="00D94FE7"/>
    <w:rsid w:val="00D95278"/>
    <w:rsid w:val="00D9570C"/>
    <w:rsid w:val="00D95B8C"/>
    <w:rsid w:val="00D95C0D"/>
    <w:rsid w:val="00D95F3B"/>
    <w:rsid w:val="00D9608F"/>
    <w:rsid w:val="00D9686C"/>
    <w:rsid w:val="00D96949"/>
    <w:rsid w:val="00D96D7F"/>
    <w:rsid w:val="00D97389"/>
    <w:rsid w:val="00D976B2"/>
    <w:rsid w:val="00D97C56"/>
    <w:rsid w:val="00D97F1C"/>
    <w:rsid w:val="00DA0337"/>
    <w:rsid w:val="00DA043C"/>
    <w:rsid w:val="00DA07F9"/>
    <w:rsid w:val="00DA0CFA"/>
    <w:rsid w:val="00DA1381"/>
    <w:rsid w:val="00DA1473"/>
    <w:rsid w:val="00DA1579"/>
    <w:rsid w:val="00DA1590"/>
    <w:rsid w:val="00DA192A"/>
    <w:rsid w:val="00DA1A89"/>
    <w:rsid w:val="00DA1AEC"/>
    <w:rsid w:val="00DA1D29"/>
    <w:rsid w:val="00DA2146"/>
    <w:rsid w:val="00DA2302"/>
    <w:rsid w:val="00DA23A9"/>
    <w:rsid w:val="00DA2496"/>
    <w:rsid w:val="00DA29C6"/>
    <w:rsid w:val="00DA29D6"/>
    <w:rsid w:val="00DA2A64"/>
    <w:rsid w:val="00DA2F47"/>
    <w:rsid w:val="00DA33E0"/>
    <w:rsid w:val="00DA393D"/>
    <w:rsid w:val="00DA3D15"/>
    <w:rsid w:val="00DA3EDB"/>
    <w:rsid w:val="00DA403A"/>
    <w:rsid w:val="00DA4927"/>
    <w:rsid w:val="00DA4A23"/>
    <w:rsid w:val="00DA4B28"/>
    <w:rsid w:val="00DA4BAC"/>
    <w:rsid w:val="00DA4E59"/>
    <w:rsid w:val="00DA517E"/>
    <w:rsid w:val="00DA5BBC"/>
    <w:rsid w:val="00DA5C11"/>
    <w:rsid w:val="00DA5CDE"/>
    <w:rsid w:val="00DA5DDD"/>
    <w:rsid w:val="00DA5E04"/>
    <w:rsid w:val="00DA5F2D"/>
    <w:rsid w:val="00DA5F4D"/>
    <w:rsid w:val="00DA6737"/>
    <w:rsid w:val="00DA68F6"/>
    <w:rsid w:val="00DA6A8D"/>
    <w:rsid w:val="00DA7003"/>
    <w:rsid w:val="00DA70E7"/>
    <w:rsid w:val="00DA72AA"/>
    <w:rsid w:val="00DA7380"/>
    <w:rsid w:val="00DA7B48"/>
    <w:rsid w:val="00DA7BF2"/>
    <w:rsid w:val="00DA7C22"/>
    <w:rsid w:val="00DB090A"/>
    <w:rsid w:val="00DB19F0"/>
    <w:rsid w:val="00DB1B34"/>
    <w:rsid w:val="00DB2318"/>
    <w:rsid w:val="00DB2DF5"/>
    <w:rsid w:val="00DB3145"/>
    <w:rsid w:val="00DB324D"/>
    <w:rsid w:val="00DB35C4"/>
    <w:rsid w:val="00DB3CC7"/>
    <w:rsid w:val="00DB403F"/>
    <w:rsid w:val="00DB423C"/>
    <w:rsid w:val="00DB4977"/>
    <w:rsid w:val="00DB4B10"/>
    <w:rsid w:val="00DB4B6E"/>
    <w:rsid w:val="00DB4F7C"/>
    <w:rsid w:val="00DB5E33"/>
    <w:rsid w:val="00DB6042"/>
    <w:rsid w:val="00DB6523"/>
    <w:rsid w:val="00DB67C3"/>
    <w:rsid w:val="00DB6A89"/>
    <w:rsid w:val="00DB75FF"/>
    <w:rsid w:val="00DB762D"/>
    <w:rsid w:val="00DB7681"/>
    <w:rsid w:val="00DB7C30"/>
    <w:rsid w:val="00DC000F"/>
    <w:rsid w:val="00DC00BE"/>
    <w:rsid w:val="00DC0296"/>
    <w:rsid w:val="00DC0852"/>
    <w:rsid w:val="00DC09DC"/>
    <w:rsid w:val="00DC0CCE"/>
    <w:rsid w:val="00DC0FA6"/>
    <w:rsid w:val="00DC1276"/>
    <w:rsid w:val="00DC130C"/>
    <w:rsid w:val="00DC1C16"/>
    <w:rsid w:val="00DC1CFA"/>
    <w:rsid w:val="00DC2150"/>
    <w:rsid w:val="00DC2292"/>
    <w:rsid w:val="00DC2360"/>
    <w:rsid w:val="00DC23A8"/>
    <w:rsid w:val="00DC2F7A"/>
    <w:rsid w:val="00DC3353"/>
    <w:rsid w:val="00DC3978"/>
    <w:rsid w:val="00DC39B7"/>
    <w:rsid w:val="00DC39FB"/>
    <w:rsid w:val="00DC3C2E"/>
    <w:rsid w:val="00DC4362"/>
    <w:rsid w:val="00DC459C"/>
    <w:rsid w:val="00DC4831"/>
    <w:rsid w:val="00DC4966"/>
    <w:rsid w:val="00DC4992"/>
    <w:rsid w:val="00DC4BB8"/>
    <w:rsid w:val="00DC508E"/>
    <w:rsid w:val="00DC51F7"/>
    <w:rsid w:val="00DC5487"/>
    <w:rsid w:val="00DC5DC9"/>
    <w:rsid w:val="00DC657F"/>
    <w:rsid w:val="00DC677E"/>
    <w:rsid w:val="00DC684A"/>
    <w:rsid w:val="00DC6AEB"/>
    <w:rsid w:val="00DC6B2C"/>
    <w:rsid w:val="00DC6E54"/>
    <w:rsid w:val="00DC7125"/>
    <w:rsid w:val="00DC714C"/>
    <w:rsid w:val="00DC7239"/>
    <w:rsid w:val="00DC7468"/>
    <w:rsid w:val="00DC79ED"/>
    <w:rsid w:val="00DC7CC1"/>
    <w:rsid w:val="00DC7CCD"/>
    <w:rsid w:val="00DC7E92"/>
    <w:rsid w:val="00DC7F60"/>
    <w:rsid w:val="00DC7F96"/>
    <w:rsid w:val="00DD002C"/>
    <w:rsid w:val="00DD0342"/>
    <w:rsid w:val="00DD0801"/>
    <w:rsid w:val="00DD0BF9"/>
    <w:rsid w:val="00DD0D55"/>
    <w:rsid w:val="00DD1059"/>
    <w:rsid w:val="00DD112A"/>
    <w:rsid w:val="00DD119F"/>
    <w:rsid w:val="00DD14AC"/>
    <w:rsid w:val="00DD1C38"/>
    <w:rsid w:val="00DD1E39"/>
    <w:rsid w:val="00DD2231"/>
    <w:rsid w:val="00DD2260"/>
    <w:rsid w:val="00DD2368"/>
    <w:rsid w:val="00DD2407"/>
    <w:rsid w:val="00DD25E5"/>
    <w:rsid w:val="00DD27A1"/>
    <w:rsid w:val="00DD28B5"/>
    <w:rsid w:val="00DD2F7B"/>
    <w:rsid w:val="00DD39EF"/>
    <w:rsid w:val="00DD3B3C"/>
    <w:rsid w:val="00DD3CC9"/>
    <w:rsid w:val="00DD4934"/>
    <w:rsid w:val="00DD4A2C"/>
    <w:rsid w:val="00DD4C42"/>
    <w:rsid w:val="00DD50C6"/>
    <w:rsid w:val="00DD5293"/>
    <w:rsid w:val="00DD58AE"/>
    <w:rsid w:val="00DD6116"/>
    <w:rsid w:val="00DD6A4B"/>
    <w:rsid w:val="00DD6A85"/>
    <w:rsid w:val="00DD6E24"/>
    <w:rsid w:val="00DD719F"/>
    <w:rsid w:val="00DD7993"/>
    <w:rsid w:val="00DE04FA"/>
    <w:rsid w:val="00DE0C23"/>
    <w:rsid w:val="00DE112B"/>
    <w:rsid w:val="00DE1224"/>
    <w:rsid w:val="00DE14A2"/>
    <w:rsid w:val="00DE1B1D"/>
    <w:rsid w:val="00DE1F16"/>
    <w:rsid w:val="00DE22D2"/>
    <w:rsid w:val="00DE23C8"/>
    <w:rsid w:val="00DE25AF"/>
    <w:rsid w:val="00DE29BA"/>
    <w:rsid w:val="00DE2B4E"/>
    <w:rsid w:val="00DE2E79"/>
    <w:rsid w:val="00DE3179"/>
    <w:rsid w:val="00DE31BD"/>
    <w:rsid w:val="00DE34B7"/>
    <w:rsid w:val="00DE38F1"/>
    <w:rsid w:val="00DE38F3"/>
    <w:rsid w:val="00DE3939"/>
    <w:rsid w:val="00DE3F6E"/>
    <w:rsid w:val="00DE4070"/>
    <w:rsid w:val="00DE418C"/>
    <w:rsid w:val="00DE449F"/>
    <w:rsid w:val="00DE4A8C"/>
    <w:rsid w:val="00DE4AF6"/>
    <w:rsid w:val="00DE4D7A"/>
    <w:rsid w:val="00DE5060"/>
    <w:rsid w:val="00DE526A"/>
    <w:rsid w:val="00DE52B0"/>
    <w:rsid w:val="00DE5867"/>
    <w:rsid w:val="00DE588D"/>
    <w:rsid w:val="00DE5D3C"/>
    <w:rsid w:val="00DE5F82"/>
    <w:rsid w:val="00DE6AEE"/>
    <w:rsid w:val="00DE6D84"/>
    <w:rsid w:val="00DE7001"/>
    <w:rsid w:val="00DE73EA"/>
    <w:rsid w:val="00DE74B8"/>
    <w:rsid w:val="00DE7525"/>
    <w:rsid w:val="00DE752B"/>
    <w:rsid w:val="00DE79C2"/>
    <w:rsid w:val="00DE7BE0"/>
    <w:rsid w:val="00DE7E16"/>
    <w:rsid w:val="00DF0600"/>
    <w:rsid w:val="00DF061D"/>
    <w:rsid w:val="00DF09CD"/>
    <w:rsid w:val="00DF0A09"/>
    <w:rsid w:val="00DF0C2E"/>
    <w:rsid w:val="00DF1623"/>
    <w:rsid w:val="00DF16CC"/>
    <w:rsid w:val="00DF16F9"/>
    <w:rsid w:val="00DF1DB6"/>
    <w:rsid w:val="00DF2408"/>
    <w:rsid w:val="00DF2658"/>
    <w:rsid w:val="00DF29AB"/>
    <w:rsid w:val="00DF2D3E"/>
    <w:rsid w:val="00DF2D9E"/>
    <w:rsid w:val="00DF2E1C"/>
    <w:rsid w:val="00DF3470"/>
    <w:rsid w:val="00DF366C"/>
    <w:rsid w:val="00DF36FD"/>
    <w:rsid w:val="00DF3A8E"/>
    <w:rsid w:val="00DF3AC6"/>
    <w:rsid w:val="00DF3BB9"/>
    <w:rsid w:val="00DF3C16"/>
    <w:rsid w:val="00DF3F89"/>
    <w:rsid w:val="00DF4216"/>
    <w:rsid w:val="00DF4407"/>
    <w:rsid w:val="00DF46C4"/>
    <w:rsid w:val="00DF4E88"/>
    <w:rsid w:val="00DF5455"/>
    <w:rsid w:val="00DF56D4"/>
    <w:rsid w:val="00DF5A63"/>
    <w:rsid w:val="00DF5E22"/>
    <w:rsid w:val="00DF5EF3"/>
    <w:rsid w:val="00DF64E8"/>
    <w:rsid w:val="00DF676B"/>
    <w:rsid w:val="00DF67F3"/>
    <w:rsid w:val="00DF6A92"/>
    <w:rsid w:val="00DF7266"/>
    <w:rsid w:val="00E00206"/>
    <w:rsid w:val="00E0067F"/>
    <w:rsid w:val="00E007AD"/>
    <w:rsid w:val="00E009E4"/>
    <w:rsid w:val="00E00D12"/>
    <w:rsid w:val="00E00FE7"/>
    <w:rsid w:val="00E01377"/>
    <w:rsid w:val="00E015A6"/>
    <w:rsid w:val="00E018C5"/>
    <w:rsid w:val="00E02391"/>
    <w:rsid w:val="00E025F8"/>
    <w:rsid w:val="00E027FF"/>
    <w:rsid w:val="00E02BF6"/>
    <w:rsid w:val="00E038C5"/>
    <w:rsid w:val="00E03B09"/>
    <w:rsid w:val="00E03E3B"/>
    <w:rsid w:val="00E04589"/>
    <w:rsid w:val="00E045A2"/>
    <w:rsid w:val="00E045F0"/>
    <w:rsid w:val="00E047DF"/>
    <w:rsid w:val="00E049BA"/>
    <w:rsid w:val="00E04A0E"/>
    <w:rsid w:val="00E04C14"/>
    <w:rsid w:val="00E04D05"/>
    <w:rsid w:val="00E0500A"/>
    <w:rsid w:val="00E05480"/>
    <w:rsid w:val="00E0568F"/>
    <w:rsid w:val="00E05EB9"/>
    <w:rsid w:val="00E05EEF"/>
    <w:rsid w:val="00E06128"/>
    <w:rsid w:val="00E06131"/>
    <w:rsid w:val="00E0652E"/>
    <w:rsid w:val="00E06573"/>
    <w:rsid w:val="00E065FF"/>
    <w:rsid w:val="00E069A3"/>
    <w:rsid w:val="00E069FE"/>
    <w:rsid w:val="00E06B38"/>
    <w:rsid w:val="00E07340"/>
    <w:rsid w:val="00E0747D"/>
    <w:rsid w:val="00E074FF"/>
    <w:rsid w:val="00E078BB"/>
    <w:rsid w:val="00E07A16"/>
    <w:rsid w:val="00E102DF"/>
    <w:rsid w:val="00E103C4"/>
    <w:rsid w:val="00E10756"/>
    <w:rsid w:val="00E10DD1"/>
    <w:rsid w:val="00E10F28"/>
    <w:rsid w:val="00E128D8"/>
    <w:rsid w:val="00E12C42"/>
    <w:rsid w:val="00E130F6"/>
    <w:rsid w:val="00E132CA"/>
    <w:rsid w:val="00E132D9"/>
    <w:rsid w:val="00E1356B"/>
    <w:rsid w:val="00E1443D"/>
    <w:rsid w:val="00E145BF"/>
    <w:rsid w:val="00E155A9"/>
    <w:rsid w:val="00E158A0"/>
    <w:rsid w:val="00E15B86"/>
    <w:rsid w:val="00E15E54"/>
    <w:rsid w:val="00E15F02"/>
    <w:rsid w:val="00E161B0"/>
    <w:rsid w:val="00E164EE"/>
    <w:rsid w:val="00E165B5"/>
    <w:rsid w:val="00E16600"/>
    <w:rsid w:val="00E1688A"/>
    <w:rsid w:val="00E16B9E"/>
    <w:rsid w:val="00E170B3"/>
    <w:rsid w:val="00E171FC"/>
    <w:rsid w:val="00E1728C"/>
    <w:rsid w:val="00E1799E"/>
    <w:rsid w:val="00E17A0A"/>
    <w:rsid w:val="00E17D3E"/>
    <w:rsid w:val="00E17D58"/>
    <w:rsid w:val="00E17ED6"/>
    <w:rsid w:val="00E20E7A"/>
    <w:rsid w:val="00E20EB2"/>
    <w:rsid w:val="00E20EEF"/>
    <w:rsid w:val="00E20F82"/>
    <w:rsid w:val="00E2102F"/>
    <w:rsid w:val="00E219DF"/>
    <w:rsid w:val="00E21F9A"/>
    <w:rsid w:val="00E22689"/>
    <w:rsid w:val="00E227DA"/>
    <w:rsid w:val="00E2299A"/>
    <w:rsid w:val="00E22B2D"/>
    <w:rsid w:val="00E232AF"/>
    <w:rsid w:val="00E232B1"/>
    <w:rsid w:val="00E232BB"/>
    <w:rsid w:val="00E2333B"/>
    <w:rsid w:val="00E23979"/>
    <w:rsid w:val="00E24145"/>
    <w:rsid w:val="00E24353"/>
    <w:rsid w:val="00E2483A"/>
    <w:rsid w:val="00E248AC"/>
    <w:rsid w:val="00E25107"/>
    <w:rsid w:val="00E251ED"/>
    <w:rsid w:val="00E253A9"/>
    <w:rsid w:val="00E25550"/>
    <w:rsid w:val="00E25B33"/>
    <w:rsid w:val="00E26053"/>
    <w:rsid w:val="00E26569"/>
    <w:rsid w:val="00E26758"/>
    <w:rsid w:val="00E268A5"/>
    <w:rsid w:val="00E2748D"/>
    <w:rsid w:val="00E278EE"/>
    <w:rsid w:val="00E27BA1"/>
    <w:rsid w:val="00E27BF0"/>
    <w:rsid w:val="00E27E69"/>
    <w:rsid w:val="00E27F81"/>
    <w:rsid w:val="00E300E3"/>
    <w:rsid w:val="00E30307"/>
    <w:rsid w:val="00E30B10"/>
    <w:rsid w:val="00E30D4D"/>
    <w:rsid w:val="00E30D9B"/>
    <w:rsid w:val="00E31085"/>
    <w:rsid w:val="00E3109A"/>
    <w:rsid w:val="00E3128A"/>
    <w:rsid w:val="00E31636"/>
    <w:rsid w:val="00E31772"/>
    <w:rsid w:val="00E318C8"/>
    <w:rsid w:val="00E31CA1"/>
    <w:rsid w:val="00E31DE9"/>
    <w:rsid w:val="00E31FAC"/>
    <w:rsid w:val="00E324C1"/>
    <w:rsid w:val="00E32700"/>
    <w:rsid w:val="00E32846"/>
    <w:rsid w:val="00E3287D"/>
    <w:rsid w:val="00E328DF"/>
    <w:rsid w:val="00E32AD7"/>
    <w:rsid w:val="00E332F8"/>
    <w:rsid w:val="00E33635"/>
    <w:rsid w:val="00E33D3B"/>
    <w:rsid w:val="00E33D4E"/>
    <w:rsid w:val="00E33E4B"/>
    <w:rsid w:val="00E3452F"/>
    <w:rsid w:val="00E3506D"/>
    <w:rsid w:val="00E35129"/>
    <w:rsid w:val="00E3560E"/>
    <w:rsid w:val="00E357A5"/>
    <w:rsid w:val="00E35A86"/>
    <w:rsid w:val="00E36181"/>
    <w:rsid w:val="00E368AD"/>
    <w:rsid w:val="00E37140"/>
    <w:rsid w:val="00E37193"/>
    <w:rsid w:val="00E37CBC"/>
    <w:rsid w:val="00E37CC1"/>
    <w:rsid w:val="00E37F19"/>
    <w:rsid w:val="00E37F45"/>
    <w:rsid w:val="00E402E5"/>
    <w:rsid w:val="00E4064E"/>
    <w:rsid w:val="00E409C1"/>
    <w:rsid w:val="00E40F5E"/>
    <w:rsid w:val="00E415E8"/>
    <w:rsid w:val="00E416FC"/>
    <w:rsid w:val="00E42200"/>
    <w:rsid w:val="00E42214"/>
    <w:rsid w:val="00E422FF"/>
    <w:rsid w:val="00E426B3"/>
    <w:rsid w:val="00E42848"/>
    <w:rsid w:val="00E429CE"/>
    <w:rsid w:val="00E42CF8"/>
    <w:rsid w:val="00E42E23"/>
    <w:rsid w:val="00E432AF"/>
    <w:rsid w:val="00E4363B"/>
    <w:rsid w:val="00E43B5F"/>
    <w:rsid w:val="00E43B94"/>
    <w:rsid w:val="00E44103"/>
    <w:rsid w:val="00E44494"/>
    <w:rsid w:val="00E44920"/>
    <w:rsid w:val="00E45154"/>
    <w:rsid w:val="00E451AE"/>
    <w:rsid w:val="00E45774"/>
    <w:rsid w:val="00E45900"/>
    <w:rsid w:val="00E45B37"/>
    <w:rsid w:val="00E45E54"/>
    <w:rsid w:val="00E45ED0"/>
    <w:rsid w:val="00E4669C"/>
    <w:rsid w:val="00E46AE4"/>
    <w:rsid w:val="00E46FDA"/>
    <w:rsid w:val="00E47078"/>
    <w:rsid w:val="00E471E6"/>
    <w:rsid w:val="00E4744E"/>
    <w:rsid w:val="00E477C0"/>
    <w:rsid w:val="00E47A1E"/>
    <w:rsid w:val="00E47BAE"/>
    <w:rsid w:val="00E47C64"/>
    <w:rsid w:val="00E47E67"/>
    <w:rsid w:val="00E5009F"/>
    <w:rsid w:val="00E501C1"/>
    <w:rsid w:val="00E50262"/>
    <w:rsid w:val="00E5068A"/>
    <w:rsid w:val="00E50712"/>
    <w:rsid w:val="00E50976"/>
    <w:rsid w:val="00E51DA7"/>
    <w:rsid w:val="00E51DD7"/>
    <w:rsid w:val="00E51F1C"/>
    <w:rsid w:val="00E52198"/>
    <w:rsid w:val="00E52247"/>
    <w:rsid w:val="00E52391"/>
    <w:rsid w:val="00E525AB"/>
    <w:rsid w:val="00E525D4"/>
    <w:rsid w:val="00E52868"/>
    <w:rsid w:val="00E52888"/>
    <w:rsid w:val="00E52FA6"/>
    <w:rsid w:val="00E53065"/>
    <w:rsid w:val="00E53564"/>
    <w:rsid w:val="00E537B6"/>
    <w:rsid w:val="00E53AB0"/>
    <w:rsid w:val="00E53FB5"/>
    <w:rsid w:val="00E54281"/>
    <w:rsid w:val="00E544F8"/>
    <w:rsid w:val="00E54D34"/>
    <w:rsid w:val="00E550B8"/>
    <w:rsid w:val="00E553A5"/>
    <w:rsid w:val="00E55462"/>
    <w:rsid w:val="00E5557E"/>
    <w:rsid w:val="00E55613"/>
    <w:rsid w:val="00E55638"/>
    <w:rsid w:val="00E55B11"/>
    <w:rsid w:val="00E55F15"/>
    <w:rsid w:val="00E56076"/>
    <w:rsid w:val="00E5655B"/>
    <w:rsid w:val="00E56C6C"/>
    <w:rsid w:val="00E570AC"/>
    <w:rsid w:val="00E57444"/>
    <w:rsid w:val="00E5765F"/>
    <w:rsid w:val="00E57747"/>
    <w:rsid w:val="00E579D8"/>
    <w:rsid w:val="00E57E79"/>
    <w:rsid w:val="00E57EEC"/>
    <w:rsid w:val="00E600B0"/>
    <w:rsid w:val="00E601E9"/>
    <w:rsid w:val="00E601F3"/>
    <w:rsid w:val="00E604DD"/>
    <w:rsid w:val="00E60605"/>
    <w:rsid w:val="00E606C4"/>
    <w:rsid w:val="00E6090F"/>
    <w:rsid w:val="00E60AF7"/>
    <w:rsid w:val="00E60FB9"/>
    <w:rsid w:val="00E61165"/>
    <w:rsid w:val="00E611F9"/>
    <w:rsid w:val="00E615DE"/>
    <w:rsid w:val="00E6172B"/>
    <w:rsid w:val="00E6197E"/>
    <w:rsid w:val="00E61C36"/>
    <w:rsid w:val="00E61CC5"/>
    <w:rsid w:val="00E61D87"/>
    <w:rsid w:val="00E61DCF"/>
    <w:rsid w:val="00E61DE6"/>
    <w:rsid w:val="00E61F7E"/>
    <w:rsid w:val="00E62784"/>
    <w:rsid w:val="00E62D84"/>
    <w:rsid w:val="00E63189"/>
    <w:rsid w:val="00E6327A"/>
    <w:rsid w:val="00E63355"/>
    <w:rsid w:val="00E63C7B"/>
    <w:rsid w:val="00E63CF7"/>
    <w:rsid w:val="00E64099"/>
    <w:rsid w:val="00E64120"/>
    <w:rsid w:val="00E64D5A"/>
    <w:rsid w:val="00E64ED5"/>
    <w:rsid w:val="00E64F89"/>
    <w:rsid w:val="00E65389"/>
    <w:rsid w:val="00E65627"/>
    <w:rsid w:val="00E65736"/>
    <w:rsid w:val="00E65C68"/>
    <w:rsid w:val="00E65C6B"/>
    <w:rsid w:val="00E65E04"/>
    <w:rsid w:val="00E65F02"/>
    <w:rsid w:val="00E663B7"/>
    <w:rsid w:val="00E66BEB"/>
    <w:rsid w:val="00E66F48"/>
    <w:rsid w:val="00E6770B"/>
    <w:rsid w:val="00E7006B"/>
    <w:rsid w:val="00E700D9"/>
    <w:rsid w:val="00E7020F"/>
    <w:rsid w:val="00E705B9"/>
    <w:rsid w:val="00E70625"/>
    <w:rsid w:val="00E70C63"/>
    <w:rsid w:val="00E712C7"/>
    <w:rsid w:val="00E71A93"/>
    <w:rsid w:val="00E72592"/>
    <w:rsid w:val="00E72680"/>
    <w:rsid w:val="00E72B34"/>
    <w:rsid w:val="00E72EF0"/>
    <w:rsid w:val="00E736CD"/>
    <w:rsid w:val="00E737D8"/>
    <w:rsid w:val="00E7391A"/>
    <w:rsid w:val="00E73A88"/>
    <w:rsid w:val="00E73F7B"/>
    <w:rsid w:val="00E745B7"/>
    <w:rsid w:val="00E7471C"/>
    <w:rsid w:val="00E74930"/>
    <w:rsid w:val="00E750A3"/>
    <w:rsid w:val="00E750EC"/>
    <w:rsid w:val="00E752CD"/>
    <w:rsid w:val="00E75344"/>
    <w:rsid w:val="00E75A44"/>
    <w:rsid w:val="00E76018"/>
    <w:rsid w:val="00E76112"/>
    <w:rsid w:val="00E768C2"/>
    <w:rsid w:val="00E769D1"/>
    <w:rsid w:val="00E76A74"/>
    <w:rsid w:val="00E76D9B"/>
    <w:rsid w:val="00E7700C"/>
    <w:rsid w:val="00E77470"/>
    <w:rsid w:val="00E7783E"/>
    <w:rsid w:val="00E80042"/>
    <w:rsid w:val="00E80090"/>
    <w:rsid w:val="00E800B2"/>
    <w:rsid w:val="00E800F9"/>
    <w:rsid w:val="00E805F3"/>
    <w:rsid w:val="00E80C90"/>
    <w:rsid w:val="00E81E33"/>
    <w:rsid w:val="00E81EC4"/>
    <w:rsid w:val="00E824BF"/>
    <w:rsid w:val="00E82938"/>
    <w:rsid w:val="00E830BB"/>
    <w:rsid w:val="00E836D1"/>
    <w:rsid w:val="00E8380D"/>
    <w:rsid w:val="00E844D0"/>
    <w:rsid w:val="00E848C1"/>
    <w:rsid w:val="00E84937"/>
    <w:rsid w:val="00E84BA6"/>
    <w:rsid w:val="00E84DA3"/>
    <w:rsid w:val="00E84E89"/>
    <w:rsid w:val="00E85307"/>
    <w:rsid w:val="00E85DA9"/>
    <w:rsid w:val="00E85EF5"/>
    <w:rsid w:val="00E85F04"/>
    <w:rsid w:val="00E8627A"/>
    <w:rsid w:val="00E862A7"/>
    <w:rsid w:val="00E862C0"/>
    <w:rsid w:val="00E8635B"/>
    <w:rsid w:val="00E86C0D"/>
    <w:rsid w:val="00E87125"/>
    <w:rsid w:val="00E871B1"/>
    <w:rsid w:val="00E871F1"/>
    <w:rsid w:val="00E874A1"/>
    <w:rsid w:val="00E874B3"/>
    <w:rsid w:val="00E876DE"/>
    <w:rsid w:val="00E877F8"/>
    <w:rsid w:val="00E8795E"/>
    <w:rsid w:val="00E87967"/>
    <w:rsid w:val="00E87AD4"/>
    <w:rsid w:val="00E87CDD"/>
    <w:rsid w:val="00E90059"/>
    <w:rsid w:val="00E9012E"/>
    <w:rsid w:val="00E90BEB"/>
    <w:rsid w:val="00E90EAF"/>
    <w:rsid w:val="00E90F34"/>
    <w:rsid w:val="00E9147D"/>
    <w:rsid w:val="00E91832"/>
    <w:rsid w:val="00E918DD"/>
    <w:rsid w:val="00E9199A"/>
    <w:rsid w:val="00E91DF2"/>
    <w:rsid w:val="00E92441"/>
    <w:rsid w:val="00E9258F"/>
    <w:rsid w:val="00E9398C"/>
    <w:rsid w:val="00E93BA0"/>
    <w:rsid w:val="00E93BC1"/>
    <w:rsid w:val="00E9408D"/>
    <w:rsid w:val="00E9426D"/>
    <w:rsid w:val="00E942BE"/>
    <w:rsid w:val="00E9479E"/>
    <w:rsid w:val="00E94A47"/>
    <w:rsid w:val="00E94B11"/>
    <w:rsid w:val="00E95707"/>
    <w:rsid w:val="00E95AC3"/>
    <w:rsid w:val="00E95CAB"/>
    <w:rsid w:val="00E95CD4"/>
    <w:rsid w:val="00E95E25"/>
    <w:rsid w:val="00E95F30"/>
    <w:rsid w:val="00E968B8"/>
    <w:rsid w:val="00E96B47"/>
    <w:rsid w:val="00E97101"/>
    <w:rsid w:val="00E9791F"/>
    <w:rsid w:val="00E979FD"/>
    <w:rsid w:val="00E97B6F"/>
    <w:rsid w:val="00E97DDD"/>
    <w:rsid w:val="00EA013A"/>
    <w:rsid w:val="00EA01FF"/>
    <w:rsid w:val="00EA05E0"/>
    <w:rsid w:val="00EA0868"/>
    <w:rsid w:val="00EA0A9F"/>
    <w:rsid w:val="00EA0F33"/>
    <w:rsid w:val="00EA1022"/>
    <w:rsid w:val="00EA104A"/>
    <w:rsid w:val="00EA13D2"/>
    <w:rsid w:val="00EA14BE"/>
    <w:rsid w:val="00EA1694"/>
    <w:rsid w:val="00EA1761"/>
    <w:rsid w:val="00EA18F1"/>
    <w:rsid w:val="00EA1AA2"/>
    <w:rsid w:val="00EA1B94"/>
    <w:rsid w:val="00EA1C10"/>
    <w:rsid w:val="00EA23F7"/>
    <w:rsid w:val="00EA25B4"/>
    <w:rsid w:val="00EA2623"/>
    <w:rsid w:val="00EA2630"/>
    <w:rsid w:val="00EA2BE7"/>
    <w:rsid w:val="00EA2D62"/>
    <w:rsid w:val="00EA2D6F"/>
    <w:rsid w:val="00EA2E20"/>
    <w:rsid w:val="00EA2F7D"/>
    <w:rsid w:val="00EA35BC"/>
    <w:rsid w:val="00EA3B1C"/>
    <w:rsid w:val="00EA3D4E"/>
    <w:rsid w:val="00EA427E"/>
    <w:rsid w:val="00EA42F9"/>
    <w:rsid w:val="00EA43B9"/>
    <w:rsid w:val="00EA4431"/>
    <w:rsid w:val="00EA47AF"/>
    <w:rsid w:val="00EA4843"/>
    <w:rsid w:val="00EA48D5"/>
    <w:rsid w:val="00EA4C34"/>
    <w:rsid w:val="00EA4F56"/>
    <w:rsid w:val="00EA527A"/>
    <w:rsid w:val="00EA55DA"/>
    <w:rsid w:val="00EA5B66"/>
    <w:rsid w:val="00EA5FC2"/>
    <w:rsid w:val="00EA672C"/>
    <w:rsid w:val="00EA6C49"/>
    <w:rsid w:val="00EA6E29"/>
    <w:rsid w:val="00EA6FAF"/>
    <w:rsid w:val="00EA7309"/>
    <w:rsid w:val="00EA77B4"/>
    <w:rsid w:val="00EA7863"/>
    <w:rsid w:val="00EA7928"/>
    <w:rsid w:val="00EA7C92"/>
    <w:rsid w:val="00EA7CA9"/>
    <w:rsid w:val="00EB0009"/>
    <w:rsid w:val="00EB01FC"/>
    <w:rsid w:val="00EB0A94"/>
    <w:rsid w:val="00EB0B1F"/>
    <w:rsid w:val="00EB0C55"/>
    <w:rsid w:val="00EB14FF"/>
    <w:rsid w:val="00EB1897"/>
    <w:rsid w:val="00EB1AC0"/>
    <w:rsid w:val="00EB1AE3"/>
    <w:rsid w:val="00EB1CA9"/>
    <w:rsid w:val="00EB2648"/>
    <w:rsid w:val="00EB2703"/>
    <w:rsid w:val="00EB34DC"/>
    <w:rsid w:val="00EB3AD2"/>
    <w:rsid w:val="00EB3BBB"/>
    <w:rsid w:val="00EB3D20"/>
    <w:rsid w:val="00EB3EFA"/>
    <w:rsid w:val="00EB3F14"/>
    <w:rsid w:val="00EB4527"/>
    <w:rsid w:val="00EB455D"/>
    <w:rsid w:val="00EB47A8"/>
    <w:rsid w:val="00EB52C8"/>
    <w:rsid w:val="00EB5466"/>
    <w:rsid w:val="00EB566D"/>
    <w:rsid w:val="00EB5869"/>
    <w:rsid w:val="00EB5FB8"/>
    <w:rsid w:val="00EB62CC"/>
    <w:rsid w:val="00EB6655"/>
    <w:rsid w:val="00EB6A44"/>
    <w:rsid w:val="00EB71CD"/>
    <w:rsid w:val="00EB71F8"/>
    <w:rsid w:val="00EC0124"/>
    <w:rsid w:val="00EC07B8"/>
    <w:rsid w:val="00EC0BDD"/>
    <w:rsid w:val="00EC0D96"/>
    <w:rsid w:val="00EC201A"/>
    <w:rsid w:val="00EC2575"/>
    <w:rsid w:val="00EC276B"/>
    <w:rsid w:val="00EC2805"/>
    <w:rsid w:val="00EC2927"/>
    <w:rsid w:val="00EC2B54"/>
    <w:rsid w:val="00EC2D91"/>
    <w:rsid w:val="00EC2F3C"/>
    <w:rsid w:val="00EC3385"/>
    <w:rsid w:val="00EC3508"/>
    <w:rsid w:val="00EC38DD"/>
    <w:rsid w:val="00EC3C52"/>
    <w:rsid w:val="00EC421A"/>
    <w:rsid w:val="00EC445F"/>
    <w:rsid w:val="00EC44FB"/>
    <w:rsid w:val="00EC47FE"/>
    <w:rsid w:val="00EC490A"/>
    <w:rsid w:val="00EC4A53"/>
    <w:rsid w:val="00EC5495"/>
    <w:rsid w:val="00EC574B"/>
    <w:rsid w:val="00EC5882"/>
    <w:rsid w:val="00EC5A48"/>
    <w:rsid w:val="00EC5AAE"/>
    <w:rsid w:val="00EC5CC2"/>
    <w:rsid w:val="00EC5D6D"/>
    <w:rsid w:val="00EC679E"/>
    <w:rsid w:val="00EC6CEE"/>
    <w:rsid w:val="00EC727F"/>
    <w:rsid w:val="00EC72E6"/>
    <w:rsid w:val="00EC78C3"/>
    <w:rsid w:val="00EC7D10"/>
    <w:rsid w:val="00EC7E67"/>
    <w:rsid w:val="00EC7EB9"/>
    <w:rsid w:val="00ED04AD"/>
    <w:rsid w:val="00ED0B2F"/>
    <w:rsid w:val="00ED0B96"/>
    <w:rsid w:val="00ED0D10"/>
    <w:rsid w:val="00ED1314"/>
    <w:rsid w:val="00ED1A17"/>
    <w:rsid w:val="00ED1A48"/>
    <w:rsid w:val="00ED1AC3"/>
    <w:rsid w:val="00ED22D8"/>
    <w:rsid w:val="00ED23CA"/>
    <w:rsid w:val="00ED2557"/>
    <w:rsid w:val="00ED25B9"/>
    <w:rsid w:val="00ED2651"/>
    <w:rsid w:val="00ED2B14"/>
    <w:rsid w:val="00ED323D"/>
    <w:rsid w:val="00ED36B1"/>
    <w:rsid w:val="00ED370A"/>
    <w:rsid w:val="00ED3BF6"/>
    <w:rsid w:val="00ED3F55"/>
    <w:rsid w:val="00ED4113"/>
    <w:rsid w:val="00ED4476"/>
    <w:rsid w:val="00ED4B15"/>
    <w:rsid w:val="00ED4E0B"/>
    <w:rsid w:val="00ED4E4E"/>
    <w:rsid w:val="00ED54F0"/>
    <w:rsid w:val="00ED550D"/>
    <w:rsid w:val="00ED574E"/>
    <w:rsid w:val="00ED61B9"/>
    <w:rsid w:val="00ED6303"/>
    <w:rsid w:val="00ED645E"/>
    <w:rsid w:val="00ED65D5"/>
    <w:rsid w:val="00ED663D"/>
    <w:rsid w:val="00ED66F6"/>
    <w:rsid w:val="00ED67E9"/>
    <w:rsid w:val="00ED69D0"/>
    <w:rsid w:val="00ED6B14"/>
    <w:rsid w:val="00ED7217"/>
    <w:rsid w:val="00ED756E"/>
    <w:rsid w:val="00ED787B"/>
    <w:rsid w:val="00ED7D2E"/>
    <w:rsid w:val="00ED7FE5"/>
    <w:rsid w:val="00ED7FEE"/>
    <w:rsid w:val="00EE0C69"/>
    <w:rsid w:val="00EE0DA6"/>
    <w:rsid w:val="00EE0FA7"/>
    <w:rsid w:val="00EE15D7"/>
    <w:rsid w:val="00EE1D4E"/>
    <w:rsid w:val="00EE2823"/>
    <w:rsid w:val="00EE2830"/>
    <w:rsid w:val="00EE2C35"/>
    <w:rsid w:val="00EE2F90"/>
    <w:rsid w:val="00EE304C"/>
    <w:rsid w:val="00EE3070"/>
    <w:rsid w:val="00EE322B"/>
    <w:rsid w:val="00EE3563"/>
    <w:rsid w:val="00EE35A7"/>
    <w:rsid w:val="00EE39A3"/>
    <w:rsid w:val="00EE3CA8"/>
    <w:rsid w:val="00EE3CDA"/>
    <w:rsid w:val="00EE3FE0"/>
    <w:rsid w:val="00EE53A1"/>
    <w:rsid w:val="00EE5768"/>
    <w:rsid w:val="00EE6475"/>
    <w:rsid w:val="00EE6F77"/>
    <w:rsid w:val="00EE6FA6"/>
    <w:rsid w:val="00EE704A"/>
    <w:rsid w:val="00EE7125"/>
    <w:rsid w:val="00EE7385"/>
    <w:rsid w:val="00EE75CB"/>
    <w:rsid w:val="00EE75EB"/>
    <w:rsid w:val="00EE7960"/>
    <w:rsid w:val="00EE7B16"/>
    <w:rsid w:val="00EF0274"/>
    <w:rsid w:val="00EF0CCD"/>
    <w:rsid w:val="00EF1063"/>
    <w:rsid w:val="00EF1385"/>
    <w:rsid w:val="00EF164F"/>
    <w:rsid w:val="00EF16AE"/>
    <w:rsid w:val="00EF196E"/>
    <w:rsid w:val="00EF1A16"/>
    <w:rsid w:val="00EF22F0"/>
    <w:rsid w:val="00EF2424"/>
    <w:rsid w:val="00EF29FF"/>
    <w:rsid w:val="00EF3390"/>
    <w:rsid w:val="00EF3655"/>
    <w:rsid w:val="00EF37C6"/>
    <w:rsid w:val="00EF3AA8"/>
    <w:rsid w:val="00EF3ADB"/>
    <w:rsid w:val="00EF493A"/>
    <w:rsid w:val="00EF4A69"/>
    <w:rsid w:val="00EF4B02"/>
    <w:rsid w:val="00EF4D83"/>
    <w:rsid w:val="00EF4F1E"/>
    <w:rsid w:val="00EF52C8"/>
    <w:rsid w:val="00EF5423"/>
    <w:rsid w:val="00EF56F5"/>
    <w:rsid w:val="00EF57B6"/>
    <w:rsid w:val="00EF59A1"/>
    <w:rsid w:val="00EF5A59"/>
    <w:rsid w:val="00EF5A5C"/>
    <w:rsid w:val="00EF5E79"/>
    <w:rsid w:val="00EF616C"/>
    <w:rsid w:val="00EF635E"/>
    <w:rsid w:val="00EF6A00"/>
    <w:rsid w:val="00EF6EDB"/>
    <w:rsid w:val="00EF734E"/>
    <w:rsid w:val="00EF7504"/>
    <w:rsid w:val="00EF7738"/>
    <w:rsid w:val="00EF78A5"/>
    <w:rsid w:val="00EF7FE0"/>
    <w:rsid w:val="00F00159"/>
    <w:rsid w:val="00F002A1"/>
    <w:rsid w:val="00F008DA"/>
    <w:rsid w:val="00F00B5B"/>
    <w:rsid w:val="00F00BD6"/>
    <w:rsid w:val="00F00DFD"/>
    <w:rsid w:val="00F00F22"/>
    <w:rsid w:val="00F01167"/>
    <w:rsid w:val="00F01895"/>
    <w:rsid w:val="00F02298"/>
    <w:rsid w:val="00F02357"/>
    <w:rsid w:val="00F02610"/>
    <w:rsid w:val="00F027CF"/>
    <w:rsid w:val="00F02C2C"/>
    <w:rsid w:val="00F03092"/>
    <w:rsid w:val="00F034F3"/>
    <w:rsid w:val="00F03530"/>
    <w:rsid w:val="00F037C5"/>
    <w:rsid w:val="00F03D38"/>
    <w:rsid w:val="00F04924"/>
    <w:rsid w:val="00F05270"/>
    <w:rsid w:val="00F0529C"/>
    <w:rsid w:val="00F058B7"/>
    <w:rsid w:val="00F05AA6"/>
    <w:rsid w:val="00F05FAA"/>
    <w:rsid w:val="00F060CB"/>
    <w:rsid w:val="00F06599"/>
    <w:rsid w:val="00F06CE3"/>
    <w:rsid w:val="00F06DB4"/>
    <w:rsid w:val="00F06F32"/>
    <w:rsid w:val="00F07133"/>
    <w:rsid w:val="00F071B9"/>
    <w:rsid w:val="00F0788D"/>
    <w:rsid w:val="00F07E00"/>
    <w:rsid w:val="00F1021D"/>
    <w:rsid w:val="00F108A2"/>
    <w:rsid w:val="00F10983"/>
    <w:rsid w:val="00F110B3"/>
    <w:rsid w:val="00F11121"/>
    <w:rsid w:val="00F1126A"/>
    <w:rsid w:val="00F11398"/>
    <w:rsid w:val="00F11BEC"/>
    <w:rsid w:val="00F11FE4"/>
    <w:rsid w:val="00F126D9"/>
    <w:rsid w:val="00F12760"/>
    <w:rsid w:val="00F12EA2"/>
    <w:rsid w:val="00F13362"/>
    <w:rsid w:val="00F13602"/>
    <w:rsid w:val="00F13731"/>
    <w:rsid w:val="00F13935"/>
    <w:rsid w:val="00F13A71"/>
    <w:rsid w:val="00F13B76"/>
    <w:rsid w:val="00F13E28"/>
    <w:rsid w:val="00F13F89"/>
    <w:rsid w:val="00F145D2"/>
    <w:rsid w:val="00F1477A"/>
    <w:rsid w:val="00F14897"/>
    <w:rsid w:val="00F14F04"/>
    <w:rsid w:val="00F14F9F"/>
    <w:rsid w:val="00F15150"/>
    <w:rsid w:val="00F154C2"/>
    <w:rsid w:val="00F15905"/>
    <w:rsid w:val="00F15E81"/>
    <w:rsid w:val="00F16147"/>
    <w:rsid w:val="00F165D1"/>
    <w:rsid w:val="00F1672E"/>
    <w:rsid w:val="00F16865"/>
    <w:rsid w:val="00F169C8"/>
    <w:rsid w:val="00F16A7E"/>
    <w:rsid w:val="00F16E1E"/>
    <w:rsid w:val="00F16ECB"/>
    <w:rsid w:val="00F1718C"/>
    <w:rsid w:val="00F175FB"/>
    <w:rsid w:val="00F1773A"/>
    <w:rsid w:val="00F17DD4"/>
    <w:rsid w:val="00F17F69"/>
    <w:rsid w:val="00F209DE"/>
    <w:rsid w:val="00F20E92"/>
    <w:rsid w:val="00F20F15"/>
    <w:rsid w:val="00F218E6"/>
    <w:rsid w:val="00F21B60"/>
    <w:rsid w:val="00F22529"/>
    <w:rsid w:val="00F22595"/>
    <w:rsid w:val="00F2263A"/>
    <w:rsid w:val="00F227B3"/>
    <w:rsid w:val="00F22B98"/>
    <w:rsid w:val="00F22D14"/>
    <w:rsid w:val="00F232E9"/>
    <w:rsid w:val="00F237DC"/>
    <w:rsid w:val="00F23A06"/>
    <w:rsid w:val="00F23C3D"/>
    <w:rsid w:val="00F23ECB"/>
    <w:rsid w:val="00F249F7"/>
    <w:rsid w:val="00F24EDE"/>
    <w:rsid w:val="00F24F0D"/>
    <w:rsid w:val="00F2524B"/>
    <w:rsid w:val="00F25ADB"/>
    <w:rsid w:val="00F25E40"/>
    <w:rsid w:val="00F26056"/>
    <w:rsid w:val="00F2636D"/>
    <w:rsid w:val="00F2657C"/>
    <w:rsid w:val="00F26807"/>
    <w:rsid w:val="00F26B9E"/>
    <w:rsid w:val="00F26C10"/>
    <w:rsid w:val="00F26F67"/>
    <w:rsid w:val="00F279D5"/>
    <w:rsid w:val="00F30405"/>
    <w:rsid w:val="00F304A5"/>
    <w:rsid w:val="00F30888"/>
    <w:rsid w:val="00F30ABD"/>
    <w:rsid w:val="00F30D6A"/>
    <w:rsid w:val="00F30EB8"/>
    <w:rsid w:val="00F30EE1"/>
    <w:rsid w:val="00F3126C"/>
    <w:rsid w:val="00F31493"/>
    <w:rsid w:val="00F319DB"/>
    <w:rsid w:val="00F31CFA"/>
    <w:rsid w:val="00F31FF4"/>
    <w:rsid w:val="00F322C3"/>
    <w:rsid w:val="00F324E1"/>
    <w:rsid w:val="00F32875"/>
    <w:rsid w:val="00F32BD9"/>
    <w:rsid w:val="00F32D45"/>
    <w:rsid w:val="00F32D7B"/>
    <w:rsid w:val="00F334B7"/>
    <w:rsid w:val="00F3356D"/>
    <w:rsid w:val="00F336D0"/>
    <w:rsid w:val="00F33FCE"/>
    <w:rsid w:val="00F341F6"/>
    <w:rsid w:val="00F34483"/>
    <w:rsid w:val="00F34696"/>
    <w:rsid w:val="00F346FF"/>
    <w:rsid w:val="00F347A4"/>
    <w:rsid w:val="00F3485F"/>
    <w:rsid w:val="00F3543F"/>
    <w:rsid w:val="00F35627"/>
    <w:rsid w:val="00F359B3"/>
    <w:rsid w:val="00F35DC2"/>
    <w:rsid w:val="00F365EA"/>
    <w:rsid w:val="00F36E8C"/>
    <w:rsid w:val="00F36F17"/>
    <w:rsid w:val="00F37139"/>
    <w:rsid w:val="00F37832"/>
    <w:rsid w:val="00F37B90"/>
    <w:rsid w:val="00F401D5"/>
    <w:rsid w:val="00F4029B"/>
    <w:rsid w:val="00F4070E"/>
    <w:rsid w:val="00F40966"/>
    <w:rsid w:val="00F40B9B"/>
    <w:rsid w:val="00F40CD8"/>
    <w:rsid w:val="00F417F4"/>
    <w:rsid w:val="00F419D3"/>
    <w:rsid w:val="00F41AB2"/>
    <w:rsid w:val="00F41ADB"/>
    <w:rsid w:val="00F41B49"/>
    <w:rsid w:val="00F41EC9"/>
    <w:rsid w:val="00F424FF"/>
    <w:rsid w:val="00F427BE"/>
    <w:rsid w:val="00F427DF"/>
    <w:rsid w:val="00F42A00"/>
    <w:rsid w:val="00F42A86"/>
    <w:rsid w:val="00F42E3E"/>
    <w:rsid w:val="00F42EA8"/>
    <w:rsid w:val="00F42F6A"/>
    <w:rsid w:val="00F42F9F"/>
    <w:rsid w:val="00F42FEE"/>
    <w:rsid w:val="00F430E0"/>
    <w:rsid w:val="00F4365E"/>
    <w:rsid w:val="00F438FE"/>
    <w:rsid w:val="00F43999"/>
    <w:rsid w:val="00F43CD4"/>
    <w:rsid w:val="00F43DE6"/>
    <w:rsid w:val="00F43E18"/>
    <w:rsid w:val="00F440C9"/>
    <w:rsid w:val="00F4432A"/>
    <w:rsid w:val="00F4473E"/>
    <w:rsid w:val="00F44AE1"/>
    <w:rsid w:val="00F44CE8"/>
    <w:rsid w:val="00F45065"/>
    <w:rsid w:val="00F451BB"/>
    <w:rsid w:val="00F45372"/>
    <w:rsid w:val="00F457D1"/>
    <w:rsid w:val="00F4595E"/>
    <w:rsid w:val="00F466B0"/>
    <w:rsid w:val="00F46E41"/>
    <w:rsid w:val="00F4771F"/>
    <w:rsid w:val="00F47E64"/>
    <w:rsid w:val="00F47F8E"/>
    <w:rsid w:val="00F50424"/>
    <w:rsid w:val="00F505B8"/>
    <w:rsid w:val="00F5086A"/>
    <w:rsid w:val="00F50B9E"/>
    <w:rsid w:val="00F50CDB"/>
    <w:rsid w:val="00F50ED9"/>
    <w:rsid w:val="00F51121"/>
    <w:rsid w:val="00F51405"/>
    <w:rsid w:val="00F5168E"/>
    <w:rsid w:val="00F51D00"/>
    <w:rsid w:val="00F51D45"/>
    <w:rsid w:val="00F51F0F"/>
    <w:rsid w:val="00F521A4"/>
    <w:rsid w:val="00F52F09"/>
    <w:rsid w:val="00F52FB1"/>
    <w:rsid w:val="00F533F0"/>
    <w:rsid w:val="00F5342F"/>
    <w:rsid w:val="00F5345D"/>
    <w:rsid w:val="00F536BE"/>
    <w:rsid w:val="00F53BC5"/>
    <w:rsid w:val="00F53CEE"/>
    <w:rsid w:val="00F54301"/>
    <w:rsid w:val="00F5447B"/>
    <w:rsid w:val="00F54549"/>
    <w:rsid w:val="00F54DCC"/>
    <w:rsid w:val="00F54ED8"/>
    <w:rsid w:val="00F54F18"/>
    <w:rsid w:val="00F5535B"/>
    <w:rsid w:val="00F553E6"/>
    <w:rsid w:val="00F5580F"/>
    <w:rsid w:val="00F55B72"/>
    <w:rsid w:val="00F55DB7"/>
    <w:rsid w:val="00F55E38"/>
    <w:rsid w:val="00F55E8B"/>
    <w:rsid w:val="00F5626C"/>
    <w:rsid w:val="00F5628B"/>
    <w:rsid w:val="00F56A78"/>
    <w:rsid w:val="00F56D5F"/>
    <w:rsid w:val="00F57DF1"/>
    <w:rsid w:val="00F57E9E"/>
    <w:rsid w:val="00F6025D"/>
    <w:rsid w:val="00F60540"/>
    <w:rsid w:val="00F6065B"/>
    <w:rsid w:val="00F6068B"/>
    <w:rsid w:val="00F60812"/>
    <w:rsid w:val="00F6092B"/>
    <w:rsid w:val="00F609A4"/>
    <w:rsid w:val="00F60FDF"/>
    <w:rsid w:val="00F61588"/>
    <w:rsid w:val="00F61591"/>
    <w:rsid w:val="00F61657"/>
    <w:rsid w:val="00F619E2"/>
    <w:rsid w:val="00F62342"/>
    <w:rsid w:val="00F623CB"/>
    <w:rsid w:val="00F6243A"/>
    <w:rsid w:val="00F6268B"/>
    <w:rsid w:val="00F62691"/>
    <w:rsid w:val="00F62AB8"/>
    <w:rsid w:val="00F62F19"/>
    <w:rsid w:val="00F62FC6"/>
    <w:rsid w:val="00F630C5"/>
    <w:rsid w:val="00F63502"/>
    <w:rsid w:val="00F63723"/>
    <w:rsid w:val="00F6386A"/>
    <w:rsid w:val="00F638BF"/>
    <w:rsid w:val="00F63951"/>
    <w:rsid w:val="00F639DA"/>
    <w:rsid w:val="00F63E97"/>
    <w:rsid w:val="00F63F36"/>
    <w:rsid w:val="00F64150"/>
    <w:rsid w:val="00F6453E"/>
    <w:rsid w:val="00F648DD"/>
    <w:rsid w:val="00F64EAB"/>
    <w:rsid w:val="00F65502"/>
    <w:rsid w:val="00F65753"/>
    <w:rsid w:val="00F65B0A"/>
    <w:rsid w:val="00F65E3F"/>
    <w:rsid w:val="00F65FF2"/>
    <w:rsid w:val="00F66547"/>
    <w:rsid w:val="00F66D4C"/>
    <w:rsid w:val="00F6700D"/>
    <w:rsid w:val="00F6705D"/>
    <w:rsid w:val="00F6710C"/>
    <w:rsid w:val="00F67299"/>
    <w:rsid w:val="00F67355"/>
    <w:rsid w:val="00F6736B"/>
    <w:rsid w:val="00F678A7"/>
    <w:rsid w:val="00F678B6"/>
    <w:rsid w:val="00F67B9B"/>
    <w:rsid w:val="00F67DAB"/>
    <w:rsid w:val="00F67F82"/>
    <w:rsid w:val="00F7058B"/>
    <w:rsid w:val="00F70C6D"/>
    <w:rsid w:val="00F71124"/>
    <w:rsid w:val="00F7116E"/>
    <w:rsid w:val="00F71262"/>
    <w:rsid w:val="00F71753"/>
    <w:rsid w:val="00F71E4B"/>
    <w:rsid w:val="00F720A3"/>
    <w:rsid w:val="00F72871"/>
    <w:rsid w:val="00F72872"/>
    <w:rsid w:val="00F7297F"/>
    <w:rsid w:val="00F72CD9"/>
    <w:rsid w:val="00F7303D"/>
    <w:rsid w:val="00F732F9"/>
    <w:rsid w:val="00F735F4"/>
    <w:rsid w:val="00F73773"/>
    <w:rsid w:val="00F73D97"/>
    <w:rsid w:val="00F74469"/>
    <w:rsid w:val="00F74DBD"/>
    <w:rsid w:val="00F75078"/>
    <w:rsid w:val="00F751E0"/>
    <w:rsid w:val="00F753F8"/>
    <w:rsid w:val="00F75546"/>
    <w:rsid w:val="00F756B0"/>
    <w:rsid w:val="00F7598D"/>
    <w:rsid w:val="00F760EF"/>
    <w:rsid w:val="00F7619D"/>
    <w:rsid w:val="00F76364"/>
    <w:rsid w:val="00F76E5A"/>
    <w:rsid w:val="00F76EBF"/>
    <w:rsid w:val="00F76F3C"/>
    <w:rsid w:val="00F76F7A"/>
    <w:rsid w:val="00F76FB3"/>
    <w:rsid w:val="00F77066"/>
    <w:rsid w:val="00F7717A"/>
    <w:rsid w:val="00F7755E"/>
    <w:rsid w:val="00F77630"/>
    <w:rsid w:val="00F77697"/>
    <w:rsid w:val="00F77DB4"/>
    <w:rsid w:val="00F77F47"/>
    <w:rsid w:val="00F80690"/>
    <w:rsid w:val="00F80767"/>
    <w:rsid w:val="00F80841"/>
    <w:rsid w:val="00F80C41"/>
    <w:rsid w:val="00F813E4"/>
    <w:rsid w:val="00F8182A"/>
    <w:rsid w:val="00F81971"/>
    <w:rsid w:val="00F81AFD"/>
    <w:rsid w:val="00F81DC1"/>
    <w:rsid w:val="00F8237E"/>
    <w:rsid w:val="00F82ACF"/>
    <w:rsid w:val="00F83162"/>
    <w:rsid w:val="00F83322"/>
    <w:rsid w:val="00F83821"/>
    <w:rsid w:val="00F83854"/>
    <w:rsid w:val="00F838F8"/>
    <w:rsid w:val="00F83A74"/>
    <w:rsid w:val="00F83A89"/>
    <w:rsid w:val="00F83C58"/>
    <w:rsid w:val="00F83D74"/>
    <w:rsid w:val="00F83D8B"/>
    <w:rsid w:val="00F84697"/>
    <w:rsid w:val="00F84D08"/>
    <w:rsid w:val="00F84EDE"/>
    <w:rsid w:val="00F85057"/>
    <w:rsid w:val="00F85A9E"/>
    <w:rsid w:val="00F85B29"/>
    <w:rsid w:val="00F85D0E"/>
    <w:rsid w:val="00F86052"/>
    <w:rsid w:val="00F86057"/>
    <w:rsid w:val="00F860C6"/>
    <w:rsid w:val="00F86103"/>
    <w:rsid w:val="00F8646D"/>
    <w:rsid w:val="00F86C58"/>
    <w:rsid w:val="00F87E7A"/>
    <w:rsid w:val="00F87F9A"/>
    <w:rsid w:val="00F90156"/>
    <w:rsid w:val="00F90583"/>
    <w:rsid w:val="00F90BAA"/>
    <w:rsid w:val="00F90EA1"/>
    <w:rsid w:val="00F90F4D"/>
    <w:rsid w:val="00F913ED"/>
    <w:rsid w:val="00F91893"/>
    <w:rsid w:val="00F91DF3"/>
    <w:rsid w:val="00F91E13"/>
    <w:rsid w:val="00F9208F"/>
    <w:rsid w:val="00F9213E"/>
    <w:rsid w:val="00F92346"/>
    <w:rsid w:val="00F92B14"/>
    <w:rsid w:val="00F92E88"/>
    <w:rsid w:val="00F93667"/>
    <w:rsid w:val="00F93782"/>
    <w:rsid w:val="00F93D47"/>
    <w:rsid w:val="00F93FDF"/>
    <w:rsid w:val="00F94293"/>
    <w:rsid w:val="00F94AE2"/>
    <w:rsid w:val="00F94D8F"/>
    <w:rsid w:val="00F95633"/>
    <w:rsid w:val="00F95672"/>
    <w:rsid w:val="00F95749"/>
    <w:rsid w:val="00F95F44"/>
    <w:rsid w:val="00F964DE"/>
    <w:rsid w:val="00F966CA"/>
    <w:rsid w:val="00F971B5"/>
    <w:rsid w:val="00F97551"/>
    <w:rsid w:val="00F9779A"/>
    <w:rsid w:val="00F9797C"/>
    <w:rsid w:val="00F97E8C"/>
    <w:rsid w:val="00FA0146"/>
    <w:rsid w:val="00FA01CD"/>
    <w:rsid w:val="00FA0286"/>
    <w:rsid w:val="00FA0B99"/>
    <w:rsid w:val="00FA0C9B"/>
    <w:rsid w:val="00FA10B6"/>
    <w:rsid w:val="00FA114C"/>
    <w:rsid w:val="00FA18E2"/>
    <w:rsid w:val="00FA1975"/>
    <w:rsid w:val="00FA1CB9"/>
    <w:rsid w:val="00FA1E20"/>
    <w:rsid w:val="00FA1F48"/>
    <w:rsid w:val="00FA221E"/>
    <w:rsid w:val="00FA22D5"/>
    <w:rsid w:val="00FA250B"/>
    <w:rsid w:val="00FA2B97"/>
    <w:rsid w:val="00FA2BBA"/>
    <w:rsid w:val="00FA2D3A"/>
    <w:rsid w:val="00FA3786"/>
    <w:rsid w:val="00FA3959"/>
    <w:rsid w:val="00FA39E9"/>
    <w:rsid w:val="00FA3DB2"/>
    <w:rsid w:val="00FA3E39"/>
    <w:rsid w:val="00FA4189"/>
    <w:rsid w:val="00FA42FC"/>
    <w:rsid w:val="00FA4670"/>
    <w:rsid w:val="00FA46AE"/>
    <w:rsid w:val="00FA48FD"/>
    <w:rsid w:val="00FA4BD8"/>
    <w:rsid w:val="00FA4D30"/>
    <w:rsid w:val="00FA54D1"/>
    <w:rsid w:val="00FA57C3"/>
    <w:rsid w:val="00FA6357"/>
    <w:rsid w:val="00FA6366"/>
    <w:rsid w:val="00FA67F4"/>
    <w:rsid w:val="00FA683D"/>
    <w:rsid w:val="00FA68E4"/>
    <w:rsid w:val="00FA6C77"/>
    <w:rsid w:val="00FA6E94"/>
    <w:rsid w:val="00FA6EE4"/>
    <w:rsid w:val="00FA712B"/>
    <w:rsid w:val="00FA72AA"/>
    <w:rsid w:val="00FA7B6B"/>
    <w:rsid w:val="00FA7C40"/>
    <w:rsid w:val="00FA7EC2"/>
    <w:rsid w:val="00FA7F89"/>
    <w:rsid w:val="00FB0E53"/>
    <w:rsid w:val="00FB11A7"/>
    <w:rsid w:val="00FB13DE"/>
    <w:rsid w:val="00FB168D"/>
    <w:rsid w:val="00FB21EE"/>
    <w:rsid w:val="00FB24A5"/>
    <w:rsid w:val="00FB2609"/>
    <w:rsid w:val="00FB2D67"/>
    <w:rsid w:val="00FB2D84"/>
    <w:rsid w:val="00FB34AE"/>
    <w:rsid w:val="00FB358A"/>
    <w:rsid w:val="00FB3604"/>
    <w:rsid w:val="00FB362B"/>
    <w:rsid w:val="00FB37C8"/>
    <w:rsid w:val="00FB3842"/>
    <w:rsid w:val="00FB3EE7"/>
    <w:rsid w:val="00FB3F78"/>
    <w:rsid w:val="00FB40AE"/>
    <w:rsid w:val="00FB4475"/>
    <w:rsid w:val="00FB467E"/>
    <w:rsid w:val="00FB4BB4"/>
    <w:rsid w:val="00FB4F61"/>
    <w:rsid w:val="00FB50CB"/>
    <w:rsid w:val="00FB5223"/>
    <w:rsid w:val="00FB52F6"/>
    <w:rsid w:val="00FB59AE"/>
    <w:rsid w:val="00FB5B19"/>
    <w:rsid w:val="00FB5DA8"/>
    <w:rsid w:val="00FB62BA"/>
    <w:rsid w:val="00FB637E"/>
    <w:rsid w:val="00FB64A3"/>
    <w:rsid w:val="00FB65B6"/>
    <w:rsid w:val="00FB69AB"/>
    <w:rsid w:val="00FB6E26"/>
    <w:rsid w:val="00FB70FC"/>
    <w:rsid w:val="00FB76E8"/>
    <w:rsid w:val="00FB7976"/>
    <w:rsid w:val="00FB7BAA"/>
    <w:rsid w:val="00FC016D"/>
    <w:rsid w:val="00FC0267"/>
    <w:rsid w:val="00FC0268"/>
    <w:rsid w:val="00FC0467"/>
    <w:rsid w:val="00FC04C9"/>
    <w:rsid w:val="00FC05CC"/>
    <w:rsid w:val="00FC05EE"/>
    <w:rsid w:val="00FC0EF4"/>
    <w:rsid w:val="00FC1021"/>
    <w:rsid w:val="00FC13A2"/>
    <w:rsid w:val="00FC15D9"/>
    <w:rsid w:val="00FC17F7"/>
    <w:rsid w:val="00FC1E45"/>
    <w:rsid w:val="00FC1FAE"/>
    <w:rsid w:val="00FC20B0"/>
    <w:rsid w:val="00FC21C7"/>
    <w:rsid w:val="00FC2BC6"/>
    <w:rsid w:val="00FC2F6F"/>
    <w:rsid w:val="00FC32AB"/>
    <w:rsid w:val="00FC3428"/>
    <w:rsid w:val="00FC3592"/>
    <w:rsid w:val="00FC39DF"/>
    <w:rsid w:val="00FC3BA5"/>
    <w:rsid w:val="00FC3BE9"/>
    <w:rsid w:val="00FC3D55"/>
    <w:rsid w:val="00FC44A0"/>
    <w:rsid w:val="00FC44E2"/>
    <w:rsid w:val="00FC486F"/>
    <w:rsid w:val="00FC49BA"/>
    <w:rsid w:val="00FC4B99"/>
    <w:rsid w:val="00FC4FED"/>
    <w:rsid w:val="00FC5119"/>
    <w:rsid w:val="00FC51D6"/>
    <w:rsid w:val="00FC53C1"/>
    <w:rsid w:val="00FC54D0"/>
    <w:rsid w:val="00FC55FB"/>
    <w:rsid w:val="00FC567C"/>
    <w:rsid w:val="00FC5BAD"/>
    <w:rsid w:val="00FC5BD5"/>
    <w:rsid w:val="00FC62EB"/>
    <w:rsid w:val="00FC6719"/>
    <w:rsid w:val="00FC6ADB"/>
    <w:rsid w:val="00FC6E29"/>
    <w:rsid w:val="00FC75AC"/>
    <w:rsid w:val="00FC77CF"/>
    <w:rsid w:val="00FC77D1"/>
    <w:rsid w:val="00FC7CC3"/>
    <w:rsid w:val="00FD0575"/>
    <w:rsid w:val="00FD0B17"/>
    <w:rsid w:val="00FD1000"/>
    <w:rsid w:val="00FD1204"/>
    <w:rsid w:val="00FD1329"/>
    <w:rsid w:val="00FD195E"/>
    <w:rsid w:val="00FD2070"/>
    <w:rsid w:val="00FD2457"/>
    <w:rsid w:val="00FD30FB"/>
    <w:rsid w:val="00FD326D"/>
    <w:rsid w:val="00FD3636"/>
    <w:rsid w:val="00FD3BE7"/>
    <w:rsid w:val="00FD41A9"/>
    <w:rsid w:val="00FD48C6"/>
    <w:rsid w:val="00FD48CE"/>
    <w:rsid w:val="00FD48E9"/>
    <w:rsid w:val="00FD4FDD"/>
    <w:rsid w:val="00FD513E"/>
    <w:rsid w:val="00FD5401"/>
    <w:rsid w:val="00FD5587"/>
    <w:rsid w:val="00FD56A3"/>
    <w:rsid w:val="00FD5A65"/>
    <w:rsid w:val="00FD5BC3"/>
    <w:rsid w:val="00FD5BF3"/>
    <w:rsid w:val="00FD5CD9"/>
    <w:rsid w:val="00FD5FB8"/>
    <w:rsid w:val="00FD613C"/>
    <w:rsid w:val="00FD657C"/>
    <w:rsid w:val="00FD691A"/>
    <w:rsid w:val="00FD6FA8"/>
    <w:rsid w:val="00FD6FAE"/>
    <w:rsid w:val="00FD70AD"/>
    <w:rsid w:val="00FD7609"/>
    <w:rsid w:val="00FD7658"/>
    <w:rsid w:val="00FD7B4D"/>
    <w:rsid w:val="00FE0180"/>
    <w:rsid w:val="00FE01C6"/>
    <w:rsid w:val="00FE02ED"/>
    <w:rsid w:val="00FE0350"/>
    <w:rsid w:val="00FE088C"/>
    <w:rsid w:val="00FE08C4"/>
    <w:rsid w:val="00FE0ED0"/>
    <w:rsid w:val="00FE122E"/>
    <w:rsid w:val="00FE1778"/>
    <w:rsid w:val="00FE17C6"/>
    <w:rsid w:val="00FE1840"/>
    <w:rsid w:val="00FE1DF3"/>
    <w:rsid w:val="00FE1F26"/>
    <w:rsid w:val="00FE2221"/>
    <w:rsid w:val="00FE24D6"/>
    <w:rsid w:val="00FE2A0B"/>
    <w:rsid w:val="00FE32FE"/>
    <w:rsid w:val="00FE378F"/>
    <w:rsid w:val="00FE3A56"/>
    <w:rsid w:val="00FE3BE9"/>
    <w:rsid w:val="00FE3C59"/>
    <w:rsid w:val="00FE3F90"/>
    <w:rsid w:val="00FE414F"/>
    <w:rsid w:val="00FE41AE"/>
    <w:rsid w:val="00FE42F9"/>
    <w:rsid w:val="00FE4A91"/>
    <w:rsid w:val="00FE4C34"/>
    <w:rsid w:val="00FE4E99"/>
    <w:rsid w:val="00FE4F64"/>
    <w:rsid w:val="00FE5321"/>
    <w:rsid w:val="00FE5B59"/>
    <w:rsid w:val="00FE5D89"/>
    <w:rsid w:val="00FE5FAD"/>
    <w:rsid w:val="00FE60E9"/>
    <w:rsid w:val="00FE6228"/>
    <w:rsid w:val="00FE6404"/>
    <w:rsid w:val="00FE6651"/>
    <w:rsid w:val="00FE670C"/>
    <w:rsid w:val="00FE6F32"/>
    <w:rsid w:val="00FE7099"/>
    <w:rsid w:val="00FE7163"/>
    <w:rsid w:val="00FE71EF"/>
    <w:rsid w:val="00FE7791"/>
    <w:rsid w:val="00FE77C6"/>
    <w:rsid w:val="00FE786E"/>
    <w:rsid w:val="00FE796F"/>
    <w:rsid w:val="00FF0018"/>
    <w:rsid w:val="00FF03CA"/>
    <w:rsid w:val="00FF03D9"/>
    <w:rsid w:val="00FF0528"/>
    <w:rsid w:val="00FF05C8"/>
    <w:rsid w:val="00FF08A8"/>
    <w:rsid w:val="00FF0A8F"/>
    <w:rsid w:val="00FF0DA1"/>
    <w:rsid w:val="00FF0DE2"/>
    <w:rsid w:val="00FF1D73"/>
    <w:rsid w:val="00FF20C0"/>
    <w:rsid w:val="00FF2271"/>
    <w:rsid w:val="00FF288E"/>
    <w:rsid w:val="00FF2899"/>
    <w:rsid w:val="00FF2C90"/>
    <w:rsid w:val="00FF356A"/>
    <w:rsid w:val="00FF3DDE"/>
    <w:rsid w:val="00FF3E2C"/>
    <w:rsid w:val="00FF3F3E"/>
    <w:rsid w:val="00FF43DA"/>
    <w:rsid w:val="00FF4592"/>
    <w:rsid w:val="00FF475C"/>
    <w:rsid w:val="00FF4A69"/>
    <w:rsid w:val="00FF4B3B"/>
    <w:rsid w:val="00FF4DB8"/>
    <w:rsid w:val="00FF515D"/>
    <w:rsid w:val="00FF5283"/>
    <w:rsid w:val="00FF52DE"/>
    <w:rsid w:val="00FF579A"/>
    <w:rsid w:val="00FF5B1B"/>
    <w:rsid w:val="00FF5CCC"/>
    <w:rsid w:val="00FF5E8C"/>
    <w:rsid w:val="00FF669C"/>
    <w:rsid w:val="00FF679D"/>
    <w:rsid w:val="00FF67C8"/>
    <w:rsid w:val="00FF6892"/>
    <w:rsid w:val="00FF6BF8"/>
    <w:rsid w:val="00FF6FA6"/>
    <w:rsid w:val="00FF73D8"/>
    <w:rsid w:val="00FF7856"/>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E249F"/>
  <w15:docId w15:val="{1FF849E5-19BF-47B7-BCDA-23FBCB403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5" w:qFormat="1"/>
    <w:lsdException w:name="heading 3" w:locked="0" w:uiPriority="9" w:qFormat="1"/>
    <w:lsdException w:name="heading 4" w:uiPriority="6"/>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semiHidden="1" w:unhideWhenUsed="1"/>
    <w:lsdException w:name="footer" w:locked="0" w:semiHidden="1" w:uiPriority="14" w:unhideWhenUsed="1"/>
    <w:lsdException w:name="index heading" w:semiHidden="1" w:unhideWhenUsed="1"/>
    <w:lsdException w:name="caption" w:semiHidden="1" w:uiPriority="8" w:unhideWhenUsed="1" w:qFormat="1"/>
    <w:lsdException w:name="table of figures" w:locked="0" w:semiHidden="1" w:unhideWhenUsed="1"/>
    <w:lsdException w:name="envelope address" w:semiHidden="1" w:uiPriority="0" w:unhideWhenUsed="1"/>
    <w:lsdException w:name="envelope return" w:semiHidden="1" w:uiPriority="0" w:unhideWhenUsed="1"/>
    <w:lsdException w:name="footnote reference" w:locked="0"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0"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A5CDC"/>
    <w:pPr>
      <w:spacing w:before="120" w:after="120"/>
    </w:pPr>
    <w:rPr>
      <w:rFonts w:asciiTheme="minorHAnsi" w:hAnsiTheme="minorHAnsi"/>
      <w:sz w:val="22"/>
      <w:szCs w:val="24"/>
    </w:rPr>
  </w:style>
  <w:style w:type="paragraph" w:styleId="Heading1">
    <w:name w:val="heading 1"/>
    <w:basedOn w:val="Normal"/>
    <w:next w:val="Normal"/>
    <w:link w:val="Heading1Char"/>
    <w:uiPriority w:val="9"/>
    <w:qFormat/>
    <w:rsid w:val="00017A53"/>
    <w:pPr>
      <w:keepNext/>
      <w:pageBreakBefore/>
      <w:numPr>
        <w:numId w:val="39"/>
      </w:numPr>
      <w:pBdr>
        <w:bottom w:val="single" w:sz="16" w:space="11" w:color="BFBFBF"/>
      </w:pBdr>
      <w:autoSpaceDE w:val="0"/>
      <w:autoSpaceDN w:val="0"/>
      <w:adjustRightInd w:val="0"/>
      <w:spacing w:before="240"/>
      <w:ind w:left="431" w:hanging="431"/>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uiPriority w:val="5"/>
    <w:qFormat/>
    <w:rsid w:val="00DF09CD"/>
    <w:pPr>
      <w:keepNext/>
      <w:numPr>
        <w:ilvl w:val="1"/>
        <w:numId w:val="39"/>
      </w:numPr>
      <w:outlineLvl w:val="1"/>
    </w:pPr>
    <w:rPr>
      <w:rFonts w:eastAsiaTheme="minorHAnsi" w:cs="Arial"/>
      <w:b/>
      <w:bCs/>
      <w:iCs/>
      <w:color w:val="01653F"/>
      <w:sz w:val="26"/>
      <w:szCs w:val="26"/>
      <w:lang w:val="en-US" w:eastAsia="en-US"/>
    </w:rPr>
  </w:style>
  <w:style w:type="paragraph" w:styleId="Heading3">
    <w:name w:val="heading 3"/>
    <w:basedOn w:val="Normal"/>
    <w:next w:val="Normal"/>
    <w:link w:val="Heading3Char"/>
    <w:uiPriority w:val="9"/>
    <w:qFormat/>
    <w:rsid w:val="00B5790E"/>
    <w:pPr>
      <w:keepNext/>
      <w:numPr>
        <w:ilvl w:val="2"/>
        <w:numId w:val="39"/>
      </w:numPr>
      <w:outlineLvl w:val="2"/>
    </w:pPr>
    <w:rPr>
      <w:rFonts w:eastAsiaTheme="minorHAnsi" w:cs="Arial"/>
      <w:b/>
      <w:bCs/>
      <w:sz w:val="24"/>
      <w:szCs w:val="26"/>
      <w:lang w:val="en-US" w:eastAsia="en-US"/>
    </w:rPr>
  </w:style>
  <w:style w:type="paragraph" w:styleId="Heading4">
    <w:name w:val="heading 4"/>
    <w:basedOn w:val="Heading3"/>
    <w:next w:val="Normal"/>
    <w:link w:val="Heading4Char"/>
    <w:uiPriority w:val="6"/>
    <w:locked/>
    <w:rsid w:val="004632FD"/>
    <w:pPr>
      <w:numPr>
        <w:ilvl w:val="3"/>
      </w:numPr>
      <w:outlineLvl w:val="3"/>
    </w:pPr>
    <w:rPr>
      <w:b w:val="0"/>
      <w:sz w:val="22"/>
    </w:rPr>
  </w:style>
  <w:style w:type="paragraph" w:styleId="Heading5">
    <w:name w:val="heading 5"/>
    <w:basedOn w:val="Normal"/>
    <w:next w:val="Normal"/>
    <w:link w:val="Heading5Char"/>
    <w:uiPriority w:val="99"/>
    <w:qFormat/>
    <w:locked/>
    <w:rsid w:val="00E2102F"/>
    <w:pPr>
      <w:numPr>
        <w:ilvl w:val="4"/>
        <w:numId w:val="39"/>
      </w:num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uiPriority w:val="99"/>
    <w:qFormat/>
    <w:locked/>
    <w:rsid w:val="00E2102F"/>
    <w:pPr>
      <w:numPr>
        <w:ilvl w:val="5"/>
        <w:numId w:val="39"/>
      </w:num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numPr>
        <w:ilvl w:val="6"/>
        <w:numId w:val="39"/>
      </w:numPr>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numPr>
        <w:ilvl w:val="7"/>
        <w:numId w:val="39"/>
      </w:numPr>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numPr>
        <w:ilvl w:val="8"/>
        <w:numId w:val="39"/>
      </w:numPr>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8"/>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6"/>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8A5CDC"/>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rPr>
        <w:rFonts w:ascii="Arial" w:hAnsi="Arial"/>
        <w:b/>
        <w:sz w:val="22"/>
      </w:rPr>
    </w:tblStylePr>
  </w:style>
  <w:style w:type="paragraph" w:styleId="FootnoteText">
    <w:name w:val="footnote text"/>
    <w:basedOn w:val="Normal"/>
    <w:link w:val="FootnoteTextChar"/>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rsid w:val="00D95B8C"/>
    <w:rPr>
      <w:rFonts w:asciiTheme="minorHAnsi" w:eastAsiaTheme="minorHAnsi" w:hAnsiTheme="minorHAnsi" w:cs="Arial"/>
    </w:rPr>
  </w:style>
  <w:style w:type="character" w:styleId="FootnoteReference">
    <w:name w:val="footnote reference"/>
    <w:qFormat/>
    <w:rsid w:val="00AF127F"/>
    <w:rPr>
      <w:vertAlign w:val="superscript"/>
    </w:rPr>
  </w:style>
  <w:style w:type="paragraph" w:styleId="TOCHeading">
    <w:name w:val="TOC Heading"/>
    <w:basedOn w:val="Heading1"/>
    <w:next w:val="Normal"/>
    <w:uiPriority w:val="39"/>
    <w:unhideWhenUsed/>
    <w:qFormat/>
    <w:rsid w:val="009A7BA2"/>
    <w:pPr>
      <w:keepNext w:val="0"/>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300461"/>
    <w:pPr>
      <w:tabs>
        <w:tab w:val="left" w:pos="440"/>
        <w:tab w:val="left" w:pos="567"/>
        <w:tab w:val="right" w:leader="dot" w:pos="8302"/>
      </w:tabs>
      <w:spacing w:after="0"/>
      <w:ind w:left="851" w:hanging="851"/>
    </w:pPr>
    <w:rPr>
      <w:b/>
      <w:noProof/>
      <w:szCs w:val="22"/>
    </w:rPr>
  </w:style>
  <w:style w:type="paragraph" w:styleId="TOC2">
    <w:name w:val="toc 2"/>
    <w:basedOn w:val="Normal"/>
    <w:next w:val="Normal"/>
    <w:autoRedefine/>
    <w:uiPriority w:val="39"/>
    <w:qFormat/>
    <w:rsid w:val="00300461"/>
    <w:pPr>
      <w:tabs>
        <w:tab w:val="left" w:pos="851"/>
        <w:tab w:val="right" w:leader="dot" w:pos="8302"/>
      </w:tabs>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8"/>
    <w:unhideWhenUsed/>
    <w:qFormat/>
    <w:locked/>
    <w:rsid w:val="00B03730"/>
    <w:pPr>
      <w:keepNext/>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E06573"/>
    <w:pPr>
      <w:spacing w:before="0" w:after="0"/>
      <w:ind w:left="442" w:right="284" w:hanging="442"/>
    </w:pPr>
    <w:rPr>
      <w:sz w:val="20"/>
      <w:szCs w:val="20"/>
    </w:rPr>
  </w:style>
  <w:style w:type="paragraph" w:styleId="TOC3">
    <w:name w:val="toc 3"/>
    <w:basedOn w:val="TOC2"/>
    <w:next w:val="Normal"/>
    <w:autoRedefine/>
    <w:uiPriority w:val="39"/>
    <w:qFormat/>
    <w:rsid w:val="009932DE"/>
    <w:pPr>
      <w:ind w:left="1474" w:right="113"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unhideWhenUsed/>
    <w:locked/>
    <w:rsid w:val="00E61DE6"/>
    <w:rPr>
      <w:b/>
      <w:bCs/>
      <w:sz w:val="20"/>
      <w:szCs w:val="20"/>
    </w:rPr>
  </w:style>
  <w:style w:type="character" w:customStyle="1" w:styleId="CommentSubjectChar">
    <w:name w:val="Comment Subject Char"/>
    <w:basedOn w:val="DefaultParagraphFont"/>
    <w:link w:val="CommentSubject"/>
    <w:rsid w:val="00E61DE6"/>
    <w:rPr>
      <w:rFonts w:ascii="Arial" w:hAnsi="Arial"/>
      <w:b/>
      <w:bCs/>
    </w:rPr>
  </w:style>
  <w:style w:type="table" w:customStyle="1" w:styleId="TableGrid2">
    <w:name w:val="Table Grid2"/>
    <w:basedOn w:val="TableNormal"/>
    <w:next w:val="TableGrid"/>
    <w:locked/>
    <w:rsid w:val="00BB13A2"/>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customStyle="1" w:styleId="02dash">
    <w:name w:val="02 dash"/>
    <w:basedOn w:val="Normal"/>
    <w:link w:val="02dashChar"/>
    <w:uiPriority w:val="4"/>
    <w:qFormat/>
    <w:locked/>
    <w:rsid w:val="00525974"/>
    <w:pPr>
      <w:numPr>
        <w:ilvl w:val="1"/>
      </w:numPr>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E76A74"/>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unhideWhenUsed/>
    <w:locked/>
    <w:rsid w:val="0060697D"/>
    <w:pPr>
      <w:spacing w:before="0" w:after="0"/>
    </w:pPr>
    <w:rPr>
      <w:rFonts w:ascii="Times New Roman" w:hAnsi="Times New Roman"/>
      <w:sz w:val="24"/>
    </w:rPr>
  </w:style>
  <w:style w:type="character" w:customStyle="1" w:styleId="DocumentMapChar">
    <w:name w:val="Document Map Char"/>
    <w:basedOn w:val="DefaultParagraphFont"/>
    <w:link w:val="DocumentMap"/>
    <w:rsid w:val="0060697D"/>
    <w:rPr>
      <w:sz w:val="24"/>
      <w:szCs w:val="24"/>
    </w:rPr>
  </w:style>
  <w:style w:type="paragraph" w:customStyle="1" w:styleId="DNU3">
    <w:name w:val="DNU3"/>
    <w:basedOn w:val="Heading3Numbered"/>
    <w:uiPriority w:val="99"/>
    <w:locked/>
    <w:rsid w:val="00692C6A"/>
    <w:pPr>
      <w:spacing w:before="240"/>
      <w:ind w:left="0" w:firstLine="0"/>
      <w:outlineLvl w:val="3"/>
    </w:pPr>
    <w:rPr>
      <w:color w:val="016500"/>
    </w:rPr>
  </w:style>
  <w:style w:type="paragraph" w:customStyle="1" w:styleId="Bullet2">
    <w:name w:val="Bullet 2"/>
    <w:basedOn w:val="Normal"/>
    <w:link w:val="Bullet2Char"/>
    <w:qFormat/>
    <w:rsid w:val="003C7719"/>
    <w:pPr>
      <w:numPr>
        <w:numId w:val="11"/>
      </w:numPr>
      <w:ind w:right="142"/>
    </w:pPr>
    <w:rPr>
      <w:szCs w:val="20"/>
      <w:lang w:val="en-US" w:eastAsia="en-US"/>
    </w:rPr>
  </w:style>
  <w:style w:type="paragraph" w:styleId="ListContinue">
    <w:name w:val="List Continue"/>
    <w:basedOn w:val="Normal"/>
    <w:unhideWhenUsed/>
    <w:locked/>
    <w:rsid w:val="000869E6"/>
    <w:pPr>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jc w:val="center"/>
    </w:pPr>
    <w:rPr>
      <w:rFonts w:ascii="Arial" w:eastAsia="Times New Roman" w:hAnsi="Arial"/>
      <w:b w:val="0"/>
      <w:i/>
      <w:sz w:val="20"/>
      <w:szCs w:val="28"/>
      <w:lang w:val="en-AU" w:eastAsia="en-AU"/>
    </w:rPr>
  </w:style>
  <w:style w:type="character" w:customStyle="1" w:styleId="Heading3Char">
    <w:name w:val="Heading 3 Char"/>
    <w:basedOn w:val="DefaultParagraphFont"/>
    <w:link w:val="Heading3"/>
    <w:uiPriority w:val="9"/>
    <w:rsid w:val="00BC53AC"/>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0"/>
        <w:numId w:val="0"/>
      </w:numPr>
      <w:ind w:left="720" w:hanging="720"/>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2"/>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3"/>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pPr>
    <w:rPr>
      <w:rFonts w:cs="Arial"/>
      <w:sz w:val="17"/>
      <w:szCs w:val="17"/>
    </w:rPr>
  </w:style>
  <w:style w:type="paragraph" w:customStyle="1" w:styleId="EndNoteBibliography">
    <w:name w:val="EndNote Bibliography"/>
    <w:basedOn w:val="Normal"/>
    <w:link w:val="EndNoteBibliographyChar"/>
    <w:uiPriority w:val="14"/>
    <w:rsid w:val="00ED22D8"/>
    <w:pPr>
      <w:ind w:left="227" w:hanging="227"/>
    </w:pPr>
    <w:rPr>
      <w:rFonts w:ascii="Calibri" w:hAnsi="Calibri"/>
      <w:noProof/>
    </w:rPr>
  </w:style>
  <w:style w:type="character" w:customStyle="1" w:styleId="EndNoteBibliographyChar">
    <w:name w:val="EndNote Bibliography Char"/>
    <w:basedOn w:val="DefaultParagraphFont"/>
    <w:link w:val="EndNoteBibliography"/>
    <w:uiPriority w:val="14"/>
    <w:rsid w:val="00ED22D8"/>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4"/>
      </w:numPr>
    </w:pPr>
  </w:style>
  <w:style w:type="character" w:customStyle="1" w:styleId="Heading1Char">
    <w:name w:val="Heading 1 Char"/>
    <w:basedOn w:val="DefaultParagraphFont"/>
    <w:link w:val="Heading1"/>
    <w:uiPriority w:val="9"/>
    <w:rsid w:val="00017A53"/>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FB4BB4"/>
    <w:pPr>
      <w:numPr>
        <w:numId w:val="5"/>
      </w:numPr>
      <w:spacing w:after="120"/>
      <w:contextualSpacing w:val="0"/>
    </w:pPr>
  </w:style>
  <w:style w:type="character" w:customStyle="1" w:styleId="Bullet-greenChar">
    <w:name w:val="Bullet - green Char"/>
    <w:basedOn w:val="DefaultParagraphFont"/>
    <w:link w:val="Bullet-green"/>
    <w:uiPriority w:val="14"/>
    <w:rsid w:val="00FB4BB4"/>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B07301"/>
    <w:pPr>
      <w:spacing w:before="20" w:after="0"/>
    </w:pPr>
    <w:rPr>
      <w:sz w:val="20"/>
    </w:rPr>
  </w:style>
  <w:style w:type="character" w:customStyle="1" w:styleId="TabletextChar">
    <w:name w:val="Table text Char"/>
    <w:basedOn w:val="DefaultParagraphFont"/>
    <w:link w:val="Tabletext"/>
    <w:uiPriority w:val="11"/>
    <w:rsid w:val="00B07301"/>
    <w:rPr>
      <w:rFonts w:asciiTheme="minorHAnsi" w:hAnsiTheme="minorHAnsi"/>
      <w:szCs w:val="24"/>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7"/>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unhideWhenUsed/>
    <w:locked/>
    <w:rsid w:val="0000222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9"/>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0"/>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2"/>
      </w:numPr>
      <w:pBdr>
        <w:top w:val="single" w:sz="12" w:space="4" w:color="984806"/>
        <w:left w:val="single" w:sz="12" w:space="4" w:color="984806"/>
        <w:bottom w:val="single" w:sz="12" w:space="4" w:color="984806"/>
        <w:right w:val="single" w:sz="12" w:space="4" w:color="984806"/>
      </w:pBdr>
      <w:spacing w:before="0"/>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pPr>
    <w:rPr>
      <w:rFonts w:ascii="Calibri" w:hAnsi="Calibri"/>
      <w:color w:val="000000"/>
      <w:szCs w:val="20"/>
    </w:rPr>
  </w:style>
  <w:style w:type="paragraph" w:styleId="EndnoteText">
    <w:name w:val="endnote text"/>
    <w:basedOn w:val="Normal"/>
    <w:link w:val="EndnoteTextChar"/>
    <w:uiPriority w:val="99"/>
    <w:unhideWhenUsed/>
    <w:locked/>
    <w:rsid w:val="00B96C6E"/>
    <w:pPr>
      <w:spacing w:before="0" w:after="0"/>
    </w:pPr>
    <w:rPr>
      <w:rFonts w:ascii="Calibri" w:hAnsi="Calibri"/>
      <w:sz w:val="20"/>
      <w:szCs w:val="20"/>
    </w:rPr>
  </w:style>
  <w:style w:type="character" w:customStyle="1" w:styleId="EndnoteTextChar">
    <w:name w:val="Endnote Text Char"/>
    <w:basedOn w:val="DefaultParagraphFont"/>
    <w:link w:val="EndnoteText"/>
    <w:uiPriority w:val="99"/>
    <w:rsid w:val="00B96C6E"/>
    <w:rPr>
      <w:rFonts w:ascii="Calibri" w:hAnsi="Calibri"/>
    </w:rPr>
  </w:style>
  <w:style w:type="character" w:styleId="EndnoteReference">
    <w:name w:val="endnote reference"/>
    <w:basedOn w:val="DefaultParagraphFont"/>
    <w:uiPriority w:val="99"/>
    <w:unhideWhenUsed/>
    <w:locked/>
    <w:rsid w:val="000F6EE9"/>
    <w:rPr>
      <w:vertAlign w:val="superscript"/>
    </w:rPr>
  </w:style>
  <w:style w:type="paragraph" w:customStyle="1" w:styleId="Tableheading">
    <w:name w:val="Table heading"/>
    <w:link w:val="TableheadingChar"/>
    <w:uiPriority w:val="9"/>
    <w:qFormat/>
    <w:rsid w:val="000C5F9D"/>
    <w:rPr>
      <w:rFonts w:asciiTheme="minorHAnsi" w:eastAsiaTheme="minorHAnsi" w:hAnsiTheme="minorHAnsi" w:cstheme="minorHAnsi"/>
      <w:bCs/>
      <w:color w:val="FFFFFF" w:themeColor="background1"/>
      <w:sz w:val="22"/>
      <w:szCs w:val="22"/>
      <w:lang w:val="en-GB" w:eastAsia="en-US"/>
    </w:rPr>
  </w:style>
  <w:style w:type="character" w:customStyle="1" w:styleId="TableheadingChar">
    <w:name w:val="Table heading Char"/>
    <w:basedOn w:val="TabletextChar"/>
    <w:link w:val="Tableheading"/>
    <w:uiPriority w:val="9"/>
    <w:rsid w:val="000C5F9D"/>
    <w:rPr>
      <w:rFonts w:asciiTheme="minorHAnsi" w:eastAsiaTheme="minorHAnsi" w:hAnsiTheme="minorHAnsi" w:cstheme="minorHAnsi"/>
      <w:bCs/>
      <w:color w:val="FFFFFF" w:themeColor="background1"/>
      <w:sz w:val="22"/>
      <w:szCs w:val="22"/>
      <w:lang w:val="en-GB" w:eastAsia="en-US"/>
    </w:rPr>
  </w:style>
  <w:style w:type="paragraph" w:styleId="NormalWeb">
    <w:name w:val="Normal (Web)"/>
    <w:basedOn w:val="Normal"/>
    <w:uiPriority w:val="99"/>
    <w:unhideWhenUsed/>
    <w:locked/>
    <w:rsid w:val="00E426B3"/>
    <w:rPr>
      <w:rFonts w:ascii="Times New Roman" w:hAnsi="Times New Roman"/>
      <w:sz w:val="24"/>
    </w:rPr>
  </w:style>
  <w:style w:type="character" w:styleId="Strong">
    <w:name w:val="Strong"/>
    <w:basedOn w:val="DefaultParagraphFont"/>
    <w:uiPriority w:val="22"/>
    <w:locked/>
    <w:rsid w:val="003A27C7"/>
    <w:rPr>
      <w:b/>
      <w:bCs/>
    </w:rPr>
  </w:style>
  <w:style w:type="character" w:styleId="Emphasis">
    <w:name w:val="Emphasis"/>
    <w:basedOn w:val="DefaultParagraphFont"/>
    <w:uiPriority w:val="20"/>
    <w:qFormat/>
    <w:locked/>
    <w:rsid w:val="00567D0B"/>
    <w:rPr>
      <w:i/>
      <w:iCs/>
    </w:rPr>
  </w:style>
  <w:style w:type="character" w:customStyle="1" w:styleId="UnresolvedMention1">
    <w:name w:val="Unresolved Mention1"/>
    <w:basedOn w:val="DefaultParagraphFont"/>
    <w:uiPriority w:val="99"/>
    <w:semiHidden/>
    <w:unhideWhenUsed/>
    <w:rsid w:val="006D03BD"/>
    <w:rPr>
      <w:color w:val="808080"/>
      <w:shd w:val="clear" w:color="auto" w:fill="E6E6E6"/>
    </w:rPr>
  </w:style>
  <w:style w:type="paragraph" w:styleId="PlainText">
    <w:name w:val="Plain Text"/>
    <w:basedOn w:val="Normal"/>
    <w:link w:val="PlainTextChar"/>
    <w:uiPriority w:val="99"/>
    <w:unhideWhenUsed/>
    <w:locked/>
    <w:rsid w:val="000A14CF"/>
    <w:pPr>
      <w:spacing w:before="0" w:after="0"/>
    </w:pPr>
    <w:rPr>
      <w:rFonts w:ascii="Consolas" w:hAnsi="Consolas"/>
      <w:sz w:val="21"/>
      <w:szCs w:val="21"/>
    </w:rPr>
  </w:style>
  <w:style w:type="character" w:customStyle="1" w:styleId="PlainTextChar">
    <w:name w:val="Plain Text Char"/>
    <w:basedOn w:val="DefaultParagraphFont"/>
    <w:link w:val="PlainText"/>
    <w:uiPriority w:val="99"/>
    <w:rsid w:val="000A14CF"/>
    <w:rPr>
      <w:rFonts w:ascii="Consolas" w:hAnsi="Consolas"/>
      <w:sz w:val="21"/>
      <w:szCs w:val="21"/>
    </w:rPr>
  </w:style>
  <w:style w:type="character" w:customStyle="1" w:styleId="UnresolvedMention2">
    <w:name w:val="Unresolved Mention2"/>
    <w:basedOn w:val="DefaultParagraphFont"/>
    <w:locked/>
    <w:rsid w:val="002328D0"/>
    <w:rPr>
      <w:color w:val="808080"/>
      <w:shd w:val="clear" w:color="auto" w:fill="E6E6E6"/>
    </w:rPr>
  </w:style>
  <w:style w:type="character" w:styleId="FollowedHyperlink">
    <w:name w:val="FollowedHyperlink"/>
    <w:basedOn w:val="DefaultParagraphFont"/>
    <w:unhideWhenUsed/>
    <w:locked/>
    <w:rsid w:val="00DA1381"/>
    <w:rPr>
      <w:color w:val="800080" w:themeColor="followedHyperlink"/>
      <w:u w:val="single"/>
    </w:rPr>
  </w:style>
  <w:style w:type="character" w:customStyle="1" w:styleId="UnresolvedMention3">
    <w:name w:val="Unresolved Mention3"/>
    <w:basedOn w:val="DefaultParagraphFont"/>
    <w:uiPriority w:val="99"/>
    <w:semiHidden/>
    <w:unhideWhenUsed/>
    <w:rsid w:val="00106A87"/>
    <w:rPr>
      <w:color w:val="808080"/>
      <w:shd w:val="clear" w:color="auto" w:fill="E6E6E6"/>
    </w:rPr>
  </w:style>
  <w:style w:type="paragraph" w:customStyle="1" w:styleId="BoldTextStyle3">
    <w:name w:val="Bold Text Style3"/>
    <w:basedOn w:val="Normal"/>
    <w:qFormat/>
    <w:rsid w:val="00DF09CD"/>
    <w:pPr>
      <w:keepNext/>
    </w:pPr>
    <w:rPr>
      <w:b/>
    </w:rPr>
  </w:style>
  <w:style w:type="paragraph" w:customStyle="1" w:styleId="BulletStyle3">
    <w:name w:val="Bullet Style 3"/>
    <w:basedOn w:val="ListParagraph"/>
    <w:qFormat/>
    <w:rsid w:val="00DF09CD"/>
    <w:pPr>
      <w:numPr>
        <w:numId w:val="13"/>
      </w:numPr>
      <w:contextualSpacing w:val="0"/>
    </w:pPr>
    <w:rPr>
      <w:rFonts w:cs="Arial"/>
    </w:rPr>
  </w:style>
  <w:style w:type="table" w:styleId="GridTable1Light">
    <w:name w:val="Grid Table 1 Light"/>
    <w:basedOn w:val="TableNormal"/>
    <w:uiPriority w:val="46"/>
    <w:rsid w:val="004C6571"/>
    <w:rPr>
      <w:rFonts w:asciiTheme="minorHAnsi" w:hAnsiTheme="minorHAns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Theme="minorHAnsi" w:hAnsiTheme="minorHAnsi"/>
        <w:b/>
        <w:bCs/>
        <w:color w:val="FFFFFF" w:themeColor="background1"/>
        <w:sz w:val="20"/>
      </w:rPr>
      <w:tblPr/>
      <w:tcPr>
        <w:shd w:val="clear" w:color="auto" w:fill="01653F"/>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A921C1"/>
    <w:rPr>
      <w:rFonts w:asciiTheme="minorHAnsi" w:hAnsiTheme="minorHAnsi"/>
      <w:sz w:val="22"/>
      <w:szCs w:val="24"/>
    </w:rPr>
  </w:style>
  <w:style w:type="paragraph" w:customStyle="1" w:styleId="Boldhdg">
    <w:name w:val="Bold hdg"/>
    <w:basedOn w:val="Normal"/>
    <w:link w:val="BoldhdgChar"/>
    <w:uiPriority w:val="99"/>
    <w:qFormat/>
    <w:rsid w:val="00A921C1"/>
    <w:pPr>
      <w:keepNext/>
      <w:spacing w:before="320"/>
    </w:pPr>
    <w:rPr>
      <w:rFonts w:eastAsiaTheme="minorHAnsi" w:cs="Arial"/>
      <w:b/>
      <w:szCs w:val="22"/>
      <w:lang w:val="en-US" w:eastAsia="en-US"/>
    </w:rPr>
  </w:style>
  <w:style w:type="character" w:customStyle="1" w:styleId="BoldhdgChar">
    <w:name w:val="Bold hdg Char"/>
    <w:basedOn w:val="DefaultParagraphFont"/>
    <w:link w:val="Boldhdg"/>
    <w:uiPriority w:val="99"/>
    <w:rsid w:val="00A921C1"/>
    <w:rPr>
      <w:rFonts w:asciiTheme="minorHAnsi" w:eastAsiaTheme="minorHAnsi" w:hAnsiTheme="minorHAnsi" w:cs="Arial"/>
      <w:b/>
      <w:sz w:val="22"/>
      <w:szCs w:val="22"/>
      <w:lang w:val="en-US" w:eastAsia="en-US"/>
    </w:rPr>
  </w:style>
  <w:style w:type="paragraph" w:customStyle="1" w:styleId="60exhnormal">
    <w:name w:val="60 exh normal"/>
    <w:basedOn w:val="Normal"/>
    <w:rsid w:val="00D661EB"/>
    <w:pPr>
      <w:spacing w:before="200" w:after="0"/>
    </w:pPr>
    <w:rPr>
      <w:rFonts w:ascii="Arial" w:hAnsi="Arial"/>
      <w:caps/>
      <w:szCs w:val="20"/>
      <w:lang w:val="en-US" w:eastAsia="en-US"/>
    </w:rPr>
  </w:style>
  <w:style w:type="paragraph" w:customStyle="1" w:styleId="70exhtblnormal">
    <w:name w:val="70 exh tbl normal"/>
    <w:basedOn w:val="Normal"/>
    <w:rsid w:val="00D661EB"/>
    <w:pPr>
      <w:spacing w:before="60"/>
      <w:ind w:left="144" w:right="289"/>
    </w:pPr>
    <w:rPr>
      <w:rFonts w:ascii="Arial" w:hAnsi="Arial"/>
      <w:sz w:val="24"/>
      <w:szCs w:val="20"/>
      <w:lang w:val="en-US" w:eastAsia="en-US"/>
    </w:rPr>
  </w:style>
  <w:style w:type="character" w:customStyle="1" w:styleId="Heading4Char">
    <w:name w:val="Heading 4 Char"/>
    <w:basedOn w:val="DefaultParagraphFont"/>
    <w:link w:val="Heading4"/>
    <w:uiPriority w:val="6"/>
    <w:rsid w:val="00FB4475"/>
    <w:rPr>
      <w:rFonts w:asciiTheme="minorHAnsi" w:eastAsiaTheme="minorHAnsi" w:hAnsiTheme="minorHAnsi" w:cs="Arial"/>
      <w:bCs/>
      <w:sz w:val="22"/>
      <w:szCs w:val="26"/>
      <w:lang w:val="en-US" w:eastAsia="en-US"/>
    </w:rPr>
  </w:style>
  <w:style w:type="paragraph" w:customStyle="1" w:styleId="02Tabletext">
    <w:name w:val="02. Table text"/>
    <w:next w:val="Normal"/>
    <w:link w:val="02TabletextChar"/>
    <w:uiPriority w:val="11"/>
    <w:qFormat/>
    <w:rsid w:val="000B2CCD"/>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0B2CCD"/>
    <w:rPr>
      <w:rFonts w:ascii="Arial" w:eastAsiaTheme="minorHAnsi" w:hAnsi="Arial" w:cs="Arial"/>
      <w:sz w:val="18"/>
      <w:szCs w:val="18"/>
      <w:lang w:val="en-GB" w:eastAsia="en-US"/>
    </w:rPr>
  </w:style>
  <w:style w:type="character" w:customStyle="1" w:styleId="s34">
    <w:name w:val="s34"/>
    <w:basedOn w:val="DefaultParagraphFont"/>
    <w:rsid w:val="00C8572C"/>
  </w:style>
  <w:style w:type="paragraph" w:styleId="TOC4">
    <w:name w:val="toc 4"/>
    <w:basedOn w:val="Normal"/>
    <w:next w:val="Normal"/>
    <w:autoRedefine/>
    <w:uiPriority w:val="39"/>
    <w:unhideWhenUsed/>
    <w:locked/>
    <w:rsid w:val="00A84B03"/>
    <w:pPr>
      <w:spacing w:before="0" w:after="100" w:line="259" w:lineRule="auto"/>
      <w:ind w:left="660"/>
    </w:pPr>
    <w:rPr>
      <w:rFonts w:eastAsiaTheme="minorEastAsia" w:cstheme="minorBidi"/>
      <w:szCs w:val="22"/>
    </w:rPr>
  </w:style>
  <w:style w:type="paragraph" w:styleId="TOC5">
    <w:name w:val="toc 5"/>
    <w:basedOn w:val="Normal"/>
    <w:next w:val="Normal"/>
    <w:autoRedefine/>
    <w:uiPriority w:val="39"/>
    <w:unhideWhenUsed/>
    <w:locked/>
    <w:rsid w:val="00A84B03"/>
    <w:pPr>
      <w:spacing w:before="0" w:after="100" w:line="259" w:lineRule="auto"/>
      <w:ind w:left="880"/>
    </w:pPr>
    <w:rPr>
      <w:rFonts w:eastAsiaTheme="minorEastAsia" w:cstheme="minorBidi"/>
      <w:szCs w:val="22"/>
    </w:rPr>
  </w:style>
  <w:style w:type="paragraph" w:styleId="TOC6">
    <w:name w:val="toc 6"/>
    <w:basedOn w:val="Normal"/>
    <w:next w:val="Normal"/>
    <w:autoRedefine/>
    <w:uiPriority w:val="39"/>
    <w:unhideWhenUsed/>
    <w:locked/>
    <w:rsid w:val="00A84B03"/>
    <w:pPr>
      <w:spacing w:before="0" w:after="100" w:line="259" w:lineRule="auto"/>
      <w:ind w:left="1100"/>
    </w:pPr>
    <w:rPr>
      <w:rFonts w:eastAsiaTheme="minorEastAsia" w:cstheme="minorBidi"/>
      <w:szCs w:val="22"/>
    </w:rPr>
  </w:style>
  <w:style w:type="paragraph" w:styleId="TOC7">
    <w:name w:val="toc 7"/>
    <w:basedOn w:val="Normal"/>
    <w:next w:val="Normal"/>
    <w:autoRedefine/>
    <w:uiPriority w:val="39"/>
    <w:unhideWhenUsed/>
    <w:locked/>
    <w:rsid w:val="00A84B03"/>
    <w:pPr>
      <w:spacing w:before="0" w:after="100" w:line="259" w:lineRule="auto"/>
      <w:ind w:left="1320"/>
    </w:pPr>
    <w:rPr>
      <w:rFonts w:eastAsiaTheme="minorEastAsia" w:cstheme="minorBidi"/>
      <w:szCs w:val="22"/>
    </w:rPr>
  </w:style>
  <w:style w:type="paragraph" w:styleId="TOC8">
    <w:name w:val="toc 8"/>
    <w:basedOn w:val="Normal"/>
    <w:next w:val="Normal"/>
    <w:autoRedefine/>
    <w:uiPriority w:val="39"/>
    <w:unhideWhenUsed/>
    <w:locked/>
    <w:rsid w:val="00A84B03"/>
    <w:pPr>
      <w:spacing w:before="0" w:after="100" w:line="259" w:lineRule="auto"/>
      <w:ind w:left="1540"/>
    </w:pPr>
    <w:rPr>
      <w:rFonts w:eastAsiaTheme="minorEastAsia" w:cstheme="minorBidi"/>
      <w:szCs w:val="22"/>
    </w:rPr>
  </w:style>
  <w:style w:type="paragraph" w:styleId="TOC9">
    <w:name w:val="toc 9"/>
    <w:basedOn w:val="Normal"/>
    <w:next w:val="Normal"/>
    <w:autoRedefine/>
    <w:uiPriority w:val="39"/>
    <w:unhideWhenUsed/>
    <w:locked/>
    <w:rsid w:val="00A84B03"/>
    <w:pPr>
      <w:spacing w:before="0" w:after="100" w:line="259" w:lineRule="auto"/>
      <w:ind w:left="1760"/>
    </w:pPr>
    <w:rPr>
      <w:rFonts w:eastAsiaTheme="minorEastAsia" w:cstheme="minorBidi"/>
      <w:szCs w:val="22"/>
    </w:rPr>
  </w:style>
  <w:style w:type="character" w:customStyle="1" w:styleId="UnresolvedMention4">
    <w:name w:val="Unresolved Mention4"/>
    <w:basedOn w:val="DefaultParagraphFont"/>
    <w:uiPriority w:val="99"/>
    <w:semiHidden/>
    <w:unhideWhenUsed/>
    <w:rsid w:val="00A84B03"/>
    <w:rPr>
      <w:color w:val="808080"/>
      <w:shd w:val="clear" w:color="auto" w:fill="E6E6E6"/>
    </w:rPr>
  </w:style>
  <w:style w:type="character" w:customStyle="1" w:styleId="UnresolvedMention5">
    <w:name w:val="Unresolved Mention5"/>
    <w:basedOn w:val="DefaultParagraphFont"/>
    <w:uiPriority w:val="99"/>
    <w:semiHidden/>
    <w:unhideWhenUsed/>
    <w:rsid w:val="00EB34DC"/>
    <w:rPr>
      <w:color w:val="808080"/>
      <w:shd w:val="clear" w:color="auto" w:fill="E6E6E6"/>
    </w:rPr>
  </w:style>
  <w:style w:type="character" w:customStyle="1" w:styleId="st1">
    <w:name w:val="st1"/>
    <w:basedOn w:val="DefaultParagraphFont"/>
    <w:rsid w:val="00764C09"/>
  </w:style>
  <w:style w:type="character" w:customStyle="1" w:styleId="UnresolvedMention6">
    <w:name w:val="Unresolved Mention6"/>
    <w:basedOn w:val="DefaultParagraphFont"/>
    <w:uiPriority w:val="99"/>
    <w:semiHidden/>
    <w:unhideWhenUsed/>
    <w:rsid w:val="00495219"/>
    <w:rPr>
      <w:color w:val="605E5C"/>
      <w:shd w:val="clear" w:color="auto" w:fill="E1DFDD"/>
    </w:rPr>
  </w:style>
  <w:style w:type="character" w:customStyle="1" w:styleId="Heading2Char">
    <w:name w:val="Heading 2 Char"/>
    <w:basedOn w:val="DefaultParagraphFont"/>
    <w:link w:val="Heading2"/>
    <w:uiPriority w:val="5"/>
    <w:rsid w:val="00974578"/>
    <w:rPr>
      <w:rFonts w:asciiTheme="minorHAnsi" w:eastAsiaTheme="minorHAnsi" w:hAnsiTheme="minorHAnsi" w:cs="Arial"/>
      <w:b/>
      <w:bCs/>
      <w:iCs/>
      <w:color w:val="01653F"/>
      <w:sz w:val="26"/>
      <w:szCs w:val="26"/>
      <w:lang w:val="en-US" w:eastAsia="en-US"/>
    </w:rPr>
  </w:style>
  <w:style w:type="paragraph" w:styleId="BlockText">
    <w:name w:val="Block Text"/>
    <w:basedOn w:val="Normal"/>
    <w:uiPriority w:val="99"/>
    <w:unhideWhenUsed/>
    <w:locked/>
    <w:rsid w:val="000831A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sz w:val="24"/>
      <w:szCs w:val="20"/>
      <w:lang w:val="en-US" w:eastAsia="en-US"/>
    </w:rPr>
  </w:style>
  <w:style w:type="paragraph" w:styleId="BodyText">
    <w:name w:val="Body Text"/>
    <w:basedOn w:val="Normal"/>
    <w:link w:val="BodyTextChar"/>
    <w:uiPriority w:val="99"/>
    <w:unhideWhenUsed/>
    <w:locked/>
    <w:rsid w:val="000831A1"/>
    <w:rPr>
      <w:rFonts w:ascii="Georgia" w:hAnsi="Georgia"/>
      <w:sz w:val="24"/>
      <w:szCs w:val="20"/>
      <w:lang w:val="en-US" w:eastAsia="en-US"/>
    </w:rPr>
  </w:style>
  <w:style w:type="character" w:customStyle="1" w:styleId="BodyTextChar">
    <w:name w:val="Body Text Char"/>
    <w:basedOn w:val="DefaultParagraphFont"/>
    <w:link w:val="BodyText"/>
    <w:uiPriority w:val="99"/>
    <w:rsid w:val="000831A1"/>
    <w:rPr>
      <w:rFonts w:ascii="Georgia" w:hAnsi="Georgia"/>
      <w:sz w:val="24"/>
      <w:lang w:val="en-US" w:eastAsia="en-US"/>
    </w:rPr>
  </w:style>
  <w:style w:type="paragraph" w:styleId="BodyText2">
    <w:name w:val="Body Text 2"/>
    <w:basedOn w:val="Normal"/>
    <w:link w:val="BodyText2Char"/>
    <w:uiPriority w:val="99"/>
    <w:unhideWhenUsed/>
    <w:locked/>
    <w:rsid w:val="000831A1"/>
    <w:pPr>
      <w:spacing w:line="480" w:lineRule="auto"/>
    </w:pPr>
    <w:rPr>
      <w:rFonts w:ascii="Georgia" w:hAnsi="Georgia"/>
      <w:sz w:val="24"/>
      <w:szCs w:val="20"/>
      <w:lang w:val="en-US" w:eastAsia="en-US"/>
    </w:rPr>
  </w:style>
  <w:style w:type="character" w:customStyle="1" w:styleId="BodyText2Char">
    <w:name w:val="Body Text 2 Char"/>
    <w:basedOn w:val="DefaultParagraphFont"/>
    <w:link w:val="BodyText2"/>
    <w:uiPriority w:val="99"/>
    <w:rsid w:val="000831A1"/>
    <w:rPr>
      <w:rFonts w:ascii="Georgia" w:hAnsi="Georgia"/>
      <w:sz w:val="24"/>
      <w:lang w:val="en-US" w:eastAsia="en-US"/>
    </w:rPr>
  </w:style>
  <w:style w:type="paragraph" w:styleId="BodyText3">
    <w:name w:val="Body Text 3"/>
    <w:basedOn w:val="Normal"/>
    <w:link w:val="BodyText3Char"/>
    <w:uiPriority w:val="99"/>
    <w:unhideWhenUsed/>
    <w:locked/>
    <w:rsid w:val="000831A1"/>
    <w:rPr>
      <w:rFonts w:ascii="Georgia" w:hAnsi="Georgia"/>
      <w:sz w:val="16"/>
      <w:szCs w:val="16"/>
      <w:lang w:val="en-US" w:eastAsia="en-US"/>
    </w:rPr>
  </w:style>
  <w:style w:type="character" w:customStyle="1" w:styleId="BodyText3Char">
    <w:name w:val="Body Text 3 Char"/>
    <w:basedOn w:val="DefaultParagraphFont"/>
    <w:link w:val="BodyText3"/>
    <w:uiPriority w:val="99"/>
    <w:rsid w:val="000831A1"/>
    <w:rPr>
      <w:rFonts w:ascii="Georgia" w:hAnsi="Georgia"/>
      <w:sz w:val="16"/>
      <w:szCs w:val="16"/>
      <w:lang w:val="en-US" w:eastAsia="en-US"/>
    </w:rPr>
  </w:style>
  <w:style w:type="paragraph" w:styleId="BodyTextFirstIndent">
    <w:name w:val="Body Text First Indent"/>
    <w:basedOn w:val="BodyText"/>
    <w:link w:val="BodyTextFirstIndentChar"/>
    <w:uiPriority w:val="99"/>
    <w:unhideWhenUsed/>
    <w:locked/>
    <w:rsid w:val="000831A1"/>
    <w:pPr>
      <w:spacing w:after="180"/>
      <w:ind w:firstLine="360"/>
    </w:pPr>
  </w:style>
  <w:style w:type="character" w:customStyle="1" w:styleId="BodyTextFirstIndentChar">
    <w:name w:val="Body Text First Indent Char"/>
    <w:basedOn w:val="BodyTextChar"/>
    <w:link w:val="BodyTextFirstIndent"/>
    <w:uiPriority w:val="99"/>
    <w:rsid w:val="000831A1"/>
    <w:rPr>
      <w:rFonts w:ascii="Georgia" w:hAnsi="Georgia"/>
      <w:sz w:val="24"/>
      <w:lang w:val="en-US" w:eastAsia="en-US"/>
    </w:rPr>
  </w:style>
  <w:style w:type="paragraph" w:styleId="BodyTextIndent">
    <w:name w:val="Body Text Indent"/>
    <w:basedOn w:val="Normal"/>
    <w:link w:val="BodyTextIndentChar"/>
    <w:uiPriority w:val="99"/>
    <w:unhideWhenUsed/>
    <w:locked/>
    <w:rsid w:val="000831A1"/>
    <w:pPr>
      <w:ind w:left="360"/>
    </w:pPr>
    <w:rPr>
      <w:rFonts w:ascii="Georgia" w:hAnsi="Georgia"/>
      <w:sz w:val="24"/>
      <w:szCs w:val="20"/>
      <w:lang w:val="en-US" w:eastAsia="en-US"/>
    </w:rPr>
  </w:style>
  <w:style w:type="character" w:customStyle="1" w:styleId="BodyTextIndentChar">
    <w:name w:val="Body Text Indent Char"/>
    <w:basedOn w:val="DefaultParagraphFont"/>
    <w:link w:val="BodyTextIndent"/>
    <w:uiPriority w:val="99"/>
    <w:rsid w:val="000831A1"/>
    <w:rPr>
      <w:rFonts w:ascii="Georgia" w:hAnsi="Georgia"/>
      <w:sz w:val="24"/>
      <w:lang w:val="en-US" w:eastAsia="en-US"/>
    </w:rPr>
  </w:style>
  <w:style w:type="paragraph" w:styleId="BodyTextFirstIndent2">
    <w:name w:val="Body Text First Indent 2"/>
    <w:basedOn w:val="BodyTextIndent"/>
    <w:link w:val="BodyTextFirstIndent2Char"/>
    <w:uiPriority w:val="99"/>
    <w:unhideWhenUsed/>
    <w:locked/>
    <w:rsid w:val="000831A1"/>
    <w:pPr>
      <w:spacing w:after="180"/>
      <w:ind w:firstLine="360"/>
    </w:pPr>
  </w:style>
  <w:style w:type="character" w:customStyle="1" w:styleId="BodyTextFirstIndent2Char">
    <w:name w:val="Body Text First Indent 2 Char"/>
    <w:basedOn w:val="BodyTextIndentChar"/>
    <w:link w:val="BodyTextFirstIndent2"/>
    <w:uiPriority w:val="99"/>
    <w:rsid w:val="000831A1"/>
    <w:rPr>
      <w:rFonts w:ascii="Georgia" w:hAnsi="Georgia"/>
      <w:sz w:val="24"/>
      <w:lang w:val="en-US" w:eastAsia="en-US"/>
    </w:rPr>
  </w:style>
  <w:style w:type="paragraph" w:styleId="BodyTextIndent2">
    <w:name w:val="Body Text Indent 2"/>
    <w:basedOn w:val="Normal"/>
    <w:link w:val="BodyTextIndent2Char"/>
    <w:uiPriority w:val="99"/>
    <w:unhideWhenUsed/>
    <w:locked/>
    <w:rsid w:val="000831A1"/>
    <w:pPr>
      <w:spacing w:line="480" w:lineRule="auto"/>
      <w:ind w:left="360"/>
    </w:pPr>
    <w:rPr>
      <w:rFonts w:ascii="Georgia" w:hAnsi="Georgia"/>
      <w:sz w:val="24"/>
      <w:szCs w:val="20"/>
      <w:lang w:val="en-US" w:eastAsia="en-US"/>
    </w:rPr>
  </w:style>
  <w:style w:type="character" w:customStyle="1" w:styleId="BodyTextIndent2Char">
    <w:name w:val="Body Text Indent 2 Char"/>
    <w:basedOn w:val="DefaultParagraphFont"/>
    <w:link w:val="BodyTextIndent2"/>
    <w:uiPriority w:val="99"/>
    <w:rsid w:val="000831A1"/>
    <w:rPr>
      <w:rFonts w:ascii="Georgia" w:hAnsi="Georgia"/>
      <w:sz w:val="24"/>
      <w:lang w:val="en-US" w:eastAsia="en-US"/>
    </w:rPr>
  </w:style>
  <w:style w:type="paragraph" w:styleId="BodyTextIndent3">
    <w:name w:val="Body Text Indent 3"/>
    <w:basedOn w:val="Normal"/>
    <w:link w:val="BodyTextIndent3Char"/>
    <w:uiPriority w:val="99"/>
    <w:unhideWhenUsed/>
    <w:locked/>
    <w:rsid w:val="000831A1"/>
    <w:pPr>
      <w:ind w:left="360"/>
    </w:pPr>
    <w:rPr>
      <w:rFonts w:ascii="Georgia" w:hAnsi="Georgia"/>
      <w:sz w:val="16"/>
      <w:szCs w:val="16"/>
      <w:lang w:val="en-US" w:eastAsia="en-US"/>
    </w:rPr>
  </w:style>
  <w:style w:type="character" w:customStyle="1" w:styleId="BodyTextIndent3Char">
    <w:name w:val="Body Text Indent 3 Char"/>
    <w:basedOn w:val="DefaultParagraphFont"/>
    <w:link w:val="BodyTextIndent3"/>
    <w:uiPriority w:val="99"/>
    <w:rsid w:val="000831A1"/>
    <w:rPr>
      <w:rFonts w:ascii="Georgia" w:hAnsi="Georgia"/>
      <w:sz w:val="16"/>
      <w:szCs w:val="16"/>
      <w:lang w:val="en-US" w:eastAsia="en-US"/>
    </w:rPr>
  </w:style>
  <w:style w:type="character" w:styleId="BookTitle">
    <w:name w:val="Book Title"/>
    <w:basedOn w:val="DefaultParagraphFont"/>
    <w:uiPriority w:val="33"/>
    <w:unhideWhenUsed/>
    <w:locked/>
    <w:rsid w:val="000831A1"/>
    <w:rPr>
      <w:b/>
      <w:bCs/>
      <w:smallCaps/>
      <w:spacing w:val="5"/>
    </w:rPr>
  </w:style>
  <w:style w:type="paragraph" w:styleId="Closing">
    <w:name w:val="Closing"/>
    <w:basedOn w:val="Normal"/>
    <w:link w:val="ClosingChar"/>
    <w:uiPriority w:val="99"/>
    <w:unhideWhenUsed/>
    <w:locked/>
    <w:rsid w:val="000831A1"/>
    <w:pPr>
      <w:spacing w:after="0"/>
      <w:ind w:left="4320"/>
    </w:pPr>
    <w:rPr>
      <w:rFonts w:ascii="Georgia" w:hAnsi="Georgia"/>
      <w:sz w:val="24"/>
      <w:szCs w:val="20"/>
      <w:lang w:val="en-US" w:eastAsia="en-US"/>
    </w:rPr>
  </w:style>
  <w:style w:type="character" w:customStyle="1" w:styleId="ClosingChar">
    <w:name w:val="Closing Char"/>
    <w:basedOn w:val="DefaultParagraphFont"/>
    <w:link w:val="Closing"/>
    <w:uiPriority w:val="99"/>
    <w:rsid w:val="000831A1"/>
    <w:rPr>
      <w:rFonts w:ascii="Georgia" w:hAnsi="Georgia"/>
      <w:sz w:val="24"/>
      <w:lang w:val="en-US" w:eastAsia="en-US"/>
    </w:rPr>
  </w:style>
  <w:style w:type="paragraph" w:styleId="Date">
    <w:name w:val="Date"/>
    <w:basedOn w:val="Normal"/>
    <w:next w:val="Normal"/>
    <w:link w:val="DateChar"/>
    <w:uiPriority w:val="99"/>
    <w:unhideWhenUsed/>
    <w:locked/>
    <w:rsid w:val="000831A1"/>
    <w:rPr>
      <w:rFonts w:ascii="Georgia" w:hAnsi="Georgia"/>
      <w:sz w:val="24"/>
      <w:szCs w:val="20"/>
      <w:lang w:val="en-US" w:eastAsia="en-US"/>
    </w:rPr>
  </w:style>
  <w:style w:type="character" w:customStyle="1" w:styleId="DateChar">
    <w:name w:val="Date Char"/>
    <w:basedOn w:val="DefaultParagraphFont"/>
    <w:link w:val="Date"/>
    <w:uiPriority w:val="99"/>
    <w:rsid w:val="000831A1"/>
    <w:rPr>
      <w:rFonts w:ascii="Georgia" w:hAnsi="Georgia"/>
      <w:sz w:val="24"/>
      <w:lang w:val="en-US" w:eastAsia="en-US"/>
    </w:rPr>
  </w:style>
  <w:style w:type="paragraph" w:styleId="E-mailSignature">
    <w:name w:val="E-mail Signature"/>
    <w:basedOn w:val="Normal"/>
    <w:link w:val="E-mailSignatureChar"/>
    <w:uiPriority w:val="99"/>
    <w:unhideWhenUsed/>
    <w:locked/>
    <w:rsid w:val="000831A1"/>
    <w:pPr>
      <w:spacing w:after="0"/>
    </w:pPr>
    <w:rPr>
      <w:rFonts w:ascii="Georgia" w:hAnsi="Georgia"/>
      <w:sz w:val="24"/>
      <w:szCs w:val="20"/>
      <w:lang w:val="en-US" w:eastAsia="en-US"/>
    </w:rPr>
  </w:style>
  <w:style w:type="character" w:customStyle="1" w:styleId="E-mailSignatureChar">
    <w:name w:val="E-mail Signature Char"/>
    <w:basedOn w:val="DefaultParagraphFont"/>
    <w:link w:val="E-mailSignature"/>
    <w:uiPriority w:val="99"/>
    <w:rsid w:val="000831A1"/>
    <w:rPr>
      <w:rFonts w:ascii="Georgia" w:hAnsi="Georgia"/>
      <w:sz w:val="24"/>
      <w:lang w:val="en-US" w:eastAsia="en-US"/>
    </w:rPr>
  </w:style>
  <w:style w:type="paragraph" w:styleId="EnvelopeAddress">
    <w:name w:val="envelope address"/>
    <w:basedOn w:val="Normal"/>
    <w:unhideWhenUsed/>
    <w:locked/>
    <w:rsid w:val="000831A1"/>
    <w:pPr>
      <w:framePr w:w="7920" w:h="1980" w:hRule="exact" w:hSpace="180" w:wrap="auto" w:hAnchor="page" w:xAlign="center" w:yAlign="bottom"/>
      <w:spacing w:after="0"/>
      <w:ind w:left="2880"/>
    </w:pPr>
    <w:rPr>
      <w:rFonts w:ascii="Georgia" w:hAnsi="Georgia"/>
      <w:sz w:val="24"/>
      <w:szCs w:val="20"/>
      <w:lang w:val="en-US" w:eastAsia="en-US"/>
    </w:rPr>
  </w:style>
  <w:style w:type="paragraph" w:styleId="EnvelopeReturn">
    <w:name w:val="envelope return"/>
    <w:basedOn w:val="Normal"/>
    <w:unhideWhenUsed/>
    <w:locked/>
    <w:rsid w:val="000831A1"/>
    <w:pPr>
      <w:spacing w:after="0"/>
    </w:pPr>
    <w:rPr>
      <w:rFonts w:ascii="Georgia" w:hAnsi="Georgia"/>
      <w:sz w:val="20"/>
      <w:szCs w:val="20"/>
      <w:lang w:val="en-US" w:eastAsia="en-US"/>
    </w:rPr>
  </w:style>
  <w:style w:type="character" w:customStyle="1" w:styleId="Hashtag1">
    <w:name w:val="Hashtag1"/>
    <w:basedOn w:val="DefaultParagraphFont"/>
    <w:uiPriority w:val="99"/>
    <w:semiHidden/>
    <w:unhideWhenUsed/>
    <w:rsid w:val="000831A1"/>
    <w:rPr>
      <w:color w:val="2B579A"/>
      <w:shd w:val="clear" w:color="auto" w:fill="E6E6E6"/>
    </w:rPr>
  </w:style>
  <w:style w:type="character" w:customStyle="1" w:styleId="Heading5Char">
    <w:name w:val="Heading 5 Char"/>
    <w:basedOn w:val="DefaultParagraphFont"/>
    <w:link w:val="Heading5"/>
    <w:uiPriority w:val="99"/>
    <w:rsid w:val="000831A1"/>
    <w:rPr>
      <w:rFonts w:asciiTheme="minorHAnsi" w:eastAsiaTheme="minorHAnsi" w:hAnsiTheme="minorHAnsi" w:cs="Arial"/>
      <w:b/>
      <w:bCs/>
      <w:iCs/>
      <w:sz w:val="26"/>
      <w:szCs w:val="26"/>
      <w:lang w:val="en-US" w:eastAsia="en-US"/>
    </w:rPr>
  </w:style>
  <w:style w:type="character" w:customStyle="1" w:styleId="Heading6Char">
    <w:name w:val="Heading 6 Char"/>
    <w:basedOn w:val="DefaultParagraphFont"/>
    <w:link w:val="Heading6"/>
    <w:uiPriority w:val="99"/>
    <w:rsid w:val="000831A1"/>
    <w:rPr>
      <w:rFonts w:asciiTheme="minorHAnsi" w:eastAsiaTheme="minorHAnsi" w:hAnsiTheme="minorHAnsi" w:cs="Arial"/>
      <w:b/>
      <w:bCs/>
      <w:i/>
      <w:sz w:val="22"/>
      <w:szCs w:val="22"/>
      <w:lang w:val="en-US" w:eastAsia="en-US"/>
    </w:rPr>
  </w:style>
  <w:style w:type="character" w:styleId="HTMLAcronym">
    <w:name w:val="HTML Acronym"/>
    <w:basedOn w:val="DefaultParagraphFont"/>
    <w:uiPriority w:val="99"/>
    <w:unhideWhenUsed/>
    <w:locked/>
    <w:rsid w:val="000831A1"/>
  </w:style>
  <w:style w:type="paragraph" w:styleId="HTMLAddress">
    <w:name w:val="HTML Address"/>
    <w:basedOn w:val="Normal"/>
    <w:link w:val="HTMLAddressChar"/>
    <w:uiPriority w:val="99"/>
    <w:unhideWhenUsed/>
    <w:locked/>
    <w:rsid w:val="000831A1"/>
    <w:pPr>
      <w:spacing w:after="0"/>
    </w:pPr>
    <w:rPr>
      <w:rFonts w:ascii="Georgia" w:hAnsi="Georgia"/>
      <w:i/>
      <w:iCs/>
      <w:sz w:val="24"/>
      <w:szCs w:val="20"/>
      <w:lang w:val="en-US" w:eastAsia="en-US"/>
    </w:rPr>
  </w:style>
  <w:style w:type="character" w:customStyle="1" w:styleId="HTMLAddressChar">
    <w:name w:val="HTML Address Char"/>
    <w:basedOn w:val="DefaultParagraphFont"/>
    <w:link w:val="HTMLAddress"/>
    <w:uiPriority w:val="99"/>
    <w:rsid w:val="000831A1"/>
    <w:rPr>
      <w:rFonts w:ascii="Georgia" w:hAnsi="Georgia"/>
      <w:i/>
      <w:iCs/>
      <w:sz w:val="24"/>
      <w:lang w:val="en-US" w:eastAsia="en-US"/>
    </w:rPr>
  </w:style>
  <w:style w:type="character" w:styleId="HTMLCite">
    <w:name w:val="HTML Cite"/>
    <w:basedOn w:val="DefaultParagraphFont"/>
    <w:uiPriority w:val="99"/>
    <w:unhideWhenUsed/>
    <w:locked/>
    <w:rsid w:val="000831A1"/>
    <w:rPr>
      <w:i/>
      <w:iCs/>
    </w:rPr>
  </w:style>
  <w:style w:type="character" w:styleId="HTMLCode">
    <w:name w:val="HTML Code"/>
    <w:basedOn w:val="DefaultParagraphFont"/>
    <w:uiPriority w:val="99"/>
    <w:unhideWhenUsed/>
    <w:locked/>
    <w:rsid w:val="000831A1"/>
    <w:rPr>
      <w:rFonts w:ascii="Consolas" w:hAnsi="Consolas"/>
      <w:sz w:val="20"/>
      <w:szCs w:val="20"/>
    </w:rPr>
  </w:style>
  <w:style w:type="character" w:styleId="HTMLDefinition">
    <w:name w:val="HTML Definition"/>
    <w:basedOn w:val="DefaultParagraphFont"/>
    <w:uiPriority w:val="99"/>
    <w:unhideWhenUsed/>
    <w:locked/>
    <w:rsid w:val="000831A1"/>
    <w:rPr>
      <w:i/>
      <w:iCs/>
    </w:rPr>
  </w:style>
  <w:style w:type="character" w:styleId="HTMLKeyboard">
    <w:name w:val="HTML Keyboard"/>
    <w:basedOn w:val="DefaultParagraphFont"/>
    <w:uiPriority w:val="99"/>
    <w:unhideWhenUsed/>
    <w:locked/>
    <w:rsid w:val="000831A1"/>
    <w:rPr>
      <w:rFonts w:ascii="Consolas" w:hAnsi="Consolas"/>
      <w:sz w:val="20"/>
      <w:szCs w:val="20"/>
    </w:rPr>
  </w:style>
  <w:style w:type="paragraph" w:styleId="HTMLPreformatted">
    <w:name w:val="HTML Preformatted"/>
    <w:basedOn w:val="Normal"/>
    <w:link w:val="HTMLPreformattedChar"/>
    <w:uiPriority w:val="99"/>
    <w:unhideWhenUsed/>
    <w:locked/>
    <w:rsid w:val="000831A1"/>
    <w:pPr>
      <w:spacing w:after="0"/>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0831A1"/>
    <w:rPr>
      <w:rFonts w:ascii="Consolas" w:hAnsi="Consolas"/>
      <w:lang w:val="en-US" w:eastAsia="en-US"/>
    </w:rPr>
  </w:style>
  <w:style w:type="character" w:styleId="HTMLSample">
    <w:name w:val="HTML Sample"/>
    <w:basedOn w:val="DefaultParagraphFont"/>
    <w:uiPriority w:val="99"/>
    <w:unhideWhenUsed/>
    <w:locked/>
    <w:rsid w:val="000831A1"/>
    <w:rPr>
      <w:rFonts w:ascii="Consolas" w:hAnsi="Consolas"/>
      <w:sz w:val="24"/>
      <w:szCs w:val="24"/>
    </w:rPr>
  </w:style>
  <w:style w:type="character" w:styleId="HTMLTypewriter">
    <w:name w:val="HTML Typewriter"/>
    <w:basedOn w:val="DefaultParagraphFont"/>
    <w:uiPriority w:val="99"/>
    <w:unhideWhenUsed/>
    <w:locked/>
    <w:rsid w:val="000831A1"/>
    <w:rPr>
      <w:rFonts w:ascii="Consolas" w:hAnsi="Consolas"/>
      <w:sz w:val="20"/>
      <w:szCs w:val="20"/>
    </w:rPr>
  </w:style>
  <w:style w:type="character" w:styleId="HTMLVariable">
    <w:name w:val="HTML Variable"/>
    <w:basedOn w:val="DefaultParagraphFont"/>
    <w:uiPriority w:val="99"/>
    <w:unhideWhenUsed/>
    <w:locked/>
    <w:rsid w:val="000831A1"/>
    <w:rPr>
      <w:i/>
      <w:iCs/>
    </w:rPr>
  </w:style>
  <w:style w:type="paragraph" w:styleId="Index1">
    <w:name w:val="index 1"/>
    <w:basedOn w:val="Normal"/>
    <w:next w:val="Normal"/>
    <w:autoRedefine/>
    <w:uiPriority w:val="99"/>
    <w:unhideWhenUsed/>
    <w:locked/>
    <w:rsid w:val="000831A1"/>
    <w:pPr>
      <w:spacing w:after="0"/>
      <w:ind w:left="260" w:hanging="260"/>
    </w:pPr>
    <w:rPr>
      <w:rFonts w:ascii="Georgia" w:hAnsi="Georgia"/>
      <w:sz w:val="24"/>
      <w:szCs w:val="20"/>
      <w:lang w:val="en-US" w:eastAsia="en-US"/>
    </w:rPr>
  </w:style>
  <w:style w:type="paragraph" w:styleId="Index2">
    <w:name w:val="index 2"/>
    <w:basedOn w:val="Normal"/>
    <w:next w:val="Normal"/>
    <w:autoRedefine/>
    <w:uiPriority w:val="99"/>
    <w:unhideWhenUsed/>
    <w:locked/>
    <w:rsid w:val="000831A1"/>
    <w:pPr>
      <w:spacing w:after="0"/>
      <w:ind w:left="520" w:hanging="260"/>
    </w:pPr>
    <w:rPr>
      <w:rFonts w:ascii="Georgia" w:hAnsi="Georgia"/>
      <w:sz w:val="24"/>
      <w:szCs w:val="20"/>
      <w:lang w:val="en-US" w:eastAsia="en-US"/>
    </w:rPr>
  </w:style>
  <w:style w:type="paragraph" w:styleId="Index3">
    <w:name w:val="index 3"/>
    <w:basedOn w:val="Normal"/>
    <w:next w:val="Normal"/>
    <w:autoRedefine/>
    <w:uiPriority w:val="99"/>
    <w:unhideWhenUsed/>
    <w:locked/>
    <w:rsid w:val="000831A1"/>
    <w:pPr>
      <w:spacing w:after="0"/>
      <w:ind w:left="780" w:hanging="260"/>
    </w:pPr>
    <w:rPr>
      <w:rFonts w:ascii="Georgia" w:hAnsi="Georgia"/>
      <w:sz w:val="24"/>
      <w:szCs w:val="20"/>
      <w:lang w:val="en-US" w:eastAsia="en-US"/>
    </w:rPr>
  </w:style>
  <w:style w:type="paragraph" w:styleId="Index4">
    <w:name w:val="index 4"/>
    <w:basedOn w:val="Normal"/>
    <w:next w:val="Normal"/>
    <w:autoRedefine/>
    <w:uiPriority w:val="99"/>
    <w:unhideWhenUsed/>
    <w:locked/>
    <w:rsid w:val="000831A1"/>
    <w:pPr>
      <w:spacing w:after="0"/>
      <w:ind w:left="1040" w:hanging="260"/>
    </w:pPr>
    <w:rPr>
      <w:rFonts w:ascii="Georgia" w:hAnsi="Georgia"/>
      <w:sz w:val="24"/>
      <w:szCs w:val="20"/>
      <w:lang w:val="en-US" w:eastAsia="en-US"/>
    </w:rPr>
  </w:style>
  <w:style w:type="paragraph" w:styleId="Index5">
    <w:name w:val="index 5"/>
    <w:basedOn w:val="Normal"/>
    <w:next w:val="Normal"/>
    <w:autoRedefine/>
    <w:uiPriority w:val="99"/>
    <w:unhideWhenUsed/>
    <w:locked/>
    <w:rsid w:val="000831A1"/>
    <w:pPr>
      <w:spacing w:after="0"/>
      <w:ind w:left="1300" w:hanging="260"/>
    </w:pPr>
    <w:rPr>
      <w:rFonts w:ascii="Georgia" w:hAnsi="Georgia"/>
      <w:sz w:val="24"/>
      <w:szCs w:val="20"/>
      <w:lang w:val="en-US" w:eastAsia="en-US"/>
    </w:rPr>
  </w:style>
  <w:style w:type="paragraph" w:styleId="Index6">
    <w:name w:val="index 6"/>
    <w:basedOn w:val="Normal"/>
    <w:next w:val="Normal"/>
    <w:autoRedefine/>
    <w:uiPriority w:val="99"/>
    <w:unhideWhenUsed/>
    <w:locked/>
    <w:rsid w:val="000831A1"/>
    <w:pPr>
      <w:spacing w:after="0"/>
      <w:ind w:left="1560" w:hanging="260"/>
    </w:pPr>
    <w:rPr>
      <w:rFonts w:ascii="Georgia" w:hAnsi="Georgia"/>
      <w:sz w:val="24"/>
      <w:szCs w:val="20"/>
      <w:lang w:val="en-US" w:eastAsia="en-US"/>
    </w:rPr>
  </w:style>
  <w:style w:type="paragraph" w:styleId="Index7">
    <w:name w:val="index 7"/>
    <w:basedOn w:val="Normal"/>
    <w:next w:val="Normal"/>
    <w:autoRedefine/>
    <w:uiPriority w:val="99"/>
    <w:unhideWhenUsed/>
    <w:locked/>
    <w:rsid w:val="000831A1"/>
    <w:pPr>
      <w:spacing w:after="0"/>
      <w:ind w:left="1820" w:hanging="260"/>
    </w:pPr>
    <w:rPr>
      <w:rFonts w:ascii="Georgia" w:hAnsi="Georgia"/>
      <w:sz w:val="24"/>
      <w:szCs w:val="20"/>
      <w:lang w:val="en-US" w:eastAsia="en-US"/>
    </w:rPr>
  </w:style>
  <w:style w:type="paragraph" w:styleId="Index8">
    <w:name w:val="index 8"/>
    <w:basedOn w:val="Normal"/>
    <w:next w:val="Normal"/>
    <w:autoRedefine/>
    <w:uiPriority w:val="99"/>
    <w:unhideWhenUsed/>
    <w:locked/>
    <w:rsid w:val="000831A1"/>
    <w:pPr>
      <w:spacing w:after="0"/>
      <w:ind w:left="2080" w:hanging="260"/>
    </w:pPr>
    <w:rPr>
      <w:rFonts w:ascii="Georgia" w:hAnsi="Georgia"/>
      <w:sz w:val="24"/>
      <w:szCs w:val="20"/>
      <w:lang w:val="en-US" w:eastAsia="en-US"/>
    </w:rPr>
  </w:style>
  <w:style w:type="paragraph" w:styleId="Index9">
    <w:name w:val="index 9"/>
    <w:basedOn w:val="Normal"/>
    <w:next w:val="Normal"/>
    <w:autoRedefine/>
    <w:uiPriority w:val="99"/>
    <w:unhideWhenUsed/>
    <w:locked/>
    <w:rsid w:val="000831A1"/>
    <w:pPr>
      <w:spacing w:after="0"/>
      <w:ind w:left="2340" w:hanging="260"/>
    </w:pPr>
    <w:rPr>
      <w:rFonts w:ascii="Georgia" w:hAnsi="Georgia"/>
      <w:sz w:val="24"/>
      <w:szCs w:val="20"/>
      <w:lang w:val="en-US" w:eastAsia="en-US"/>
    </w:rPr>
  </w:style>
  <w:style w:type="paragraph" w:styleId="IndexHeading">
    <w:name w:val="index heading"/>
    <w:basedOn w:val="Normal"/>
    <w:next w:val="Index1"/>
    <w:uiPriority w:val="99"/>
    <w:unhideWhenUsed/>
    <w:locked/>
    <w:rsid w:val="000831A1"/>
    <w:rPr>
      <w:rFonts w:asciiTheme="majorHAnsi" w:eastAsiaTheme="majorEastAsia" w:hAnsiTheme="majorHAnsi" w:cstheme="majorBidi"/>
      <w:b/>
      <w:bCs/>
      <w:sz w:val="24"/>
      <w:szCs w:val="20"/>
      <w:lang w:val="en-US" w:eastAsia="en-US"/>
    </w:rPr>
  </w:style>
  <w:style w:type="paragraph" w:styleId="IntenseQuote">
    <w:name w:val="Intense Quote"/>
    <w:basedOn w:val="Normal"/>
    <w:next w:val="Normal"/>
    <w:link w:val="IntenseQuoteChar"/>
    <w:uiPriority w:val="30"/>
    <w:unhideWhenUsed/>
    <w:locked/>
    <w:rsid w:val="000831A1"/>
    <w:pPr>
      <w:pBdr>
        <w:bottom w:val="single" w:sz="4" w:space="4" w:color="4F81BD" w:themeColor="accent1"/>
      </w:pBdr>
      <w:spacing w:before="200" w:after="280"/>
      <w:ind w:left="936" w:right="936"/>
    </w:pPr>
    <w:rPr>
      <w:rFonts w:ascii="Georgia" w:hAnsi="Georgia"/>
      <w:b/>
      <w:bCs/>
      <w:i/>
      <w:iCs/>
      <w:color w:val="4F81BD" w:themeColor="accent1"/>
      <w:sz w:val="24"/>
      <w:szCs w:val="20"/>
      <w:lang w:val="en-US" w:eastAsia="en-US"/>
    </w:rPr>
  </w:style>
  <w:style w:type="character" w:customStyle="1" w:styleId="IntenseQuoteChar">
    <w:name w:val="Intense Quote Char"/>
    <w:basedOn w:val="DefaultParagraphFont"/>
    <w:link w:val="IntenseQuote"/>
    <w:uiPriority w:val="30"/>
    <w:rsid w:val="000831A1"/>
    <w:rPr>
      <w:rFonts w:ascii="Georgia" w:hAnsi="Georgia"/>
      <w:b/>
      <w:bCs/>
      <w:i/>
      <w:iCs/>
      <w:color w:val="4F81BD" w:themeColor="accent1"/>
      <w:sz w:val="24"/>
      <w:lang w:val="en-US" w:eastAsia="en-US"/>
    </w:rPr>
  </w:style>
  <w:style w:type="character" w:styleId="IntenseReference">
    <w:name w:val="Intense Reference"/>
    <w:basedOn w:val="DefaultParagraphFont"/>
    <w:uiPriority w:val="32"/>
    <w:unhideWhenUsed/>
    <w:locked/>
    <w:rsid w:val="000831A1"/>
    <w:rPr>
      <w:b/>
      <w:bCs/>
      <w:smallCaps/>
      <w:color w:val="C0504D" w:themeColor="accent2"/>
      <w:spacing w:val="5"/>
      <w:u w:val="single"/>
    </w:rPr>
  </w:style>
  <w:style w:type="character" w:styleId="LineNumber">
    <w:name w:val="line number"/>
    <w:basedOn w:val="DefaultParagraphFont"/>
    <w:unhideWhenUsed/>
    <w:locked/>
    <w:rsid w:val="000831A1"/>
  </w:style>
  <w:style w:type="paragraph" w:styleId="List">
    <w:name w:val="List"/>
    <w:basedOn w:val="Normal"/>
    <w:uiPriority w:val="99"/>
    <w:unhideWhenUsed/>
    <w:locked/>
    <w:rsid w:val="000831A1"/>
    <w:pPr>
      <w:ind w:left="360" w:hanging="360"/>
      <w:contextualSpacing/>
    </w:pPr>
    <w:rPr>
      <w:rFonts w:ascii="Georgia" w:hAnsi="Georgia"/>
      <w:sz w:val="24"/>
      <w:szCs w:val="20"/>
      <w:lang w:val="en-US" w:eastAsia="en-US"/>
    </w:rPr>
  </w:style>
  <w:style w:type="paragraph" w:styleId="List2">
    <w:name w:val="List 2"/>
    <w:basedOn w:val="Normal"/>
    <w:uiPriority w:val="99"/>
    <w:unhideWhenUsed/>
    <w:locked/>
    <w:rsid w:val="000831A1"/>
    <w:pPr>
      <w:ind w:left="720" w:hanging="360"/>
      <w:contextualSpacing/>
    </w:pPr>
    <w:rPr>
      <w:rFonts w:ascii="Georgia" w:hAnsi="Georgia"/>
      <w:sz w:val="24"/>
      <w:szCs w:val="20"/>
      <w:lang w:val="en-US" w:eastAsia="en-US"/>
    </w:rPr>
  </w:style>
  <w:style w:type="paragraph" w:styleId="List3">
    <w:name w:val="List 3"/>
    <w:basedOn w:val="Normal"/>
    <w:uiPriority w:val="99"/>
    <w:unhideWhenUsed/>
    <w:locked/>
    <w:rsid w:val="000831A1"/>
    <w:pPr>
      <w:ind w:left="1080" w:hanging="360"/>
      <w:contextualSpacing/>
    </w:pPr>
    <w:rPr>
      <w:rFonts w:ascii="Georgia" w:hAnsi="Georgia"/>
      <w:sz w:val="24"/>
      <w:szCs w:val="20"/>
      <w:lang w:val="en-US" w:eastAsia="en-US"/>
    </w:rPr>
  </w:style>
  <w:style w:type="paragraph" w:styleId="List4">
    <w:name w:val="List 4"/>
    <w:basedOn w:val="Normal"/>
    <w:uiPriority w:val="99"/>
    <w:unhideWhenUsed/>
    <w:locked/>
    <w:rsid w:val="000831A1"/>
    <w:pPr>
      <w:ind w:left="1440" w:hanging="360"/>
      <w:contextualSpacing/>
    </w:pPr>
    <w:rPr>
      <w:rFonts w:ascii="Georgia" w:hAnsi="Georgia"/>
      <w:sz w:val="24"/>
      <w:szCs w:val="20"/>
      <w:lang w:val="en-US" w:eastAsia="en-US"/>
    </w:rPr>
  </w:style>
  <w:style w:type="paragraph" w:styleId="List5">
    <w:name w:val="List 5"/>
    <w:basedOn w:val="Normal"/>
    <w:uiPriority w:val="99"/>
    <w:unhideWhenUsed/>
    <w:locked/>
    <w:rsid w:val="000831A1"/>
    <w:pPr>
      <w:ind w:left="1800" w:hanging="360"/>
      <w:contextualSpacing/>
    </w:pPr>
    <w:rPr>
      <w:rFonts w:ascii="Georgia" w:hAnsi="Georgia"/>
      <w:sz w:val="24"/>
      <w:szCs w:val="20"/>
      <w:lang w:val="en-US" w:eastAsia="en-US"/>
    </w:rPr>
  </w:style>
  <w:style w:type="paragraph" w:styleId="ListBullet">
    <w:name w:val="List Bullet"/>
    <w:basedOn w:val="Normal"/>
    <w:uiPriority w:val="99"/>
    <w:unhideWhenUsed/>
    <w:locked/>
    <w:rsid w:val="000831A1"/>
    <w:pPr>
      <w:tabs>
        <w:tab w:val="num" w:pos="360"/>
      </w:tabs>
      <w:ind w:left="360" w:hanging="360"/>
      <w:contextualSpacing/>
    </w:pPr>
    <w:rPr>
      <w:rFonts w:ascii="Georgia" w:hAnsi="Georgia"/>
      <w:sz w:val="24"/>
      <w:szCs w:val="20"/>
      <w:lang w:val="en-US" w:eastAsia="en-US"/>
    </w:rPr>
  </w:style>
  <w:style w:type="paragraph" w:styleId="ListBullet2">
    <w:name w:val="List Bullet 2"/>
    <w:basedOn w:val="Normal"/>
    <w:uiPriority w:val="99"/>
    <w:unhideWhenUsed/>
    <w:locked/>
    <w:rsid w:val="000831A1"/>
    <w:pPr>
      <w:tabs>
        <w:tab w:val="num" w:pos="720"/>
      </w:tabs>
      <w:ind w:left="720" w:hanging="360"/>
      <w:contextualSpacing/>
    </w:pPr>
    <w:rPr>
      <w:rFonts w:ascii="Georgia" w:hAnsi="Georgia"/>
      <w:sz w:val="24"/>
      <w:szCs w:val="20"/>
      <w:lang w:val="en-US" w:eastAsia="en-US"/>
    </w:rPr>
  </w:style>
  <w:style w:type="paragraph" w:styleId="ListBullet3">
    <w:name w:val="List Bullet 3"/>
    <w:basedOn w:val="Normal"/>
    <w:uiPriority w:val="99"/>
    <w:unhideWhenUsed/>
    <w:locked/>
    <w:rsid w:val="000831A1"/>
    <w:pPr>
      <w:tabs>
        <w:tab w:val="num" w:pos="1080"/>
      </w:tabs>
      <w:ind w:left="1080" w:hanging="360"/>
      <w:contextualSpacing/>
    </w:pPr>
    <w:rPr>
      <w:rFonts w:ascii="Georgia" w:hAnsi="Georgia"/>
      <w:sz w:val="24"/>
      <w:szCs w:val="20"/>
      <w:lang w:val="en-US" w:eastAsia="en-US"/>
    </w:rPr>
  </w:style>
  <w:style w:type="paragraph" w:styleId="ListBullet4">
    <w:name w:val="List Bullet 4"/>
    <w:basedOn w:val="Normal"/>
    <w:uiPriority w:val="99"/>
    <w:unhideWhenUsed/>
    <w:locked/>
    <w:rsid w:val="000831A1"/>
    <w:pPr>
      <w:tabs>
        <w:tab w:val="num" w:pos="1440"/>
      </w:tabs>
      <w:ind w:left="1440" w:hanging="360"/>
      <w:contextualSpacing/>
    </w:pPr>
    <w:rPr>
      <w:rFonts w:ascii="Georgia" w:hAnsi="Georgia"/>
      <w:sz w:val="24"/>
      <w:szCs w:val="20"/>
      <w:lang w:val="en-US" w:eastAsia="en-US"/>
    </w:rPr>
  </w:style>
  <w:style w:type="paragraph" w:styleId="ListBullet5">
    <w:name w:val="List Bullet 5"/>
    <w:basedOn w:val="Normal"/>
    <w:uiPriority w:val="99"/>
    <w:unhideWhenUsed/>
    <w:locked/>
    <w:rsid w:val="000831A1"/>
    <w:pPr>
      <w:tabs>
        <w:tab w:val="num" w:pos="1800"/>
      </w:tabs>
      <w:ind w:left="1800" w:hanging="360"/>
      <w:contextualSpacing/>
    </w:pPr>
    <w:rPr>
      <w:rFonts w:ascii="Georgia" w:hAnsi="Georgia"/>
      <w:sz w:val="24"/>
      <w:szCs w:val="20"/>
      <w:lang w:val="en-US" w:eastAsia="en-US"/>
    </w:rPr>
  </w:style>
  <w:style w:type="paragraph" w:styleId="ListContinue2">
    <w:name w:val="List Continue 2"/>
    <w:basedOn w:val="Normal"/>
    <w:uiPriority w:val="99"/>
    <w:unhideWhenUsed/>
    <w:locked/>
    <w:rsid w:val="000831A1"/>
    <w:pPr>
      <w:ind w:left="720"/>
      <w:contextualSpacing/>
    </w:pPr>
    <w:rPr>
      <w:rFonts w:ascii="Georgia" w:hAnsi="Georgia"/>
      <w:sz w:val="24"/>
      <w:szCs w:val="20"/>
      <w:lang w:val="en-US" w:eastAsia="en-US"/>
    </w:rPr>
  </w:style>
  <w:style w:type="paragraph" w:styleId="ListContinue3">
    <w:name w:val="List Continue 3"/>
    <w:basedOn w:val="Normal"/>
    <w:uiPriority w:val="99"/>
    <w:unhideWhenUsed/>
    <w:locked/>
    <w:rsid w:val="000831A1"/>
    <w:pPr>
      <w:ind w:left="1080"/>
      <w:contextualSpacing/>
    </w:pPr>
    <w:rPr>
      <w:rFonts w:ascii="Georgia" w:hAnsi="Georgia"/>
      <w:sz w:val="24"/>
      <w:szCs w:val="20"/>
      <w:lang w:val="en-US" w:eastAsia="en-US"/>
    </w:rPr>
  </w:style>
  <w:style w:type="paragraph" w:styleId="ListContinue4">
    <w:name w:val="List Continue 4"/>
    <w:basedOn w:val="Normal"/>
    <w:uiPriority w:val="99"/>
    <w:unhideWhenUsed/>
    <w:locked/>
    <w:rsid w:val="000831A1"/>
    <w:pPr>
      <w:ind w:left="1440"/>
      <w:contextualSpacing/>
    </w:pPr>
    <w:rPr>
      <w:rFonts w:ascii="Georgia" w:hAnsi="Georgia"/>
      <w:sz w:val="24"/>
      <w:szCs w:val="20"/>
      <w:lang w:val="en-US" w:eastAsia="en-US"/>
    </w:rPr>
  </w:style>
  <w:style w:type="paragraph" w:styleId="ListContinue5">
    <w:name w:val="List Continue 5"/>
    <w:basedOn w:val="Normal"/>
    <w:uiPriority w:val="99"/>
    <w:unhideWhenUsed/>
    <w:locked/>
    <w:rsid w:val="000831A1"/>
    <w:pPr>
      <w:ind w:left="1800"/>
      <w:contextualSpacing/>
    </w:pPr>
    <w:rPr>
      <w:rFonts w:ascii="Georgia" w:hAnsi="Georgia"/>
      <w:sz w:val="24"/>
      <w:szCs w:val="20"/>
      <w:lang w:val="en-US" w:eastAsia="en-US"/>
    </w:rPr>
  </w:style>
  <w:style w:type="paragraph" w:styleId="ListNumber">
    <w:name w:val="List Number"/>
    <w:basedOn w:val="Normal"/>
    <w:uiPriority w:val="99"/>
    <w:unhideWhenUsed/>
    <w:locked/>
    <w:rsid w:val="000831A1"/>
    <w:pPr>
      <w:tabs>
        <w:tab w:val="num" w:pos="360"/>
      </w:tabs>
      <w:ind w:left="360" w:hanging="360"/>
      <w:contextualSpacing/>
    </w:pPr>
    <w:rPr>
      <w:rFonts w:ascii="Georgia" w:hAnsi="Georgia"/>
      <w:sz w:val="24"/>
      <w:szCs w:val="20"/>
      <w:lang w:val="en-US" w:eastAsia="en-US"/>
    </w:rPr>
  </w:style>
  <w:style w:type="paragraph" w:styleId="ListNumber2">
    <w:name w:val="List Number 2"/>
    <w:basedOn w:val="Normal"/>
    <w:uiPriority w:val="99"/>
    <w:unhideWhenUsed/>
    <w:locked/>
    <w:rsid w:val="000831A1"/>
    <w:pPr>
      <w:tabs>
        <w:tab w:val="num" w:pos="720"/>
      </w:tabs>
      <w:ind w:left="720" w:hanging="360"/>
      <w:contextualSpacing/>
    </w:pPr>
    <w:rPr>
      <w:rFonts w:ascii="Georgia" w:hAnsi="Georgia"/>
      <w:sz w:val="24"/>
      <w:szCs w:val="20"/>
      <w:lang w:val="en-US" w:eastAsia="en-US"/>
    </w:rPr>
  </w:style>
  <w:style w:type="paragraph" w:styleId="ListNumber3">
    <w:name w:val="List Number 3"/>
    <w:basedOn w:val="Normal"/>
    <w:uiPriority w:val="99"/>
    <w:unhideWhenUsed/>
    <w:locked/>
    <w:rsid w:val="000831A1"/>
    <w:pPr>
      <w:tabs>
        <w:tab w:val="num" w:pos="1080"/>
      </w:tabs>
      <w:ind w:left="1080" w:hanging="360"/>
      <w:contextualSpacing/>
    </w:pPr>
    <w:rPr>
      <w:rFonts w:ascii="Georgia" w:hAnsi="Georgia"/>
      <w:sz w:val="24"/>
      <w:szCs w:val="20"/>
      <w:lang w:val="en-US" w:eastAsia="en-US"/>
    </w:rPr>
  </w:style>
  <w:style w:type="paragraph" w:styleId="ListNumber4">
    <w:name w:val="List Number 4"/>
    <w:basedOn w:val="Normal"/>
    <w:uiPriority w:val="99"/>
    <w:unhideWhenUsed/>
    <w:locked/>
    <w:rsid w:val="000831A1"/>
    <w:pPr>
      <w:tabs>
        <w:tab w:val="num" w:pos="1440"/>
      </w:tabs>
      <w:ind w:left="1440" w:hanging="360"/>
      <w:contextualSpacing/>
    </w:pPr>
    <w:rPr>
      <w:rFonts w:ascii="Georgia" w:hAnsi="Georgia"/>
      <w:sz w:val="24"/>
      <w:szCs w:val="20"/>
      <w:lang w:val="en-US" w:eastAsia="en-US"/>
    </w:rPr>
  </w:style>
  <w:style w:type="paragraph" w:styleId="ListNumber5">
    <w:name w:val="List Number 5"/>
    <w:basedOn w:val="Normal"/>
    <w:uiPriority w:val="99"/>
    <w:unhideWhenUsed/>
    <w:locked/>
    <w:rsid w:val="000831A1"/>
    <w:pPr>
      <w:tabs>
        <w:tab w:val="num" w:pos="1800"/>
      </w:tabs>
      <w:ind w:left="1800" w:hanging="360"/>
      <w:contextualSpacing/>
    </w:pPr>
    <w:rPr>
      <w:rFonts w:ascii="Georgia" w:hAnsi="Georgia"/>
      <w:sz w:val="24"/>
      <w:szCs w:val="20"/>
      <w:lang w:val="en-US" w:eastAsia="en-US"/>
    </w:rPr>
  </w:style>
  <w:style w:type="paragraph" w:styleId="MacroText">
    <w:name w:val="macro"/>
    <w:link w:val="MacroTextChar"/>
    <w:locked/>
    <w:rsid w:val="000831A1"/>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0831A1"/>
    <w:rPr>
      <w:rFonts w:ascii="Arial" w:hAnsi="Arial"/>
      <w:lang w:val="en-US" w:eastAsia="en-US"/>
    </w:rPr>
  </w:style>
  <w:style w:type="character" w:customStyle="1" w:styleId="Mention1">
    <w:name w:val="Mention1"/>
    <w:basedOn w:val="DefaultParagraphFont"/>
    <w:uiPriority w:val="99"/>
    <w:semiHidden/>
    <w:unhideWhenUsed/>
    <w:rsid w:val="000831A1"/>
    <w:rPr>
      <w:color w:val="2B579A"/>
      <w:shd w:val="clear" w:color="auto" w:fill="E6E6E6"/>
    </w:rPr>
  </w:style>
  <w:style w:type="paragraph" w:styleId="MessageHeader">
    <w:name w:val="Message Header"/>
    <w:basedOn w:val="Normal"/>
    <w:link w:val="MessageHeaderChar"/>
    <w:unhideWhenUsed/>
    <w:locked/>
    <w:rsid w:val="000831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lang w:val="en-US" w:eastAsia="en-US"/>
    </w:rPr>
  </w:style>
  <w:style w:type="character" w:customStyle="1" w:styleId="MessageHeaderChar">
    <w:name w:val="Message Header Char"/>
    <w:basedOn w:val="DefaultParagraphFont"/>
    <w:link w:val="MessageHeader"/>
    <w:rsid w:val="000831A1"/>
    <w:rPr>
      <w:rFonts w:ascii="Arial" w:hAnsi="Arial" w:cs="Arial"/>
      <w:sz w:val="24"/>
      <w:szCs w:val="24"/>
      <w:shd w:val="pct20" w:color="auto" w:fill="auto"/>
      <w:lang w:val="en-US" w:eastAsia="en-US"/>
    </w:rPr>
  </w:style>
  <w:style w:type="paragraph" w:styleId="NoSpacing">
    <w:name w:val="No Spacing"/>
    <w:uiPriority w:val="1"/>
    <w:unhideWhenUsed/>
    <w:locked/>
    <w:rsid w:val="000831A1"/>
    <w:rPr>
      <w:sz w:val="26"/>
      <w:lang w:val="en-US" w:eastAsia="en-US"/>
    </w:rPr>
  </w:style>
  <w:style w:type="paragraph" w:styleId="NormalIndent">
    <w:name w:val="Normal Indent"/>
    <w:basedOn w:val="Normal"/>
    <w:uiPriority w:val="99"/>
    <w:unhideWhenUsed/>
    <w:locked/>
    <w:rsid w:val="000831A1"/>
    <w:pPr>
      <w:ind w:left="720"/>
    </w:pPr>
    <w:rPr>
      <w:rFonts w:ascii="Georgia" w:hAnsi="Georgia"/>
      <w:sz w:val="24"/>
      <w:szCs w:val="20"/>
      <w:lang w:val="en-US" w:eastAsia="en-US"/>
    </w:rPr>
  </w:style>
  <w:style w:type="paragraph" w:styleId="NoteHeading">
    <w:name w:val="Note Heading"/>
    <w:basedOn w:val="Normal"/>
    <w:next w:val="Normal"/>
    <w:link w:val="NoteHeadingChar"/>
    <w:uiPriority w:val="99"/>
    <w:unhideWhenUsed/>
    <w:locked/>
    <w:rsid w:val="000831A1"/>
    <w:pPr>
      <w:spacing w:after="0"/>
    </w:pPr>
    <w:rPr>
      <w:rFonts w:ascii="Georgia" w:hAnsi="Georgia"/>
      <w:sz w:val="24"/>
      <w:szCs w:val="20"/>
      <w:lang w:val="en-US" w:eastAsia="en-US"/>
    </w:rPr>
  </w:style>
  <w:style w:type="character" w:customStyle="1" w:styleId="NoteHeadingChar">
    <w:name w:val="Note Heading Char"/>
    <w:basedOn w:val="DefaultParagraphFont"/>
    <w:link w:val="NoteHeading"/>
    <w:uiPriority w:val="99"/>
    <w:rsid w:val="000831A1"/>
    <w:rPr>
      <w:rFonts w:ascii="Georgia" w:hAnsi="Georgia"/>
      <w:sz w:val="24"/>
      <w:lang w:val="en-US" w:eastAsia="en-US"/>
    </w:rPr>
  </w:style>
  <w:style w:type="character" w:styleId="PageNumber">
    <w:name w:val="page number"/>
    <w:basedOn w:val="DefaultParagraphFont"/>
    <w:locked/>
    <w:rsid w:val="000831A1"/>
    <w:rPr>
      <w:rFonts w:ascii="Arial" w:hAnsi="Arial"/>
      <w:sz w:val="16"/>
    </w:rPr>
  </w:style>
  <w:style w:type="character" w:styleId="PlaceholderText">
    <w:name w:val="Placeholder Text"/>
    <w:basedOn w:val="DefaultParagraphFont"/>
    <w:uiPriority w:val="99"/>
    <w:semiHidden/>
    <w:locked/>
    <w:rsid w:val="000831A1"/>
    <w:rPr>
      <w:color w:val="808080"/>
    </w:rPr>
  </w:style>
  <w:style w:type="paragraph" w:styleId="Quote">
    <w:name w:val="Quote"/>
    <w:basedOn w:val="Normal"/>
    <w:next w:val="Normal"/>
    <w:link w:val="QuoteChar"/>
    <w:uiPriority w:val="29"/>
    <w:unhideWhenUsed/>
    <w:locked/>
    <w:rsid w:val="000831A1"/>
    <w:rPr>
      <w:rFonts w:ascii="Georgia" w:hAnsi="Georgia"/>
      <w:i/>
      <w:iCs/>
      <w:color w:val="000000" w:themeColor="text1"/>
      <w:sz w:val="24"/>
      <w:szCs w:val="20"/>
      <w:lang w:val="en-US" w:eastAsia="en-US"/>
    </w:rPr>
  </w:style>
  <w:style w:type="character" w:customStyle="1" w:styleId="QuoteChar">
    <w:name w:val="Quote Char"/>
    <w:basedOn w:val="DefaultParagraphFont"/>
    <w:link w:val="Quote"/>
    <w:uiPriority w:val="29"/>
    <w:rsid w:val="000831A1"/>
    <w:rPr>
      <w:rFonts w:ascii="Georgia" w:hAnsi="Georgia"/>
      <w:i/>
      <w:iCs/>
      <w:color w:val="000000" w:themeColor="text1"/>
      <w:sz w:val="24"/>
      <w:lang w:val="en-US" w:eastAsia="en-US"/>
    </w:rPr>
  </w:style>
  <w:style w:type="paragraph" w:styleId="Salutation">
    <w:name w:val="Salutation"/>
    <w:basedOn w:val="Normal"/>
    <w:next w:val="Normal"/>
    <w:link w:val="SalutationChar"/>
    <w:uiPriority w:val="99"/>
    <w:unhideWhenUsed/>
    <w:locked/>
    <w:rsid w:val="000831A1"/>
    <w:rPr>
      <w:rFonts w:ascii="Georgia" w:hAnsi="Georgia"/>
      <w:sz w:val="24"/>
      <w:szCs w:val="20"/>
      <w:lang w:val="en-US" w:eastAsia="en-US"/>
    </w:rPr>
  </w:style>
  <w:style w:type="character" w:customStyle="1" w:styleId="SalutationChar">
    <w:name w:val="Salutation Char"/>
    <w:basedOn w:val="DefaultParagraphFont"/>
    <w:link w:val="Salutation"/>
    <w:uiPriority w:val="99"/>
    <w:rsid w:val="000831A1"/>
    <w:rPr>
      <w:rFonts w:ascii="Georgia" w:hAnsi="Georgia"/>
      <w:sz w:val="24"/>
      <w:lang w:val="en-US" w:eastAsia="en-US"/>
    </w:rPr>
  </w:style>
  <w:style w:type="paragraph" w:styleId="Signature">
    <w:name w:val="Signature"/>
    <w:basedOn w:val="Normal"/>
    <w:link w:val="SignatureChar"/>
    <w:uiPriority w:val="99"/>
    <w:unhideWhenUsed/>
    <w:locked/>
    <w:rsid w:val="000831A1"/>
    <w:pPr>
      <w:spacing w:after="0"/>
      <w:ind w:left="4320"/>
    </w:pPr>
    <w:rPr>
      <w:rFonts w:ascii="Georgia" w:hAnsi="Georgia"/>
      <w:sz w:val="24"/>
      <w:szCs w:val="20"/>
      <w:lang w:val="en-US" w:eastAsia="en-US"/>
    </w:rPr>
  </w:style>
  <w:style w:type="character" w:customStyle="1" w:styleId="SignatureChar">
    <w:name w:val="Signature Char"/>
    <w:basedOn w:val="DefaultParagraphFont"/>
    <w:link w:val="Signature"/>
    <w:uiPriority w:val="99"/>
    <w:rsid w:val="000831A1"/>
    <w:rPr>
      <w:rFonts w:ascii="Georgia" w:hAnsi="Georgia"/>
      <w:sz w:val="24"/>
      <w:lang w:val="en-US" w:eastAsia="en-US"/>
    </w:rPr>
  </w:style>
  <w:style w:type="character" w:customStyle="1" w:styleId="SmartHyperlink1">
    <w:name w:val="Smart Hyperlink1"/>
    <w:basedOn w:val="DefaultParagraphFont"/>
    <w:uiPriority w:val="99"/>
    <w:semiHidden/>
    <w:unhideWhenUsed/>
    <w:rsid w:val="000831A1"/>
    <w:rPr>
      <w:u w:val="dotted"/>
    </w:rPr>
  </w:style>
  <w:style w:type="paragraph" w:styleId="Subtitle">
    <w:name w:val="Subtitle"/>
    <w:basedOn w:val="Normal"/>
    <w:next w:val="Normal"/>
    <w:link w:val="SubtitleChar"/>
    <w:uiPriority w:val="11"/>
    <w:unhideWhenUsed/>
    <w:locked/>
    <w:rsid w:val="000831A1"/>
    <w:pPr>
      <w:numPr>
        <w:ilvl w:val="1"/>
      </w:numPr>
    </w:pPr>
    <w:rPr>
      <w:rFonts w:asciiTheme="majorHAnsi" w:eastAsiaTheme="majorEastAsia" w:hAnsiTheme="majorHAnsi" w:cstheme="majorBidi"/>
      <w:i/>
      <w:iCs/>
      <w:color w:val="4F81BD" w:themeColor="accent1"/>
      <w:spacing w:val="15"/>
      <w:sz w:val="24"/>
      <w:lang w:val="en-US" w:eastAsia="en-US"/>
    </w:rPr>
  </w:style>
  <w:style w:type="character" w:customStyle="1" w:styleId="SubtitleChar">
    <w:name w:val="Subtitle Char"/>
    <w:basedOn w:val="DefaultParagraphFont"/>
    <w:link w:val="Subtitle"/>
    <w:uiPriority w:val="11"/>
    <w:rsid w:val="000831A1"/>
    <w:rPr>
      <w:rFonts w:asciiTheme="majorHAnsi" w:eastAsiaTheme="majorEastAsia" w:hAnsiTheme="majorHAnsi" w:cstheme="majorBidi"/>
      <w:i/>
      <w:iCs/>
      <w:color w:val="4F81BD" w:themeColor="accent1"/>
      <w:spacing w:val="15"/>
      <w:sz w:val="24"/>
      <w:szCs w:val="24"/>
      <w:lang w:val="en-US" w:eastAsia="en-US"/>
    </w:rPr>
  </w:style>
  <w:style w:type="character" w:styleId="SubtleEmphasis">
    <w:name w:val="Subtle Emphasis"/>
    <w:basedOn w:val="DefaultParagraphFont"/>
    <w:uiPriority w:val="19"/>
    <w:unhideWhenUsed/>
    <w:locked/>
    <w:rsid w:val="000831A1"/>
    <w:rPr>
      <w:i/>
      <w:iCs/>
      <w:color w:val="808080" w:themeColor="text1" w:themeTint="7F"/>
    </w:rPr>
  </w:style>
  <w:style w:type="character" w:styleId="SubtleReference">
    <w:name w:val="Subtle Reference"/>
    <w:basedOn w:val="DefaultParagraphFont"/>
    <w:uiPriority w:val="31"/>
    <w:unhideWhenUsed/>
    <w:locked/>
    <w:rsid w:val="000831A1"/>
    <w:rPr>
      <w:smallCaps/>
      <w:color w:val="C0504D" w:themeColor="accent2"/>
      <w:u w:val="single"/>
    </w:rPr>
  </w:style>
  <w:style w:type="paragraph" w:styleId="TableofAuthorities">
    <w:name w:val="table of authorities"/>
    <w:basedOn w:val="Normal"/>
    <w:next w:val="Normal"/>
    <w:uiPriority w:val="99"/>
    <w:unhideWhenUsed/>
    <w:locked/>
    <w:rsid w:val="000831A1"/>
    <w:pPr>
      <w:spacing w:after="0"/>
      <w:ind w:left="260" w:hanging="260"/>
    </w:pPr>
    <w:rPr>
      <w:rFonts w:ascii="Georgia" w:hAnsi="Georgia"/>
      <w:sz w:val="24"/>
      <w:szCs w:val="20"/>
      <w:lang w:val="en-US" w:eastAsia="en-US"/>
    </w:rPr>
  </w:style>
  <w:style w:type="paragraph" w:styleId="Title">
    <w:name w:val="Title"/>
    <w:basedOn w:val="Normal"/>
    <w:next w:val="Normal"/>
    <w:link w:val="TitleChar"/>
    <w:uiPriority w:val="10"/>
    <w:unhideWhenUsed/>
    <w:locked/>
    <w:rsid w:val="000831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0831A1"/>
    <w:rPr>
      <w:rFonts w:asciiTheme="majorHAnsi" w:eastAsiaTheme="majorEastAsia" w:hAnsiTheme="majorHAnsi" w:cstheme="majorBidi"/>
      <w:color w:val="17365D" w:themeColor="text2" w:themeShade="BF"/>
      <w:spacing w:val="5"/>
      <w:kern w:val="28"/>
      <w:sz w:val="52"/>
      <w:szCs w:val="52"/>
      <w:lang w:val="en-US" w:eastAsia="en-US"/>
    </w:rPr>
  </w:style>
  <w:style w:type="paragraph" w:styleId="TOAHeading">
    <w:name w:val="toa heading"/>
    <w:basedOn w:val="Normal"/>
    <w:next w:val="Normal"/>
    <w:uiPriority w:val="99"/>
    <w:unhideWhenUsed/>
    <w:locked/>
    <w:rsid w:val="000831A1"/>
    <w:rPr>
      <w:rFonts w:asciiTheme="majorHAnsi" w:eastAsiaTheme="majorEastAsia" w:hAnsiTheme="majorHAnsi" w:cstheme="majorBidi"/>
      <w:b/>
      <w:bCs/>
      <w:sz w:val="24"/>
      <w:lang w:val="en-US" w:eastAsia="en-US"/>
    </w:rPr>
  </w:style>
  <w:style w:type="character" w:customStyle="1" w:styleId="UnresolvedMention7">
    <w:name w:val="Unresolved Mention7"/>
    <w:basedOn w:val="DefaultParagraphFont"/>
    <w:uiPriority w:val="99"/>
    <w:semiHidden/>
    <w:unhideWhenUsed/>
    <w:rsid w:val="000831A1"/>
    <w:rPr>
      <w:color w:val="808080"/>
      <w:shd w:val="clear" w:color="auto" w:fill="E6E6E6"/>
    </w:rPr>
  </w:style>
  <w:style w:type="paragraph" w:customStyle="1" w:styleId="03opensquarebullet">
    <w:name w:val="03 open square bullet"/>
    <w:basedOn w:val="02dash"/>
    <w:uiPriority w:val="5"/>
    <w:qFormat/>
    <w:rsid w:val="000831A1"/>
    <w:pPr>
      <w:numPr>
        <w:ilvl w:val="0"/>
      </w:numPr>
      <w:tabs>
        <w:tab w:val="num" w:pos="924"/>
      </w:tabs>
      <w:ind w:left="927" w:hanging="283"/>
    </w:pPr>
    <w:rPr>
      <w:rFonts w:ascii="Georgia" w:hAnsi="Georgia"/>
      <w:sz w:val="24"/>
    </w:rPr>
  </w:style>
  <w:style w:type="paragraph" w:customStyle="1" w:styleId="04shortdash">
    <w:name w:val="04 short dash"/>
    <w:basedOn w:val="03opensquarebullet"/>
    <w:uiPriority w:val="6"/>
    <w:qFormat/>
    <w:rsid w:val="000831A1"/>
    <w:pPr>
      <w:tabs>
        <w:tab w:val="clear" w:pos="924"/>
        <w:tab w:val="num" w:pos="1213"/>
      </w:tabs>
      <w:ind w:left="1211" w:hanging="284"/>
    </w:pPr>
  </w:style>
  <w:style w:type="paragraph" w:customStyle="1" w:styleId="05number1">
    <w:name w:val="05 number/1"/>
    <w:basedOn w:val="Normal"/>
    <w:uiPriority w:val="7"/>
    <w:qFormat/>
    <w:rsid w:val="000831A1"/>
    <w:pPr>
      <w:numPr>
        <w:numId w:val="106"/>
      </w:numPr>
    </w:pPr>
    <w:rPr>
      <w:rFonts w:ascii="Georgia" w:hAnsi="Georgia"/>
      <w:sz w:val="24"/>
      <w:szCs w:val="20"/>
      <w:lang w:val="en-US" w:eastAsia="en-US"/>
    </w:rPr>
  </w:style>
  <w:style w:type="paragraph" w:customStyle="1" w:styleId="06letter2">
    <w:name w:val="06 letter/2"/>
    <w:basedOn w:val="Normal"/>
    <w:uiPriority w:val="8"/>
    <w:qFormat/>
    <w:rsid w:val="000831A1"/>
    <w:pPr>
      <w:numPr>
        <w:ilvl w:val="1"/>
        <w:numId w:val="106"/>
      </w:numPr>
      <w:ind w:left="648" w:hanging="288"/>
    </w:pPr>
    <w:rPr>
      <w:rFonts w:ascii="Georgia" w:hAnsi="Georgia"/>
      <w:sz w:val="24"/>
      <w:szCs w:val="20"/>
      <w:lang w:val="en-US" w:eastAsia="en-US"/>
    </w:rPr>
  </w:style>
  <w:style w:type="paragraph" w:customStyle="1" w:styleId="07number3">
    <w:name w:val="07 number/3"/>
    <w:basedOn w:val="Normal"/>
    <w:uiPriority w:val="9"/>
    <w:qFormat/>
    <w:rsid w:val="000831A1"/>
    <w:pPr>
      <w:numPr>
        <w:ilvl w:val="2"/>
        <w:numId w:val="106"/>
      </w:numPr>
      <w:ind w:left="922" w:hanging="274"/>
    </w:pPr>
    <w:rPr>
      <w:rFonts w:ascii="Georgia" w:hAnsi="Georgia"/>
      <w:sz w:val="24"/>
      <w:szCs w:val="20"/>
      <w:lang w:val="en-US" w:eastAsia="en-US"/>
    </w:rPr>
  </w:style>
  <w:style w:type="paragraph" w:customStyle="1" w:styleId="08letter4">
    <w:name w:val="08 letter/4"/>
    <w:basedOn w:val="Normal"/>
    <w:uiPriority w:val="10"/>
    <w:qFormat/>
    <w:rsid w:val="000831A1"/>
    <w:pPr>
      <w:numPr>
        <w:ilvl w:val="3"/>
        <w:numId w:val="106"/>
      </w:numPr>
      <w:ind w:left="1210" w:hanging="288"/>
    </w:pPr>
    <w:rPr>
      <w:rFonts w:ascii="Georgia" w:hAnsi="Georgia"/>
      <w:sz w:val="24"/>
      <w:szCs w:val="20"/>
      <w:lang w:val="en-US" w:eastAsia="en-US"/>
    </w:rPr>
  </w:style>
  <w:style w:type="paragraph" w:customStyle="1" w:styleId="10tablenormal">
    <w:name w:val="10 table normal"/>
    <w:basedOn w:val="Normal"/>
    <w:rsid w:val="000831A1"/>
    <w:pPr>
      <w:ind w:right="142"/>
    </w:pPr>
    <w:rPr>
      <w:rFonts w:ascii="Georgia" w:hAnsi="Georgia"/>
      <w:sz w:val="24"/>
      <w:szCs w:val="20"/>
      <w:lang w:val="en-US" w:eastAsia="en-US"/>
    </w:rPr>
  </w:style>
  <w:style w:type="paragraph" w:customStyle="1" w:styleId="15tableheading">
    <w:name w:val="15 table heading"/>
    <w:basedOn w:val="10tablenormal"/>
    <w:next w:val="10tablenormal"/>
    <w:rsid w:val="000831A1"/>
    <w:rPr>
      <w:b/>
    </w:rPr>
  </w:style>
  <w:style w:type="paragraph" w:customStyle="1" w:styleId="20major">
    <w:name w:val="20 major"/>
    <w:basedOn w:val="Normal"/>
    <w:next w:val="Normal"/>
    <w:uiPriority w:val="1"/>
    <w:qFormat/>
    <w:rsid w:val="000831A1"/>
    <w:pPr>
      <w:keepNext/>
      <w:spacing w:before="540"/>
      <w:ind w:right="360"/>
      <w:outlineLvl w:val="1"/>
    </w:pPr>
    <w:rPr>
      <w:rFonts w:ascii="Arial" w:hAnsi="Arial"/>
      <w:b/>
      <w:caps/>
      <w:sz w:val="24"/>
      <w:szCs w:val="20"/>
      <w:lang w:val="en-US" w:eastAsia="en-US"/>
    </w:rPr>
  </w:style>
  <w:style w:type="paragraph" w:customStyle="1" w:styleId="21minor">
    <w:name w:val="21 minor"/>
    <w:basedOn w:val="Normal"/>
    <w:next w:val="Normal"/>
    <w:uiPriority w:val="2"/>
    <w:qFormat/>
    <w:rsid w:val="000831A1"/>
    <w:pPr>
      <w:keepNext/>
      <w:spacing w:before="420"/>
      <w:ind w:right="360"/>
      <w:outlineLvl w:val="2"/>
    </w:pPr>
    <w:rPr>
      <w:rFonts w:ascii="Arial" w:hAnsi="Arial"/>
      <w:b/>
      <w:sz w:val="24"/>
      <w:szCs w:val="20"/>
      <w:lang w:val="en-US" w:eastAsia="en-US"/>
    </w:rPr>
  </w:style>
  <w:style w:type="paragraph" w:customStyle="1" w:styleId="23threesquarebulletsbreak">
    <w:name w:val="23 three square bullets break"/>
    <w:basedOn w:val="Normal"/>
    <w:next w:val="Normal"/>
    <w:rsid w:val="000831A1"/>
    <w:pPr>
      <w:spacing w:before="600" w:after="480"/>
      <w:jc w:val="center"/>
    </w:pPr>
    <w:rPr>
      <w:rFonts w:ascii="Arial" w:hAnsi="Arial"/>
      <w:sz w:val="24"/>
      <w:szCs w:val="20"/>
      <w:lang w:val="en-US" w:eastAsia="en-US"/>
    </w:rPr>
  </w:style>
  <w:style w:type="paragraph" w:customStyle="1" w:styleId="24enddate">
    <w:name w:val="24 end date"/>
    <w:basedOn w:val="Normal"/>
    <w:next w:val="Normal"/>
    <w:rsid w:val="000831A1"/>
    <w:pPr>
      <w:pBdr>
        <w:top w:val="single" w:sz="4" w:space="6" w:color="auto"/>
      </w:pBdr>
      <w:spacing w:before="300"/>
    </w:pPr>
    <w:rPr>
      <w:rFonts w:ascii="Arial" w:hAnsi="Arial"/>
      <w:sz w:val="20"/>
      <w:szCs w:val="20"/>
      <w:lang w:val="en-US" w:eastAsia="en-US"/>
    </w:rPr>
  </w:style>
  <w:style w:type="paragraph" w:customStyle="1" w:styleId="30documenttitle">
    <w:name w:val="30 document title"/>
    <w:basedOn w:val="Normal"/>
    <w:next w:val="Normal"/>
    <w:rsid w:val="000831A1"/>
    <w:pPr>
      <w:spacing w:before="600" w:after="360"/>
      <w:ind w:right="1080"/>
      <w:outlineLvl w:val="0"/>
    </w:pPr>
    <w:rPr>
      <w:rFonts w:ascii="Arial" w:hAnsi="Arial"/>
      <w:sz w:val="44"/>
      <w:szCs w:val="20"/>
      <w:lang w:val="en-US" w:eastAsia="en-US"/>
    </w:rPr>
  </w:style>
  <w:style w:type="paragraph" w:customStyle="1" w:styleId="31subtitle">
    <w:name w:val="31 subtitle"/>
    <w:basedOn w:val="Normal"/>
    <w:next w:val="Normal"/>
    <w:rsid w:val="000831A1"/>
    <w:pPr>
      <w:spacing w:after="360"/>
      <w:ind w:right="3600"/>
    </w:pPr>
    <w:rPr>
      <w:rFonts w:ascii="Arial" w:hAnsi="Arial"/>
      <w:sz w:val="24"/>
      <w:szCs w:val="20"/>
      <w:lang w:val="en-US" w:eastAsia="en-US"/>
    </w:rPr>
  </w:style>
  <w:style w:type="paragraph" w:customStyle="1" w:styleId="32chaptertitle">
    <w:name w:val="32 chapter title"/>
    <w:basedOn w:val="Normal"/>
    <w:next w:val="Normal"/>
    <w:uiPriority w:val="12"/>
    <w:qFormat/>
    <w:rsid w:val="000831A1"/>
    <w:pPr>
      <w:pageBreakBefore/>
      <w:spacing w:before="0" w:after="300"/>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0831A1"/>
    <w:pPr>
      <w:spacing w:after="1000"/>
    </w:pPr>
    <w:rPr>
      <w:rFonts w:ascii="Arial" w:hAnsi="Arial" w:cs="Arial"/>
      <w:sz w:val="44"/>
      <w:szCs w:val="20"/>
      <w:lang w:val="en-US" w:eastAsia="en-US"/>
    </w:rPr>
  </w:style>
  <w:style w:type="paragraph" w:customStyle="1" w:styleId="36opener">
    <w:name w:val="36 opener"/>
    <w:basedOn w:val="Normal"/>
    <w:rsid w:val="000831A1"/>
    <w:pPr>
      <w:tabs>
        <w:tab w:val="right" w:pos="-261"/>
      </w:tabs>
      <w:spacing w:after="0"/>
      <w:ind w:hanging="2160"/>
    </w:pPr>
    <w:rPr>
      <w:rFonts w:ascii="Arial" w:hAnsi="Arial"/>
      <w:sz w:val="20"/>
      <w:szCs w:val="20"/>
      <w:lang w:val="en-US" w:eastAsia="en-US"/>
    </w:rPr>
  </w:style>
  <w:style w:type="paragraph" w:customStyle="1" w:styleId="39restrictivenote">
    <w:name w:val="39 restrictive note"/>
    <w:basedOn w:val="Normal"/>
    <w:next w:val="Normal"/>
    <w:rsid w:val="000831A1"/>
    <w:rPr>
      <w:rFonts w:ascii="Arial" w:hAnsi="Arial"/>
      <w:caps/>
      <w:sz w:val="20"/>
      <w:szCs w:val="20"/>
      <w:lang w:val="en-US" w:eastAsia="en-US"/>
    </w:rPr>
  </w:style>
  <w:style w:type="paragraph" w:customStyle="1" w:styleId="40address">
    <w:name w:val="40 address"/>
    <w:basedOn w:val="Normal"/>
    <w:rsid w:val="000831A1"/>
    <w:rPr>
      <w:rFonts w:ascii="Georgia" w:hAnsi="Georgia"/>
      <w:sz w:val="24"/>
      <w:szCs w:val="20"/>
      <w:lang w:val="en-US" w:eastAsia="en-US"/>
    </w:rPr>
  </w:style>
  <w:style w:type="paragraph" w:customStyle="1" w:styleId="41closing">
    <w:name w:val="41 closing"/>
    <w:basedOn w:val="Normal"/>
    <w:rsid w:val="000831A1"/>
    <w:pPr>
      <w:spacing w:before="60"/>
      <w:ind w:left="3958"/>
    </w:pPr>
    <w:rPr>
      <w:rFonts w:ascii="Georgia" w:hAnsi="Georgia"/>
      <w:sz w:val="24"/>
      <w:szCs w:val="20"/>
      <w:lang w:val="en-US" w:eastAsia="en-US"/>
    </w:rPr>
  </w:style>
  <w:style w:type="paragraph" w:customStyle="1" w:styleId="42cc">
    <w:name w:val="42 cc:"/>
    <w:basedOn w:val="Normal"/>
    <w:rsid w:val="000831A1"/>
    <w:pPr>
      <w:ind w:left="544" w:hanging="544"/>
    </w:pPr>
    <w:rPr>
      <w:rFonts w:ascii="Georgia" w:hAnsi="Georgia"/>
      <w:sz w:val="24"/>
      <w:szCs w:val="20"/>
      <w:lang w:val="en-US" w:eastAsia="en-US"/>
    </w:rPr>
  </w:style>
  <w:style w:type="paragraph" w:customStyle="1" w:styleId="DocumentID-BL">
    <w:name w:val="DocumentID-BL"/>
    <w:basedOn w:val="Normal"/>
    <w:next w:val="Header"/>
    <w:rsid w:val="000831A1"/>
    <w:pPr>
      <w:framePr w:hSpace="187" w:vSpace="187" w:wrap="around" w:vAnchor="page" w:hAnchor="page" w:x="721" w:y="15985" w:anchorLock="1"/>
      <w:spacing w:after="0"/>
    </w:pPr>
    <w:rPr>
      <w:rFonts w:ascii="Georgia" w:hAnsi="Georgia"/>
      <w:sz w:val="16"/>
      <w:szCs w:val="20"/>
      <w:lang w:val="en-US" w:eastAsia="en-US"/>
    </w:rPr>
  </w:style>
  <w:style w:type="paragraph" w:customStyle="1" w:styleId="DocumentID-BLGlobal">
    <w:name w:val="DocumentID-BLGlobal"/>
    <w:basedOn w:val="Normal"/>
    <w:next w:val="Header"/>
    <w:rsid w:val="000831A1"/>
    <w:pPr>
      <w:framePr w:hSpace="187" w:vSpace="187" w:wrap="around" w:vAnchor="page" w:hAnchor="page" w:x="721" w:y="15985" w:anchorLock="1"/>
      <w:spacing w:after="0"/>
    </w:pPr>
    <w:rPr>
      <w:rFonts w:ascii="Georgia" w:hAnsi="Georgia"/>
      <w:sz w:val="16"/>
      <w:szCs w:val="20"/>
      <w:lang w:val="en-US" w:eastAsia="en-US"/>
    </w:rPr>
  </w:style>
  <w:style w:type="paragraph" w:customStyle="1" w:styleId="DocumentID-BLT">
    <w:name w:val="DocumentID-BLT"/>
    <w:basedOn w:val="DocumentID-BL"/>
    <w:rsid w:val="000831A1"/>
    <w:pPr>
      <w:framePr w:wrap="around"/>
    </w:pPr>
    <w:rPr>
      <w:vanish/>
      <w:color w:val="FF0000"/>
    </w:rPr>
  </w:style>
  <w:style w:type="paragraph" w:customStyle="1" w:styleId="DocumentID-TR">
    <w:name w:val="DocumentID-TR"/>
    <w:basedOn w:val="Normal"/>
    <w:next w:val="Header"/>
    <w:rsid w:val="000831A1"/>
    <w:pPr>
      <w:framePr w:w="5760" w:wrap="around" w:vAnchor="page" w:hAnchor="page" w:x="5401" w:y="721" w:anchorLock="1"/>
      <w:spacing w:after="0"/>
      <w:jc w:val="right"/>
    </w:pPr>
    <w:rPr>
      <w:rFonts w:ascii="Georgia" w:hAnsi="Georgia"/>
      <w:sz w:val="16"/>
      <w:szCs w:val="20"/>
      <w:lang w:val="en-US" w:eastAsia="en-US"/>
    </w:rPr>
  </w:style>
  <w:style w:type="paragraph" w:customStyle="1" w:styleId="DocumentID-TRGlobal">
    <w:name w:val="DocumentID-TRGlobal"/>
    <w:basedOn w:val="Normal"/>
    <w:next w:val="Header"/>
    <w:rsid w:val="000831A1"/>
    <w:pPr>
      <w:framePr w:w="5760" w:wrap="around" w:vAnchor="page" w:hAnchor="page" w:x="5401" w:y="721" w:anchorLock="1"/>
      <w:spacing w:after="0"/>
      <w:jc w:val="right"/>
    </w:pPr>
    <w:rPr>
      <w:rFonts w:ascii="Georgia" w:hAnsi="Georgia"/>
      <w:sz w:val="16"/>
      <w:szCs w:val="20"/>
      <w:lang w:val="en-US" w:eastAsia="en-US"/>
    </w:rPr>
  </w:style>
  <w:style w:type="paragraph" w:customStyle="1" w:styleId="DocumentID-TRT">
    <w:name w:val="DocumentID-TRT"/>
    <w:basedOn w:val="DocumentID-TR"/>
    <w:rsid w:val="000831A1"/>
    <w:pPr>
      <w:framePr w:wrap="around"/>
    </w:pPr>
    <w:rPr>
      <w:vanish/>
      <w:color w:val="FF0000"/>
    </w:rPr>
  </w:style>
  <w:style w:type="paragraph" w:customStyle="1" w:styleId="SOPP20major">
    <w:name w:val="SOPP_20 major"/>
    <w:basedOn w:val="Normal"/>
    <w:next w:val="Normal"/>
    <w:rsid w:val="000831A1"/>
    <w:pPr>
      <w:keepNext/>
      <w:spacing w:before="540"/>
      <w:ind w:right="360"/>
      <w:outlineLvl w:val="2"/>
    </w:pPr>
    <w:rPr>
      <w:rFonts w:ascii="Arial" w:hAnsi="Arial"/>
      <w:b/>
      <w:caps/>
      <w:sz w:val="24"/>
      <w:szCs w:val="20"/>
      <w:lang w:val="cs-CZ" w:eastAsia="en-US"/>
    </w:rPr>
  </w:style>
  <w:style w:type="paragraph" w:customStyle="1" w:styleId="SOPP21minor">
    <w:name w:val="SOPP_21 minor"/>
    <w:basedOn w:val="Normal"/>
    <w:next w:val="Normal"/>
    <w:rsid w:val="000831A1"/>
    <w:pPr>
      <w:keepNext/>
      <w:spacing w:before="420"/>
      <w:ind w:right="360"/>
      <w:outlineLvl w:val="3"/>
    </w:pPr>
    <w:rPr>
      <w:rFonts w:ascii="Arial" w:hAnsi="Arial"/>
      <w:b/>
      <w:sz w:val="24"/>
      <w:szCs w:val="20"/>
      <w:lang w:val="cs-CZ" w:eastAsia="en-US"/>
    </w:rPr>
  </w:style>
  <w:style w:type="paragraph" w:customStyle="1" w:styleId="SOPP30documenttitle">
    <w:name w:val="SOPP_30 document title"/>
    <w:basedOn w:val="Normal"/>
    <w:next w:val="Normal"/>
    <w:rsid w:val="000831A1"/>
    <w:pPr>
      <w:spacing w:before="780" w:after="360"/>
      <w:ind w:right="1080"/>
      <w:outlineLvl w:val="0"/>
    </w:pPr>
    <w:rPr>
      <w:rFonts w:ascii="Arial" w:hAnsi="Arial"/>
      <w:sz w:val="44"/>
      <w:szCs w:val="20"/>
      <w:lang w:val="cs-CZ" w:eastAsia="en-US"/>
    </w:rPr>
  </w:style>
  <w:style w:type="paragraph" w:customStyle="1" w:styleId="SOPP42cc">
    <w:name w:val="SOPP_42 cc:"/>
    <w:basedOn w:val="Normal"/>
    <w:rsid w:val="000831A1"/>
    <w:pPr>
      <w:spacing w:before="480"/>
      <w:ind w:left="544" w:hanging="544"/>
    </w:pPr>
    <w:rPr>
      <w:rFonts w:ascii="Georgia" w:hAnsi="Georgia"/>
      <w:sz w:val="24"/>
      <w:szCs w:val="20"/>
      <w:lang w:val="cs-CZ" w:eastAsia="en-US"/>
    </w:rPr>
  </w:style>
  <w:style w:type="character" w:customStyle="1" w:styleId="StyleArialLatin13pt">
    <w:name w:val="Style Arial (Latin) 13 pt"/>
    <w:basedOn w:val="DefaultParagraphFont"/>
    <w:rsid w:val="000831A1"/>
    <w:rPr>
      <w:rFonts w:ascii="Arial" w:hAnsi="Arial" w:cs="Arial"/>
      <w:color w:val="auto"/>
      <w:sz w:val="26"/>
    </w:rPr>
  </w:style>
  <w:style w:type="character" w:customStyle="1" w:styleId="StyleArial14pt">
    <w:name w:val="Style Arial 14 pt"/>
    <w:basedOn w:val="DefaultParagraphFont"/>
    <w:rsid w:val="000831A1"/>
    <w:rPr>
      <w:rFonts w:ascii="Arial" w:hAnsi="Arial"/>
      <w:color w:val="auto"/>
      <w:sz w:val="28"/>
    </w:rPr>
  </w:style>
  <w:style w:type="paragraph" w:customStyle="1" w:styleId="StyleArial22ptCustomAfter10pt">
    <w:name w:val="Style Arial 22 pt Custom After:  10 pt"/>
    <w:basedOn w:val="Normal"/>
    <w:rsid w:val="000831A1"/>
    <w:pPr>
      <w:spacing w:after="200"/>
    </w:pPr>
    <w:rPr>
      <w:rFonts w:ascii="Arial" w:hAnsi="Arial"/>
      <w:sz w:val="44"/>
      <w:szCs w:val="20"/>
      <w:lang w:val="en-US" w:eastAsia="en-US"/>
    </w:rPr>
  </w:style>
  <w:style w:type="paragraph" w:customStyle="1" w:styleId="TitlePageClient">
    <w:name w:val="Title Page_Client"/>
    <w:basedOn w:val="Normal"/>
    <w:next w:val="Normal"/>
    <w:rsid w:val="000831A1"/>
    <w:rPr>
      <w:rFonts w:ascii="Arial" w:hAnsi="Arial"/>
      <w:sz w:val="28"/>
      <w:szCs w:val="20"/>
      <w:lang w:val="en-US" w:eastAsia="en-US"/>
    </w:rPr>
  </w:style>
  <w:style w:type="paragraph" w:customStyle="1" w:styleId="TitlePageDisclaimer">
    <w:name w:val="Title Page_Disclaimer"/>
    <w:basedOn w:val="Normal"/>
    <w:rsid w:val="000831A1"/>
    <w:rPr>
      <w:rFonts w:ascii="Arial" w:hAnsi="Arial"/>
      <w:sz w:val="18"/>
      <w:szCs w:val="20"/>
      <w:lang w:val="en-US" w:eastAsia="en-US"/>
    </w:rPr>
  </w:style>
  <w:style w:type="paragraph" w:customStyle="1" w:styleId="TitlePageDocument">
    <w:name w:val="Title Page_Document"/>
    <w:basedOn w:val="Normal"/>
    <w:rsid w:val="000831A1"/>
    <w:rPr>
      <w:rFonts w:ascii="Arial" w:hAnsi="Arial" w:cs="Arial"/>
      <w:sz w:val="24"/>
      <w:szCs w:val="20"/>
      <w:lang w:val="en-US" w:eastAsia="en-US"/>
    </w:rPr>
  </w:style>
  <w:style w:type="paragraph" w:customStyle="1" w:styleId="TitlePageTitle">
    <w:name w:val="Title Page_Title"/>
    <w:basedOn w:val="Normal"/>
    <w:next w:val="Normal"/>
    <w:rsid w:val="000831A1"/>
    <w:pPr>
      <w:spacing w:after="200"/>
    </w:pPr>
    <w:rPr>
      <w:rFonts w:ascii="Arial" w:hAnsi="Arial"/>
      <w:sz w:val="44"/>
      <w:szCs w:val="20"/>
      <w:lang w:val="en-US" w:eastAsia="en-US"/>
    </w:rPr>
  </w:style>
  <w:style w:type="table" w:customStyle="1" w:styleId="McKTableStyle">
    <w:name w:val="McKTableStyle"/>
    <w:basedOn w:val="TableNormal"/>
    <w:uiPriority w:val="99"/>
    <w:rsid w:val="000831A1"/>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0831A1"/>
    <w:pPr>
      <w:spacing w:before="1680"/>
      <w:jc w:val="right"/>
    </w:pPr>
    <w:rPr>
      <w:rFonts w:ascii="Georgia" w:hAnsi="Georgia"/>
      <w:sz w:val="24"/>
      <w:szCs w:val="20"/>
      <w:lang w:val="en-US" w:eastAsia="en-US"/>
    </w:rPr>
  </w:style>
  <w:style w:type="paragraph" w:customStyle="1" w:styleId="StyleArialLatin12ptLeft-2cmAfter0pt">
    <w:name w:val="Style Arial (Latin) 12 pt Left:  -2 cm After:  0 pt"/>
    <w:basedOn w:val="Normal"/>
    <w:uiPriority w:val="49"/>
    <w:rsid w:val="000831A1"/>
    <w:pPr>
      <w:spacing w:after="0"/>
      <w:ind w:left="-1134"/>
    </w:pPr>
    <w:rPr>
      <w:rFonts w:ascii="Arial" w:hAnsi="Arial" w:cs="Arial"/>
      <w:sz w:val="24"/>
      <w:szCs w:val="20"/>
      <w:lang w:val="en-US" w:eastAsia="en-US"/>
    </w:rPr>
  </w:style>
  <w:style w:type="paragraph" w:customStyle="1" w:styleId="StyleArialLatin13ptLeft-2cmHanging099cmRight">
    <w:name w:val="Style Arial (Latin) 13 pt Left:  -2 cm Hanging:  0.99 cm Right:..."/>
    <w:basedOn w:val="Normal"/>
    <w:uiPriority w:val="49"/>
    <w:rsid w:val="000831A1"/>
    <w:pPr>
      <w:ind w:left="-573" w:right="1077" w:hanging="561"/>
    </w:pPr>
    <w:rPr>
      <w:rFonts w:ascii="Arial" w:hAnsi="Arial" w:cs="Arial"/>
      <w:sz w:val="24"/>
      <w:szCs w:val="20"/>
      <w:lang w:val="en-US" w:eastAsia="en-US"/>
    </w:rPr>
  </w:style>
  <w:style w:type="paragraph" w:customStyle="1" w:styleId="StyleArial10ptLeft-2cm">
    <w:name w:val="Style Arial 10 pt Left:  -2 cm"/>
    <w:basedOn w:val="Normal"/>
    <w:uiPriority w:val="49"/>
    <w:rsid w:val="000831A1"/>
    <w:rPr>
      <w:rFonts w:ascii="Arial" w:hAnsi="Arial"/>
      <w:sz w:val="20"/>
      <w:szCs w:val="20"/>
      <w:lang w:val="en-US" w:eastAsia="en-US"/>
    </w:rPr>
  </w:style>
  <w:style w:type="paragraph" w:customStyle="1" w:styleId="25pullquote">
    <w:name w:val="25 pull quote"/>
    <w:basedOn w:val="Normal"/>
    <w:rsid w:val="000831A1"/>
    <w:pPr>
      <w:spacing w:before="0" w:after="200" w:line="276" w:lineRule="auto"/>
    </w:pPr>
    <w:rPr>
      <w:rFonts w:ascii="Georgia" w:hAnsi="Georgia"/>
      <w:color w:val="808080"/>
      <w:sz w:val="28"/>
      <w:szCs w:val="28"/>
      <w:lang w:eastAsia="en-US"/>
    </w:rPr>
  </w:style>
  <w:style w:type="paragraph" w:customStyle="1" w:styleId="22sub-minor">
    <w:name w:val="22 sub-minor"/>
    <w:basedOn w:val="Normal"/>
    <w:link w:val="22sub-minorChar"/>
    <w:uiPriority w:val="2"/>
    <w:qFormat/>
    <w:rsid w:val="000831A1"/>
    <w:pPr>
      <w:keepNext/>
      <w:spacing w:before="300" w:line="264" w:lineRule="auto"/>
    </w:pPr>
    <w:rPr>
      <w:rFonts w:ascii="Arial" w:hAnsi="Arial" w:cs="Arial"/>
      <w:b/>
      <w:color w:val="000000" w:themeColor="text1"/>
      <w:sz w:val="24"/>
      <w:lang w:val="en-US" w:eastAsia="en-US"/>
    </w:rPr>
  </w:style>
  <w:style w:type="character" w:customStyle="1" w:styleId="22sub-minorChar">
    <w:name w:val="22 sub-minor Char"/>
    <w:basedOn w:val="DefaultParagraphFont"/>
    <w:link w:val="22sub-minor"/>
    <w:uiPriority w:val="2"/>
    <w:rsid w:val="000831A1"/>
    <w:rPr>
      <w:rFonts w:ascii="Arial" w:hAnsi="Arial" w:cs="Arial"/>
      <w:b/>
      <w:color w:val="000000" w:themeColor="text1"/>
      <w:sz w:val="24"/>
      <w:szCs w:val="24"/>
      <w:lang w:val="en-US" w:eastAsia="en-US"/>
    </w:rPr>
  </w:style>
  <w:style w:type="paragraph" w:customStyle="1" w:styleId="Body">
    <w:name w:val="Body"/>
    <w:rsid w:val="00BB03F6"/>
    <w:pPr>
      <w:pBdr>
        <w:top w:val="nil"/>
        <w:left w:val="nil"/>
        <w:bottom w:val="nil"/>
        <w:right w:val="nil"/>
        <w:between w:val="nil"/>
        <w:bar w:val="nil"/>
      </w:pBdr>
      <w:spacing w:before="180" w:after="60" w:line="312" w:lineRule="auto"/>
    </w:pPr>
    <w:rPr>
      <w:rFonts w:ascii="Calibri" w:eastAsia="Calibri" w:hAnsi="Calibri" w:cs="Calibri"/>
      <w:color w:val="000000"/>
      <w:sz w:val="22"/>
      <w:szCs w:val="22"/>
      <w:u w:color="000000"/>
      <w:bdr w:val="nil"/>
    </w:rPr>
  </w:style>
  <w:style w:type="paragraph" w:customStyle="1" w:styleId="BoxNormal">
    <w:name w:val="Box Normal"/>
    <w:basedOn w:val="Normal"/>
    <w:qFormat/>
    <w:rsid w:val="00817AE1"/>
    <w:pPr>
      <w:pBdr>
        <w:top w:val="single" w:sz="8" w:space="1" w:color="76923C" w:themeColor="accent3" w:themeShade="BF"/>
        <w:left w:val="single" w:sz="8" w:space="4" w:color="76923C" w:themeColor="accent3" w:themeShade="BF"/>
        <w:bottom w:val="single" w:sz="8" w:space="1" w:color="76923C" w:themeColor="accent3" w:themeShade="BF"/>
        <w:right w:val="single" w:sz="8" w:space="4" w:color="76923C" w:themeColor="accent3" w:themeShade="BF"/>
      </w:pBdr>
      <w:shd w:val="clear" w:color="auto" w:fill="EAF1DD" w:themeFill="accent3" w:themeFillTint="33"/>
      <w:spacing w:before="0" w:after="180"/>
      <w:ind w:left="57" w:right="57"/>
    </w:pPr>
    <w:rPr>
      <w:rFonts w:eastAsiaTheme="minorHAnsi" w:cstheme="minorHAnsi"/>
      <w:szCs w:val="22"/>
    </w:rPr>
  </w:style>
  <w:style w:type="table" w:styleId="GridTable1Light-Accent6">
    <w:name w:val="Grid Table 1 Light Accent 6"/>
    <w:basedOn w:val="TableNormal"/>
    <w:uiPriority w:val="46"/>
    <w:rsid w:val="00A137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Pr/>
      <w:tcPr>
        <w:shd w:val="clear" w:color="auto" w:fill="E36C0A" w:themeFill="accent6" w:themeFillShade="BF"/>
      </w:tcPr>
    </w:tblStylePr>
    <w:tblStylePr w:type="lastRow">
      <w:rPr>
        <w:b/>
        <w:bCs/>
      </w:rPr>
      <w:tblPr/>
      <w:tcPr>
        <w:tcBorders>
          <w:top w:val="double" w:sz="2" w:space="0" w:color="FABF8F" w:themeColor="accent6" w:themeTint="99"/>
        </w:tcBorders>
      </w:tcPr>
    </w:tblStylePr>
    <w:tblStylePr w:type="firstCol">
      <w:rPr>
        <w:b w:val="0"/>
        <w:bCs/>
      </w:rPr>
    </w:tblStylePr>
    <w:tblStylePr w:type="lastCol">
      <w:rPr>
        <w:b/>
        <w:bCs/>
      </w:rPr>
    </w:tblStylePr>
  </w:style>
  <w:style w:type="table" w:styleId="GridTable4-Accent3">
    <w:name w:val="Grid Table 4 Accent 3"/>
    <w:basedOn w:val="TableNormal"/>
    <w:uiPriority w:val="49"/>
    <w:rsid w:val="0060432D"/>
    <w:rPr>
      <w:rFonts w:ascii="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color w:val="FFFFFF" w:themeColor="background1"/>
      </w:rPr>
      <w:tblPr/>
      <w:tcPr>
        <w:shd w:val="clear" w:color="auto" w:fill="01653F"/>
      </w:tcPr>
    </w:tblStylePr>
    <w:tblStylePr w:type="lastRow">
      <w:rPr>
        <w:b/>
        <w:bCs/>
      </w:rPr>
      <w:tblPr/>
      <w:tcPr>
        <w:tcBorders>
          <w:top w:val="double" w:sz="4" w:space="0" w:color="9BBB59" w:themeColor="accent3"/>
        </w:tcBorders>
      </w:tcPr>
    </w:tblStylePr>
    <w:tblStylePr w:type="firstCol">
      <w:rPr>
        <w:b w:val="0"/>
        <w:bCs/>
      </w:rPr>
    </w:tblStylePr>
    <w:tblStylePr w:type="lastCol">
      <w:rPr>
        <w:b/>
        <w:bCs/>
      </w:rPr>
    </w:tblStylePr>
    <w:tblStylePr w:type="band1Vert">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6517724">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338578">
      <w:bodyDiv w:val="1"/>
      <w:marLeft w:val="0"/>
      <w:marRight w:val="0"/>
      <w:marTop w:val="0"/>
      <w:marBottom w:val="0"/>
      <w:divBdr>
        <w:top w:val="none" w:sz="0" w:space="0" w:color="auto"/>
        <w:left w:val="none" w:sz="0" w:space="0" w:color="auto"/>
        <w:bottom w:val="none" w:sz="0" w:space="0" w:color="auto"/>
        <w:right w:val="none" w:sz="0" w:space="0" w:color="auto"/>
      </w:divBdr>
    </w:div>
    <w:div w:id="25298148">
      <w:bodyDiv w:val="1"/>
      <w:marLeft w:val="0"/>
      <w:marRight w:val="0"/>
      <w:marTop w:val="0"/>
      <w:marBottom w:val="0"/>
      <w:divBdr>
        <w:top w:val="none" w:sz="0" w:space="0" w:color="auto"/>
        <w:left w:val="none" w:sz="0" w:space="0" w:color="auto"/>
        <w:bottom w:val="none" w:sz="0" w:space="0" w:color="auto"/>
        <w:right w:val="none" w:sz="0" w:space="0" w:color="auto"/>
      </w:divBdr>
    </w:div>
    <w:div w:id="28453850">
      <w:bodyDiv w:val="1"/>
      <w:marLeft w:val="0"/>
      <w:marRight w:val="0"/>
      <w:marTop w:val="0"/>
      <w:marBottom w:val="0"/>
      <w:divBdr>
        <w:top w:val="none" w:sz="0" w:space="0" w:color="auto"/>
        <w:left w:val="none" w:sz="0" w:space="0" w:color="auto"/>
        <w:bottom w:val="none" w:sz="0" w:space="0" w:color="auto"/>
        <w:right w:val="none" w:sz="0" w:space="0" w:color="auto"/>
      </w:divBdr>
    </w:div>
    <w:div w:id="30037753">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303918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7927010">
      <w:bodyDiv w:val="1"/>
      <w:marLeft w:val="0"/>
      <w:marRight w:val="0"/>
      <w:marTop w:val="0"/>
      <w:marBottom w:val="0"/>
      <w:divBdr>
        <w:top w:val="none" w:sz="0" w:space="0" w:color="auto"/>
        <w:left w:val="none" w:sz="0" w:space="0" w:color="auto"/>
        <w:bottom w:val="none" w:sz="0" w:space="0" w:color="auto"/>
        <w:right w:val="none" w:sz="0" w:space="0" w:color="auto"/>
      </w:divBdr>
    </w:div>
    <w:div w:id="70321099">
      <w:bodyDiv w:val="1"/>
      <w:marLeft w:val="0"/>
      <w:marRight w:val="0"/>
      <w:marTop w:val="0"/>
      <w:marBottom w:val="0"/>
      <w:divBdr>
        <w:top w:val="none" w:sz="0" w:space="0" w:color="auto"/>
        <w:left w:val="none" w:sz="0" w:space="0" w:color="auto"/>
        <w:bottom w:val="none" w:sz="0" w:space="0" w:color="auto"/>
        <w:right w:val="none" w:sz="0" w:space="0" w:color="auto"/>
      </w:divBdr>
    </w:div>
    <w:div w:id="70542731">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6562665">
      <w:bodyDiv w:val="1"/>
      <w:marLeft w:val="0"/>
      <w:marRight w:val="0"/>
      <w:marTop w:val="0"/>
      <w:marBottom w:val="0"/>
      <w:divBdr>
        <w:top w:val="none" w:sz="0" w:space="0" w:color="auto"/>
        <w:left w:val="none" w:sz="0" w:space="0" w:color="auto"/>
        <w:bottom w:val="none" w:sz="0" w:space="0" w:color="auto"/>
        <w:right w:val="none" w:sz="0" w:space="0" w:color="auto"/>
      </w:divBdr>
    </w:div>
    <w:div w:id="86728864">
      <w:bodyDiv w:val="1"/>
      <w:marLeft w:val="0"/>
      <w:marRight w:val="0"/>
      <w:marTop w:val="0"/>
      <w:marBottom w:val="0"/>
      <w:divBdr>
        <w:top w:val="none" w:sz="0" w:space="0" w:color="auto"/>
        <w:left w:val="none" w:sz="0" w:space="0" w:color="auto"/>
        <w:bottom w:val="none" w:sz="0" w:space="0" w:color="auto"/>
        <w:right w:val="none" w:sz="0" w:space="0" w:color="auto"/>
      </w:divBdr>
    </w:div>
    <w:div w:id="88938752">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2672706">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9670590">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7473213">
      <w:bodyDiv w:val="1"/>
      <w:marLeft w:val="0"/>
      <w:marRight w:val="0"/>
      <w:marTop w:val="0"/>
      <w:marBottom w:val="0"/>
      <w:divBdr>
        <w:top w:val="none" w:sz="0" w:space="0" w:color="auto"/>
        <w:left w:val="none" w:sz="0" w:space="0" w:color="auto"/>
        <w:bottom w:val="none" w:sz="0" w:space="0" w:color="auto"/>
        <w:right w:val="none" w:sz="0" w:space="0" w:color="auto"/>
      </w:divBdr>
    </w:div>
    <w:div w:id="128909544">
      <w:bodyDiv w:val="1"/>
      <w:marLeft w:val="0"/>
      <w:marRight w:val="0"/>
      <w:marTop w:val="0"/>
      <w:marBottom w:val="0"/>
      <w:divBdr>
        <w:top w:val="none" w:sz="0" w:space="0" w:color="auto"/>
        <w:left w:val="none" w:sz="0" w:space="0" w:color="auto"/>
        <w:bottom w:val="none" w:sz="0" w:space="0" w:color="auto"/>
        <w:right w:val="none" w:sz="0" w:space="0" w:color="auto"/>
      </w:divBdr>
    </w:div>
    <w:div w:id="138428887">
      <w:bodyDiv w:val="1"/>
      <w:marLeft w:val="0"/>
      <w:marRight w:val="0"/>
      <w:marTop w:val="0"/>
      <w:marBottom w:val="0"/>
      <w:divBdr>
        <w:top w:val="none" w:sz="0" w:space="0" w:color="auto"/>
        <w:left w:val="none" w:sz="0" w:space="0" w:color="auto"/>
        <w:bottom w:val="none" w:sz="0" w:space="0" w:color="auto"/>
        <w:right w:val="none" w:sz="0" w:space="0" w:color="auto"/>
      </w:divBdr>
      <w:divsChild>
        <w:div w:id="1156843415">
          <w:marLeft w:val="0"/>
          <w:marRight w:val="0"/>
          <w:marTop w:val="0"/>
          <w:marBottom w:val="0"/>
          <w:divBdr>
            <w:top w:val="none" w:sz="0" w:space="0" w:color="auto"/>
            <w:left w:val="none" w:sz="0" w:space="0" w:color="auto"/>
            <w:bottom w:val="none" w:sz="0" w:space="0" w:color="auto"/>
            <w:right w:val="none" w:sz="0" w:space="0" w:color="auto"/>
          </w:divBdr>
          <w:divsChild>
            <w:div w:id="981347490">
              <w:marLeft w:val="439"/>
              <w:marRight w:val="0"/>
              <w:marTop w:val="0"/>
              <w:marBottom w:val="0"/>
              <w:divBdr>
                <w:top w:val="none" w:sz="0" w:space="0" w:color="auto"/>
                <w:left w:val="none" w:sz="0" w:space="0" w:color="auto"/>
                <w:bottom w:val="none" w:sz="0" w:space="0" w:color="auto"/>
                <w:right w:val="none" w:sz="0" w:space="0" w:color="auto"/>
              </w:divBdr>
              <w:divsChild>
                <w:div w:id="344789478">
                  <w:marLeft w:val="0"/>
                  <w:marRight w:val="0"/>
                  <w:marTop w:val="0"/>
                  <w:marBottom w:val="0"/>
                  <w:divBdr>
                    <w:top w:val="none" w:sz="0" w:space="0" w:color="auto"/>
                    <w:left w:val="none" w:sz="0" w:space="0" w:color="auto"/>
                    <w:bottom w:val="none" w:sz="0" w:space="0" w:color="auto"/>
                    <w:right w:val="none" w:sz="0" w:space="0" w:color="auto"/>
                  </w:divBdr>
                  <w:divsChild>
                    <w:div w:id="1640962754">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75617">
          <w:marLeft w:val="0"/>
          <w:marRight w:val="0"/>
          <w:marTop w:val="0"/>
          <w:marBottom w:val="0"/>
          <w:divBdr>
            <w:top w:val="none" w:sz="0" w:space="0" w:color="auto"/>
            <w:left w:val="none" w:sz="0" w:space="0" w:color="auto"/>
            <w:bottom w:val="none" w:sz="0" w:space="0" w:color="auto"/>
            <w:right w:val="none" w:sz="0" w:space="0" w:color="auto"/>
          </w:divBdr>
        </w:div>
      </w:divsChild>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0117877">
      <w:bodyDiv w:val="1"/>
      <w:marLeft w:val="0"/>
      <w:marRight w:val="0"/>
      <w:marTop w:val="0"/>
      <w:marBottom w:val="0"/>
      <w:divBdr>
        <w:top w:val="none" w:sz="0" w:space="0" w:color="auto"/>
        <w:left w:val="none" w:sz="0" w:space="0" w:color="auto"/>
        <w:bottom w:val="none" w:sz="0" w:space="0" w:color="auto"/>
        <w:right w:val="none" w:sz="0" w:space="0" w:color="auto"/>
      </w:divBdr>
    </w:div>
    <w:div w:id="142698520">
      <w:bodyDiv w:val="1"/>
      <w:marLeft w:val="0"/>
      <w:marRight w:val="0"/>
      <w:marTop w:val="0"/>
      <w:marBottom w:val="0"/>
      <w:divBdr>
        <w:top w:val="none" w:sz="0" w:space="0" w:color="auto"/>
        <w:left w:val="none" w:sz="0" w:space="0" w:color="auto"/>
        <w:bottom w:val="none" w:sz="0" w:space="0" w:color="auto"/>
        <w:right w:val="none" w:sz="0" w:space="0" w:color="auto"/>
      </w:divBdr>
    </w:div>
    <w:div w:id="143359449">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9201564">
      <w:bodyDiv w:val="1"/>
      <w:marLeft w:val="0"/>
      <w:marRight w:val="0"/>
      <w:marTop w:val="0"/>
      <w:marBottom w:val="0"/>
      <w:divBdr>
        <w:top w:val="none" w:sz="0" w:space="0" w:color="auto"/>
        <w:left w:val="none" w:sz="0" w:space="0" w:color="auto"/>
        <w:bottom w:val="none" w:sz="0" w:space="0" w:color="auto"/>
        <w:right w:val="none" w:sz="0" w:space="0" w:color="auto"/>
      </w:divBdr>
    </w:div>
    <w:div w:id="190731009">
      <w:bodyDiv w:val="1"/>
      <w:marLeft w:val="0"/>
      <w:marRight w:val="0"/>
      <w:marTop w:val="0"/>
      <w:marBottom w:val="0"/>
      <w:divBdr>
        <w:top w:val="none" w:sz="0" w:space="0" w:color="auto"/>
        <w:left w:val="none" w:sz="0" w:space="0" w:color="auto"/>
        <w:bottom w:val="none" w:sz="0" w:space="0" w:color="auto"/>
        <w:right w:val="none" w:sz="0" w:space="0" w:color="auto"/>
      </w:divBdr>
    </w:div>
    <w:div w:id="194731144">
      <w:bodyDiv w:val="1"/>
      <w:marLeft w:val="0"/>
      <w:marRight w:val="0"/>
      <w:marTop w:val="0"/>
      <w:marBottom w:val="0"/>
      <w:divBdr>
        <w:top w:val="none" w:sz="0" w:space="0" w:color="auto"/>
        <w:left w:val="none" w:sz="0" w:space="0" w:color="auto"/>
        <w:bottom w:val="none" w:sz="0" w:space="0" w:color="auto"/>
        <w:right w:val="none" w:sz="0" w:space="0" w:color="auto"/>
      </w:divBdr>
    </w:div>
    <w:div w:id="199906083">
      <w:bodyDiv w:val="1"/>
      <w:marLeft w:val="0"/>
      <w:marRight w:val="0"/>
      <w:marTop w:val="0"/>
      <w:marBottom w:val="0"/>
      <w:divBdr>
        <w:top w:val="none" w:sz="0" w:space="0" w:color="auto"/>
        <w:left w:val="none" w:sz="0" w:space="0" w:color="auto"/>
        <w:bottom w:val="none" w:sz="0" w:space="0" w:color="auto"/>
        <w:right w:val="none" w:sz="0" w:space="0" w:color="auto"/>
      </w:divBdr>
    </w:div>
    <w:div w:id="203294371">
      <w:bodyDiv w:val="1"/>
      <w:marLeft w:val="0"/>
      <w:marRight w:val="0"/>
      <w:marTop w:val="0"/>
      <w:marBottom w:val="0"/>
      <w:divBdr>
        <w:top w:val="none" w:sz="0" w:space="0" w:color="auto"/>
        <w:left w:val="none" w:sz="0" w:space="0" w:color="auto"/>
        <w:bottom w:val="none" w:sz="0" w:space="0" w:color="auto"/>
        <w:right w:val="none" w:sz="0" w:space="0" w:color="auto"/>
      </w:divBdr>
      <w:divsChild>
        <w:div w:id="429157399">
          <w:marLeft w:val="0"/>
          <w:marRight w:val="0"/>
          <w:marTop w:val="0"/>
          <w:marBottom w:val="0"/>
          <w:divBdr>
            <w:top w:val="none" w:sz="0" w:space="0" w:color="auto"/>
            <w:left w:val="none" w:sz="0" w:space="0" w:color="auto"/>
            <w:bottom w:val="none" w:sz="0" w:space="0" w:color="auto"/>
            <w:right w:val="none" w:sz="0" w:space="0" w:color="auto"/>
          </w:divBdr>
          <w:divsChild>
            <w:div w:id="153225294">
              <w:marLeft w:val="439"/>
              <w:marRight w:val="0"/>
              <w:marTop w:val="0"/>
              <w:marBottom w:val="0"/>
              <w:divBdr>
                <w:top w:val="none" w:sz="0" w:space="0" w:color="auto"/>
                <w:left w:val="none" w:sz="0" w:space="0" w:color="auto"/>
                <w:bottom w:val="none" w:sz="0" w:space="0" w:color="auto"/>
                <w:right w:val="none" w:sz="0" w:space="0" w:color="auto"/>
              </w:divBdr>
              <w:divsChild>
                <w:div w:id="1643536995">
                  <w:marLeft w:val="0"/>
                  <w:marRight w:val="0"/>
                  <w:marTop w:val="0"/>
                  <w:marBottom w:val="0"/>
                  <w:divBdr>
                    <w:top w:val="none" w:sz="0" w:space="0" w:color="auto"/>
                    <w:left w:val="none" w:sz="0" w:space="0" w:color="auto"/>
                    <w:bottom w:val="none" w:sz="0" w:space="0" w:color="auto"/>
                    <w:right w:val="none" w:sz="0" w:space="0" w:color="auto"/>
                  </w:divBdr>
                  <w:divsChild>
                    <w:div w:id="1963151378">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9067">
          <w:marLeft w:val="0"/>
          <w:marRight w:val="0"/>
          <w:marTop w:val="0"/>
          <w:marBottom w:val="0"/>
          <w:divBdr>
            <w:top w:val="none" w:sz="0" w:space="0" w:color="auto"/>
            <w:left w:val="none" w:sz="0" w:space="0" w:color="auto"/>
            <w:bottom w:val="none" w:sz="0" w:space="0" w:color="auto"/>
            <w:right w:val="none" w:sz="0" w:space="0" w:color="auto"/>
          </w:divBdr>
        </w:div>
      </w:divsChild>
    </w:div>
    <w:div w:id="20868467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3741790">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34245847">
      <w:bodyDiv w:val="1"/>
      <w:marLeft w:val="0"/>
      <w:marRight w:val="0"/>
      <w:marTop w:val="0"/>
      <w:marBottom w:val="0"/>
      <w:divBdr>
        <w:top w:val="none" w:sz="0" w:space="0" w:color="auto"/>
        <w:left w:val="none" w:sz="0" w:space="0" w:color="auto"/>
        <w:bottom w:val="none" w:sz="0" w:space="0" w:color="auto"/>
        <w:right w:val="none" w:sz="0" w:space="0" w:color="auto"/>
      </w:divBdr>
    </w:div>
    <w:div w:id="236129856">
      <w:bodyDiv w:val="1"/>
      <w:marLeft w:val="0"/>
      <w:marRight w:val="0"/>
      <w:marTop w:val="0"/>
      <w:marBottom w:val="0"/>
      <w:divBdr>
        <w:top w:val="none" w:sz="0" w:space="0" w:color="auto"/>
        <w:left w:val="none" w:sz="0" w:space="0" w:color="auto"/>
        <w:bottom w:val="none" w:sz="0" w:space="0" w:color="auto"/>
        <w:right w:val="none" w:sz="0" w:space="0" w:color="auto"/>
      </w:divBdr>
    </w:div>
    <w:div w:id="236717076">
      <w:bodyDiv w:val="1"/>
      <w:marLeft w:val="0"/>
      <w:marRight w:val="0"/>
      <w:marTop w:val="0"/>
      <w:marBottom w:val="0"/>
      <w:divBdr>
        <w:top w:val="none" w:sz="0" w:space="0" w:color="auto"/>
        <w:left w:val="none" w:sz="0" w:space="0" w:color="auto"/>
        <w:bottom w:val="none" w:sz="0" w:space="0" w:color="auto"/>
        <w:right w:val="none" w:sz="0" w:space="0" w:color="auto"/>
      </w:divBdr>
    </w:div>
    <w:div w:id="242686057">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321019">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8663996">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8226642">
      <w:bodyDiv w:val="1"/>
      <w:marLeft w:val="0"/>
      <w:marRight w:val="0"/>
      <w:marTop w:val="0"/>
      <w:marBottom w:val="0"/>
      <w:divBdr>
        <w:top w:val="none" w:sz="0" w:space="0" w:color="auto"/>
        <w:left w:val="none" w:sz="0" w:space="0" w:color="auto"/>
        <w:bottom w:val="none" w:sz="0" w:space="0" w:color="auto"/>
        <w:right w:val="none" w:sz="0" w:space="0" w:color="auto"/>
      </w:divBdr>
    </w:div>
    <w:div w:id="28947534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16959400">
      <w:bodyDiv w:val="1"/>
      <w:marLeft w:val="0"/>
      <w:marRight w:val="0"/>
      <w:marTop w:val="0"/>
      <w:marBottom w:val="0"/>
      <w:divBdr>
        <w:top w:val="none" w:sz="0" w:space="0" w:color="auto"/>
        <w:left w:val="none" w:sz="0" w:space="0" w:color="auto"/>
        <w:bottom w:val="none" w:sz="0" w:space="0" w:color="auto"/>
        <w:right w:val="none" w:sz="0" w:space="0" w:color="auto"/>
      </w:divBdr>
    </w:div>
    <w:div w:id="320885740">
      <w:bodyDiv w:val="1"/>
      <w:marLeft w:val="0"/>
      <w:marRight w:val="0"/>
      <w:marTop w:val="0"/>
      <w:marBottom w:val="0"/>
      <w:divBdr>
        <w:top w:val="none" w:sz="0" w:space="0" w:color="auto"/>
        <w:left w:val="none" w:sz="0" w:space="0" w:color="auto"/>
        <w:bottom w:val="none" w:sz="0" w:space="0" w:color="auto"/>
        <w:right w:val="none" w:sz="0" w:space="0" w:color="auto"/>
      </w:divBdr>
      <w:divsChild>
        <w:div w:id="161748597">
          <w:marLeft w:val="0"/>
          <w:marRight w:val="0"/>
          <w:marTop w:val="0"/>
          <w:marBottom w:val="0"/>
          <w:divBdr>
            <w:top w:val="none" w:sz="0" w:space="0" w:color="auto"/>
            <w:left w:val="none" w:sz="0" w:space="0" w:color="auto"/>
            <w:bottom w:val="none" w:sz="0" w:space="0" w:color="auto"/>
            <w:right w:val="none" w:sz="0" w:space="0" w:color="auto"/>
          </w:divBdr>
          <w:divsChild>
            <w:div w:id="1977947171">
              <w:marLeft w:val="0"/>
              <w:marRight w:val="0"/>
              <w:marTop w:val="0"/>
              <w:marBottom w:val="0"/>
              <w:divBdr>
                <w:top w:val="none" w:sz="0" w:space="0" w:color="auto"/>
                <w:left w:val="none" w:sz="0" w:space="0" w:color="auto"/>
                <w:bottom w:val="none" w:sz="0" w:space="0" w:color="auto"/>
                <w:right w:val="none" w:sz="0" w:space="0" w:color="auto"/>
              </w:divBdr>
              <w:divsChild>
                <w:div w:id="1609191062">
                  <w:marLeft w:val="0"/>
                  <w:marRight w:val="0"/>
                  <w:marTop w:val="0"/>
                  <w:marBottom w:val="0"/>
                  <w:divBdr>
                    <w:top w:val="none" w:sz="0" w:space="0" w:color="auto"/>
                    <w:left w:val="none" w:sz="0" w:space="0" w:color="auto"/>
                    <w:bottom w:val="none" w:sz="0" w:space="0" w:color="auto"/>
                    <w:right w:val="none" w:sz="0" w:space="0" w:color="auto"/>
                  </w:divBdr>
                  <w:divsChild>
                    <w:div w:id="872571790">
                      <w:marLeft w:val="0"/>
                      <w:marRight w:val="0"/>
                      <w:marTop w:val="0"/>
                      <w:marBottom w:val="0"/>
                      <w:divBdr>
                        <w:top w:val="none" w:sz="0" w:space="0" w:color="auto"/>
                        <w:left w:val="none" w:sz="0" w:space="0" w:color="auto"/>
                        <w:bottom w:val="none" w:sz="0" w:space="0" w:color="auto"/>
                        <w:right w:val="none" w:sz="0" w:space="0" w:color="auto"/>
                      </w:divBdr>
                      <w:divsChild>
                        <w:div w:id="1675842564">
                          <w:marLeft w:val="0"/>
                          <w:marRight w:val="0"/>
                          <w:marTop w:val="0"/>
                          <w:marBottom w:val="0"/>
                          <w:divBdr>
                            <w:top w:val="none" w:sz="0" w:space="0" w:color="auto"/>
                            <w:left w:val="none" w:sz="0" w:space="0" w:color="auto"/>
                            <w:bottom w:val="none" w:sz="0" w:space="0" w:color="auto"/>
                            <w:right w:val="none" w:sz="0" w:space="0" w:color="auto"/>
                          </w:divBdr>
                          <w:divsChild>
                            <w:div w:id="1824081667">
                              <w:marLeft w:val="0"/>
                              <w:marRight w:val="0"/>
                              <w:marTop w:val="0"/>
                              <w:marBottom w:val="0"/>
                              <w:divBdr>
                                <w:top w:val="none" w:sz="0" w:space="0" w:color="auto"/>
                                <w:left w:val="none" w:sz="0" w:space="0" w:color="auto"/>
                                <w:bottom w:val="none" w:sz="0" w:space="0" w:color="auto"/>
                                <w:right w:val="none" w:sz="0" w:space="0" w:color="auto"/>
                              </w:divBdr>
                              <w:divsChild>
                                <w:div w:id="1321345563">
                                  <w:marLeft w:val="0"/>
                                  <w:marRight w:val="0"/>
                                  <w:marTop w:val="0"/>
                                  <w:marBottom w:val="0"/>
                                  <w:divBdr>
                                    <w:top w:val="none" w:sz="0" w:space="0" w:color="auto"/>
                                    <w:left w:val="none" w:sz="0" w:space="0" w:color="auto"/>
                                    <w:bottom w:val="none" w:sz="0" w:space="0" w:color="auto"/>
                                    <w:right w:val="none" w:sz="0" w:space="0" w:color="auto"/>
                                  </w:divBdr>
                                  <w:divsChild>
                                    <w:div w:id="1556315624">
                                      <w:marLeft w:val="0"/>
                                      <w:marRight w:val="0"/>
                                      <w:marTop w:val="0"/>
                                      <w:marBottom w:val="0"/>
                                      <w:divBdr>
                                        <w:top w:val="none" w:sz="0" w:space="0" w:color="auto"/>
                                        <w:left w:val="none" w:sz="0" w:space="0" w:color="auto"/>
                                        <w:bottom w:val="none" w:sz="0" w:space="0" w:color="auto"/>
                                        <w:right w:val="none" w:sz="0" w:space="0" w:color="auto"/>
                                      </w:divBdr>
                                      <w:divsChild>
                                        <w:div w:id="1615595476">
                                          <w:marLeft w:val="0"/>
                                          <w:marRight w:val="0"/>
                                          <w:marTop w:val="0"/>
                                          <w:marBottom w:val="0"/>
                                          <w:divBdr>
                                            <w:top w:val="none" w:sz="0" w:space="0" w:color="auto"/>
                                            <w:left w:val="none" w:sz="0" w:space="0" w:color="auto"/>
                                            <w:bottom w:val="none" w:sz="0" w:space="0" w:color="auto"/>
                                            <w:right w:val="none" w:sz="0" w:space="0" w:color="auto"/>
                                          </w:divBdr>
                                          <w:divsChild>
                                            <w:div w:id="1539198447">
                                              <w:marLeft w:val="0"/>
                                              <w:marRight w:val="0"/>
                                              <w:marTop w:val="0"/>
                                              <w:marBottom w:val="0"/>
                                              <w:divBdr>
                                                <w:top w:val="none" w:sz="0" w:space="0" w:color="auto"/>
                                                <w:left w:val="none" w:sz="0" w:space="0" w:color="auto"/>
                                                <w:bottom w:val="none" w:sz="0" w:space="0" w:color="auto"/>
                                                <w:right w:val="none" w:sz="0" w:space="0" w:color="auto"/>
                                              </w:divBdr>
                                              <w:divsChild>
                                                <w:div w:id="1344672058">
                                                  <w:marLeft w:val="0"/>
                                                  <w:marRight w:val="0"/>
                                                  <w:marTop w:val="0"/>
                                                  <w:marBottom w:val="0"/>
                                                  <w:divBdr>
                                                    <w:top w:val="none" w:sz="0" w:space="0" w:color="auto"/>
                                                    <w:left w:val="none" w:sz="0" w:space="0" w:color="auto"/>
                                                    <w:bottom w:val="none" w:sz="0" w:space="0" w:color="auto"/>
                                                    <w:right w:val="none" w:sz="0" w:space="0" w:color="auto"/>
                                                  </w:divBdr>
                                                  <w:divsChild>
                                                    <w:div w:id="20908346">
                                                      <w:marLeft w:val="0"/>
                                                      <w:marRight w:val="0"/>
                                                      <w:marTop w:val="0"/>
                                                      <w:marBottom w:val="0"/>
                                                      <w:divBdr>
                                                        <w:top w:val="none" w:sz="0" w:space="0" w:color="auto"/>
                                                        <w:left w:val="none" w:sz="0" w:space="0" w:color="auto"/>
                                                        <w:bottom w:val="none" w:sz="0" w:space="0" w:color="auto"/>
                                                        <w:right w:val="none" w:sz="0" w:space="0" w:color="auto"/>
                                                      </w:divBdr>
                                                      <w:divsChild>
                                                        <w:div w:id="1064909157">
                                                          <w:marLeft w:val="0"/>
                                                          <w:marRight w:val="0"/>
                                                          <w:marTop w:val="0"/>
                                                          <w:marBottom w:val="0"/>
                                                          <w:divBdr>
                                                            <w:top w:val="none" w:sz="0" w:space="0" w:color="auto"/>
                                                            <w:left w:val="none" w:sz="0" w:space="0" w:color="auto"/>
                                                            <w:bottom w:val="none" w:sz="0" w:space="0" w:color="auto"/>
                                                            <w:right w:val="none" w:sz="0" w:space="0" w:color="auto"/>
                                                          </w:divBdr>
                                                        </w:div>
                                                      </w:divsChild>
                                                    </w:div>
                                                    <w:div w:id="1200314696">
                                                      <w:marLeft w:val="0"/>
                                                      <w:marRight w:val="0"/>
                                                      <w:marTop w:val="0"/>
                                                      <w:marBottom w:val="0"/>
                                                      <w:divBdr>
                                                        <w:top w:val="none" w:sz="0" w:space="0" w:color="auto"/>
                                                        <w:left w:val="none" w:sz="0" w:space="0" w:color="auto"/>
                                                        <w:bottom w:val="none" w:sz="0" w:space="0" w:color="auto"/>
                                                        <w:right w:val="none" w:sz="0" w:space="0" w:color="auto"/>
                                                      </w:divBdr>
                                                      <w:divsChild>
                                                        <w:div w:id="336005609">
                                                          <w:marLeft w:val="0"/>
                                                          <w:marRight w:val="0"/>
                                                          <w:marTop w:val="0"/>
                                                          <w:marBottom w:val="75"/>
                                                          <w:divBdr>
                                                            <w:top w:val="none" w:sz="0" w:space="0" w:color="auto"/>
                                                            <w:left w:val="none" w:sz="0" w:space="0" w:color="auto"/>
                                                            <w:bottom w:val="none" w:sz="0" w:space="0" w:color="auto"/>
                                                            <w:right w:val="none" w:sz="0" w:space="0" w:color="auto"/>
                                                          </w:divBdr>
                                                          <w:divsChild>
                                                            <w:div w:id="151800344">
                                                              <w:marLeft w:val="0"/>
                                                              <w:marRight w:val="75"/>
                                                              <w:marTop w:val="0"/>
                                                              <w:marBottom w:val="0"/>
                                                              <w:divBdr>
                                                                <w:top w:val="none" w:sz="0" w:space="0" w:color="auto"/>
                                                                <w:left w:val="none" w:sz="0" w:space="0" w:color="auto"/>
                                                                <w:bottom w:val="none" w:sz="0" w:space="0" w:color="auto"/>
                                                                <w:right w:val="none" w:sz="0" w:space="0" w:color="auto"/>
                                                              </w:divBdr>
                                                            </w:div>
                                                          </w:divsChild>
                                                        </w:div>
                                                        <w:div w:id="1376736450">
                                                          <w:marLeft w:val="0"/>
                                                          <w:marRight w:val="0"/>
                                                          <w:marTop w:val="0"/>
                                                          <w:marBottom w:val="75"/>
                                                          <w:divBdr>
                                                            <w:top w:val="none" w:sz="0" w:space="0" w:color="auto"/>
                                                            <w:left w:val="none" w:sz="0" w:space="0" w:color="auto"/>
                                                            <w:bottom w:val="none" w:sz="0" w:space="0" w:color="auto"/>
                                                            <w:right w:val="none" w:sz="0" w:space="0" w:color="auto"/>
                                                          </w:divBdr>
                                                          <w:divsChild>
                                                            <w:div w:id="116011972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28863576">
                                                      <w:marLeft w:val="0"/>
                                                      <w:marRight w:val="0"/>
                                                      <w:marTop w:val="240"/>
                                                      <w:marBottom w:val="0"/>
                                                      <w:divBdr>
                                                        <w:top w:val="none" w:sz="0" w:space="0" w:color="auto"/>
                                                        <w:left w:val="none" w:sz="0" w:space="0" w:color="auto"/>
                                                        <w:bottom w:val="none" w:sz="0" w:space="0" w:color="auto"/>
                                                        <w:right w:val="none" w:sz="0" w:space="0" w:color="auto"/>
                                                      </w:divBdr>
                                                    </w:div>
                                                    <w:div w:id="170220068">
                                                      <w:marLeft w:val="0"/>
                                                      <w:marRight w:val="240"/>
                                                      <w:marTop w:val="0"/>
                                                      <w:marBottom w:val="0"/>
                                                      <w:divBdr>
                                                        <w:top w:val="none" w:sz="0" w:space="0" w:color="auto"/>
                                                        <w:left w:val="none" w:sz="0" w:space="0" w:color="auto"/>
                                                        <w:bottom w:val="none" w:sz="0" w:space="0" w:color="auto"/>
                                                        <w:right w:val="none" w:sz="0" w:space="0" w:color="auto"/>
                                                      </w:divBdr>
                                                    </w:div>
                                                    <w:div w:id="1006790755">
                                                      <w:marLeft w:val="0"/>
                                                      <w:marRight w:val="240"/>
                                                      <w:marTop w:val="0"/>
                                                      <w:marBottom w:val="0"/>
                                                      <w:divBdr>
                                                        <w:top w:val="none" w:sz="0" w:space="0" w:color="auto"/>
                                                        <w:left w:val="none" w:sz="0" w:space="0" w:color="auto"/>
                                                        <w:bottom w:val="none" w:sz="0" w:space="0" w:color="auto"/>
                                                        <w:right w:val="none" w:sz="0" w:space="0" w:color="auto"/>
                                                      </w:divBdr>
                                                    </w:div>
                                                    <w:div w:id="1007246831">
                                                      <w:marLeft w:val="0"/>
                                                      <w:marRight w:val="240"/>
                                                      <w:marTop w:val="0"/>
                                                      <w:marBottom w:val="0"/>
                                                      <w:divBdr>
                                                        <w:top w:val="none" w:sz="0" w:space="0" w:color="auto"/>
                                                        <w:left w:val="none" w:sz="0" w:space="0" w:color="auto"/>
                                                        <w:bottom w:val="none" w:sz="0" w:space="0" w:color="auto"/>
                                                        <w:right w:val="none" w:sz="0" w:space="0" w:color="auto"/>
                                                      </w:divBdr>
                                                    </w:div>
                                                  </w:divsChild>
                                                </w:div>
                                                <w:div w:id="1674917207">
                                                  <w:marLeft w:val="0"/>
                                                  <w:marRight w:val="0"/>
                                                  <w:marTop w:val="0"/>
                                                  <w:marBottom w:val="0"/>
                                                  <w:divBdr>
                                                    <w:top w:val="none" w:sz="0" w:space="0" w:color="auto"/>
                                                    <w:left w:val="none" w:sz="0" w:space="0" w:color="auto"/>
                                                    <w:bottom w:val="none" w:sz="0" w:space="0" w:color="auto"/>
                                                    <w:right w:val="none" w:sz="0" w:space="0" w:color="auto"/>
                                                  </w:divBdr>
                                                  <w:divsChild>
                                                    <w:div w:id="2033801286">
                                                      <w:marLeft w:val="0"/>
                                                      <w:marRight w:val="0"/>
                                                      <w:marTop w:val="0"/>
                                                      <w:marBottom w:val="0"/>
                                                      <w:divBdr>
                                                        <w:top w:val="none" w:sz="0" w:space="0" w:color="auto"/>
                                                        <w:left w:val="none" w:sz="0" w:space="0" w:color="auto"/>
                                                        <w:bottom w:val="none" w:sz="0" w:space="0" w:color="auto"/>
                                                        <w:right w:val="none" w:sz="0" w:space="0" w:color="auto"/>
                                                      </w:divBdr>
                                                      <w:divsChild>
                                                        <w:div w:id="1859807379">
                                                          <w:marLeft w:val="0"/>
                                                          <w:marRight w:val="0"/>
                                                          <w:marTop w:val="0"/>
                                                          <w:marBottom w:val="0"/>
                                                          <w:divBdr>
                                                            <w:top w:val="none" w:sz="0" w:space="0" w:color="auto"/>
                                                            <w:left w:val="none" w:sz="0" w:space="0" w:color="auto"/>
                                                            <w:bottom w:val="none" w:sz="0" w:space="0" w:color="auto"/>
                                                            <w:right w:val="none" w:sz="0" w:space="0" w:color="auto"/>
                                                          </w:divBdr>
                                                        </w:div>
                                                      </w:divsChild>
                                                    </w:div>
                                                    <w:div w:id="2056268986">
                                                      <w:marLeft w:val="0"/>
                                                      <w:marRight w:val="0"/>
                                                      <w:marTop w:val="0"/>
                                                      <w:marBottom w:val="0"/>
                                                      <w:divBdr>
                                                        <w:top w:val="none" w:sz="0" w:space="0" w:color="auto"/>
                                                        <w:left w:val="none" w:sz="0" w:space="0" w:color="auto"/>
                                                        <w:bottom w:val="none" w:sz="0" w:space="0" w:color="auto"/>
                                                        <w:right w:val="none" w:sz="0" w:space="0" w:color="auto"/>
                                                      </w:divBdr>
                                                      <w:divsChild>
                                                        <w:div w:id="1416633279">
                                                          <w:marLeft w:val="0"/>
                                                          <w:marRight w:val="0"/>
                                                          <w:marTop w:val="0"/>
                                                          <w:marBottom w:val="75"/>
                                                          <w:divBdr>
                                                            <w:top w:val="none" w:sz="0" w:space="0" w:color="auto"/>
                                                            <w:left w:val="none" w:sz="0" w:space="0" w:color="auto"/>
                                                            <w:bottom w:val="none" w:sz="0" w:space="0" w:color="auto"/>
                                                            <w:right w:val="none" w:sz="0" w:space="0" w:color="auto"/>
                                                          </w:divBdr>
                                                          <w:divsChild>
                                                            <w:div w:id="66705756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50079743">
                                                      <w:marLeft w:val="0"/>
                                                      <w:marRight w:val="0"/>
                                                      <w:marTop w:val="240"/>
                                                      <w:marBottom w:val="0"/>
                                                      <w:divBdr>
                                                        <w:top w:val="none" w:sz="0" w:space="0" w:color="auto"/>
                                                        <w:left w:val="none" w:sz="0" w:space="0" w:color="auto"/>
                                                        <w:bottom w:val="none" w:sz="0" w:space="0" w:color="auto"/>
                                                        <w:right w:val="none" w:sz="0" w:space="0" w:color="auto"/>
                                                      </w:divBdr>
                                                    </w:div>
                                                    <w:div w:id="1907450635">
                                                      <w:marLeft w:val="0"/>
                                                      <w:marRight w:val="240"/>
                                                      <w:marTop w:val="0"/>
                                                      <w:marBottom w:val="0"/>
                                                      <w:divBdr>
                                                        <w:top w:val="none" w:sz="0" w:space="0" w:color="auto"/>
                                                        <w:left w:val="none" w:sz="0" w:space="0" w:color="auto"/>
                                                        <w:bottom w:val="none" w:sz="0" w:space="0" w:color="auto"/>
                                                        <w:right w:val="none" w:sz="0" w:space="0" w:color="auto"/>
                                                      </w:divBdr>
                                                    </w:div>
                                                    <w:div w:id="799684530">
                                                      <w:marLeft w:val="0"/>
                                                      <w:marRight w:val="240"/>
                                                      <w:marTop w:val="0"/>
                                                      <w:marBottom w:val="0"/>
                                                      <w:divBdr>
                                                        <w:top w:val="none" w:sz="0" w:space="0" w:color="auto"/>
                                                        <w:left w:val="none" w:sz="0" w:space="0" w:color="auto"/>
                                                        <w:bottom w:val="none" w:sz="0" w:space="0" w:color="auto"/>
                                                        <w:right w:val="none" w:sz="0" w:space="0" w:color="auto"/>
                                                      </w:divBdr>
                                                    </w:div>
                                                    <w:div w:id="1366372047">
                                                      <w:marLeft w:val="0"/>
                                                      <w:marRight w:val="240"/>
                                                      <w:marTop w:val="0"/>
                                                      <w:marBottom w:val="0"/>
                                                      <w:divBdr>
                                                        <w:top w:val="none" w:sz="0" w:space="0" w:color="auto"/>
                                                        <w:left w:val="none" w:sz="0" w:space="0" w:color="auto"/>
                                                        <w:bottom w:val="none" w:sz="0" w:space="0" w:color="auto"/>
                                                        <w:right w:val="none" w:sz="0" w:space="0" w:color="auto"/>
                                                      </w:divBdr>
                                                    </w:div>
                                                  </w:divsChild>
                                                </w:div>
                                                <w:div w:id="325668686">
                                                  <w:marLeft w:val="0"/>
                                                  <w:marRight w:val="0"/>
                                                  <w:marTop w:val="0"/>
                                                  <w:marBottom w:val="0"/>
                                                  <w:divBdr>
                                                    <w:top w:val="none" w:sz="0" w:space="0" w:color="auto"/>
                                                    <w:left w:val="none" w:sz="0" w:space="0" w:color="auto"/>
                                                    <w:bottom w:val="none" w:sz="0" w:space="0" w:color="auto"/>
                                                    <w:right w:val="none" w:sz="0" w:space="0" w:color="auto"/>
                                                  </w:divBdr>
                                                  <w:divsChild>
                                                    <w:div w:id="483618814">
                                                      <w:marLeft w:val="0"/>
                                                      <w:marRight w:val="0"/>
                                                      <w:marTop w:val="0"/>
                                                      <w:marBottom w:val="0"/>
                                                      <w:divBdr>
                                                        <w:top w:val="none" w:sz="0" w:space="0" w:color="auto"/>
                                                        <w:left w:val="none" w:sz="0" w:space="0" w:color="auto"/>
                                                        <w:bottom w:val="none" w:sz="0" w:space="0" w:color="auto"/>
                                                        <w:right w:val="none" w:sz="0" w:space="0" w:color="auto"/>
                                                      </w:divBdr>
                                                      <w:divsChild>
                                                        <w:div w:id="1584296552">
                                                          <w:marLeft w:val="0"/>
                                                          <w:marRight w:val="0"/>
                                                          <w:marTop w:val="0"/>
                                                          <w:marBottom w:val="0"/>
                                                          <w:divBdr>
                                                            <w:top w:val="none" w:sz="0" w:space="0" w:color="auto"/>
                                                            <w:left w:val="none" w:sz="0" w:space="0" w:color="auto"/>
                                                            <w:bottom w:val="none" w:sz="0" w:space="0" w:color="auto"/>
                                                            <w:right w:val="none" w:sz="0" w:space="0" w:color="auto"/>
                                                          </w:divBdr>
                                                        </w:div>
                                                      </w:divsChild>
                                                    </w:div>
                                                    <w:div w:id="2040737690">
                                                      <w:marLeft w:val="0"/>
                                                      <w:marRight w:val="0"/>
                                                      <w:marTop w:val="0"/>
                                                      <w:marBottom w:val="0"/>
                                                      <w:divBdr>
                                                        <w:top w:val="none" w:sz="0" w:space="0" w:color="auto"/>
                                                        <w:left w:val="none" w:sz="0" w:space="0" w:color="auto"/>
                                                        <w:bottom w:val="none" w:sz="0" w:space="0" w:color="auto"/>
                                                        <w:right w:val="none" w:sz="0" w:space="0" w:color="auto"/>
                                                      </w:divBdr>
                                                      <w:divsChild>
                                                        <w:div w:id="1691448954">
                                                          <w:marLeft w:val="0"/>
                                                          <w:marRight w:val="0"/>
                                                          <w:marTop w:val="0"/>
                                                          <w:marBottom w:val="75"/>
                                                          <w:divBdr>
                                                            <w:top w:val="none" w:sz="0" w:space="0" w:color="auto"/>
                                                            <w:left w:val="none" w:sz="0" w:space="0" w:color="auto"/>
                                                            <w:bottom w:val="none" w:sz="0" w:space="0" w:color="auto"/>
                                                            <w:right w:val="none" w:sz="0" w:space="0" w:color="auto"/>
                                                          </w:divBdr>
                                                          <w:divsChild>
                                                            <w:div w:id="224533789">
                                                              <w:marLeft w:val="0"/>
                                                              <w:marRight w:val="75"/>
                                                              <w:marTop w:val="0"/>
                                                              <w:marBottom w:val="0"/>
                                                              <w:divBdr>
                                                                <w:top w:val="none" w:sz="0" w:space="0" w:color="auto"/>
                                                                <w:left w:val="none" w:sz="0" w:space="0" w:color="auto"/>
                                                                <w:bottom w:val="none" w:sz="0" w:space="0" w:color="auto"/>
                                                                <w:right w:val="none" w:sz="0" w:space="0" w:color="auto"/>
                                                              </w:divBdr>
                                                            </w:div>
                                                          </w:divsChild>
                                                        </w:div>
                                                        <w:div w:id="1334534240">
                                                          <w:marLeft w:val="0"/>
                                                          <w:marRight w:val="0"/>
                                                          <w:marTop w:val="0"/>
                                                          <w:marBottom w:val="75"/>
                                                          <w:divBdr>
                                                            <w:top w:val="none" w:sz="0" w:space="0" w:color="auto"/>
                                                            <w:left w:val="none" w:sz="0" w:space="0" w:color="auto"/>
                                                            <w:bottom w:val="none" w:sz="0" w:space="0" w:color="auto"/>
                                                            <w:right w:val="none" w:sz="0" w:space="0" w:color="auto"/>
                                                          </w:divBdr>
                                                          <w:divsChild>
                                                            <w:div w:id="12655034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54361874">
                                                      <w:marLeft w:val="0"/>
                                                      <w:marRight w:val="0"/>
                                                      <w:marTop w:val="240"/>
                                                      <w:marBottom w:val="0"/>
                                                      <w:divBdr>
                                                        <w:top w:val="none" w:sz="0" w:space="0" w:color="auto"/>
                                                        <w:left w:val="none" w:sz="0" w:space="0" w:color="auto"/>
                                                        <w:bottom w:val="none" w:sz="0" w:space="0" w:color="auto"/>
                                                        <w:right w:val="none" w:sz="0" w:space="0" w:color="auto"/>
                                                      </w:divBdr>
                                                    </w:div>
                                                    <w:div w:id="734668967">
                                                      <w:marLeft w:val="0"/>
                                                      <w:marRight w:val="240"/>
                                                      <w:marTop w:val="0"/>
                                                      <w:marBottom w:val="0"/>
                                                      <w:divBdr>
                                                        <w:top w:val="none" w:sz="0" w:space="0" w:color="auto"/>
                                                        <w:left w:val="none" w:sz="0" w:space="0" w:color="auto"/>
                                                        <w:bottom w:val="none" w:sz="0" w:space="0" w:color="auto"/>
                                                        <w:right w:val="none" w:sz="0" w:space="0" w:color="auto"/>
                                                      </w:divBdr>
                                                    </w:div>
                                                    <w:div w:id="652949962">
                                                      <w:marLeft w:val="0"/>
                                                      <w:marRight w:val="240"/>
                                                      <w:marTop w:val="0"/>
                                                      <w:marBottom w:val="0"/>
                                                      <w:divBdr>
                                                        <w:top w:val="none" w:sz="0" w:space="0" w:color="auto"/>
                                                        <w:left w:val="none" w:sz="0" w:space="0" w:color="auto"/>
                                                        <w:bottom w:val="none" w:sz="0" w:space="0" w:color="auto"/>
                                                        <w:right w:val="none" w:sz="0" w:space="0" w:color="auto"/>
                                                      </w:divBdr>
                                                    </w:div>
                                                    <w:div w:id="205263637">
                                                      <w:marLeft w:val="0"/>
                                                      <w:marRight w:val="240"/>
                                                      <w:marTop w:val="0"/>
                                                      <w:marBottom w:val="0"/>
                                                      <w:divBdr>
                                                        <w:top w:val="none" w:sz="0" w:space="0" w:color="auto"/>
                                                        <w:left w:val="none" w:sz="0" w:space="0" w:color="auto"/>
                                                        <w:bottom w:val="none" w:sz="0" w:space="0" w:color="auto"/>
                                                        <w:right w:val="none" w:sz="0" w:space="0" w:color="auto"/>
                                                      </w:divBdr>
                                                    </w:div>
                                                  </w:divsChild>
                                                </w:div>
                                                <w:div w:id="921061867">
                                                  <w:marLeft w:val="0"/>
                                                  <w:marRight w:val="0"/>
                                                  <w:marTop w:val="0"/>
                                                  <w:marBottom w:val="0"/>
                                                  <w:divBdr>
                                                    <w:top w:val="none" w:sz="0" w:space="0" w:color="auto"/>
                                                    <w:left w:val="none" w:sz="0" w:space="0" w:color="auto"/>
                                                    <w:bottom w:val="none" w:sz="0" w:space="0" w:color="auto"/>
                                                    <w:right w:val="none" w:sz="0" w:space="0" w:color="auto"/>
                                                  </w:divBdr>
                                                  <w:divsChild>
                                                    <w:div w:id="1950966425">
                                                      <w:marLeft w:val="0"/>
                                                      <w:marRight w:val="0"/>
                                                      <w:marTop w:val="0"/>
                                                      <w:marBottom w:val="0"/>
                                                      <w:divBdr>
                                                        <w:top w:val="none" w:sz="0" w:space="0" w:color="auto"/>
                                                        <w:left w:val="none" w:sz="0" w:space="0" w:color="auto"/>
                                                        <w:bottom w:val="none" w:sz="0" w:space="0" w:color="auto"/>
                                                        <w:right w:val="none" w:sz="0" w:space="0" w:color="auto"/>
                                                      </w:divBdr>
                                                      <w:divsChild>
                                                        <w:div w:id="154952507">
                                                          <w:marLeft w:val="0"/>
                                                          <w:marRight w:val="0"/>
                                                          <w:marTop w:val="0"/>
                                                          <w:marBottom w:val="0"/>
                                                          <w:divBdr>
                                                            <w:top w:val="none" w:sz="0" w:space="0" w:color="auto"/>
                                                            <w:left w:val="none" w:sz="0" w:space="0" w:color="auto"/>
                                                            <w:bottom w:val="none" w:sz="0" w:space="0" w:color="auto"/>
                                                            <w:right w:val="none" w:sz="0" w:space="0" w:color="auto"/>
                                                          </w:divBdr>
                                                        </w:div>
                                                      </w:divsChild>
                                                    </w:div>
                                                    <w:div w:id="1678772007">
                                                      <w:marLeft w:val="0"/>
                                                      <w:marRight w:val="0"/>
                                                      <w:marTop w:val="0"/>
                                                      <w:marBottom w:val="0"/>
                                                      <w:divBdr>
                                                        <w:top w:val="none" w:sz="0" w:space="0" w:color="auto"/>
                                                        <w:left w:val="none" w:sz="0" w:space="0" w:color="auto"/>
                                                        <w:bottom w:val="none" w:sz="0" w:space="0" w:color="auto"/>
                                                        <w:right w:val="none" w:sz="0" w:space="0" w:color="auto"/>
                                                      </w:divBdr>
                                                      <w:divsChild>
                                                        <w:div w:id="1919049383">
                                                          <w:marLeft w:val="0"/>
                                                          <w:marRight w:val="0"/>
                                                          <w:marTop w:val="0"/>
                                                          <w:marBottom w:val="75"/>
                                                          <w:divBdr>
                                                            <w:top w:val="none" w:sz="0" w:space="0" w:color="auto"/>
                                                            <w:left w:val="none" w:sz="0" w:space="0" w:color="auto"/>
                                                            <w:bottom w:val="none" w:sz="0" w:space="0" w:color="auto"/>
                                                            <w:right w:val="none" w:sz="0" w:space="0" w:color="auto"/>
                                                          </w:divBdr>
                                                          <w:divsChild>
                                                            <w:div w:id="10250603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13985597">
                                                      <w:marLeft w:val="0"/>
                                                      <w:marRight w:val="0"/>
                                                      <w:marTop w:val="240"/>
                                                      <w:marBottom w:val="0"/>
                                                      <w:divBdr>
                                                        <w:top w:val="none" w:sz="0" w:space="0" w:color="auto"/>
                                                        <w:left w:val="none" w:sz="0" w:space="0" w:color="auto"/>
                                                        <w:bottom w:val="none" w:sz="0" w:space="0" w:color="auto"/>
                                                        <w:right w:val="none" w:sz="0" w:space="0" w:color="auto"/>
                                                      </w:divBdr>
                                                    </w:div>
                                                    <w:div w:id="2051373190">
                                                      <w:marLeft w:val="0"/>
                                                      <w:marRight w:val="240"/>
                                                      <w:marTop w:val="0"/>
                                                      <w:marBottom w:val="0"/>
                                                      <w:divBdr>
                                                        <w:top w:val="none" w:sz="0" w:space="0" w:color="auto"/>
                                                        <w:left w:val="none" w:sz="0" w:space="0" w:color="auto"/>
                                                        <w:bottom w:val="none" w:sz="0" w:space="0" w:color="auto"/>
                                                        <w:right w:val="none" w:sz="0" w:space="0" w:color="auto"/>
                                                      </w:divBdr>
                                                    </w:div>
                                                    <w:div w:id="1677227578">
                                                      <w:marLeft w:val="0"/>
                                                      <w:marRight w:val="240"/>
                                                      <w:marTop w:val="0"/>
                                                      <w:marBottom w:val="0"/>
                                                      <w:divBdr>
                                                        <w:top w:val="none" w:sz="0" w:space="0" w:color="auto"/>
                                                        <w:left w:val="none" w:sz="0" w:space="0" w:color="auto"/>
                                                        <w:bottom w:val="none" w:sz="0" w:space="0" w:color="auto"/>
                                                        <w:right w:val="none" w:sz="0" w:space="0" w:color="auto"/>
                                                      </w:divBdr>
                                                    </w:div>
                                                    <w:div w:id="725908847">
                                                      <w:marLeft w:val="0"/>
                                                      <w:marRight w:val="240"/>
                                                      <w:marTop w:val="0"/>
                                                      <w:marBottom w:val="0"/>
                                                      <w:divBdr>
                                                        <w:top w:val="none" w:sz="0" w:space="0" w:color="auto"/>
                                                        <w:left w:val="none" w:sz="0" w:space="0" w:color="auto"/>
                                                        <w:bottom w:val="none" w:sz="0" w:space="0" w:color="auto"/>
                                                        <w:right w:val="none" w:sz="0" w:space="0" w:color="auto"/>
                                                      </w:divBdr>
                                                    </w:div>
                                                  </w:divsChild>
                                                </w:div>
                                                <w:div w:id="226306095">
                                                  <w:marLeft w:val="0"/>
                                                  <w:marRight w:val="0"/>
                                                  <w:marTop w:val="0"/>
                                                  <w:marBottom w:val="0"/>
                                                  <w:divBdr>
                                                    <w:top w:val="none" w:sz="0" w:space="0" w:color="auto"/>
                                                    <w:left w:val="none" w:sz="0" w:space="0" w:color="auto"/>
                                                    <w:bottom w:val="none" w:sz="0" w:space="0" w:color="auto"/>
                                                    <w:right w:val="none" w:sz="0" w:space="0" w:color="auto"/>
                                                  </w:divBdr>
                                                  <w:divsChild>
                                                    <w:div w:id="150223808">
                                                      <w:marLeft w:val="0"/>
                                                      <w:marRight w:val="0"/>
                                                      <w:marTop w:val="0"/>
                                                      <w:marBottom w:val="0"/>
                                                      <w:divBdr>
                                                        <w:top w:val="none" w:sz="0" w:space="0" w:color="auto"/>
                                                        <w:left w:val="none" w:sz="0" w:space="0" w:color="auto"/>
                                                        <w:bottom w:val="none" w:sz="0" w:space="0" w:color="auto"/>
                                                        <w:right w:val="none" w:sz="0" w:space="0" w:color="auto"/>
                                                      </w:divBdr>
                                                      <w:divsChild>
                                                        <w:div w:id="1234240125">
                                                          <w:marLeft w:val="0"/>
                                                          <w:marRight w:val="0"/>
                                                          <w:marTop w:val="0"/>
                                                          <w:marBottom w:val="0"/>
                                                          <w:divBdr>
                                                            <w:top w:val="none" w:sz="0" w:space="0" w:color="auto"/>
                                                            <w:left w:val="none" w:sz="0" w:space="0" w:color="auto"/>
                                                            <w:bottom w:val="none" w:sz="0" w:space="0" w:color="auto"/>
                                                            <w:right w:val="none" w:sz="0" w:space="0" w:color="auto"/>
                                                          </w:divBdr>
                                                        </w:div>
                                                      </w:divsChild>
                                                    </w:div>
                                                    <w:div w:id="394856257">
                                                      <w:marLeft w:val="0"/>
                                                      <w:marRight w:val="0"/>
                                                      <w:marTop w:val="0"/>
                                                      <w:marBottom w:val="0"/>
                                                      <w:divBdr>
                                                        <w:top w:val="none" w:sz="0" w:space="0" w:color="auto"/>
                                                        <w:left w:val="none" w:sz="0" w:space="0" w:color="auto"/>
                                                        <w:bottom w:val="none" w:sz="0" w:space="0" w:color="auto"/>
                                                        <w:right w:val="none" w:sz="0" w:space="0" w:color="auto"/>
                                                      </w:divBdr>
                                                      <w:divsChild>
                                                        <w:div w:id="310716152">
                                                          <w:marLeft w:val="0"/>
                                                          <w:marRight w:val="0"/>
                                                          <w:marTop w:val="0"/>
                                                          <w:marBottom w:val="75"/>
                                                          <w:divBdr>
                                                            <w:top w:val="none" w:sz="0" w:space="0" w:color="auto"/>
                                                            <w:left w:val="none" w:sz="0" w:space="0" w:color="auto"/>
                                                            <w:bottom w:val="none" w:sz="0" w:space="0" w:color="auto"/>
                                                            <w:right w:val="none" w:sz="0" w:space="0" w:color="auto"/>
                                                          </w:divBdr>
                                                          <w:divsChild>
                                                            <w:div w:id="12092189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37726212">
                                                      <w:marLeft w:val="0"/>
                                                      <w:marRight w:val="0"/>
                                                      <w:marTop w:val="240"/>
                                                      <w:marBottom w:val="0"/>
                                                      <w:divBdr>
                                                        <w:top w:val="none" w:sz="0" w:space="0" w:color="auto"/>
                                                        <w:left w:val="none" w:sz="0" w:space="0" w:color="auto"/>
                                                        <w:bottom w:val="none" w:sz="0" w:space="0" w:color="auto"/>
                                                        <w:right w:val="none" w:sz="0" w:space="0" w:color="auto"/>
                                                      </w:divBdr>
                                                    </w:div>
                                                    <w:div w:id="1358852150">
                                                      <w:marLeft w:val="0"/>
                                                      <w:marRight w:val="240"/>
                                                      <w:marTop w:val="0"/>
                                                      <w:marBottom w:val="0"/>
                                                      <w:divBdr>
                                                        <w:top w:val="none" w:sz="0" w:space="0" w:color="auto"/>
                                                        <w:left w:val="none" w:sz="0" w:space="0" w:color="auto"/>
                                                        <w:bottom w:val="none" w:sz="0" w:space="0" w:color="auto"/>
                                                        <w:right w:val="none" w:sz="0" w:space="0" w:color="auto"/>
                                                      </w:divBdr>
                                                    </w:div>
                                                    <w:div w:id="1904221276">
                                                      <w:marLeft w:val="0"/>
                                                      <w:marRight w:val="240"/>
                                                      <w:marTop w:val="0"/>
                                                      <w:marBottom w:val="0"/>
                                                      <w:divBdr>
                                                        <w:top w:val="none" w:sz="0" w:space="0" w:color="auto"/>
                                                        <w:left w:val="none" w:sz="0" w:space="0" w:color="auto"/>
                                                        <w:bottom w:val="none" w:sz="0" w:space="0" w:color="auto"/>
                                                        <w:right w:val="none" w:sz="0" w:space="0" w:color="auto"/>
                                                      </w:divBdr>
                                                    </w:div>
                                                    <w:div w:id="352388307">
                                                      <w:marLeft w:val="0"/>
                                                      <w:marRight w:val="240"/>
                                                      <w:marTop w:val="0"/>
                                                      <w:marBottom w:val="0"/>
                                                      <w:divBdr>
                                                        <w:top w:val="none" w:sz="0" w:space="0" w:color="auto"/>
                                                        <w:left w:val="none" w:sz="0" w:space="0" w:color="auto"/>
                                                        <w:bottom w:val="none" w:sz="0" w:space="0" w:color="auto"/>
                                                        <w:right w:val="none" w:sz="0" w:space="0" w:color="auto"/>
                                                      </w:divBdr>
                                                    </w:div>
                                                  </w:divsChild>
                                                </w:div>
                                                <w:div w:id="835266535">
                                                  <w:marLeft w:val="0"/>
                                                  <w:marRight w:val="0"/>
                                                  <w:marTop w:val="0"/>
                                                  <w:marBottom w:val="0"/>
                                                  <w:divBdr>
                                                    <w:top w:val="none" w:sz="0" w:space="0" w:color="auto"/>
                                                    <w:left w:val="none" w:sz="0" w:space="0" w:color="auto"/>
                                                    <w:bottom w:val="none" w:sz="0" w:space="0" w:color="auto"/>
                                                    <w:right w:val="none" w:sz="0" w:space="0" w:color="auto"/>
                                                  </w:divBdr>
                                                  <w:divsChild>
                                                    <w:div w:id="1456825827">
                                                      <w:marLeft w:val="0"/>
                                                      <w:marRight w:val="0"/>
                                                      <w:marTop w:val="0"/>
                                                      <w:marBottom w:val="0"/>
                                                      <w:divBdr>
                                                        <w:top w:val="none" w:sz="0" w:space="0" w:color="auto"/>
                                                        <w:left w:val="none" w:sz="0" w:space="0" w:color="auto"/>
                                                        <w:bottom w:val="none" w:sz="0" w:space="0" w:color="auto"/>
                                                        <w:right w:val="none" w:sz="0" w:space="0" w:color="auto"/>
                                                      </w:divBdr>
                                                      <w:divsChild>
                                                        <w:div w:id="634797046">
                                                          <w:marLeft w:val="0"/>
                                                          <w:marRight w:val="0"/>
                                                          <w:marTop w:val="0"/>
                                                          <w:marBottom w:val="0"/>
                                                          <w:divBdr>
                                                            <w:top w:val="none" w:sz="0" w:space="0" w:color="auto"/>
                                                            <w:left w:val="none" w:sz="0" w:space="0" w:color="auto"/>
                                                            <w:bottom w:val="none" w:sz="0" w:space="0" w:color="auto"/>
                                                            <w:right w:val="none" w:sz="0" w:space="0" w:color="auto"/>
                                                          </w:divBdr>
                                                        </w:div>
                                                      </w:divsChild>
                                                    </w:div>
                                                    <w:div w:id="1485394035">
                                                      <w:marLeft w:val="0"/>
                                                      <w:marRight w:val="0"/>
                                                      <w:marTop w:val="0"/>
                                                      <w:marBottom w:val="0"/>
                                                      <w:divBdr>
                                                        <w:top w:val="none" w:sz="0" w:space="0" w:color="auto"/>
                                                        <w:left w:val="none" w:sz="0" w:space="0" w:color="auto"/>
                                                        <w:bottom w:val="none" w:sz="0" w:space="0" w:color="auto"/>
                                                        <w:right w:val="none" w:sz="0" w:space="0" w:color="auto"/>
                                                      </w:divBdr>
                                                      <w:divsChild>
                                                        <w:div w:id="637614813">
                                                          <w:marLeft w:val="0"/>
                                                          <w:marRight w:val="0"/>
                                                          <w:marTop w:val="0"/>
                                                          <w:marBottom w:val="75"/>
                                                          <w:divBdr>
                                                            <w:top w:val="none" w:sz="0" w:space="0" w:color="auto"/>
                                                            <w:left w:val="none" w:sz="0" w:space="0" w:color="auto"/>
                                                            <w:bottom w:val="none" w:sz="0" w:space="0" w:color="auto"/>
                                                            <w:right w:val="none" w:sz="0" w:space="0" w:color="auto"/>
                                                          </w:divBdr>
                                                          <w:divsChild>
                                                            <w:div w:id="1469011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04069836">
                                                      <w:marLeft w:val="0"/>
                                                      <w:marRight w:val="0"/>
                                                      <w:marTop w:val="240"/>
                                                      <w:marBottom w:val="0"/>
                                                      <w:divBdr>
                                                        <w:top w:val="none" w:sz="0" w:space="0" w:color="auto"/>
                                                        <w:left w:val="none" w:sz="0" w:space="0" w:color="auto"/>
                                                        <w:bottom w:val="none" w:sz="0" w:space="0" w:color="auto"/>
                                                        <w:right w:val="none" w:sz="0" w:space="0" w:color="auto"/>
                                                      </w:divBdr>
                                                    </w:div>
                                                    <w:div w:id="185140944">
                                                      <w:marLeft w:val="0"/>
                                                      <w:marRight w:val="240"/>
                                                      <w:marTop w:val="0"/>
                                                      <w:marBottom w:val="0"/>
                                                      <w:divBdr>
                                                        <w:top w:val="none" w:sz="0" w:space="0" w:color="auto"/>
                                                        <w:left w:val="none" w:sz="0" w:space="0" w:color="auto"/>
                                                        <w:bottom w:val="none" w:sz="0" w:space="0" w:color="auto"/>
                                                        <w:right w:val="none" w:sz="0" w:space="0" w:color="auto"/>
                                                      </w:divBdr>
                                                    </w:div>
                                                    <w:div w:id="1442455288">
                                                      <w:marLeft w:val="0"/>
                                                      <w:marRight w:val="240"/>
                                                      <w:marTop w:val="0"/>
                                                      <w:marBottom w:val="0"/>
                                                      <w:divBdr>
                                                        <w:top w:val="none" w:sz="0" w:space="0" w:color="auto"/>
                                                        <w:left w:val="none" w:sz="0" w:space="0" w:color="auto"/>
                                                        <w:bottom w:val="none" w:sz="0" w:space="0" w:color="auto"/>
                                                        <w:right w:val="none" w:sz="0" w:space="0" w:color="auto"/>
                                                      </w:divBdr>
                                                    </w:div>
                                                    <w:div w:id="4729171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9141088">
      <w:bodyDiv w:val="1"/>
      <w:marLeft w:val="0"/>
      <w:marRight w:val="0"/>
      <w:marTop w:val="0"/>
      <w:marBottom w:val="0"/>
      <w:divBdr>
        <w:top w:val="none" w:sz="0" w:space="0" w:color="auto"/>
        <w:left w:val="none" w:sz="0" w:space="0" w:color="auto"/>
        <w:bottom w:val="none" w:sz="0" w:space="0" w:color="auto"/>
        <w:right w:val="none" w:sz="0" w:space="0" w:color="auto"/>
      </w:divBdr>
      <w:divsChild>
        <w:div w:id="1082798817">
          <w:marLeft w:val="0"/>
          <w:marRight w:val="0"/>
          <w:marTop w:val="0"/>
          <w:marBottom w:val="0"/>
          <w:divBdr>
            <w:top w:val="none" w:sz="0" w:space="0" w:color="auto"/>
            <w:left w:val="none" w:sz="0" w:space="0" w:color="auto"/>
            <w:bottom w:val="none" w:sz="0" w:space="0" w:color="auto"/>
            <w:right w:val="none" w:sz="0" w:space="0" w:color="auto"/>
          </w:divBdr>
          <w:divsChild>
            <w:div w:id="2077778239">
              <w:marLeft w:val="439"/>
              <w:marRight w:val="0"/>
              <w:marTop w:val="0"/>
              <w:marBottom w:val="0"/>
              <w:divBdr>
                <w:top w:val="none" w:sz="0" w:space="0" w:color="auto"/>
                <w:left w:val="none" w:sz="0" w:space="0" w:color="auto"/>
                <w:bottom w:val="none" w:sz="0" w:space="0" w:color="auto"/>
                <w:right w:val="none" w:sz="0" w:space="0" w:color="auto"/>
              </w:divBdr>
              <w:divsChild>
                <w:div w:id="2014605123">
                  <w:marLeft w:val="0"/>
                  <w:marRight w:val="0"/>
                  <w:marTop w:val="0"/>
                  <w:marBottom w:val="0"/>
                  <w:divBdr>
                    <w:top w:val="none" w:sz="0" w:space="0" w:color="auto"/>
                    <w:left w:val="none" w:sz="0" w:space="0" w:color="auto"/>
                    <w:bottom w:val="none" w:sz="0" w:space="0" w:color="auto"/>
                    <w:right w:val="none" w:sz="0" w:space="0" w:color="auto"/>
                  </w:divBdr>
                  <w:divsChild>
                    <w:div w:id="796096563">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9162">
          <w:marLeft w:val="0"/>
          <w:marRight w:val="0"/>
          <w:marTop w:val="0"/>
          <w:marBottom w:val="0"/>
          <w:divBdr>
            <w:top w:val="none" w:sz="0" w:space="0" w:color="auto"/>
            <w:left w:val="none" w:sz="0" w:space="0" w:color="auto"/>
            <w:bottom w:val="none" w:sz="0" w:space="0" w:color="auto"/>
            <w:right w:val="none" w:sz="0" w:space="0" w:color="auto"/>
          </w:divBdr>
        </w:div>
      </w:divsChild>
    </w:div>
    <w:div w:id="332072252">
      <w:bodyDiv w:val="1"/>
      <w:marLeft w:val="0"/>
      <w:marRight w:val="0"/>
      <w:marTop w:val="0"/>
      <w:marBottom w:val="0"/>
      <w:divBdr>
        <w:top w:val="none" w:sz="0" w:space="0" w:color="auto"/>
        <w:left w:val="none" w:sz="0" w:space="0" w:color="auto"/>
        <w:bottom w:val="none" w:sz="0" w:space="0" w:color="auto"/>
        <w:right w:val="none" w:sz="0" w:space="0" w:color="auto"/>
      </w:divBdr>
    </w:div>
    <w:div w:id="332690163">
      <w:bodyDiv w:val="1"/>
      <w:marLeft w:val="0"/>
      <w:marRight w:val="0"/>
      <w:marTop w:val="0"/>
      <w:marBottom w:val="0"/>
      <w:divBdr>
        <w:top w:val="none" w:sz="0" w:space="0" w:color="auto"/>
        <w:left w:val="none" w:sz="0" w:space="0" w:color="auto"/>
        <w:bottom w:val="none" w:sz="0" w:space="0" w:color="auto"/>
        <w:right w:val="none" w:sz="0" w:space="0" w:color="auto"/>
      </w:divBdr>
    </w:div>
    <w:div w:id="333725875">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68337245">
      <w:bodyDiv w:val="1"/>
      <w:marLeft w:val="0"/>
      <w:marRight w:val="0"/>
      <w:marTop w:val="0"/>
      <w:marBottom w:val="0"/>
      <w:divBdr>
        <w:top w:val="none" w:sz="0" w:space="0" w:color="auto"/>
        <w:left w:val="none" w:sz="0" w:space="0" w:color="auto"/>
        <w:bottom w:val="none" w:sz="0" w:space="0" w:color="auto"/>
        <w:right w:val="none" w:sz="0" w:space="0" w:color="auto"/>
      </w:divBdr>
    </w:div>
    <w:div w:id="377317626">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8098325">
      <w:bodyDiv w:val="1"/>
      <w:marLeft w:val="0"/>
      <w:marRight w:val="0"/>
      <w:marTop w:val="0"/>
      <w:marBottom w:val="0"/>
      <w:divBdr>
        <w:top w:val="none" w:sz="0" w:space="0" w:color="auto"/>
        <w:left w:val="none" w:sz="0" w:space="0" w:color="auto"/>
        <w:bottom w:val="none" w:sz="0" w:space="0" w:color="auto"/>
        <w:right w:val="none" w:sz="0" w:space="0" w:color="auto"/>
      </w:divBdr>
    </w:div>
    <w:div w:id="401174412">
      <w:bodyDiv w:val="1"/>
      <w:marLeft w:val="0"/>
      <w:marRight w:val="0"/>
      <w:marTop w:val="0"/>
      <w:marBottom w:val="0"/>
      <w:divBdr>
        <w:top w:val="none" w:sz="0" w:space="0" w:color="auto"/>
        <w:left w:val="none" w:sz="0" w:space="0" w:color="auto"/>
        <w:bottom w:val="none" w:sz="0" w:space="0" w:color="auto"/>
        <w:right w:val="none" w:sz="0" w:space="0" w:color="auto"/>
      </w:divBdr>
    </w:div>
    <w:div w:id="403571478">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2315739">
      <w:bodyDiv w:val="1"/>
      <w:marLeft w:val="0"/>
      <w:marRight w:val="0"/>
      <w:marTop w:val="0"/>
      <w:marBottom w:val="0"/>
      <w:divBdr>
        <w:top w:val="none" w:sz="0" w:space="0" w:color="auto"/>
        <w:left w:val="none" w:sz="0" w:space="0" w:color="auto"/>
        <w:bottom w:val="none" w:sz="0" w:space="0" w:color="auto"/>
        <w:right w:val="none" w:sz="0" w:space="0" w:color="auto"/>
      </w:divBdr>
      <w:divsChild>
        <w:div w:id="1270157460">
          <w:marLeft w:val="0"/>
          <w:marRight w:val="0"/>
          <w:marTop w:val="0"/>
          <w:marBottom w:val="0"/>
          <w:divBdr>
            <w:top w:val="none" w:sz="0" w:space="0" w:color="auto"/>
            <w:left w:val="none" w:sz="0" w:space="0" w:color="auto"/>
            <w:bottom w:val="none" w:sz="0" w:space="0" w:color="auto"/>
            <w:right w:val="none" w:sz="0" w:space="0" w:color="auto"/>
          </w:divBdr>
          <w:divsChild>
            <w:div w:id="1034040652">
              <w:marLeft w:val="0"/>
              <w:marRight w:val="0"/>
              <w:marTop w:val="0"/>
              <w:marBottom w:val="0"/>
              <w:divBdr>
                <w:top w:val="none" w:sz="0" w:space="0" w:color="auto"/>
                <w:left w:val="none" w:sz="0" w:space="0" w:color="auto"/>
                <w:bottom w:val="none" w:sz="0" w:space="0" w:color="auto"/>
                <w:right w:val="none" w:sz="0" w:space="0" w:color="auto"/>
              </w:divBdr>
              <w:divsChild>
                <w:div w:id="575624790">
                  <w:marLeft w:val="0"/>
                  <w:marRight w:val="0"/>
                  <w:marTop w:val="0"/>
                  <w:marBottom w:val="0"/>
                  <w:divBdr>
                    <w:top w:val="none" w:sz="0" w:space="0" w:color="auto"/>
                    <w:left w:val="none" w:sz="0" w:space="0" w:color="auto"/>
                    <w:bottom w:val="none" w:sz="0" w:space="0" w:color="auto"/>
                    <w:right w:val="none" w:sz="0" w:space="0" w:color="auto"/>
                  </w:divBdr>
                  <w:divsChild>
                    <w:div w:id="870342180">
                      <w:marLeft w:val="0"/>
                      <w:marRight w:val="0"/>
                      <w:marTop w:val="0"/>
                      <w:marBottom w:val="0"/>
                      <w:divBdr>
                        <w:top w:val="none" w:sz="0" w:space="0" w:color="auto"/>
                        <w:left w:val="none" w:sz="0" w:space="0" w:color="auto"/>
                        <w:bottom w:val="none" w:sz="0" w:space="0" w:color="auto"/>
                        <w:right w:val="none" w:sz="0" w:space="0" w:color="auto"/>
                      </w:divBdr>
                      <w:divsChild>
                        <w:div w:id="1012956590">
                          <w:marLeft w:val="0"/>
                          <w:marRight w:val="0"/>
                          <w:marTop w:val="0"/>
                          <w:marBottom w:val="0"/>
                          <w:divBdr>
                            <w:top w:val="none" w:sz="0" w:space="0" w:color="auto"/>
                            <w:left w:val="none" w:sz="0" w:space="0" w:color="auto"/>
                            <w:bottom w:val="none" w:sz="0" w:space="0" w:color="auto"/>
                            <w:right w:val="none" w:sz="0" w:space="0" w:color="auto"/>
                          </w:divBdr>
                          <w:divsChild>
                            <w:div w:id="1496992304">
                              <w:marLeft w:val="0"/>
                              <w:marRight w:val="0"/>
                              <w:marTop w:val="0"/>
                              <w:marBottom w:val="0"/>
                              <w:divBdr>
                                <w:top w:val="none" w:sz="0" w:space="0" w:color="auto"/>
                                <w:left w:val="none" w:sz="0" w:space="0" w:color="auto"/>
                                <w:bottom w:val="none" w:sz="0" w:space="0" w:color="auto"/>
                                <w:right w:val="none" w:sz="0" w:space="0" w:color="auto"/>
                              </w:divBdr>
                              <w:divsChild>
                                <w:div w:id="871698052">
                                  <w:marLeft w:val="0"/>
                                  <w:marRight w:val="0"/>
                                  <w:marTop w:val="0"/>
                                  <w:marBottom w:val="0"/>
                                  <w:divBdr>
                                    <w:top w:val="none" w:sz="0" w:space="0" w:color="auto"/>
                                    <w:left w:val="none" w:sz="0" w:space="0" w:color="auto"/>
                                    <w:bottom w:val="none" w:sz="0" w:space="0" w:color="auto"/>
                                    <w:right w:val="none" w:sz="0" w:space="0" w:color="auto"/>
                                  </w:divBdr>
                                  <w:divsChild>
                                    <w:div w:id="2055307124">
                                      <w:marLeft w:val="0"/>
                                      <w:marRight w:val="0"/>
                                      <w:marTop w:val="0"/>
                                      <w:marBottom w:val="0"/>
                                      <w:divBdr>
                                        <w:top w:val="none" w:sz="0" w:space="0" w:color="auto"/>
                                        <w:left w:val="none" w:sz="0" w:space="0" w:color="auto"/>
                                        <w:bottom w:val="none" w:sz="0" w:space="0" w:color="auto"/>
                                        <w:right w:val="none" w:sz="0" w:space="0" w:color="auto"/>
                                      </w:divBdr>
                                      <w:divsChild>
                                        <w:div w:id="1062217414">
                                          <w:marLeft w:val="0"/>
                                          <w:marRight w:val="0"/>
                                          <w:marTop w:val="0"/>
                                          <w:marBottom w:val="0"/>
                                          <w:divBdr>
                                            <w:top w:val="none" w:sz="0" w:space="0" w:color="auto"/>
                                            <w:left w:val="none" w:sz="0" w:space="0" w:color="auto"/>
                                            <w:bottom w:val="none" w:sz="0" w:space="0" w:color="auto"/>
                                            <w:right w:val="none" w:sz="0" w:space="0" w:color="auto"/>
                                          </w:divBdr>
                                          <w:divsChild>
                                            <w:div w:id="904492502">
                                              <w:marLeft w:val="0"/>
                                              <w:marRight w:val="0"/>
                                              <w:marTop w:val="0"/>
                                              <w:marBottom w:val="0"/>
                                              <w:divBdr>
                                                <w:top w:val="none" w:sz="0" w:space="0" w:color="auto"/>
                                                <w:left w:val="none" w:sz="0" w:space="0" w:color="auto"/>
                                                <w:bottom w:val="none" w:sz="0" w:space="0" w:color="auto"/>
                                                <w:right w:val="none" w:sz="0" w:space="0" w:color="auto"/>
                                              </w:divBdr>
                                              <w:divsChild>
                                                <w:div w:id="1559824656">
                                                  <w:marLeft w:val="0"/>
                                                  <w:marRight w:val="0"/>
                                                  <w:marTop w:val="0"/>
                                                  <w:marBottom w:val="0"/>
                                                  <w:divBdr>
                                                    <w:top w:val="none" w:sz="0" w:space="0" w:color="auto"/>
                                                    <w:left w:val="none" w:sz="0" w:space="0" w:color="auto"/>
                                                    <w:bottom w:val="none" w:sz="0" w:space="0" w:color="auto"/>
                                                    <w:right w:val="none" w:sz="0" w:space="0" w:color="auto"/>
                                                  </w:divBdr>
                                                  <w:divsChild>
                                                    <w:div w:id="1186796241">
                                                      <w:marLeft w:val="0"/>
                                                      <w:marRight w:val="0"/>
                                                      <w:marTop w:val="0"/>
                                                      <w:marBottom w:val="0"/>
                                                      <w:divBdr>
                                                        <w:top w:val="none" w:sz="0" w:space="0" w:color="auto"/>
                                                        <w:left w:val="none" w:sz="0" w:space="0" w:color="auto"/>
                                                        <w:bottom w:val="none" w:sz="0" w:space="0" w:color="auto"/>
                                                        <w:right w:val="none" w:sz="0" w:space="0" w:color="auto"/>
                                                      </w:divBdr>
                                                      <w:divsChild>
                                                        <w:div w:id="1665737792">
                                                          <w:marLeft w:val="0"/>
                                                          <w:marRight w:val="0"/>
                                                          <w:marTop w:val="0"/>
                                                          <w:marBottom w:val="0"/>
                                                          <w:divBdr>
                                                            <w:top w:val="none" w:sz="0" w:space="0" w:color="auto"/>
                                                            <w:left w:val="none" w:sz="0" w:space="0" w:color="auto"/>
                                                            <w:bottom w:val="none" w:sz="0" w:space="0" w:color="auto"/>
                                                            <w:right w:val="none" w:sz="0" w:space="0" w:color="auto"/>
                                                          </w:divBdr>
                                                          <w:divsChild>
                                                            <w:div w:id="944576099">
                                                              <w:marLeft w:val="0"/>
                                                              <w:marRight w:val="0"/>
                                                              <w:marTop w:val="0"/>
                                                              <w:marBottom w:val="0"/>
                                                              <w:divBdr>
                                                                <w:top w:val="none" w:sz="0" w:space="0" w:color="auto"/>
                                                                <w:left w:val="none" w:sz="0" w:space="0" w:color="auto"/>
                                                                <w:bottom w:val="none" w:sz="0" w:space="0" w:color="auto"/>
                                                                <w:right w:val="none" w:sz="0" w:space="0" w:color="auto"/>
                                                              </w:divBdr>
                                                              <w:divsChild>
                                                                <w:div w:id="1121067715">
                                                                  <w:marLeft w:val="0"/>
                                                                  <w:marRight w:val="0"/>
                                                                  <w:marTop w:val="0"/>
                                                                  <w:marBottom w:val="0"/>
                                                                  <w:divBdr>
                                                                    <w:top w:val="none" w:sz="0" w:space="0" w:color="auto"/>
                                                                    <w:left w:val="none" w:sz="0" w:space="0" w:color="auto"/>
                                                                    <w:bottom w:val="none" w:sz="0" w:space="0" w:color="auto"/>
                                                                    <w:right w:val="none" w:sz="0" w:space="0" w:color="auto"/>
                                                                  </w:divBdr>
                                                                  <w:divsChild>
                                                                    <w:div w:id="1919897037">
                                                                      <w:marLeft w:val="0"/>
                                                                      <w:marRight w:val="0"/>
                                                                      <w:marTop w:val="0"/>
                                                                      <w:marBottom w:val="0"/>
                                                                      <w:divBdr>
                                                                        <w:top w:val="none" w:sz="0" w:space="0" w:color="auto"/>
                                                                        <w:left w:val="none" w:sz="0" w:space="0" w:color="auto"/>
                                                                        <w:bottom w:val="none" w:sz="0" w:space="0" w:color="auto"/>
                                                                        <w:right w:val="none" w:sz="0" w:space="0" w:color="auto"/>
                                                                      </w:divBdr>
                                                                      <w:divsChild>
                                                                        <w:div w:id="1366367907">
                                                                          <w:marLeft w:val="0"/>
                                                                          <w:marRight w:val="0"/>
                                                                          <w:marTop w:val="0"/>
                                                                          <w:marBottom w:val="0"/>
                                                                          <w:divBdr>
                                                                            <w:top w:val="none" w:sz="0" w:space="0" w:color="auto"/>
                                                                            <w:left w:val="none" w:sz="0" w:space="0" w:color="auto"/>
                                                                            <w:bottom w:val="none" w:sz="0" w:space="0" w:color="auto"/>
                                                                            <w:right w:val="none" w:sz="0" w:space="0" w:color="auto"/>
                                                                          </w:divBdr>
                                                                          <w:divsChild>
                                                                            <w:div w:id="924656414">
                                                                              <w:marLeft w:val="0"/>
                                                                              <w:marRight w:val="0"/>
                                                                              <w:marTop w:val="0"/>
                                                                              <w:marBottom w:val="0"/>
                                                                              <w:divBdr>
                                                                                <w:top w:val="none" w:sz="0" w:space="0" w:color="auto"/>
                                                                                <w:left w:val="none" w:sz="0" w:space="0" w:color="auto"/>
                                                                                <w:bottom w:val="none" w:sz="0" w:space="0" w:color="auto"/>
                                                                                <w:right w:val="none" w:sz="0" w:space="0" w:color="auto"/>
                                                                              </w:divBdr>
                                                                              <w:divsChild>
                                                                                <w:div w:id="1101337372">
                                                                                  <w:marLeft w:val="0"/>
                                                                                  <w:marRight w:val="0"/>
                                                                                  <w:marTop w:val="0"/>
                                                                                  <w:marBottom w:val="0"/>
                                                                                  <w:divBdr>
                                                                                    <w:top w:val="none" w:sz="0" w:space="0" w:color="auto"/>
                                                                                    <w:left w:val="none" w:sz="0" w:space="0" w:color="auto"/>
                                                                                    <w:bottom w:val="none" w:sz="0" w:space="0" w:color="auto"/>
                                                                                    <w:right w:val="none" w:sz="0" w:space="0" w:color="auto"/>
                                                                                  </w:divBdr>
                                                                                  <w:divsChild>
                                                                                    <w:div w:id="2060592165">
                                                                                      <w:marLeft w:val="0"/>
                                                                                      <w:marRight w:val="0"/>
                                                                                      <w:marTop w:val="0"/>
                                                                                      <w:marBottom w:val="0"/>
                                                                                      <w:divBdr>
                                                                                        <w:top w:val="none" w:sz="0" w:space="0" w:color="auto"/>
                                                                                        <w:left w:val="none" w:sz="0" w:space="0" w:color="auto"/>
                                                                                        <w:bottom w:val="none" w:sz="0" w:space="0" w:color="auto"/>
                                                                                        <w:right w:val="none" w:sz="0" w:space="0" w:color="auto"/>
                                                                                      </w:divBdr>
                                                                                      <w:divsChild>
                                                                                        <w:div w:id="1400714597">
                                                                                          <w:marLeft w:val="0"/>
                                                                                          <w:marRight w:val="0"/>
                                                                                          <w:marTop w:val="0"/>
                                                                                          <w:marBottom w:val="0"/>
                                                                                          <w:divBdr>
                                                                                            <w:top w:val="none" w:sz="0" w:space="0" w:color="auto"/>
                                                                                            <w:left w:val="none" w:sz="0" w:space="0" w:color="auto"/>
                                                                                            <w:bottom w:val="none" w:sz="0" w:space="0" w:color="auto"/>
                                                                                            <w:right w:val="none" w:sz="0" w:space="0" w:color="auto"/>
                                                                                          </w:divBdr>
                                                                                          <w:divsChild>
                                                                                            <w:div w:id="2116636499">
                                                                                              <w:marLeft w:val="0"/>
                                                                                              <w:marRight w:val="0"/>
                                                                                              <w:marTop w:val="0"/>
                                                                                              <w:marBottom w:val="0"/>
                                                                                              <w:divBdr>
                                                                                                <w:top w:val="none" w:sz="0" w:space="0" w:color="auto"/>
                                                                                                <w:left w:val="none" w:sz="0" w:space="0" w:color="auto"/>
                                                                                                <w:bottom w:val="none" w:sz="0" w:space="0" w:color="auto"/>
                                                                                                <w:right w:val="none" w:sz="0" w:space="0" w:color="auto"/>
                                                                                              </w:divBdr>
                                                                                              <w:divsChild>
                                                                                                <w:div w:id="1962221974">
                                                                                                  <w:marLeft w:val="0"/>
                                                                                                  <w:marRight w:val="0"/>
                                                                                                  <w:marTop w:val="0"/>
                                                                                                  <w:marBottom w:val="0"/>
                                                                                                  <w:divBdr>
                                                                                                    <w:top w:val="none" w:sz="0" w:space="0" w:color="auto"/>
                                                                                                    <w:left w:val="none" w:sz="0" w:space="0" w:color="auto"/>
                                                                                                    <w:bottom w:val="none" w:sz="0" w:space="0" w:color="auto"/>
                                                                                                    <w:right w:val="none" w:sz="0" w:space="0" w:color="auto"/>
                                                                                                  </w:divBdr>
                                                                                                  <w:divsChild>
                                                                                                    <w:div w:id="2015759123">
                                                                                                      <w:marLeft w:val="0"/>
                                                                                                      <w:marRight w:val="0"/>
                                                                                                      <w:marTop w:val="0"/>
                                                                                                      <w:marBottom w:val="0"/>
                                                                                                      <w:divBdr>
                                                                                                        <w:top w:val="none" w:sz="0" w:space="0" w:color="auto"/>
                                                                                                        <w:left w:val="none" w:sz="0" w:space="0" w:color="auto"/>
                                                                                                        <w:bottom w:val="none" w:sz="0" w:space="0" w:color="auto"/>
                                                                                                        <w:right w:val="none" w:sz="0" w:space="0" w:color="auto"/>
                                                                                                      </w:divBdr>
                                                                                                      <w:divsChild>
                                                                                                        <w:div w:id="1151560408">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0"/>
                                                                                                              <w:marTop w:val="0"/>
                                                                                                              <w:marBottom w:val="0"/>
                                                                                                              <w:divBdr>
                                                                                                                <w:top w:val="none" w:sz="0" w:space="0" w:color="auto"/>
                                                                                                                <w:left w:val="none" w:sz="0" w:space="0" w:color="auto"/>
                                                                                                                <w:bottom w:val="none" w:sz="0" w:space="0" w:color="auto"/>
                                                                                                                <w:right w:val="none" w:sz="0" w:space="0" w:color="auto"/>
                                                                                                              </w:divBdr>
                                                                                                              <w:divsChild>
                                                                                                                <w:div w:id="801777627">
                                                                                                                  <w:marLeft w:val="0"/>
                                                                                                                  <w:marRight w:val="0"/>
                                                                                                                  <w:marTop w:val="0"/>
                                                                                                                  <w:marBottom w:val="0"/>
                                                                                                                  <w:divBdr>
                                                                                                                    <w:top w:val="none" w:sz="0" w:space="0" w:color="auto"/>
                                                                                                                    <w:left w:val="none" w:sz="0" w:space="0" w:color="auto"/>
                                                                                                                    <w:bottom w:val="none" w:sz="0" w:space="0" w:color="auto"/>
                                                                                                                    <w:right w:val="none" w:sz="0" w:space="0" w:color="auto"/>
                                                                                                                  </w:divBdr>
                                                                                                                  <w:divsChild>
                                                                                                                    <w:div w:id="170334391">
                                                                                                                      <w:marLeft w:val="0"/>
                                                                                                                      <w:marRight w:val="0"/>
                                                                                                                      <w:marTop w:val="0"/>
                                                                                                                      <w:marBottom w:val="0"/>
                                                                                                                      <w:divBdr>
                                                                                                                        <w:top w:val="none" w:sz="0" w:space="0" w:color="auto"/>
                                                                                                                        <w:left w:val="none" w:sz="0" w:space="0" w:color="auto"/>
                                                                                                                        <w:bottom w:val="none" w:sz="0" w:space="0" w:color="auto"/>
                                                                                                                        <w:right w:val="none" w:sz="0" w:space="0" w:color="auto"/>
                                                                                                                      </w:divBdr>
                                                                                                                    </w:div>
                                                                                                                    <w:div w:id="718867993">
                                                                                                                      <w:marLeft w:val="0"/>
                                                                                                                      <w:marRight w:val="0"/>
                                                                                                                      <w:marTop w:val="0"/>
                                                                                                                      <w:marBottom w:val="0"/>
                                                                                                                      <w:divBdr>
                                                                                                                        <w:top w:val="none" w:sz="0" w:space="0" w:color="auto"/>
                                                                                                                        <w:left w:val="none" w:sz="0" w:space="0" w:color="auto"/>
                                                                                                                        <w:bottom w:val="none" w:sz="0" w:space="0" w:color="auto"/>
                                                                                                                        <w:right w:val="none" w:sz="0" w:space="0" w:color="auto"/>
                                                                                                                      </w:divBdr>
                                                                                                                    </w:div>
                                                                                                                    <w:div w:id="14106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4063078">
      <w:bodyDiv w:val="1"/>
      <w:marLeft w:val="0"/>
      <w:marRight w:val="0"/>
      <w:marTop w:val="0"/>
      <w:marBottom w:val="0"/>
      <w:divBdr>
        <w:top w:val="none" w:sz="0" w:space="0" w:color="auto"/>
        <w:left w:val="none" w:sz="0" w:space="0" w:color="auto"/>
        <w:bottom w:val="none" w:sz="0" w:space="0" w:color="auto"/>
        <w:right w:val="none" w:sz="0" w:space="0" w:color="auto"/>
      </w:divBdr>
    </w:div>
    <w:div w:id="440999442">
      <w:bodyDiv w:val="1"/>
      <w:marLeft w:val="0"/>
      <w:marRight w:val="0"/>
      <w:marTop w:val="0"/>
      <w:marBottom w:val="0"/>
      <w:divBdr>
        <w:top w:val="none" w:sz="0" w:space="0" w:color="auto"/>
        <w:left w:val="none" w:sz="0" w:space="0" w:color="auto"/>
        <w:bottom w:val="none" w:sz="0" w:space="0" w:color="auto"/>
        <w:right w:val="none" w:sz="0" w:space="0" w:color="auto"/>
      </w:divBdr>
      <w:divsChild>
        <w:div w:id="1040327331">
          <w:marLeft w:val="0"/>
          <w:marRight w:val="0"/>
          <w:marTop w:val="0"/>
          <w:marBottom w:val="0"/>
          <w:divBdr>
            <w:top w:val="none" w:sz="0" w:space="0" w:color="auto"/>
            <w:left w:val="none" w:sz="0" w:space="0" w:color="auto"/>
            <w:bottom w:val="none" w:sz="0" w:space="0" w:color="auto"/>
            <w:right w:val="none" w:sz="0" w:space="0" w:color="auto"/>
          </w:divBdr>
          <w:divsChild>
            <w:div w:id="1679505016">
              <w:marLeft w:val="439"/>
              <w:marRight w:val="0"/>
              <w:marTop w:val="0"/>
              <w:marBottom w:val="0"/>
              <w:divBdr>
                <w:top w:val="none" w:sz="0" w:space="0" w:color="auto"/>
                <w:left w:val="none" w:sz="0" w:space="0" w:color="auto"/>
                <w:bottom w:val="none" w:sz="0" w:space="0" w:color="auto"/>
                <w:right w:val="none" w:sz="0" w:space="0" w:color="auto"/>
              </w:divBdr>
              <w:divsChild>
                <w:div w:id="898058141">
                  <w:marLeft w:val="0"/>
                  <w:marRight w:val="0"/>
                  <w:marTop w:val="0"/>
                  <w:marBottom w:val="0"/>
                  <w:divBdr>
                    <w:top w:val="none" w:sz="0" w:space="0" w:color="auto"/>
                    <w:left w:val="none" w:sz="0" w:space="0" w:color="auto"/>
                    <w:bottom w:val="none" w:sz="0" w:space="0" w:color="auto"/>
                    <w:right w:val="none" w:sz="0" w:space="0" w:color="auto"/>
                  </w:divBdr>
                  <w:divsChild>
                    <w:div w:id="842941076">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6771">
          <w:marLeft w:val="0"/>
          <w:marRight w:val="0"/>
          <w:marTop w:val="0"/>
          <w:marBottom w:val="0"/>
          <w:divBdr>
            <w:top w:val="none" w:sz="0" w:space="0" w:color="auto"/>
            <w:left w:val="none" w:sz="0" w:space="0" w:color="auto"/>
            <w:bottom w:val="none" w:sz="0" w:space="0" w:color="auto"/>
            <w:right w:val="none" w:sz="0" w:space="0" w:color="auto"/>
          </w:divBdr>
        </w:div>
      </w:divsChild>
    </w:div>
    <w:div w:id="441339693">
      <w:bodyDiv w:val="1"/>
      <w:marLeft w:val="0"/>
      <w:marRight w:val="0"/>
      <w:marTop w:val="0"/>
      <w:marBottom w:val="0"/>
      <w:divBdr>
        <w:top w:val="none" w:sz="0" w:space="0" w:color="auto"/>
        <w:left w:val="none" w:sz="0" w:space="0" w:color="auto"/>
        <w:bottom w:val="none" w:sz="0" w:space="0" w:color="auto"/>
        <w:right w:val="none" w:sz="0" w:space="0" w:color="auto"/>
      </w:divBdr>
    </w:div>
    <w:div w:id="44389116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6803333">
      <w:bodyDiv w:val="1"/>
      <w:marLeft w:val="0"/>
      <w:marRight w:val="0"/>
      <w:marTop w:val="0"/>
      <w:marBottom w:val="0"/>
      <w:divBdr>
        <w:top w:val="none" w:sz="0" w:space="0" w:color="auto"/>
        <w:left w:val="none" w:sz="0" w:space="0" w:color="auto"/>
        <w:bottom w:val="none" w:sz="0" w:space="0" w:color="auto"/>
        <w:right w:val="none" w:sz="0" w:space="0" w:color="auto"/>
      </w:divBdr>
    </w:div>
    <w:div w:id="460147711">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770784">
      <w:bodyDiv w:val="1"/>
      <w:marLeft w:val="0"/>
      <w:marRight w:val="0"/>
      <w:marTop w:val="0"/>
      <w:marBottom w:val="0"/>
      <w:divBdr>
        <w:top w:val="none" w:sz="0" w:space="0" w:color="auto"/>
        <w:left w:val="none" w:sz="0" w:space="0" w:color="auto"/>
        <w:bottom w:val="none" w:sz="0" w:space="0" w:color="auto"/>
        <w:right w:val="none" w:sz="0" w:space="0" w:color="auto"/>
      </w:divBdr>
    </w:div>
    <w:div w:id="507868832">
      <w:bodyDiv w:val="1"/>
      <w:marLeft w:val="0"/>
      <w:marRight w:val="0"/>
      <w:marTop w:val="0"/>
      <w:marBottom w:val="0"/>
      <w:divBdr>
        <w:top w:val="none" w:sz="0" w:space="0" w:color="auto"/>
        <w:left w:val="none" w:sz="0" w:space="0" w:color="auto"/>
        <w:bottom w:val="none" w:sz="0" w:space="0" w:color="auto"/>
        <w:right w:val="none" w:sz="0" w:space="0" w:color="auto"/>
      </w:divBdr>
    </w:div>
    <w:div w:id="510949527">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3543736">
      <w:bodyDiv w:val="1"/>
      <w:marLeft w:val="0"/>
      <w:marRight w:val="0"/>
      <w:marTop w:val="0"/>
      <w:marBottom w:val="0"/>
      <w:divBdr>
        <w:top w:val="none" w:sz="0" w:space="0" w:color="auto"/>
        <w:left w:val="none" w:sz="0" w:space="0" w:color="auto"/>
        <w:bottom w:val="none" w:sz="0" w:space="0" w:color="auto"/>
        <w:right w:val="none" w:sz="0" w:space="0" w:color="auto"/>
      </w:divBdr>
    </w:div>
    <w:div w:id="544559889">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73467231">
      <w:bodyDiv w:val="1"/>
      <w:marLeft w:val="0"/>
      <w:marRight w:val="0"/>
      <w:marTop w:val="0"/>
      <w:marBottom w:val="0"/>
      <w:divBdr>
        <w:top w:val="none" w:sz="0" w:space="0" w:color="auto"/>
        <w:left w:val="none" w:sz="0" w:space="0" w:color="auto"/>
        <w:bottom w:val="none" w:sz="0" w:space="0" w:color="auto"/>
        <w:right w:val="none" w:sz="0" w:space="0" w:color="auto"/>
      </w:divBdr>
    </w:div>
    <w:div w:id="576211852">
      <w:bodyDiv w:val="1"/>
      <w:marLeft w:val="0"/>
      <w:marRight w:val="0"/>
      <w:marTop w:val="0"/>
      <w:marBottom w:val="0"/>
      <w:divBdr>
        <w:top w:val="none" w:sz="0" w:space="0" w:color="auto"/>
        <w:left w:val="none" w:sz="0" w:space="0" w:color="auto"/>
        <w:bottom w:val="none" w:sz="0" w:space="0" w:color="auto"/>
        <w:right w:val="none" w:sz="0" w:space="0" w:color="auto"/>
      </w:divBdr>
    </w:div>
    <w:div w:id="58368550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96405035">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5525990">
      <w:bodyDiv w:val="1"/>
      <w:marLeft w:val="0"/>
      <w:marRight w:val="0"/>
      <w:marTop w:val="0"/>
      <w:marBottom w:val="0"/>
      <w:divBdr>
        <w:top w:val="none" w:sz="0" w:space="0" w:color="auto"/>
        <w:left w:val="none" w:sz="0" w:space="0" w:color="auto"/>
        <w:bottom w:val="none" w:sz="0" w:space="0" w:color="auto"/>
        <w:right w:val="none" w:sz="0" w:space="0" w:color="auto"/>
      </w:divBdr>
    </w:div>
    <w:div w:id="619872202">
      <w:bodyDiv w:val="1"/>
      <w:marLeft w:val="0"/>
      <w:marRight w:val="0"/>
      <w:marTop w:val="0"/>
      <w:marBottom w:val="0"/>
      <w:divBdr>
        <w:top w:val="none" w:sz="0" w:space="0" w:color="auto"/>
        <w:left w:val="none" w:sz="0" w:space="0" w:color="auto"/>
        <w:bottom w:val="none" w:sz="0" w:space="0" w:color="auto"/>
        <w:right w:val="none" w:sz="0" w:space="0" w:color="auto"/>
      </w:divBdr>
    </w:div>
    <w:div w:id="622420335">
      <w:bodyDiv w:val="1"/>
      <w:marLeft w:val="0"/>
      <w:marRight w:val="0"/>
      <w:marTop w:val="0"/>
      <w:marBottom w:val="0"/>
      <w:divBdr>
        <w:top w:val="none" w:sz="0" w:space="0" w:color="auto"/>
        <w:left w:val="none" w:sz="0" w:space="0" w:color="auto"/>
        <w:bottom w:val="none" w:sz="0" w:space="0" w:color="auto"/>
        <w:right w:val="none" w:sz="0" w:space="0" w:color="auto"/>
      </w:divBdr>
    </w:div>
    <w:div w:id="641693636">
      <w:bodyDiv w:val="1"/>
      <w:marLeft w:val="0"/>
      <w:marRight w:val="0"/>
      <w:marTop w:val="0"/>
      <w:marBottom w:val="0"/>
      <w:divBdr>
        <w:top w:val="none" w:sz="0" w:space="0" w:color="auto"/>
        <w:left w:val="none" w:sz="0" w:space="0" w:color="auto"/>
        <w:bottom w:val="none" w:sz="0" w:space="0" w:color="auto"/>
        <w:right w:val="none" w:sz="0" w:space="0" w:color="auto"/>
      </w:divBdr>
      <w:divsChild>
        <w:div w:id="136147881">
          <w:marLeft w:val="0"/>
          <w:marRight w:val="0"/>
          <w:marTop w:val="0"/>
          <w:marBottom w:val="0"/>
          <w:divBdr>
            <w:top w:val="none" w:sz="0" w:space="0" w:color="auto"/>
            <w:left w:val="none" w:sz="0" w:space="0" w:color="auto"/>
            <w:bottom w:val="none" w:sz="0" w:space="0" w:color="auto"/>
            <w:right w:val="none" w:sz="0" w:space="0" w:color="auto"/>
          </w:divBdr>
          <w:divsChild>
            <w:div w:id="1222592757">
              <w:marLeft w:val="439"/>
              <w:marRight w:val="0"/>
              <w:marTop w:val="0"/>
              <w:marBottom w:val="0"/>
              <w:divBdr>
                <w:top w:val="none" w:sz="0" w:space="0" w:color="auto"/>
                <w:left w:val="none" w:sz="0" w:space="0" w:color="auto"/>
                <w:bottom w:val="none" w:sz="0" w:space="0" w:color="auto"/>
                <w:right w:val="none" w:sz="0" w:space="0" w:color="auto"/>
              </w:divBdr>
              <w:divsChild>
                <w:div w:id="119999224">
                  <w:marLeft w:val="0"/>
                  <w:marRight w:val="0"/>
                  <w:marTop w:val="0"/>
                  <w:marBottom w:val="0"/>
                  <w:divBdr>
                    <w:top w:val="none" w:sz="0" w:space="0" w:color="auto"/>
                    <w:left w:val="none" w:sz="0" w:space="0" w:color="auto"/>
                    <w:bottom w:val="none" w:sz="0" w:space="0" w:color="auto"/>
                    <w:right w:val="none" w:sz="0" w:space="0" w:color="auto"/>
                  </w:divBdr>
                  <w:divsChild>
                    <w:div w:id="81626531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7146">
          <w:marLeft w:val="0"/>
          <w:marRight w:val="0"/>
          <w:marTop w:val="0"/>
          <w:marBottom w:val="0"/>
          <w:divBdr>
            <w:top w:val="none" w:sz="0" w:space="0" w:color="auto"/>
            <w:left w:val="none" w:sz="0" w:space="0" w:color="auto"/>
            <w:bottom w:val="none" w:sz="0" w:space="0" w:color="auto"/>
            <w:right w:val="none" w:sz="0" w:space="0" w:color="auto"/>
          </w:divBdr>
        </w:div>
      </w:divsChild>
    </w:div>
    <w:div w:id="641931161">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72997631">
      <w:bodyDiv w:val="1"/>
      <w:marLeft w:val="0"/>
      <w:marRight w:val="0"/>
      <w:marTop w:val="0"/>
      <w:marBottom w:val="0"/>
      <w:divBdr>
        <w:top w:val="none" w:sz="0" w:space="0" w:color="auto"/>
        <w:left w:val="none" w:sz="0" w:space="0" w:color="auto"/>
        <w:bottom w:val="none" w:sz="0" w:space="0" w:color="auto"/>
        <w:right w:val="none" w:sz="0" w:space="0" w:color="auto"/>
      </w:divBdr>
      <w:divsChild>
        <w:div w:id="862130031">
          <w:marLeft w:val="0"/>
          <w:marRight w:val="0"/>
          <w:marTop w:val="0"/>
          <w:marBottom w:val="0"/>
          <w:divBdr>
            <w:top w:val="none" w:sz="0" w:space="0" w:color="auto"/>
            <w:left w:val="none" w:sz="0" w:space="0" w:color="auto"/>
            <w:bottom w:val="none" w:sz="0" w:space="0" w:color="auto"/>
            <w:right w:val="none" w:sz="0" w:space="0" w:color="auto"/>
          </w:divBdr>
          <w:divsChild>
            <w:div w:id="1683317475">
              <w:marLeft w:val="439"/>
              <w:marRight w:val="0"/>
              <w:marTop w:val="0"/>
              <w:marBottom w:val="0"/>
              <w:divBdr>
                <w:top w:val="none" w:sz="0" w:space="0" w:color="auto"/>
                <w:left w:val="none" w:sz="0" w:space="0" w:color="auto"/>
                <w:bottom w:val="none" w:sz="0" w:space="0" w:color="auto"/>
                <w:right w:val="none" w:sz="0" w:space="0" w:color="auto"/>
              </w:divBdr>
              <w:divsChild>
                <w:div w:id="1075667751">
                  <w:marLeft w:val="0"/>
                  <w:marRight w:val="0"/>
                  <w:marTop w:val="0"/>
                  <w:marBottom w:val="0"/>
                  <w:divBdr>
                    <w:top w:val="none" w:sz="0" w:space="0" w:color="auto"/>
                    <w:left w:val="none" w:sz="0" w:space="0" w:color="auto"/>
                    <w:bottom w:val="none" w:sz="0" w:space="0" w:color="auto"/>
                    <w:right w:val="none" w:sz="0" w:space="0" w:color="auto"/>
                  </w:divBdr>
                  <w:divsChild>
                    <w:div w:id="170224632">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751">
          <w:marLeft w:val="0"/>
          <w:marRight w:val="0"/>
          <w:marTop w:val="0"/>
          <w:marBottom w:val="0"/>
          <w:divBdr>
            <w:top w:val="none" w:sz="0" w:space="0" w:color="auto"/>
            <w:left w:val="none" w:sz="0" w:space="0" w:color="auto"/>
            <w:bottom w:val="none" w:sz="0" w:space="0" w:color="auto"/>
            <w:right w:val="none" w:sz="0" w:space="0" w:color="auto"/>
          </w:divBdr>
        </w:div>
      </w:divsChild>
    </w:div>
    <w:div w:id="676035645">
      <w:bodyDiv w:val="1"/>
      <w:marLeft w:val="0"/>
      <w:marRight w:val="0"/>
      <w:marTop w:val="0"/>
      <w:marBottom w:val="0"/>
      <w:divBdr>
        <w:top w:val="none" w:sz="0" w:space="0" w:color="auto"/>
        <w:left w:val="none" w:sz="0" w:space="0" w:color="auto"/>
        <w:bottom w:val="none" w:sz="0" w:space="0" w:color="auto"/>
        <w:right w:val="none" w:sz="0" w:space="0" w:color="auto"/>
      </w:divBdr>
    </w:div>
    <w:div w:id="677006739">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69940196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8815381">
      <w:bodyDiv w:val="1"/>
      <w:marLeft w:val="0"/>
      <w:marRight w:val="0"/>
      <w:marTop w:val="0"/>
      <w:marBottom w:val="0"/>
      <w:divBdr>
        <w:top w:val="none" w:sz="0" w:space="0" w:color="auto"/>
        <w:left w:val="none" w:sz="0" w:space="0" w:color="auto"/>
        <w:bottom w:val="none" w:sz="0" w:space="0" w:color="auto"/>
        <w:right w:val="none" w:sz="0" w:space="0" w:color="auto"/>
      </w:divBdr>
    </w:div>
    <w:div w:id="749427586">
      <w:bodyDiv w:val="1"/>
      <w:marLeft w:val="0"/>
      <w:marRight w:val="0"/>
      <w:marTop w:val="0"/>
      <w:marBottom w:val="0"/>
      <w:divBdr>
        <w:top w:val="none" w:sz="0" w:space="0" w:color="auto"/>
        <w:left w:val="none" w:sz="0" w:space="0" w:color="auto"/>
        <w:bottom w:val="none" w:sz="0" w:space="0" w:color="auto"/>
        <w:right w:val="none" w:sz="0" w:space="0" w:color="auto"/>
      </w:divBdr>
    </w:div>
    <w:div w:id="755518538">
      <w:bodyDiv w:val="1"/>
      <w:marLeft w:val="0"/>
      <w:marRight w:val="0"/>
      <w:marTop w:val="0"/>
      <w:marBottom w:val="0"/>
      <w:divBdr>
        <w:top w:val="none" w:sz="0" w:space="0" w:color="auto"/>
        <w:left w:val="none" w:sz="0" w:space="0" w:color="auto"/>
        <w:bottom w:val="none" w:sz="0" w:space="0" w:color="auto"/>
        <w:right w:val="none" w:sz="0" w:space="0" w:color="auto"/>
      </w:divBdr>
    </w:div>
    <w:div w:id="760834653">
      <w:bodyDiv w:val="1"/>
      <w:marLeft w:val="0"/>
      <w:marRight w:val="0"/>
      <w:marTop w:val="0"/>
      <w:marBottom w:val="0"/>
      <w:divBdr>
        <w:top w:val="none" w:sz="0" w:space="0" w:color="auto"/>
        <w:left w:val="none" w:sz="0" w:space="0" w:color="auto"/>
        <w:bottom w:val="none" w:sz="0" w:space="0" w:color="auto"/>
        <w:right w:val="none" w:sz="0" w:space="0" w:color="auto"/>
      </w:divBdr>
    </w:div>
    <w:div w:id="762458102">
      <w:bodyDiv w:val="1"/>
      <w:marLeft w:val="0"/>
      <w:marRight w:val="0"/>
      <w:marTop w:val="0"/>
      <w:marBottom w:val="0"/>
      <w:divBdr>
        <w:top w:val="none" w:sz="0" w:space="0" w:color="auto"/>
        <w:left w:val="none" w:sz="0" w:space="0" w:color="auto"/>
        <w:bottom w:val="none" w:sz="0" w:space="0" w:color="auto"/>
        <w:right w:val="none" w:sz="0" w:space="0" w:color="auto"/>
      </w:divBdr>
    </w:div>
    <w:div w:id="769743980">
      <w:bodyDiv w:val="1"/>
      <w:marLeft w:val="0"/>
      <w:marRight w:val="0"/>
      <w:marTop w:val="0"/>
      <w:marBottom w:val="0"/>
      <w:divBdr>
        <w:top w:val="none" w:sz="0" w:space="0" w:color="auto"/>
        <w:left w:val="none" w:sz="0" w:space="0" w:color="auto"/>
        <w:bottom w:val="none" w:sz="0" w:space="0" w:color="auto"/>
        <w:right w:val="none" w:sz="0" w:space="0" w:color="auto"/>
      </w:divBdr>
    </w:div>
    <w:div w:id="780226948">
      <w:bodyDiv w:val="1"/>
      <w:marLeft w:val="0"/>
      <w:marRight w:val="0"/>
      <w:marTop w:val="0"/>
      <w:marBottom w:val="0"/>
      <w:divBdr>
        <w:top w:val="none" w:sz="0" w:space="0" w:color="auto"/>
        <w:left w:val="none" w:sz="0" w:space="0" w:color="auto"/>
        <w:bottom w:val="none" w:sz="0" w:space="0" w:color="auto"/>
        <w:right w:val="none" w:sz="0" w:space="0" w:color="auto"/>
      </w:divBdr>
    </w:div>
    <w:div w:id="790782553">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9619102">
      <w:bodyDiv w:val="1"/>
      <w:marLeft w:val="0"/>
      <w:marRight w:val="0"/>
      <w:marTop w:val="0"/>
      <w:marBottom w:val="0"/>
      <w:divBdr>
        <w:top w:val="none" w:sz="0" w:space="0" w:color="auto"/>
        <w:left w:val="none" w:sz="0" w:space="0" w:color="auto"/>
        <w:bottom w:val="none" w:sz="0" w:space="0" w:color="auto"/>
        <w:right w:val="none" w:sz="0" w:space="0" w:color="auto"/>
      </w:divBdr>
      <w:divsChild>
        <w:div w:id="1847939509">
          <w:marLeft w:val="0"/>
          <w:marRight w:val="0"/>
          <w:marTop w:val="0"/>
          <w:marBottom w:val="0"/>
          <w:divBdr>
            <w:top w:val="none" w:sz="0" w:space="0" w:color="auto"/>
            <w:left w:val="none" w:sz="0" w:space="0" w:color="auto"/>
            <w:bottom w:val="none" w:sz="0" w:space="0" w:color="auto"/>
            <w:right w:val="none" w:sz="0" w:space="0" w:color="auto"/>
          </w:divBdr>
          <w:divsChild>
            <w:div w:id="342706160">
              <w:marLeft w:val="0"/>
              <w:marRight w:val="0"/>
              <w:marTop w:val="0"/>
              <w:marBottom w:val="0"/>
              <w:divBdr>
                <w:top w:val="none" w:sz="0" w:space="0" w:color="auto"/>
                <w:left w:val="none" w:sz="0" w:space="0" w:color="auto"/>
                <w:bottom w:val="none" w:sz="0" w:space="0" w:color="auto"/>
                <w:right w:val="none" w:sz="0" w:space="0" w:color="auto"/>
              </w:divBdr>
              <w:divsChild>
                <w:div w:id="357006892">
                  <w:marLeft w:val="0"/>
                  <w:marRight w:val="0"/>
                  <w:marTop w:val="0"/>
                  <w:marBottom w:val="0"/>
                  <w:divBdr>
                    <w:top w:val="none" w:sz="0" w:space="0" w:color="auto"/>
                    <w:left w:val="none" w:sz="0" w:space="0" w:color="auto"/>
                    <w:bottom w:val="none" w:sz="0" w:space="0" w:color="auto"/>
                    <w:right w:val="none" w:sz="0" w:space="0" w:color="auto"/>
                  </w:divBdr>
                  <w:divsChild>
                    <w:div w:id="1527716539">
                      <w:marLeft w:val="0"/>
                      <w:marRight w:val="0"/>
                      <w:marTop w:val="0"/>
                      <w:marBottom w:val="0"/>
                      <w:divBdr>
                        <w:top w:val="none" w:sz="0" w:space="0" w:color="auto"/>
                        <w:left w:val="none" w:sz="0" w:space="0" w:color="auto"/>
                        <w:bottom w:val="none" w:sz="0" w:space="0" w:color="auto"/>
                        <w:right w:val="none" w:sz="0" w:space="0" w:color="auto"/>
                      </w:divBdr>
                      <w:divsChild>
                        <w:div w:id="1107625927">
                          <w:marLeft w:val="0"/>
                          <w:marRight w:val="0"/>
                          <w:marTop w:val="0"/>
                          <w:marBottom w:val="0"/>
                          <w:divBdr>
                            <w:top w:val="none" w:sz="0" w:space="0" w:color="auto"/>
                            <w:left w:val="none" w:sz="0" w:space="0" w:color="auto"/>
                            <w:bottom w:val="none" w:sz="0" w:space="0" w:color="auto"/>
                            <w:right w:val="none" w:sz="0" w:space="0" w:color="auto"/>
                          </w:divBdr>
                          <w:divsChild>
                            <w:div w:id="824973622">
                              <w:marLeft w:val="0"/>
                              <w:marRight w:val="0"/>
                              <w:marTop w:val="0"/>
                              <w:marBottom w:val="0"/>
                              <w:divBdr>
                                <w:top w:val="none" w:sz="0" w:space="0" w:color="auto"/>
                                <w:left w:val="none" w:sz="0" w:space="0" w:color="auto"/>
                                <w:bottom w:val="none" w:sz="0" w:space="0" w:color="auto"/>
                                <w:right w:val="none" w:sz="0" w:space="0" w:color="auto"/>
                              </w:divBdr>
                              <w:divsChild>
                                <w:div w:id="1145658092">
                                  <w:marLeft w:val="0"/>
                                  <w:marRight w:val="0"/>
                                  <w:marTop w:val="0"/>
                                  <w:marBottom w:val="0"/>
                                  <w:divBdr>
                                    <w:top w:val="none" w:sz="0" w:space="0" w:color="auto"/>
                                    <w:left w:val="none" w:sz="0" w:space="0" w:color="auto"/>
                                    <w:bottom w:val="none" w:sz="0" w:space="0" w:color="auto"/>
                                    <w:right w:val="none" w:sz="0" w:space="0" w:color="auto"/>
                                  </w:divBdr>
                                  <w:divsChild>
                                    <w:div w:id="222061897">
                                      <w:marLeft w:val="0"/>
                                      <w:marRight w:val="0"/>
                                      <w:marTop w:val="0"/>
                                      <w:marBottom w:val="0"/>
                                      <w:divBdr>
                                        <w:top w:val="none" w:sz="0" w:space="0" w:color="auto"/>
                                        <w:left w:val="none" w:sz="0" w:space="0" w:color="auto"/>
                                        <w:bottom w:val="none" w:sz="0" w:space="0" w:color="auto"/>
                                        <w:right w:val="none" w:sz="0" w:space="0" w:color="auto"/>
                                      </w:divBdr>
                                      <w:divsChild>
                                        <w:div w:id="1559509927">
                                          <w:marLeft w:val="0"/>
                                          <w:marRight w:val="0"/>
                                          <w:marTop w:val="0"/>
                                          <w:marBottom w:val="0"/>
                                          <w:divBdr>
                                            <w:top w:val="none" w:sz="0" w:space="0" w:color="auto"/>
                                            <w:left w:val="none" w:sz="0" w:space="0" w:color="auto"/>
                                            <w:bottom w:val="none" w:sz="0" w:space="0" w:color="auto"/>
                                            <w:right w:val="none" w:sz="0" w:space="0" w:color="auto"/>
                                          </w:divBdr>
                                          <w:divsChild>
                                            <w:div w:id="1659649554">
                                              <w:marLeft w:val="0"/>
                                              <w:marRight w:val="0"/>
                                              <w:marTop w:val="0"/>
                                              <w:marBottom w:val="0"/>
                                              <w:divBdr>
                                                <w:top w:val="none" w:sz="0" w:space="0" w:color="auto"/>
                                                <w:left w:val="none" w:sz="0" w:space="0" w:color="auto"/>
                                                <w:bottom w:val="none" w:sz="0" w:space="0" w:color="auto"/>
                                                <w:right w:val="none" w:sz="0" w:space="0" w:color="auto"/>
                                              </w:divBdr>
                                              <w:divsChild>
                                                <w:div w:id="15924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329614">
      <w:bodyDiv w:val="1"/>
      <w:marLeft w:val="0"/>
      <w:marRight w:val="0"/>
      <w:marTop w:val="0"/>
      <w:marBottom w:val="0"/>
      <w:divBdr>
        <w:top w:val="none" w:sz="0" w:space="0" w:color="auto"/>
        <w:left w:val="none" w:sz="0" w:space="0" w:color="auto"/>
        <w:bottom w:val="none" w:sz="0" w:space="0" w:color="auto"/>
        <w:right w:val="none" w:sz="0" w:space="0" w:color="auto"/>
      </w:divBdr>
    </w:div>
    <w:div w:id="831675726">
      <w:bodyDiv w:val="1"/>
      <w:marLeft w:val="0"/>
      <w:marRight w:val="0"/>
      <w:marTop w:val="0"/>
      <w:marBottom w:val="0"/>
      <w:divBdr>
        <w:top w:val="none" w:sz="0" w:space="0" w:color="auto"/>
        <w:left w:val="none" w:sz="0" w:space="0" w:color="auto"/>
        <w:bottom w:val="none" w:sz="0" w:space="0" w:color="auto"/>
        <w:right w:val="none" w:sz="0" w:space="0" w:color="auto"/>
      </w:divBdr>
    </w:div>
    <w:div w:id="83958897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6136198">
      <w:bodyDiv w:val="1"/>
      <w:marLeft w:val="0"/>
      <w:marRight w:val="0"/>
      <w:marTop w:val="0"/>
      <w:marBottom w:val="0"/>
      <w:divBdr>
        <w:top w:val="none" w:sz="0" w:space="0" w:color="auto"/>
        <w:left w:val="none" w:sz="0" w:space="0" w:color="auto"/>
        <w:bottom w:val="none" w:sz="0" w:space="0" w:color="auto"/>
        <w:right w:val="none" w:sz="0" w:space="0" w:color="auto"/>
      </w:divBdr>
    </w:div>
    <w:div w:id="852493872">
      <w:bodyDiv w:val="1"/>
      <w:marLeft w:val="0"/>
      <w:marRight w:val="0"/>
      <w:marTop w:val="0"/>
      <w:marBottom w:val="0"/>
      <w:divBdr>
        <w:top w:val="none" w:sz="0" w:space="0" w:color="auto"/>
        <w:left w:val="none" w:sz="0" w:space="0" w:color="auto"/>
        <w:bottom w:val="none" w:sz="0" w:space="0" w:color="auto"/>
        <w:right w:val="none" w:sz="0" w:space="0" w:color="auto"/>
      </w:divBdr>
    </w:div>
    <w:div w:id="853376225">
      <w:bodyDiv w:val="1"/>
      <w:marLeft w:val="0"/>
      <w:marRight w:val="0"/>
      <w:marTop w:val="0"/>
      <w:marBottom w:val="0"/>
      <w:divBdr>
        <w:top w:val="none" w:sz="0" w:space="0" w:color="auto"/>
        <w:left w:val="none" w:sz="0" w:space="0" w:color="auto"/>
        <w:bottom w:val="none" w:sz="0" w:space="0" w:color="auto"/>
        <w:right w:val="none" w:sz="0" w:space="0" w:color="auto"/>
      </w:divBdr>
    </w:div>
    <w:div w:id="862979487">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68835074">
      <w:bodyDiv w:val="1"/>
      <w:marLeft w:val="0"/>
      <w:marRight w:val="0"/>
      <w:marTop w:val="0"/>
      <w:marBottom w:val="0"/>
      <w:divBdr>
        <w:top w:val="none" w:sz="0" w:space="0" w:color="auto"/>
        <w:left w:val="none" w:sz="0" w:space="0" w:color="auto"/>
        <w:bottom w:val="none" w:sz="0" w:space="0" w:color="auto"/>
        <w:right w:val="none" w:sz="0" w:space="0" w:color="auto"/>
      </w:divBdr>
    </w:div>
    <w:div w:id="872838606">
      <w:bodyDiv w:val="1"/>
      <w:marLeft w:val="0"/>
      <w:marRight w:val="0"/>
      <w:marTop w:val="0"/>
      <w:marBottom w:val="0"/>
      <w:divBdr>
        <w:top w:val="none" w:sz="0" w:space="0" w:color="auto"/>
        <w:left w:val="none" w:sz="0" w:space="0" w:color="auto"/>
        <w:bottom w:val="none" w:sz="0" w:space="0" w:color="auto"/>
        <w:right w:val="none" w:sz="0" w:space="0" w:color="auto"/>
      </w:divBdr>
    </w:div>
    <w:div w:id="873932058">
      <w:bodyDiv w:val="1"/>
      <w:marLeft w:val="0"/>
      <w:marRight w:val="0"/>
      <w:marTop w:val="0"/>
      <w:marBottom w:val="0"/>
      <w:divBdr>
        <w:top w:val="none" w:sz="0" w:space="0" w:color="auto"/>
        <w:left w:val="none" w:sz="0" w:space="0" w:color="auto"/>
        <w:bottom w:val="none" w:sz="0" w:space="0" w:color="auto"/>
        <w:right w:val="none" w:sz="0" w:space="0" w:color="auto"/>
      </w:divBdr>
    </w:div>
    <w:div w:id="882596362">
      <w:bodyDiv w:val="1"/>
      <w:marLeft w:val="0"/>
      <w:marRight w:val="0"/>
      <w:marTop w:val="0"/>
      <w:marBottom w:val="0"/>
      <w:divBdr>
        <w:top w:val="none" w:sz="0" w:space="0" w:color="auto"/>
        <w:left w:val="none" w:sz="0" w:space="0" w:color="auto"/>
        <w:bottom w:val="none" w:sz="0" w:space="0" w:color="auto"/>
        <w:right w:val="none" w:sz="0" w:space="0" w:color="auto"/>
      </w:divBdr>
    </w:div>
    <w:div w:id="884870852">
      <w:bodyDiv w:val="1"/>
      <w:marLeft w:val="0"/>
      <w:marRight w:val="0"/>
      <w:marTop w:val="0"/>
      <w:marBottom w:val="0"/>
      <w:divBdr>
        <w:top w:val="none" w:sz="0" w:space="0" w:color="auto"/>
        <w:left w:val="none" w:sz="0" w:space="0" w:color="auto"/>
        <w:bottom w:val="none" w:sz="0" w:space="0" w:color="auto"/>
        <w:right w:val="none" w:sz="0" w:space="0" w:color="auto"/>
      </w:divBdr>
    </w:div>
    <w:div w:id="887037235">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25846191">
      <w:bodyDiv w:val="1"/>
      <w:marLeft w:val="0"/>
      <w:marRight w:val="0"/>
      <w:marTop w:val="0"/>
      <w:marBottom w:val="0"/>
      <w:divBdr>
        <w:top w:val="none" w:sz="0" w:space="0" w:color="auto"/>
        <w:left w:val="none" w:sz="0" w:space="0" w:color="auto"/>
        <w:bottom w:val="none" w:sz="0" w:space="0" w:color="auto"/>
        <w:right w:val="none" w:sz="0" w:space="0" w:color="auto"/>
      </w:divBdr>
    </w:div>
    <w:div w:id="934676025">
      <w:bodyDiv w:val="1"/>
      <w:marLeft w:val="0"/>
      <w:marRight w:val="0"/>
      <w:marTop w:val="0"/>
      <w:marBottom w:val="0"/>
      <w:divBdr>
        <w:top w:val="none" w:sz="0" w:space="0" w:color="auto"/>
        <w:left w:val="none" w:sz="0" w:space="0" w:color="auto"/>
        <w:bottom w:val="none" w:sz="0" w:space="0" w:color="auto"/>
        <w:right w:val="none" w:sz="0" w:space="0" w:color="auto"/>
      </w:divBdr>
    </w:div>
    <w:div w:id="938831598">
      <w:bodyDiv w:val="1"/>
      <w:marLeft w:val="0"/>
      <w:marRight w:val="0"/>
      <w:marTop w:val="0"/>
      <w:marBottom w:val="0"/>
      <w:divBdr>
        <w:top w:val="none" w:sz="0" w:space="0" w:color="auto"/>
        <w:left w:val="none" w:sz="0" w:space="0" w:color="auto"/>
        <w:bottom w:val="none" w:sz="0" w:space="0" w:color="auto"/>
        <w:right w:val="none" w:sz="0" w:space="0" w:color="auto"/>
      </w:divBdr>
      <w:divsChild>
        <w:div w:id="1075587296">
          <w:marLeft w:val="0"/>
          <w:marRight w:val="0"/>
          <w:marTop w:val="0"/>
          <w:marBottom w:val="0"/>
          <w:divBdr>
            <w:top w:val="none" w:sz="0" w:space="0" w:color="auto"/>
            <w:left w:val="none" w:sz="0" w:space="0" w:color="auto"/>
            <w:bottom w:val="none" w:sz="0" w:space="0" w:color="auto"/>
            <w:right w:val="none" w:sz="0" w:space="0" w:color="auto"/>
          </w:divBdr>
          <w:divsChild>
            <w:div w:id="373307484">
              <w:marLeft w:val="0"/>
              <w:marRight w:val="0"/>
              <w:marTop w:val="0"/>
              <w:marBottom w:val="0"/>
              <w:divBdr>
                <w:top w:val="none" w:sz="0" w:space="0" w:color="auto"/>
                <w:left w:val="none" w:sz="0" w:space="0" w:color="auto"/>
                <w:bottom w:val="none" w:sz="0" w:space="0" w:color="auto"/>
                <w:right w:val="none" w:sz="0" w:space="0" w:color="auto"/>
              </w:divBdr>
              <w:divsChild>
                <w:div w:id="257061806">
                  <w:marLeft w:val="0"/>
                  <w:marRight w:val="0"/>
                  <w:marTop w:val="0"/>
                  <w:marBottom w:val="0"/>
                  <w:divBdr>
                    <w:top w:val="none" w:sz="0" w:space="0" w:color="auto"/>
                    <w:left w:val="none" w:sz="0" w:space="0" w:color="auto"/>
                    <w:bottom w:val="none" w:sz="0" w:space="0" w:color="auto"/>
                    <w:right w:val="none" w:sz="0" w:space="0" w:color="auto"/>
                  </w:divBdr>
                  <w:divsChild>
                    <w:div w:id="159472340">
                      <w:marLeft w:val="0"/>
                      <w:marRight w:val="0"/>
                      <w:marTop w:val="0"/>
                      <w:marBottom w:val="0"/>
                      <w:divBdr>
                        <w:top w:val="none" w:sz="0" w:space="0" w:color="auto"/>
                        <w:left w:val="none" w:sz="0" w:space="0" w:color="auto"/>
                        <w:bottom w:val="none" w:sz="0" w:space="0" w:color="auto"/>
                        <w:right w:val="none" w:sz="0" w:space="0" w:color="auto"/>
                      </w:divBdr>
                      <w:divsChild>
                        <w:div w:id="1038773990">
                          <w:marLeft w:val="0"/>
                          <w:marRight w:val="0"/>
                          <w:marTop w:val="0"/>
                          <w:marBottom w:val="0"/>
                          <w:divBdr>
                            <w:top w:val="none" w:sz="0" w:space="0" w:color="auto"/>
                            <w:left w:val="none" w:sz="0" w:space="0" w:color="auto"/>
                            <w:bottom w:val="none" w:sz="0" w:space="0" w:color="auto"/>
                            <w:right w:val="none" w:sz="0" w:space="0" w:color="auto"/>
                          </w:divBdr>
                          <w:divsChild>
                            <w:div w:id="1497964251">
                              <w:marLeft w:val="0"/>
                              <w:marRight w:val="0"/>
                              <w:marTop w:val="0"/>
                              <w:marBottom w:val="0"/>
                              <w:divBdr>
                                <w:top w:val="none" w:sz="0" w:space="0" w:color="auto"/>
                                <w:left w:val="none" w:sz="0" w:space="0" w:color="auto"/>
                                <w:bottom w:val="none" w:sz="0" w:space="0" w:color="auto"/>
                                <w:right w:val="none" w:sz="0" w:space="0" w:color="auto"/>
                              </w:divBdr>
                              <w:divsChild>
                                <w:div w:id="1683966753">
                                  <w:marLeft w:val="0"/>
                                  <w:marRight w:val="0"/>
                                  <w:marTop w:val="0"/>
                                  <w:marBottom w:val="0"/>
                                  <w:divBdr>
                                    <w:top w:val="none" w:sz="0" w:space="0" w:color="auto"/>
                                    <w:left w:val="none" w:sz="0" w:space="0" w:color="auto"/>
                                    <w:bottom w:val="none" w:sz="0" w:space="0" w:color="auto"/>
                                    <w:right w:val="none" w:sz="0" w:space="0" w:color="auto"/>
                                  </w:divBdr>
                                  <w:divsChild>
                                    <w:div w:id="906303566">
                                      <w:marLeft w:val="0"/>
                                      <w:marRight w:val="0"/>
                                      <w:marTop w:val="0"/>
                                      <w:marBottom w:val="0"/>
                                      <w:divBdr>
                                        <w:top w:val="none" w:sz="0" w:space="0" w:color="auto"/>
                                        <w:left w:val="none" w:sz="0" w:space="0" w:color="auto"/>
                                        <w:bottom w:val="none" w:sz="0" w:space="0" w:color="auto"/>
                                        <w:right w:val="none" w:sz="0" w:space="0" w:color="auto"/>
                                      </w:divBdr>
                                      <w:divsChild>
                                        <w:div w:id="1667442315">
                                          <w:marLeft w:val="0"/>
                                          <w:marRight w:val="0"/>
                                          <w:marTop w:val="0"/>
                                          <w:marBottom w:val="0"/>
                                          <w:divBdr>
                                            <w:top w:val="none" w:sz="0" w:space="0" w:color="auto"/>
                                            <w:left w:val="none" w:sz="0" w:space="0" w:color="auto"/>
                                            <w:bottom w:val="none" w:sz="0" w:space="0" w:color="auto"/>
                                            <w:right w:val="none" w:sz="0" w:space="0" w:color="auto"/>
                                          </w:divBdr>
                                          <w:divsChild>
                                            <w:div w:id="575477424">
                                              <w:marLeft w:val="0"/>
                                              <w:marRight w:val="0"/>
                                              <w:marTop w:val="0"/>
                                              <w:marBottom w:val="0"/>
                                              <w:divBdr>
                                                <w:top w:val="none" w:sz="0" w:space="0" w:color="auto"/>
                                                <w:left w:val="none" w:sz="0" w:space="0" w:color="auto"/>
                                                <w:bottom w:val="none" w:sz="0" w:space="0" w:color="auto"/>
                                                <w:right w:val="none" w:sz="0" w:space="0" w:color="auto"/>
                                              </w:divBdr>
                                              <w:divsChild>
                                                <w:div w:id="33964544">
                                                  <w:marLeft w:val="0"/>
                                                  <w:marRight w:val="0"/>
                                                  <w:marTop w:val="0"/>
                                                  <w:marBottom w:val="0"/>
                                                  <w:divBdr>
                                                    <w:top w:val="none" w:sz="0" w:space="0" w:color="auto"/>
                                                    <w:left w:val="none" w:sz="0" w:space="0" w:color="auto"/>
                                                    <w:bottom w:val="none" w:sz="0" w:space="0" w:color="auto"/>
                                                    <w:right w:val="none" w:sz="0" w:space="0" w:color="auto"/>
                                                  </w:divBdr>
                                                  <w:divsChild>
                                                    <w:div w:id="1379084995">
                                                      <w:marLeft w:val="0"/>
                                                      <w:marRight w:val="0"/>
                                                      <w:marTop w:val="0"/>
                                                      <w:marBottom w:val="0"/>
                                                      <w:divBdr>
                                                        <w:top w:val="none" w:sz="0" w:space="0" w:color="auto"/>
                                                        <w:left w:val="none" w:sz="0" w:space="0" w:color="auto"/>
                                                        <w:bottom w:val="none" w:sz="0" w:space="0" w:color="auto"/>
                                                        <w:right w:val="none" w:sz="0" w:space="0" w:color="auto"/>
                                                      </w:divBdr>
                                                      <w:divsChild>
                                                        <w:div w:id="74790574">
                                                          <w:marLeft w:val="0"/>
                                                          <w:marRight w:val="0"/>
                                                          <w:marTop w:val="0"/>
                                                          <w:marBottom w:val="0"/>
                                                          <w:divBdr>
                                                            <w:top w:val="none" w:sz="0" w:space="0" w:color="auto"/>
                                                            <w:left w:val="none" w:sz="0" w:space="0" w:color="auto"/>
                                                            <w:bottom w:val="none" w:sz="0" w:space="0" w:color="auto"/>
                                                            <w:right w:val="none" w:sz="0" w:space="0" w:color="auto"/>
                                                          </w:divBdr>
                                                          <w:divsChild>
                                                            <w:div w:id="185825245">
                                                              <w:marLeft w:val="0"/>
                                                              <w:marRight w:val="0"/>
                                                              <w:marTop w:val="0"/>
                                                              <w:marBottom w:val="0"/>
                                                              <w:divBdr>
                                                                <w:top w:val="none" w:sz="0" w:space="0" w:color="auto"/>
                                                                <w:left w:val="none" w:sz="0" w:space="0" w:color="auto"/>
                                                                <w:bottom w:val="none" w:sz="0" w:space="0" w:color="auto"/>
                                                                <w:right w:val="none" w:sz="0" w:space="0" w:color="auto"/>
                                                              </w:divBdr>
                                                              <w:divsChild>
                                                                <w:div w:id="956134362">
                                                                  <w:marLeft w:val="0"/>
                                                                  <w:marRight w:val="0"/>
                                                                  <w:marTop w:val="0"/>
                                                                  <w:marBottom w:val="0"/>
                                                                  <w:divBdr>
                                                                    <w:top w:val="none" w:sz="0" w:space="0" w:color="auto"/>
                                                                    <w:left w:val="none" w:sz="0" w:space="0" w:color="auto"/>
                                                                    <w:bottom w:val="none" w:sz="0" w:space="0" w:color="auto"/>
                                                                    <w:right w:val="none" w:sz="0" w:space="0" w:color="auto"/>
                                                                  </w:divBdr>
                                                                  <w:divsChild>
                                                                    <w:div w:id="1156338058">
                                                                      <w:marLeft w:val="0"/>
                                                                      <w:marRight w:val="0"/>
                                                                      <w:marTop w:val="0"/>
                                                                      <w:marBottom w:val="0"/>
                                                                      <w:divBdr>
                                                                        <w:top w:val="none" w:sz="0" w:space="0" w:color="auto"/>
                                                                        <w:left w:val="none" w:sz="0" w:space="0" w:color="auto"/>
                                                                        <w:bottom w:val="none" w:sz="0" w:space="0" w:color="auto"/>
                                                                        <w:right w:val="none" w:sz="0" w:space="0" w:color="auto"/>
                                                                      </w:divBdr>
                                                                      <w:divsChild>
                                                                        <w:div w:id="111621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6153938">
      <w:bodyDiv w:val="1"/>
      <w:marLeft w:val="0"/>
      <w:marRight w:val="0"/>
      <w:marTop w:val="0"/>
      <w:marBottom w:val="0"/>
      <w:divBdr>
        <w:top w:val="none" w:sz="0" w:space="0" w:color="auto"/>
        <w:left w:val="none" w:sz="0" w:space="0" w:color="auto"/>
        <w:bottom w:val="none" w:sz="0" w:space="0" w:color="auto"/>
        <w:right w:val="none" w:sz="0" w:space="0" w:color="auto"/>
      </w:divBdr>
    </w:div>
    <w:div w:id="948701520">
      <w:bodyDiv w:val="1"/>
      <w:marLeft w:val="0"/>
      <w:marRight w:val="0"/>
      <w:marTop w:val="0"/>
      <w:marBottom w:val="0"/>
      <w:divBdr>
        <w:top w:val="none" w:sz="0" w:space="0" w:color="auto"/>
        <w:left w:val="none" w:sz="0" w:space="0" w:color="auto"/>
        <w:bottom w:val="none" w:sz="0" w:space="0" w:color="auto"/>
        <w:right w:val="none" w:sz="0" w:space="0" w:color="auto"/>
      </w:divBdr>
      <w:divsChild>
        <w:div w:id="1996103829">
          <w:marLeft w:val="0"/>
          <w:marRight w:val="0"/>
          <w:marTop w:val="0"/>
          <w:marBottom w:val="0"/>
          <w:divBdr>
            <w:top w:val="none" w:sz="0" w:space="0" w:color="auto"/>
            <w:left w:val="none" w:sz="0" w:space="0" w:color="auto"/>
            <w:bottom w:val="none" w:sz="0" w:space="0" w:color="auto"/>
            <w:right w:val="none" w:sz="0" w:space="0" w:color="auto"/>
          </w:divBdr>
          <w:divsChild>
            <w:div w:id="1428039319">
              <w:marLeft w:val="439"/>
              <w:marRight w:val="0"/>
              <w:marTop w:val="0"/>
              <w:marBottom w:val="0"/>
              <w:divBdr>
                <w:top w:val="none" w:sz="0" w:space="0" w:color="auto"/>
                <w:left w:val="none" w:sz="0" w:space="0" w:color="auto"/>
                <w:bottom w:val="none" w:sz="0" w:space="0" w:color="auto"/>
                <w:right w:val="none" w:sz="0" w:space="0" w:color="auto"/>
              </w:divBdr>
              <w:divsChild>
                <w:div w:id="1805851519">
                  <w:marLeft w:val="0"/>
                  <w:marRight w:val="0"/>
                  <w:marTop w:val="0"/>
                  <w:marBottom w:val="0"/>
                  <w:divBdr>
                    <w:top w:val="none" w:sz="0" w:space="0" w:color="auto"/>
                    <w:left w:val="none" w:sz="0" w:space="0" w:color="auto"/>
                    <w:bottom w:val="none" w:sz="0" w:space="0" w:color="auto"/>
                    <w:right w:val="none" w:sz="0" w:space="0" w:color="auto"/>
                  </w:divBdr>
                  <w:divsChild>
                    <w:div w:id="335694906">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74376">
          <w:marLeft w:val="0"/>
          <w:marRight w:val="0"/>
          <w:marTop w:val="0"/>
          <w:marBottom w:val="0"/>
          <w:divBdr>
            <w:top w:val="none" w:sz="0" w:space="0" w:color="auto"/>
            <w:left w:val="none" w:sz="0" w:space="0" w:color="auto"/>
            <w:bottom w:val="none" w:sz="0" w:space="0" w:color="auto"/>
            <w:right w:val="none" w:sz="0" w:space="0" w:color="auto"/>
          </w:divBdr>
        </w:div>
      </w:divsChild>
    </w:div>
    <w:div w:id="949509791">
      <w:bodyDiv w:val="1"/>
      <w:marLeft w:val="0"/>
      <w:marRight w:val="0"/>
      <w:marTop w:val="0"/>
      <w:marBottom w:val="0"/>
      <w:divBdr>
        <w:top w:val="none" w:sz="0" w:space="0" w:color="auto"/>
        <w:left w:val="none" w:sz="0" w:space="0" w:color="auto"/>
        <w:bottom w:val="none" w:sz="0" w:space="0" w:color="auto"/>
        <w:right w:val="none" w:sz="0" w:space="0" w:color="auto"/>
      </w:divBdr>
    </w:div>
    <w:div w:id="969477919">
      <w:bodyDiv w:val="1"/>
      <w:marLeft w:val="0"/>
      <w:marRight w:val="0"/>
      <w:marTop w:val="0"/>
      <w:marBottom w:val="0"/>
      <w:divBdr>
        <w:top w:val="none" w:sz="0" w:space="0" w:color="auto"/>
        <w:left w:val="none" w:sz="0" w:space="0" w:color="auto"/>
        <w:bottom w:val="none" w:sz="0" w:space="0" w:color="auto"/>
        <w:right w:val="none" w:sz="0" w:space="0" w:color="auto"/>
      </w:divBdr>
    </w:div>
    <w:div w:id="97144280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81040604">
      <w:bodyDiv w:val="1"/>
      <w:marLeft w:val="0"/>
      <w:marRight w:val="0"/>
      <w:marTop w:val="0"/>
      <w:marBottom w:val="0"/>
      <w:divBdr>
        <w:top w:val="none" w:sz="0" w:space="0" w:color="auto"/>
        <w:left w:val="none" w:sz="0" w:space="0" w:color="auto"/>
        <w:bottom w:val="none" w:sz="0" w:space="0" w:color="auto"/>
        <w:right w:val="none" w:sz="0" w:space="0" w:color="auto"/>
      </w:divBdr>
      <w:divsChild>
        <w:div w:id="229006177">
          <w:marLeft w:val="0"/>
          <w:marRight w:val="0"/>
          <w:marTop w:val="0"/>
          <w:marBottom w:val="0"/>
          <w:divBdr>
            <w:top w:val="none" w:sz="0" w:space="0" w:color="auto"/>
            <w:left w:val="none" w:sz="0" w:space="0" w:color="auto"/>
            <w:bottom w:val="none" w:sz="0" w:space="0" w:color="auto"/>
            <w:right w:val="none" w:sz="0" w:space="0" w:color="auto"/>
          </w:divBdr>
          <w:divsChild>
            <w:div w:id="2044404105">
              <w:marLeft w:val="0"/>
              <w:marRight w:val="0"/>
              <w:marTop w:val="0"/>
              <w:marBottom w:val="0"/>
              <w:divBdr>
                <w:top w:val="none" w:sz="0" w:space="0" w:color="auto"/>
                <w:left w:val="none" w:sz="0" w:space="0" w:color="auto"/>
                <w:bottom w:val="none" w:sz="0" w:space="0" w:color="auto"/>
                <w:right w:val="none" w:sz="0" w:space="0" w:color="auto"/>
              </w:divBdr>
              <w:divsChild>
                <w:div w:id="1021662187">
                  <w:marLeft w:val="0"/>
                  <w:marRight w:val="0"/>
                  <w:marTop w:val="0"/>
                  <w:marBottom w:val="0"/>
                  <w:divBdr>
                    <w:top w:val="none" w:sz="0" w:space="0" w:color="auto"/>
                    <w:left w:val="none" w:sz="0" w:space="0" w:color="auto"/>
                    <w:bottom w:val="none" w:sz="0" w:space="0" w:color="auto"/>
                    <w:right w:val="none" w:sz="0" w:space="0" w:color="auto"/>
                  </w:divBdr>
                  <w:divsChild>
                    <w:div w:id="367532819">
                      <w:marLeft w:val="0"/>
                      <w:marRight w:val="0"/>
                      <w:marTop w:val="0"/>
                      <w:marBottom w:val="0"/>
                      <w:divBdr>
                        <w:top w:val="none" w:sz="0" w:space="0" w:color="auto"/>
                        <w:left w:val="none" w:sz="0" w:space="0" w:color="auto"/>
                        <w:bottom w:val="none" w:sz="0" w:space="0" w:color="auto"/>
                        <w:right w:val="none" w:sz="0" w:space="0" w:color="auto"/>
                      </w:divBdr>
                      <w:divsChild>
                        <w:div w:id="852377802">
                          <w:marLeft w:val="0"/>
                          <w:marRight w:val="0"/>
                          <w:marTop w:val="0"/>
                          <w:marBottom w:val="0"/>
                          <w:divBdr>
                            <w:top w:val="none" w:sz="0" w:space="0" w:color="auto"/>
                            <w:left w:val="none" w:sz="0" w:space="0" w:color="auto"/>
                            <w:bottom w:val="none" w:sz="0" w:space="0" w:color="auto"/>
                            <w:right w:val="none" w:sz="0" w:space="0" w:color="auto"/>
                          </w:divBdr>
                          <w:divsChild>
                            <w:div w:id="1773477311">
                              <w:marLeft w:val="0"/>
                              <w:marRight w:val="0"/>
                              <w:marTop w:val="0"/>
                              <w:marBottom w:val="0"/>
                              <w:divBdr>
                                <w:top w:val="none" w:sz="0" w:space="0" w:color="auto"/>
                                <w:left w:val="none" w:sz="0" w:space="0" w:color="auto"/>
                                <w:bottom w:val="none" w:sz="0" w:space="0" w:color="auto"/>
                                <w:right w:val="none" w:sz="0" w:space="0" w:color="auto"/>
                              </w:divBdr>
                              <w:divsChild>
                                <w:div w:id="66391737">
                                  <w:marLeft w:val="0"/>
                                  <w:marRight w:val="0"/>
                                  <w:marTop w:val="0"/>
                                  <w:marBottom w:val="0"/>
                                  <w:divBdr>
                                    <w:top w:val="none" w:sz="0" w:space="0" w:color="auto"/>
                                    <w:left w:val="none" w:sz="0" w:space="0" w:color="auto"/>
                                    <w:bottom w:val="none" w:sz="0" w:space="0" w:color="auto"/>
                                    <w:right w:val="none" w:sz="0" w:space="0" w:color="auto"/>
                                  </w:divBdr>
                                  <w:divsChild>
                                    <w:div w:id="185755872">
                                      <w:marLeft w:val="0"/>
                                      <w:marRight w:val="0"/>
                                      <w:marTop w:val="0"/>
                                      <w:marBottom w:val="0"/>
                                      <w:divBdr>
                                        <w:top w:val="none" w:sz="0" w:space="0" w:color="auto"/>
                                        <w:left w:val="none" w:sz="0" w:space="0" w:color="auto"/>
                                        <w:bottom w:val="none" w:sz="0" w:space="0" w:color="auto"/>
                                        <w:right w:val="none" w:sz="0" w:space="0" w:color="auto"/>
                                      </w:divBdr>
                                      <w:divsChild>
                                        <w:div w:id="59257977">
                                          <w:marLeft w:val="0"/>
                                          <w:marRight w:val="0"/>
                                          <w:marTop w:val="0"/>
                                          <w:marBottom w:val="0"/>
                                          <w:divBdr>
                                            <w:top w:val="none" w:sz="0" w:space="0" w:color="auto"/>
                                            <w:left w:val="none" w:sz="0" w:space="0" w:color="auto"/>
                                            <w:bottom w:val="none" w:sz="0" w:space="0" w:color="auto"/>
                                            <w:right w:val="none" w:sz="0" w:space="0" w:color="auto"/>
                                          </w:divBdr>
                                          <w:divsChild>
                                            <w:div w:id="1318001813">
                                              <w:marLeft w:val="0"/>
                                              <w:marRight w:val="0"/>
                                              <w:marTop w:val="0"/>
                                              <w:marBottom w:val="0"/>
                                              <w:divBdr>
                                                <w:top w:val="none" w:sz="0" w:space="0" w:color="auto"/>
                                                <w:left w:val="none" w:sz="0" w:space="0" w:color="auto"/>
                                                <w:bottom w:val="none" w:sz="0" w:space="0" w:color="auto"/>
                                                <w:right w:val="none" w:sz="0" w:space="0" w:color="auto"/>
                                              </w:divBdr>
                                              <w:divsChild>
                                                <w:div w:id="1740398067">
                                                  <w:marLeft w:val="0"/>
                                                  <w:marRight w:val="0"/>
                                                  <w:marTop w:val="0"/>
                                                  <w:marBottom w:val="0"/>
                                                  <w:divBdr>
                                                    <w:top w:val="none" w:sz="0" w:space="0" w:color="auto"/>
                                                    <w:left w:val="none" w:sz="0" w:space="0" w:color="auto"/>
                                                    <w:bottom w:val="none" w:sz="0" w:space="0" w:color="auto"/>
                                                    <w:right w:val="none" w:sz="0" w:space="0" w:color="auto"/>
                                                  </w:divBdr>
                                                  <w:divsChild>
                                                    <w:div w:id="17245346">
                                                      <w:marLeft w:val="0"/>
                                                      <w:marRight w:val="0"/>
                                                      <w:marTop w:val="0"/>
                                                      <w:marBottom w:val="0"/>
                                                      <w:divBdr>
                                                        <w:top w:val="none" w:sz="0" w:space="0" w:color="auto"/>
                                                        <w:left w:val="none" w:sz="0" w:space="0" w:color="auto"/>
                                                        <w:bottom w:val="none" w:sz="0" w:space="0" w:color="auto"/>
                                                        <w:right w:val="none" w:sz="0" w:space="0" w:color="auto"/>
                                                      </w:divBdr>
                                                      <w:divsChild>
                                                        <w:div w:id="287929312">
                                                          <w:marLeft w:val="0"/>
                                                          <w:marRight w:val="0"/>
                                                          <w:marTop w:val="0"/>
                                                          <w:marBottom w:val="0"/>
                                                          <w:divBdr>
                                                            <w:top w:val="none" w:sz="0" w:space="0" w:color="auto"/>
                                                            <w:left w:val="none" w:sz="0" w:space="0" w:color="auto"/>
                                                            <w:bottom w:val="none" w:sz="0" w:space="0" w:color="auto"/>
                                                            <w:right w:val="none" w:sz="0" w:space="0" w:color="auto"/>
                                                          </w:divBdr>
                                                          <w:divsChild>
                                                            <w:div w:id="10450202">
                                                              <w:marLeft w:val="0"/>
                                                              <w:marRight w:val="0"/>
                                                              <w:marTop w:val="0"/>
                                                              <w:marBottom w:val="0"/>
                                                              <w:divBdr>
                                                                <w:top w:val="none" w:sz="0" w:space="0" w:color="auto"/>
                                                                <w:left w:val="none" w:sz="0" w:space="0" w:color="auto"/>
                                                                <w:bottom w:val="none" w:sz="0" w:space="0" w:color="auto"/>
                                                                <w:right w:val="none" w:sz="0" w:space="0" w:color="auto"/>
                                                              </w:divBdr>
                                                              <w:divsChild>
                                                                <w:div w:id="562956562">
                                                                  <w:marLeft w:val="0"/>
                                                                  <w:marRight w:val="0"/>
                                                                  <w:marTop w:val="0"/>
                                                                  <w:marBottom w:val="0"/>
                                                                  <w:divBdr>
                                                                    <w:top w:val="none" w:sz="0" w:space="0" w:color="auto"/>
                                                                    <w:left w:val="none" w:sz="0" w:space="0" w:color="auto"/>
                                                                    <w:bottom w:val="none" w:sz="0" w:space="0" w:color="auto"/>
                                                                    <w:right w:val="none" w:sz="0" w:space="0" w:color="auto"/>
                                                                  </w:divBdr>
                                                                  <w:divsChild>
                                                                    <w:div w:id="675232663">
                                                                      <w:marLeft w:val="0"/>
                                                                      <w:marRight w:val="0"/>
                                                                      <w:marTop w:val="0"/>
                                                                      <w:marBottom w:val="0"/>
                                                                      <w:divBdr>
                                                                        <w:top w:val="none" w:sz="0" w:space="0" w:color="auto"/>
                                                                        <w:left w:val="none" w:sz="0" w:space="0" w:color="auto"/>
                                                                        <w:bottom w:val="none" w:sz="0" w:space="0" w:color="auto"/>
                                                                        <w:right w:val="none" w:sz="0" w:space="0" w:color="auto"/>
                                                                      </w:divBdr>
                                                                      <w:divsChild>
                                                                        <w:div w:id="1433086343">
                                                                          <w:marLeft w:val="0"/>
                                                                          <w:marRight w:val="0"/>
                                                                          <w:marTop w:val="0"/>
                                                                          <w:marBottom w:val="0"/>
                                                                          <w:divBdr>
                                                                            <w:top w:val="none" w:sz="0" w:space="0" w:color="auto"/>
                                                                            <w:left w:val="none" w:sz="0" w:space="0" w:color="auto"/>
                                                                            <w:bottom w:val="none" w:sz="0" w:space="0" w:color="auto"/>
                                                                            <w:right w:val="none" w:sz="0" w:space="0" w:color="auto"/>
                                                                          </w:divBdr>
                                                                          <w:divsChild>
                                                                            <w:div w:id="16469657">
                                                                              <w:marLeft w:val="0"/>
                                                                              <w:marRight w:val="0"/>
                                                                              <w:marTop w:val="0"/>
                                                                              <w:marBottom w:val="0"/>
                                                                              <w:divBdr>
                                                                                <w:top w:val="none" w:sz="0" w:space="0" w:color="auto"/>
                                                                                <w:left w:val="none" w:sz="0" w:space="0" w:color="auto"/>
                                                                                <w:bottom w:val="none" w:sz="0" w:space="0" w:color="auto"/>
                                                                                <w:right w:val="none" w:sz="0" w:space="0" w:color="auto"/>
                                                                              </w:divBdr>
                                                                              <w:divsChild>
                                                                                <w:div w:id="973104278">
                                                                                  <w:marLeft w:val="0"/>
                                                                                  <w:marRight w:val="0"/>
                                                                                  <w:marTop w:val="0"/>
                                                                                  <w:marBottom w:val="0"/>
                                                                                  <w:divBdr>
                                                                                    <w:top w:val="none" w:sz="0" w:space="0" w:color="auto"/>
                                                                                    <w:left w:val="none" w:sz="0" w:space="0" w:color="auto"/>
                                                                                    <w:bottom w:val="none" w:sz="0" w:space="0" w:color="auto"/>
                                                                                    <w:right w:val="none" w:sz="0" w:space="0" w:color="auto"/>
                                                                                  </w:divBdr>
                                                                                  <w:divsChild>
                                                                                    <w:div w:id="8116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825944">
      <w:bodyDiv w:val="1"/>
      <w:marLeft w:val="0"/>
      <w:marRight w:val="0"/>
      <w:marTop w:val="0"/>
      <w:marBottom w:val="0"/>
      <w:divBdr>
        <w:top w:val="none" w:sz="0" w:space="0" w:color="auto"/>
        <w:left w:val="none" w:sz="0" w:space="0" w:color="auto"/>
        <w:bottom w:val="none" w:sz="0" w:space="0" w:color="auto"/>
        <w:right w:val="none" w:sz="0" w:space="0" w:color="auto"/>
      </w:divBdr>
    </w:div>
    <w:div w:id="999309559">
      <w:bodyDiv w:val="1"/>
      <w:marLeft w:val="0"/>
      <w:marRight w:val="0"/>
      <w:marTop w:val="0"/>
      <w:marBottom w:val="0"/>
      <w:divBdr>
        <w:top w:val="none" w:sz="0" w:space="0" w:color="auto"/>
        <w:left w:val="none" w:sz="0" w:space="0" w:color="auto"/>
        <w:bottom w:val="none" w:sz="0" w:space="0" w:color="auto"/>
        <w:right w:val="none" w:sz="0" w:space="0" w:color="auto"/>
      </w:divBdr>
    </w:div>
    <w:div w:id="1005743895">
      <w:bodyDiv w:val="1"/>
      <w:marLeft w:val="0"/>
      <w:marRight w:val="0"/>
      <w:marTop w:val="0"/>
      <w:marBottom w:val="0"/>
      <w:divBdr>
        <w:top w:val="none" w:sz="0" w:space="0" w:color="auto"/>
        <w:left w:val="none" w:sz="0" w:space="0" w:color="auto"/>
        <w:bottom w:val="none" w:sz="0" w:space="0" w:color="auto"/>
        <w:right w:val="none" w:sz="0" w:space="0" w:color="auto"/>
      </w:divBdr>
      <w:divsChild>
        <w:div w:id="1634287573">
          <w:marLeft w:val="0"/>
          <w:marRight w:val="0"/>
          <w:marTop w:val="0"/>
          <w:marBottom w:val="0"/>
          <w:divBdr>
            <w:top w:val="none" w:sz="0" w:space="0" w:color="auto"/>
            <w:left w:val="none" w:sz="0" w:space="0" w:color="auto"/>
            <w:bottom w:val="none" w:sz="0" w:space="0" w:color="auto"/>
            <w:right w:val="none" w:sz="0" w:space="0" w:color="auto"/>
          </w:divBdr>
          <w:divsChild>
            <w:div w:id="1293706930">
              <w:marLeft w:val="439"/>
              <w:marRight w:val="0"/>
              <w:marTop w:val="0"/>
              <w:marBottom w:val="0"/>
              <w:divBdr>
                <w:top w:val="none" w:sz="0" w:space="0" w:color="auto"/>
                <w:left w:val="none" w:sz="0" w:space="0" w:color="auto"/>
                <w:bottom w:val="none" w:sz="0" w:space="0" w:color="auto"/>
                <w:right w:val="none" w:sz="0" w:space="0" w:color="auto"/>
              </w:divBdr>
              <w:divsChild>
                <w:div w:id="1772621990">
                  <w:marLeft w:val="0"/>
                  <w:marRight w:val="0"/>
                  <w:marTop w:val="0"/>
                  <w:marBottom w:val="0"/>
                  <w:divBdr>
                    <w:top w:val="none" w:sz="0" w:space="0" w:color="auto"/>
                    <w:left w:val="none" w:sz="0" w:space="0" w:color="auto"/>
                    <w:bottom w:val="none" w:sz="0" w:space="0" w:color="auto"/>
                    <w:right w:val="none" w:sz="0" w:space="0" w:color="auto"/>
                  </w:divBdr>
                  <w:divsChild>
                    <w:div w:id="1836218065">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6936">
          <w:marLeft w:val="0"/>
          <w:marRight w:val="0"/>
          <w:marTop w:val="0"/>
          <w:marBottom w:val="0"/>
          <w:divBdr>
            <w:top w:val="none" w:sz="0" w:space="0" w:color="auto"/>
            <w:left w:val="none" w:sz="0" w:space="0" w:color="auto"/>
            <w:bottom w:val="none" w:sz="0" w:space="0" w:color="auto"/>
            <w:right w:val="none" w:sz="0" w:space="0" w:color="auto"/>
          </w:divBdr>
        </w:div>
      </w:divsChild>
    </w:div>
    <w:div w:id="1006051722">
      <w:bodyDiv w:val="1"/>
      <w:marLeft w:val="0"/>
      <w:marRight w:val="0"/>
      <w:marTop w:val="0"/>
      <w:marBottom w:val="0"/>
      <w:divBdr>
        <w:top w:val="none" w:sz="0" w:space="0" w:color="auto"/>
        <w:left w:val="none" w:sz="0" w:space="0" w:color="auto"/>
        <w:bottom w:val="none" w:sz="0" w:space="0" w:color="auto"/>
        <w:right w:val="none" w:sz="0" w:space="0" w:color="auto"/>
      </w:divBdr>
    </w:div>
    <w:div w:id="1009452303">
      <w:bodyDiv w:val="1"/>
      <w:marLeft w:val="0"/>
      <w:marRight w:val="0"/>
      <w:marTop w:val="0"/>
      <w:marBottom w:val="0"/>
      <w:divBdr>
        <w:top w:val="none" w:sz="0" w:space="0" w:color="auto"/>
        <w:left w:val="none" w:sz="0" w:space="0" w:color="auto"/>
        <w:bottom w:val="none" w:sz="0" w:space="0" w:color="auto"/>
        <w:right w:val="none" w:sz="0" w:space="0" w:color="auto"/>
      </w:divBdr>
    </w:div>
    <w:div w:id="101518376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6293862">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4401261">
      <w:bodyDiv w:val="1"/>
      <w:marLeft w:val="0"/>
      <w:marRight w:val="0"/>
      <w:marTop w:val="0"/>
      <w:marBottom w:val="0"/>
      <w:divBdr>
        <w:top w:val="none" w:sz="0" w:space="0" w:color="auto"/>
        <w:left w:val="none" w:sz="0" w:space="0" w:color="auto"/>
        <w:bottom w:val="none" w:sz="0" w:space="0" w:color="auto"/>
        <w:right w:val="none" w:sz="0" w:space="0" w:color="auto"/>
      </w:divBdr>
      <w:divsChild>
        <w:div w:id="685250599">
          <w:marLeft w:val="0"/>
          <w:marRight w:val="0"/>
          <w:marTop w:val="0"/>
          <w:marBottom w:val="0"/>
          <w:divBdr>
            <w:top w:val="none" w:sz="0" w:space="0" w:color="auto"/>
            <w:left w:val="none" w:sz="0" w:space="0" w:color="auto"/>
            <w:bottom w:val="none" w:sz="0" w:space="0" w:color="auto"/>
            <w:right w:val="none" w:sz="0" w:space="0" w:color="auto"/>
          </w:divBdr>
          <w:divsChild>
            <w:div w:id="1208031922">
              <w:marLeft w:val="439"/>
              <w:marRight w:val="0"/>
              <w:marTop w:val="0"/>
              <w:marBottom w:val="0"/>
              <w:divBdr>
                <w:top w:val="none" w:sz="0" w:space="0" w:color="auto"/>
                <w:left w:val="none" w:sz="0" w:space="0" w:color="auto"/>
                <w:bottom w:val="none" w:sz="0" w:space="0" w:color="auto"/>
                <w:right w:val="none" w:sz="0" w:space="0" w:color="auto"/>
              </w:divBdr>
              <w:divsChild>
                <w:div w:id="821504385">
                  <w:marLeft w:val="0"/>
                  <w:marRight w:val="0"/>
                  <w:marTop w:val="0"/>
                  <w:marBottom w:val="0"/>
                  <w:divBdr>
                    <w:top w:val="none" w:sz="0" w:space="0" w:color="auto"/>
                    <w:left w:val="none" w:sz="0" w:space="0" w:color="auto"/>
                    <w:bottom w:val="none" w:sz="0" w:space="0" w:color="auto"/>
                    <w:right w:val="none" w:sz="0" w:space="0" w:color="auto"/>
                  </w:divBdr>
                  <w:divsChild>
                    <w:div w:id="191530994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50677">
          <w:marLeft w:val="0"/>
          <w:marRight w:val="0"/>
          <w:marTop w:val="0"/>
          <w:marBottom w:val="0"/>
          <w:divBdr>
            <w:top w:val="none" w:sz="0" w:space="0" w:color="auto"/>
            <w:left w:val="none" w:sz="0" w:space="0" w:color="auto"/>
            <w:bottom w:val="none" w:sz="0" w:space="0" w:color="auto"/>
            <w:right w:val="none" w:sz="0" w:space="0" w:color="auto"/>
          </w:divBdr>
        </w:div>
      </w:divsChild>
    </w:div>
    <w:div w:id="1046611884">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59746619">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68848747">
      <w:bodyDiv w:val="1"/>
      <w:marLeft w:val="0"/>
      <w:marRight w:val="0"/>
      <w:marTop w:val="0"/>
      <w:marBottom w:val="0"/>
      <w:divBdr>
        <w:top w:val="none" w:sz="0" w:space="0" w:color="auto"/>
        <w:left w:val="none" w:sz="0" w:space="0" w:color="auto"/>
        <w:bottom w:val="none" w:sz="0" w:space="0" w:color="auto"/>
        <w:right w:val="none" w:sz="0" w:space="0" w:color="auto"/>
      </w:divBdr>
    </w:div>
    <w:div w:id="1098410021">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7578114">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49439917">
      <w:bodyDiv w:val="1"/>
      <w:marLeft w:val="0"/>
      <w:marRight w:val="0"/>
      <w:marTop w:val="0"/>
      <w:marBottom w:val="0"/>
      <w:divBdr>
        <w:top w:val="none" w:sz="0" w:space="0" w:color="auto"/>
        <w:left w:val="none" w:sz="0" w:space="0" w:color="auto"/>
        <w:bottom w:val="none" w:sz="0" w:space="0" w:color="auto"/>
        <w:right w:val="none" w:sz="0" w:space="0" w:color="auto"/>
      </w:divBdr>
    </w:div>
    <w:div w:id="1152259635">
      <w:bodyDiv w:val="1"/>
      <w:marLeft w:val="0"/>
      <w:marRight w:val="0"/>
      <w:marTop w:val="0"/>
      <w:marBottom w:val="0"/>
      <w:divBdr>
        <w:top w:val="none" w:sz="0" w:space="0" w:color="auto"/>
        <w:left w:val="none" w:sz="0" w:space="0" w:color="auto"/>
        <w:bottom w:val="none" w:sz="0" w:space="0" w:color="auto"/>
        <w:right w:val="none" w:sz="0" w:space="0" w:color="auto"/>
      </w:divBdr>
    </w:div>
    <w:div w:id="1159031042">
      <w:bodyDiv w:val="1"/>
      <w:marLeft w:val="0"/>
      <w:marRight w:val="0"/>
      <w:marTop w:val="0"/>
      <w:marBottom w:val="0"/>
      <w:divBdr>
        <w:top w:val="none" w:sz="0" w:space="0" w:color="auto"/>
        <w:left w:val="none" w:sz="0" w:space="0" w:color="auto"/>
        <w:bottom w:val="none" w:sz="0" w:space="0" w:color="auto"/>
        <w:right w:val="none" w:sz="0" w:space="0" w:color="auto"/>
      </w:divBdr>
      <w:divsChild>
        <w:div w:id="761099194">
          <w:marLeft w:val="0"/>
          <w:marRight w:val="0"/>
          <w:marTop w:val="0"/>
          <w:marBottom w:val="0"/>
          <w:divBdr>
            <w:top w:val="none" w:sz="0" w:space="0" w:color="auto"/>
            <w:left w:val="none" w:sz="0" w:space="0" w:color="auto"/>
            <w:bottom w:val="none" w:sz="0" w:space="0" w:color="auto"/>
            <w:right w:val="none" w:sz="0" w:space="0" w:color="auto"/>
          </w:divBdr>
          <w:divsChild>
            <w:div w:id="1647585454">
              <w:marLeft w:val="0"/>
              <w:marRight w:val="0"/>
              <w:marTop w:val="0"/>
              <w:marBottom w:val="0"/>
              <w:divBdr>
                <w:top w:val="none" w:sz="0" w:space="0" w:color="auto"/>
                <w:left w:val="none" w:sz="0" w:space="0" w:color="auto"/>
                <w:bottom w:val="none" w:sz="0" w:space="0" w:color="auto"/>
                <w:right w:val="none" w:sz="0" w:space="0" w:color="auto"/>
              </w:divBdr>
              <w:divsChild>
                <w:div w:id="1598095416">
                  <w:marLeft w:val="0"/>
                  <w:marRight w:val="0"/>
                  <w:marTop w:val="0"/>
                  <w:marBottom w:val="0"/>
                  <w:divBdr>
                    <w:top w:val="none" w:sz="0" w:space="0" w:color="auto"/>
                    <w:left w:val="none" w:sz="0" w:space="0" w:color="auto"/>
                    <w:bottom w:val="none" w:sz="0" w:space="0" w:color="auto"/>
                    <w:right w:val="none" w:sz="0" w:space="0" w:color="auto"/>
                  </w:divBdr>
                  <w:divsChild>
                    <w:div w:id="1276644298">
                      <w:marLeft w:val="0"/>
                      <w:marRight w:val="0"/>
                      <w:marTop w:val="0"/>
                      <w:marBottom w:val="0"/>
                      <w:divBdr>
                        <w:top w:val="none" w:sz="0" w:space="0" w:color="auto"/>
                        <w:left w:val="none" w:sz="0" w:space="0" w:color="auto"/>
                        <w:bottom w:val="none" w:sz="0" w:space="0" w:color="auto"/>
                        <w:right w:val="none" w:sz="0" w:space="0" w:color="auto"/>
                      </w:divBdr>
                      <w:divsChild>
                        <w:div w:id="949120840">
                          <w:marLeft w:val="0"/>
                          <w:marRight w:val="0"/>
                          <w:marTop w:val="0"/>
                          <w:marBottom w:val="0"/>
                          <w:divBdr>
                            <w:top w:val="none" w:sz="0" w:space="0" w:color="auto"/>
                            <w:left w:val="none" w:sz="0" w:space="0" w:color="auto"/>
                            <w:bottom w:val="none" w:sz="0" w:space="0" w:color="auto"/>
                            <w:right w:val="none" w:sz="0" w:space="0" w:color="auto"/>
                          </w:divBdr>
                          <w:divsChild>
                            <w:div w:id="1893299773">
                              <w:marLeft w:val="0"/>
                              <w:marRight w:val="0"/>
                              <w:marTop w:val="0"/>
                              <w:marBottom w:val="0"/>
                              <w:divBdr>
                                <w:top w:val="none" w:sz="0" w:space="0" w:color="auto"/>
                                <w:left w:val="none" w:sz="0" w:space="0" w:color="auto"/>
                                <w:bottom w:val="none" w:sz="0" w:space="0" w:color="auto"/>
                                <w:right w:val="none" w:sz="0" w:space="0" w:color="auto"/>
                              </w:divBdr>
                              <w:divsChild>
                                <w:div w:id="1370102619">
                                  <w:marLeft w:val="0"/>
                                  <w:marRight w:val="0"/>
                                  <w:marTop w:val="0"/>
                                  <w:marBottom w:val="0"/>
                                  <w:divBdr>
                                    <w:top w:val="none" w:sz="0" w:space="0" w:color="auto"/>
                                    <w:left w:val="none" w:sz="0" w:space="0" w:color="auto"/>
                                    <w:bottom w:val="none" w:sz="0" w:space="0" w:color="auto"/>
                                    <w:right w:val="none" w:sz="0" w:space="0" w:color="auto"/>
                                  </w:divBdr>
                                  <w:divsChild>
                                    <w:div w:id="222564569">
                                      <w:marLeft w:val="0"/>
                                      <w:marRight w:val="0"/>
                                      <w:marTop w:val="0"/>
                                      <w:marBottom w:val="0"/>
                                      <w:divBdr>
                                        <w:top w:val="none" w:sz="0" w:space="0" w:color="auto"/>
                                        <w:left w:val="none" w:sz="0" w:space="0" w:color="auto"/>
                                        <w:bottom w:val="none" w:sz="0" w:space="0" w:color="auto"/>
                                        <w:right w:val="none" w:sz="0" w:space="0" w:color="auto"/>
                                      </w:divBdr>
                                      <w:divsChild>
                                        <w:div w:id="1728406996">
                                          <w:marLeft w:val="0"/>
                                          <w:marRight w:val="0"/>
                                          <w:marTop w:val="165"/>
                                          <w:marBottom w:val="165"/>
                                          <w:divBdr>
                                            <w:top w:val="none" w:sz="0" w:space="0" w:color="auto"/>
                                            <w:left w:val="none" w:sz="0" w:space="0" w:color="auto"/>
                                            <w:bottom w:val="none" w:sz="0" w:space="0" w:color="auto"/>
                                            <w:right w:val="none" w:sz="0" w:space="0" w:color="auto"/>
                                          </w:divBdr>
                                          <w:divsChild>
                                            <w:div w:id="1885478700">
                                              <w:marLeft w:val="0"/>
                                              <w:marRight w:val="0"/>
                                              <w:marTop w:val="0"/>
                                              <w:marBottom w:val="0"/>
                                              <w:divBdr>
                                                <w:top w:val="none" w:sz="0" w:space="0" w:color="auto"/>
                                                <w:left w:val="none" w:sz="0" w:space="0" w:color="auto"/>
                                                <w:bottom w:val="none" w:sz="0" w:space="0" w:color="auto"/>
                                                <w:right w:val="none" w:sz="0" w:space="0" w:color="auto"/>
                                              </w:divBdr>
                                              <w:divsChild>
                                                <w:div w:id="20586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3545984">
      <w:bodyDiv w:val="1"/>
      <w:marLeft w:val="0"/>
      <w:marRight w:val="0"/>
      <w:marTop w:val="0"/>
      <w:marBottom w:val="0"/>
      <w:divBdr>
        <w:top w:val="none" w:sz="0" w:space="0" w:color="auto"/>
        <w:left w:val="none" w:sz="0" w:space="0" w:color="auto"/>
        <w:bottom w:val="none" w:sz="0" w:space="0" w:color="auto"/>
        <w:right w:val="none" w:sz="0" w:space="0" w:color="auto"/>
      </w:divBdr>
      <w:divsChild>
        <w:div w:id="2035840066">
          <w:marLeft w:val="0"/>
          <w:marRight w:val="0"/>
          <w:marTop w:val="150"/>
          <w:marBottom w:val="0"/>
          <w:divBdr>
            <w:top w:val="none" w:sz="0" w:space="0" w:color="auto"/>
            <w:left w:val="none" w:sz="0" w:space="0" w:color="auto"/>
            <w:bottom w:val="none" w:sz="0" w:space="0" w:color="auto"/>
            <w:right w:val="none" w:sz="0" w:space="0" w:color="auto"/>
          </w:divBdr>
          <w:divsChild>
            <w:div w:id="11972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2212">
      <w:bodyDiv w:val="1"/>
      <w:marLeft w:val="0"/>
      <w:marRight w:val="0"/>
      <w:marTop w:val="0"/>
      <w:marBottom w:val="0"/>
      <w:divBdr>
        <w:top w:val="none" w:sz="0" w:space="0" w:color="auto"/>
        <w:left w:val="none" w:sz="0" w:space="0" w:color="auto"/>
        <w:bottom w:val="none" w:sz="0" w:space="0" w:color="auto"/>
        <w:right w:val="none" w:sz="0" w:space="0" w:color="auto"/>
      </w:divBdr>
    </w:div>
    <w:div w:id="1164515905">
      <w:bodyDiv w:val="1"/>
      <w:marLeft w:val="0"/>
      <w:marRight w:val="0"/>
      <w:marTop w:val="0"/>
      <w:marBottom w:val="0"/>
      <w:divBdr>
        <w:top w:val="none" w:sz="0" w:space="0" w:color="auto"/>
        <w:left w:val="none" w:sz="0" w:space="0" w:color="auto"/>
        <w:bottom w:val="none" w:sz="0" w:space="0" w:color="auto"/>
        <w:right w:val="none" w:sz="0" w:space="0" w:color="auto"/>
      </w:divBdr>
    </w:div>
    <w:div w:id="1170099361">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80388169">
      <w:bodyDiv w:val="1"/>
      <w:marLeft w:val="0"/>
      <w:marRight w:val="0"/>
      <w:marTop w:val="0"/>
      <w:marBottom w:val="0"/>
      <w:divBdr>
        <w:top w:val="none" w:sz="0" w:space="0" w:color="auto"/>
        <w:left w:val="none" w:sz="0" w:space="0" w:color="auto"/>
        <w:bottom w:val="none" w:sz="0" w:space="0" w:color="auto"/>
        <w:right w:val="none" w:sz="0" w:space="0" w:color="auto"/>
      </w:divBdr>
    </w:div>
    <w:div w:id="1183395628">
      <w:bodyDiv w:val="1"/>
      <w:marLeft w:val="0"/>
      <w:marRight w:val="0"/>
      <w:marTop w:val="0"/>
      <w:marBottom w:val="0"/>
      <w:divBdr>
        <w:top w:val="none" w:sz="0" w:space="0" w:color="auto"/>
        <w:left w:val="none" w:sz="0" w:space="0" w:color="auto"/>
        <w:bottom w:val="none" w:sz="0" w:space="0" w:color="auto"/>
        <w:right w:val="none" w:sz="0" w:space="0" w:color="auto"/>
      </w:divBdr>
    </w:div>
    <w:div w:id="1189638646">
      <w:bodyDiv w:val="1"/>
      <w:marLeft w:val="0"/>
      <w:marRight w:val="0"/>
      <w:marTop w:val="0"/>
      <w:marBottom w:val="0"/>
      <w:divBdr>
        <w:top w:val="none" w:sz="0" w:space="0" w:color="auto"/>
        <w:left w:val="none" w:sz="0" w:space="0" w:color="auto"/>
        <w:bottom w:val="none" w:sz="0" w:space="0" w:color="auto"/>
        <w:right w:val="none" w:sz="0" w:space="0" w:color="auto"/>
      </w:divBdr>
      <w:divsChild>
        <w:div w:id="483854415">
          <w:marLeft w:val="0"/>
          <w:marRight w:val="0"/>
          <w:marTop w:val="0"/>
          <w:marBottom w:val="0"/>
          <w:divBdr>
            <w:top w:val="none" w:sz="0" w:space="0" w:color="auto"/>
            <w:left w:val="none" w:sz="0" w:space="0" w:color="auto"/>
            <w:bottom w:val="none" w:sz="0" w:space="0" w:color="auto"/>
            <w:right w:val="none" w:sz="0" w:space="0" w:color="auto"/>
          </w:divBdr>
          <w:divsChild>
            <w:div w:id="529492807">
              <w:marLeft w:val="439"/>
              <w:marRight w:val="0"/>
              <w:marTop w:val="0"/>
              <w:marBottom w:val="0"/>
              <w:divBdr>
                <w:top w:val="none" w:sz="0" w:space="0" w:color="auto"/>
                <w:left w:val="none" w:sz="0" w:space="0" w:color="auto"/>
                <w:bottom w:val="none" w:sz="0" w:space="0" w:color="auto"/>
                <w:right w:val="none" w:sz="0" w:space="0" w:color="auto"/>
              </w:divBdr>
              <w:divsChild>
                <w:div w:id="2087721396">
                  <w:marLeft w:val="0"/>
                  <w:marRight w:val="0"/>
                  <w:marTop w:val="0"/>
                  <w:marBottom w:val="0"/>
                  <w:divBdr>
                    <w:top w:val="none" w:sz="0" w:space="0" w:color="auto"/>
                    <w:left w:val="none" w:sz="0" w:space="0" w:color="auto"/>
                    <w:bottom w:val="none" w:sz="0" w:space="0" w:color="auto"/>
                    <w:right w:val="none" w:sz="0" w:space="0" w:color="auto"/>
                  </w:divBdr>
                  <w:divsChild>
                    <w:div w:id="1893075448">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06899">
          <w:marLeft w:val="0"/>
          <w:marRight w:val="0"/>
          <w:marTop w:val="0"/>
          <w:marBottom w:val="0"/>
          <w:divBdr>
            <w:top w:val="none" w:sz="0" w:space="0" w:color="auto"/>
            <w:left w:val="none" w:sz="0" w:space="0" w:color="auto"/>
            <w:bottom w:val="none" w:sz="0" w:space="0" w:color="auto"/>
            <w:right w:val="none" w:sz="0" w:space="0" w:color="auto"/>
          </w:divBdr>
        </w:div>
      </w:divsChild>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648938">
      <w:bodyDiv w:val="1"/>
      <w:marLeft w:val="0"/>
      <w:marRight w:val="0"/>
      <w:marTop w:val="0"/>
      <w:marBottom w:val="0"/>
      <w:divBdr>
        <w:top w:val="none" w:sz="0" w:space="0" w:color="auto"/>
        <w:left w:val="none" w:sz="0" w:space="0" w:color="auto"/>
        <w:bottom w:val="none" w:sz="0" w:space="0" w:color="auto"/>
        <w:right w:val="none" w:sz="0" w:space="0" w:color="auto"/>
      </w:divBdr>
    </w:div>
    <w:div w:id="1213271843">
      <w:bodyDiv w:val="1"/>
      <w:marLeft w:val="0"/>
      <w:marRight w:val="0"/>
      <w:marTop w:val="0"/>
      <w:marBottom w:val="0"/>
      <w:divBdr>
        <w:top w:val="none" w:sz="0" w:space="0" w:color="auto"/>
        <w:left w:val="none" w:sz="0" w:space="0" w:color="auto"/>
        <w:bottom w:val="none" w:sz="0" w:space="0" w:color="auto"/>
        <w:right w:val="none" w:sz="0" w:space="0" w:color="auto"/>
      </w:divBdr>
    </w:div>
    <w:div w:id="1213930989">
      <w:bodyDiv w:val="1"/>
      <w:marLeft w:val="0"/>
      <w:marRight w:val="0"/>
      <w:marTop w:val="0"/>
      <w:marBottom w:val="0"/>
      <w:divBdr>
        <w:top w:val="none" w:sz="0" w:space="0" w:color="auto"/>
        <w:left w:val="none" w:sz="0" w:space="0" w:color="auto"/>
        <w:bottom w:val="none" w:sz="0" w:space="0" w:color="auto"/>
        <w:right w:val="none" w:sz="0" w:space="0" w:color="auto"/>
      </w:divBdr>
    </w:div>
    <w:div w:id="1215459942">
      <w:bodyDiv w:val="1"/>
      <w:marLeft w:val="0"/>
      <w:marRight w:val="0"/>
      <w:marTop w:val="0"/>
      <w:marBottom w:val="0"/>
      <w:divBdr>
        <w:top w:val="none" w:sz="0" w:space="0" w:color="auto"/>
        <w:left w:val="none" w:sz="0" w:space="0" w:color="auto"/>
        <w:bottom w:val="none" w:sz="0" w:space="0" w:color="auto"/>
        <w:right w:val="none" w:sz="0" w:space="0" w:color="auto"/>
      </w:divBdr>
    </w:div>
    <w:div w:id="1223445227">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59942918">
      <w:bodyDiv w:val="1"/>
      <w:marLeft w:val="0"/>
      <w:marRight w:val="0"/>
      <w:marTop w:val="0"/>
      <w:marBottom w:val="0"/>
      <w:divBdr>
        <w:top w:val="none" w:sz="0" w:space="0" w:color="auto"/>
        <w:left w:val="none" w:sz="0" w:space="0" w:color="auto"/>
        <w:bottom w:val="none" w:sz="0" w:space="0" w:color="auto"/>
        <w:right w:val="none" w:sz="0" w:space="0" w:color="auto"/>
      </w:divBdr>
    </w:div>
    <w:div w:id="1264531798">
      <w:bodyDiv w:val="1"/>
      <w:marLeft w:val="0"/>
      <w:marRight w:val="0"/>
      <w:marTop w:val="0"/>
      <w:marBottom w:val="0"/>
      <w:divBdr>
        <w:top w:val="none" w:sz="0" w:space="0" w:color="auto"/>
        <w:left w:val="none" w:sz="0" w:space="0" w:color="auto"/>
        <w:bottom w:val="none" w:sz="0" w:space="0" w:color="auto"/>
        <w:right w:val="none" w:sz="0" w:space="0" w:color="auto"/>
      </w:divBdr>
    </w:div>
    <w:div w:id="1266425729">
      <w:bodyDiv w:val="1"/>
      <w:marLeft w:val="0"/>
      <w:marRight w:val="0"/>
      <w:marTop w:val="0"/>
      <w:marBottom w:val="0"/>
      <w:divBdr>
        <w:top w:val="none" w:sz="0" w:space="0" w:color="auto"/>
        <w:left w:val="none" w:sz="0" w:space="0" w:color="auto"/>
        <w:bottom w:val="none" w:sz="0" w:space="0" w:color="auto"/>
        <w:right w:val="none" w:sz="0" w:space="0" w:color="auto"/>
      </w:divBdr>
      <w:divsChild>
        <w:div w:id="580145715">
          <w:marLeft w:val="360"/>
          <w:marRight w:val="0"/>
          <w:marTop w:val="120"/>
          <w:marBottom w:val="0"/>
          <w:divBdr>
            <w:top w:val="none" w:sz="0" w:space="0" w:color="auto"/>
            <w:left w:val="none" w:sz="0" w:space="0" w:color="auto"/>
            <w:bottom w:val="none" w:sz="0" w:space="0" w:color="auto"/>
            <w:right w:val="none" w:sz="0" w:space="0" w:color="auto"/>
          </w:divBdr>
        </w:div>
        <w:div w:id="1685933252">
          <w:marLeft w:val="360"/>
          <w:marRight w:val="0"/>
          <w:marTop w:val="120"/>
          <w:marBottom w:val="0"/>
          <w:divBdr>
            <w:top w:val="none" w:sz="0" w:space="0" w:color="auto"/>
            <w:left w:val="none" w:sz="0" w:space="0" w:color="auto"/>
            <w:bottom w:val="none" w:sz="0" w:space="0" w:color="auto"/>
            <w:right w:val="none" w:sz="0" w:space="0" w:color="auto"/>
          </w:divBdr>
        </w:div>
        <w:div w:id="1369528311">
          <w:marLeft w:val="360"/>
          <w:marRight w:val="0"/>
          <w:marTop w:val="120"/>
          <w:marBottom w:val="0"/>
          <w:divBdr>
            <w:top w:val="none" w:sz="0" w:space="0" w:color="auto"/>
            <w:left w:val="none" w:sz="0" w:space="0" w:color="auto"/>
            <w:bottom w:val="none" w:sz="0" w:space="0" w:color="auto"/>
            <w:right w:val="none" w:sz="0" w:space="0" w:color="auto"/>
          </w:divBdr>
        </w:div>
        <w:div w:id="1403598178">
          <w:marLeft w:val="360"/>
          <w:marRight w:val="0"/>
          <w:marTop w:val="120"/>
          <w:marBottom w:val="0"/>
          <w:divBdr>
            <w:top w:val="none" w:sz="0" w:space="0" w:color="auto"/>
            <w:left w:val="none" w:sz="0" w:space="0" w:color="auto"/>
            <w:bottom w:val="none" w:sz="0" w:space="0" w:color="auto"/>
            <w:right w:val="none" w:sz="0" w:space="0" w:color="auto"/>
          </w:divBdr>
        </w:div>
        <w:div w:id="1328746947">
          <w:marLeft w:val="360"/>
          <w:marRight w:val="0"/>
          <w:marTop w:val="120"/>
          <w:marBottom w:val="0"/>
          <w:divBdr>
            <w:top w:val="none" w:sz="0" w:space="0" w:color="auto"/>
            <w:left w:val="none" w:sz="0" w:space="0" w:color="auto"/>
            <w:bottom w:val="none" w:sz="0" w:space="0" w:color="auto"/>
            <w:right w:val="none" w:sz="0" w:space="0" w:color="auto"/>
          </w:divBdr>
        </w:div>
        <w:div w:id="2010518941">
          <w:marLeft w:val="360"/>
          <w:marRight w:val="0"/>
          <w:marTop w:val="120"/>
          <w:marBottom w:val="0"/>
          <w:divBdr>
            <w:top w:val="none" w:sz="0" w:space="0" w:color="auto"/>
            <w:left w:val="none" w:sz="0" w:space="0" w:color="auto"/>
            <w:bottom w:val="none" w:sz="0" w:space="0" w:color="auto"/>
            <w:right w:val="none" w:sz="0" w:space="0" w:color="auto"/>
          </w:divBdr>
        </w:div>
        <w:div w:id="554321031">
          <w:marLeft w:val="360"/>
          <w:marRight w:val="0"/>
          <w:marTop w:val="120"/>
          <w:marBottom w:val="0"/>
          <w:divBdr>
            <w:top w:val="none" w:sz="0" w:space="0" w:color="auto"/>
            <w:left w:val="none" w:sz="0" w:space="0" w:color="auto"/>
            <w:bottom w:val="none" w:sz="0" w:space="0" w:color="auto"/>
            <w:right w:val="none" w:sz="0" w:space="0" w:color="auto"/>
          </w:divBdr>
        </w:div>
        <w:div w:id="65225515">
          <w:marLeft w:val="360"/>
          <w:marRight w:val="0"/>
          <w:marTop w:val="120"/>
          <w:marBottom w:val="0"/>
          <w:divBdr>
            <w:top w:val="none" w:sz="0" w:space="0" w:color="auto"/>
            <w:left w:val="none" w:sz="0" w:space="0" w:color="auto"/>
            <w:bottom w:val="none" w:sz="0" w:space="0" w:color="auto"/>
            <w:right w:val="none" w:sz="0" w:space="0" w:color="auto"/>
          </w:divBdr>
        </w:div>
        <w:div w:id="849836709">
          <w:marLeft w:val="360"/>
          <w:marRight w:val="0"/>
          <w:marTop w:val="120"/>
          <w:marBottom w:val="0"/>
          <w:divBdr>
            <w:top w:val="none" w:sz="0" w:space="0" w:color="auto"/>
            <w:left w:val="none" w:sz="0" w:space="0" w:color="auto"/>
            <w:bottom w:val="none" w:sz="0" w:space="0" w:color="auto"/>
            <w:right w:val="none" w:sz="0" w:space="0" w:color="auto"/>
          </w:divBdr>
        </w:div>
        <w:div w:id="1017579606">
          <w:marLeft w:val="360"/>
          <w:marRight w:val="0"/>
          <w:marTop w:val="120"/>
          <w:marBottom w:val="0"/>
          <w:divBdr>
            <w:top w:val="none" w:sz="0" w:space="0" w:color="auto"/>
            <w:left w:val="none" w:sz="0" w:space="0" w:color="auto"/>
            <w:bottom w:val="none" w:sz="0" w:space="0" w:color="auto"/>
            <w:right w:val="none" w:sz="0" w:space="0" w:color="auto"/>
          </w:divBdr>
        </w:div>
      </w:divsChild>
    </w:div>
    <w:div w:id="1271619911">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3918351">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8705081">
      <w:bodyDiv w:val="1"/>
      <w:marLeft w:val="0"/>
      <w:marRight w:val="0"/>
      <w:marTop w:val="0"/>
      <w:marBottom w:val="0"/>
      <w:divBdr>
        <w:top w:val="none" w:sz="0" w:space="0" w:color="auto"/>
        <w:left w:val="none" w:sz="0" w:space="0" w:color="auto"/>
        <w:bottom w:val="none" w:sz="0" w:space="0" w:color="auto"/>
        <w:right w:val="none" w:sz="0" w:space="0" w:color="auto"/>
      </w:divBdr>
      <w:divsChild>
        <w:div w:id="924262120">
          <w:marLeft w:val="0"/>
          <w:marRight w:val="0"/>
          <w:marTop w:val="0"/>
          <w:marBottom w:val="0"/>
          <w:divBdr>
            <w:top w:val="none" w:sz="0" w:space="0" w:color="auto"/>
            <w:left w:val="none" w:sz="0" w:space="0" w:color="auto"/>
            <w:bottom w:val="none" w:sz="0" w:space="0" w:color="auto"/>
            <w:right w:val="none" w:sz="0" w:space="0" w:color="auto"/>
          </w:divBdr>
          <w:divsChild>
            <w:div w:id="634722374">
              <w:marLeft w:val="0"/>
              <w:marRight w:val="0"/>
              <w:marTop w:val="0"/>
              <w:marBottom w:val="0"/>
              <w:divBdr>
                <w:top w:val="none" w:sz="0" w:space="0" w:color="auto"/>
                <w:left w:val="none" w:sz="0" w:space="0" w:color="auto"/>
                <w:bottom w:val="none" w:sz="0" w:space="0" w:color="auto"/>
                <w:right w:val="none" w:sz="0" w:space="0" w:color="auto"/>
              </w:divBdr>
              <w:divsChild>
                <w:div w:id="1564637147">
                  <w:marLeft w:val="0"/>
                  <w:marRight w:val="0"/>
                  <w:marTop w:val="0"/>
                  <w:marBottom w:val="0"/>
                  <w:divBdr>
                    <w:top w:val="none" w:sz="0" w:space="0" w:color="auto"/>
                    <w:left w:val="none" w:sz="0" w:space="0" w:color="auto"/>
                    <w:bottom w:val="none" w:sz="0" w:space="0" w:color="auto"/>
                    <w:right w:val="none" w:sz="0" w:space="0" w:color="auto"/>
                  </w:divBdr>
                  <w:divsChild>
                    <w:div w:id="503790018">
                      <w:marLeft w:val="0"/>
                      <w:marRight w:val="0"/>
                      <w:marTop w:val="0"/>
                      <w:marBottom w:val="0"/>
                      <w:divBdr>
                        <w:top w:val="none" w:sz="0" w:space="0" w:color="auto"/>
                        <w:left w:val="none" w:sz="0" w:space="0" w:color="auto"/>
                        <w:bottom w:val="none" w:sz="0" w:space="0" w:color="auto"/>
                        <w:right w:val="none" w:sz="0" w:space="0" w:color="auto"/>
                      </w:divBdr>
                      <w:divsChild>
                        <w:div w:id="9934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8995">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7662955">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8144468">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4723853">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7614969">
      <w:bodyDiv w:val="1"/>
      <w:marLeft w:val="0"/>
      <w:marRight w:val="0"/>
      <w:marTop w:val="0"/>
      <w:marBottom w:val="0"/>
      <w:divBdr>
        <w:top w:val="none" w:sz="0" w:space="0" w:color="auto"/>
        <w:left w:val="none" w:sz="0" w:space="0" w:color="auto"/>
        <w:bottom w:val="none" w:sz="0" w:space="0" w:color="auto"/>
        <w:right w:val="none" w:sz="0" w:space="0" w:color="auto"/>
      </w:divBdr>
      <w:divsChild>
        <w:div w:id="1122765853">
          <w:marLeft w:val="0"/>
          <w:marRight w:val="0"/>
          <w:marTop w:val="0"/>
          <w:marBottom w:val="0"/>
          <w:divBdr>
            <w:top w:val="none" w:sz="0" w:space="0" w:color="auto"/>
            <w:left w:val="none" w:sz="0" w:space="0" w:color="auto"/>
            <w:bottom w:val="none" w:sz="0" w:space="0" w:color="auto"/>
            <w:right w:val="none" w:sz="0" w:space="0" w:color="auto"/>
          </w:divBdr>
          <w:divsChild>
            <w:div w:id="2118327146">
              <w:marLeft w:val="0"/>
              <w:marRight w:val="0"/>
              <w:marTop w:val="0"/>
              <w:marBottom w:val="0"/>
              <w:divBdr>
                <w:top w:val="none" w:sz="0" w:space="0" w:color="auto"/>
                <w:left w:val="none" w:sz="0" w:space="0" w:color="auto"/>
                <w:bottom w:val="none" w:sz="0" w:space="0" w:color="auto"/>
                <w:right w:val="none" w:sz="0" w:space="0" w:color="auto"/>
              </w:divBdr>
              <w:divsChild>
                <w:div w:id="1127285647">
                  <w:marLeft w:val="0"/>
                  <w:marRight w:val="0"/>
                  <w:marTop w:val="0"/>
                  <w:marBottom w:val="0"/>
                  <w:divBdr>
                    <w:top w:val="none" w:sz="0" w:space="0" w:color="auto"/>
                    <w:left w:val="none" w:sz="0" w:space="0" w:color="auto"/>
                    <w:bottom w:val="none" w:sz="0" w:space="0" w:color="auto"/>
                    <w:right w:val="none" w:sz="0" w:space="0" w:color="auto"/>
                  </w:divBdr>
                  <w:divsChild>
                    <w:div w:id="190150980">
                      <w:marLeft w:val="0"/>
                      <w:marRight w:val="0"/>
                      <w:marTop w:val="0"/>
                      <w:marBottom w:val="0"/>
                      <w:divBdr>
                        <w:top w:val="none" w:sz="0" w:space="0" w:color="auto"/>
                        <w:left w:val="none" w:sz="0" w:space="0" w:color="auto"/>
                        <w:bottom w:val="none" w:sz="0" w:space="0" w:color="auto"/>
                        <w:right w:val="none" w:sz="0" w:space="0" w:color="auto"/>
                      </w:divBdr>
                      <w:divsChild>
                        <w:div w:id="1981184763">
                          <w:marLeft w:val="0"/>
                          <w:marRight w:val="0"/>
                          <w:marTop w:val="0"/>
                          <w:marBottom w:val="0"/>
                          <w:divBdr>
                            <w:top w:val="none" w:sz="0" w:space="0" w:color="auto"/>
                            <w:left w:val="none" w:sz="0" w:space="0" w:color="auto"/>
                            <w:bottom w:val="none" w:sz="0" w:space="0" w:color="auto"/>
                            <w:right w:val="none" w:sz="0" w:space="0" w:color="auto"/>
                          </w:divBdr>
                          <w:divsChild>
                            <w:div w:id="1544562030">
                              <w:marLeft w:val="0"/>
                              <w:marRight w:val="0"/>
                              <w:marTop w:val="0"/>
                              <w:marBottom w:val="0"/>
                              <w:divBdr>
                                <w:top w:val="none" w:sz="0" w:space="0" w:color="auto"/>
                                <w:left w:val="none" w:sz="0" w:space="0" w:color="auto"/>
                                <w:bottom w:val="none" w:sz="0" w:space="0" w:color="auto"/>
                                <w:right w:val="none" w:sz="0" w:space="0" w:color="auto"/>
                              </w:divBdr>
                              <w:divsChild>
                                <w:div w:id="570698817">
                                  <w:marLeft w:val="0"/>
                                  <w:marRight w:val="0"/>
                                  <w:marTop w:val="0"/>
                                  <w:marBottom w:val="0"/>
                                  <w:divBdr>
                                    <w:top w:val="none" w:sz="0" w:space="0" w:color="auto"/>
                                    <w:left w:val="none" w:sz="0" w:space="0" w:color="auto"/>
                                    <w:bottom w:val="none" w:sz="0" w:space="0" w:color="auto"/>
                                    <w:right w:val="none" w:sz="0" w:space="0" w:color="auto"/>
                                  </w:divBdr>
                                  <w:divsChild>
                                    <w:div w:id="1853951715">
                                      <w:marLeft w:val="0"/>
                                      <w:marRight w:val="0"/>
                                      <w:marTop w:val="0"/>
                                      <w:marBottom w:val="0"/>
                                      <w:divBdr>
                                        <w:top w:val="none" w:sz="0" w:space="0" w:color="auto"/>
                                        <w:left w:val="none" w:sz="0" w:space="0" w:color="auto"/>
                                        <w:bottom w:val="none" w:sz="0" w:space="0" w:color="auto"/>
                                        <w:right w:val="none" w:sz="0" w:space="0" w:color="auto"/>
                                      </w:divBdr>
                                      <w:divsChild>
                                        <w:div w:id="1785884189">
                                          <w:marLeft w:val="0"/>
                                          <w:marRight w:val="0"/>
                                          <w:marTop w:val="0"/>
                                          <w:marBottom w:val="0"/>
                                          <w:divBdr>
                                            <w:top w:val="none" w:sz="0" w:space="0" w:color="auto"/>
                                            <w:left w:val="none" w:sz="0" w:space="0" w:color="auto"/>
                                            <w:bottom w:val="none" w:sz="0" w:space="0" w:color="auto"/>
                                            <w:right w:val="none" w:sz="0" w:space="0" w:color="auto"/>
                                          </w:divBdr>
                                          <w:divsChild>
                                            <w:div w:id="621350529">
                                              <w:marLeft w:val="0"/>
                                              <w:marRight w:val="0"/>
                                              <w:marTop w:val="0"/>
                                              <w:marBottom w:val="0"/>
                                              <w:divBdr>
                                                <w:top w:val="none" w:sz="0" w:space="0" w:color="auto"/>
                                                <w:left w:val="none" w:sz="0" w:space="0" w:color="auto"/>
                                                <w:bottom w:val="none" w:sz="0" w:space="0" w:color="auto"/>
                                                <w:right w:val="none" w:sz="0" w:space="0" w:color="auto"/>
                                              </w:divBdr>
                                              <w:divsChild>
                                                <w:div w:id="1605724348">
                                                  <w:marLeft w:val="0"/>
                                                  <w:marRight w:val="0"/>
                                                  <w:marTop w:val="0"/>
                                                  <w:marBottom w:val="0"/>
                                                  <w:divBdr>
                                                    <w:top w:val="none" w:sz="0" w:space="0" w:color="auto"/>
                                                    <w:left w:val="none" w:sz="0" w:space="0" w:color="auto"/>
                                                    <w:bottom w:val="none" w:sz="0" w:space="0" w:color="auto"/>
                                                    <w:right w:val="none" w:sz="0" w:space="0" w:color="auto"/>
                                                  </w:divBdr>
                                                  <w:divsChild>
                                                    <w:div w:id="246309640">
                                                      <w:marLeft w:val="0"/>
                                                      <w:marRight w:val="0"/>
                                                      <w:marTop w:val="0"/>
                                                      <w:marBottom w:val="0"/>
                                                      <w:divBdr>
                                                        <w:top w:val="none" w:sz="0" w:space="0" w:color="auto"/>
                                                        <w:left w:val="none" w:sz="0" w:space="0" w:color="auto"/>
                                                        <w:bottom w:val="none" w:sz="0" w:space="0" w:color="auto"/>
                                                        <w:right w:val="none" w:sz="0" w:space="0" w:color="auto"/>
                                                      </w:divBdr>
                                                      <w:divsChild>
                                                        <w:div w:id="1522813133">
                                                          <w:marLeft w:val="0"/>
                                                          <w:marRight w:val="0"/>
                                                          <w:marTop w:val="0"/>
                                                          <w:marBottom w:val="0"/>
                                                          <w:divBdr>
                                                            <w:top w:val="none" w:sz="0" w:space="0" w:color="auto"/>
                                                            <w:left w:val="none" w:sz="0" w:space="0" w:color="auto"/>
                                                            <w:bottom w:val="none" w:sz="0" w:space="0" w:color="auto"/>
                                                            <w:right w:val="none" w:sz="0" w:space="0" w:color="auto"/>
                                                          </w:divBdr>
                                                          <w:divsChild>
                                                            <w:div w:id="1190334718">
                                                              <w:marLeft w:val="0"/>
                                                              <w:marRight w:val="0"/>
                                                              <w:marTop w:val="0"/>
                                                              <w:marBottom w:val="0"/>
                                                              <w:divBdr>
                                                                <w:top w:val="none" w:sz="0" w:space="0" w:color="auto"/>
                                                                <w:left w:val="none" w:sz="0" w:space="0" w:color="auto"/>
                                                                <w:bottom w:val="none" w:sz="0" w:space="0" w:color="auto"/>
                                                                <w:right w:val="none" w:sz="0" w:space="0" w:color="auto"/>
                                                              </w:divBdr>
                                                              <w:divsChild>
                                                                <w:div w:id="1688751375">
                                                                  <w:marLeft w:val="0"/>
                                                                  <w:marRight w:val="0"/>
                                                                  <w:marTop w:val="0"/>
                                                                  <w:marBottom w:val="0"/>
                                                                  <w:divBdr>
                                                                    <w:top w:val="none" w:sz="0" w:space="0" w:color="auto"/>
                                                                    <w:left w:val="none" w:sz="0" w:space="0" w:color="auto"/>
                                                                    <w:bottom w:val="none" w:sz="0" w:space="0" w:color="auto"/>
                                                                    <w:right w:val="none" w:sz="0" w:space="0" w:color="auto"/>
                                                                  </w:divBdr>
                                                                  <w:divsChild>
                                                                    <w:div w:id="599996629">
                                                                      <w:marLeft w:val="0"/>
                                                                      <w:marRight w:val="0"/>
                                                                      <w:marTop w:val="0"/>
                                                                      <w:marBottom w:val="0"/>
                                                                      <w:divBdr>
                                                                        <w:top w:val="none" w:sz="0" w:space="0" w:color="auto"/>
                                                                        <w:left w:val="none" w:sz="0" w:space="0" w:color="auto"/>
                                                                        <w:bottom w:val="none" w:sz="0" w:space="0" w:color="auto"/>
                                                                        <w:right w:val="none" w:sz="0" w:space="0" w:color="auto"/>
                                                                      </w:divBdr>
                                                                      <w:divsChild>
                                                                        <w:div w:id="368650884">
                                                                          <w:marLeft w:val="0"/>
                                                                          <w:marRight w:val="0"/>
                                                                          <w:marTop w:val="0"/>
                                                                          <w:marBottom w:val="0"/>
                                                                          <w:divBdr>
                                                                            <w:top w:val="none" w:sz="0" w:space="0" w:color="auto"/>
                                                                            <w:left w:val="none" w:sz="0" w:space="0" w:color="auto"/>
                                                                            <w:bottom w:val="none" w:sz="0" w:space="0" w:color="auto"/>
                                                                            <w:right w:val="none" w:sz="0" w:space="0" w:color="auto"/>
                                                                          </w:divBdr>
                                                                          <w:divsChild>
                                                                            <w:div w:id="726539470">
                                                                              <w:marLeft w:val="0"/>
                                                                              <w:marRight w:val="0"/>
                                                                              <w:marTop w:val="0"/>
                                                                              <w:marBottom w:val="0"/>
                                                                              <w:divBdr>
                                                                                <w:top w:val="none" w:sz="0" w:space="0" w:color="auto"/>
                                                                                <w:left w:val="none" w:sz="0" w:space="0" w:color="auto"/>
                                                                                <w:bottom w:val="none" w:sz="0" w:space="0" w:color="auto"/>
                                                                                <w:right w:val="none" w:sz="0" w:space="0" w:color="auto"/>
                                                                              </w:divBdr>
                                                                              <w:divsChild>
                                                                                <w:div w:id="658777235">
                                                                                  <w:marLeft w:val="0"/>
                                                                                  <w:marRight w:val="0"/>
                                                                                  <w:marTop w:val="0"/>
                                                                                  <w:marBottom w:val="0"/>
                                                                                  <w:divBdr>
                                                                                    <w:top w:val="none" w:sz="0" w:space="0" w:color="auto"/>
                                                                                    <w:left w:val="none" w:sz="0" w:space="0" w:color="auto"/>
                                                                                    <w:bottom w:val="none" w:sz="0" w:space="0" w:color="auto"/>
                                                                                    <w:right w:val="none" w:sz="0" w:space="0" w:color="auto"/>
                                                                                  </w:divBdr>
                                                                                  <w:divsChild>
                                                                                    <w:div w:id="15504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432600">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6174547">
      <w:bodyDiv w:val="1"/>
      <w:marLeft w:val="0"/>
      <w:marRight w:val="0"/>
      <w:marTop w:val="0"/>
      <w:marBottom w:val="0"/>
      <w:divBdr>
        <w:top w:val="none" w:sz="0" w:space="0" w:color="auto"/>
        <w:left w:val="none" w:sz="0" w:space="0" w:color="auto"/>
        <w:bottom w:val="none" w:sz="0" w:space="0" w:color="auto"/>
        <w:right w:val="none" w:sz="0" w:space="0" w:color="auto"/>
      </w:divBdr>
    </w:div>
    <w:div w:id="1370489850">
      <w:bodyDiv w:val="1"/>
      <w:marLeft w:val="0"/>
      <w:marRight w:val="0"/>
      <w:marTop w:val="0"/>
      <w:marBottom w:val="0"/>
      <w:divBdr>
        <w:top w:val="none" w:sz="0" w:space="0" w:color="auto"/>
        <w:left w:val="none" w:sz="0" w:space="0" w:color="auto"/>
        <w:bottom w:val="none" w:sz="0" w:space="0" w:color="auto"/>
        <w:right w:val="none" w:sz="0" w:space="0" w:color="auto"/>
      </w:divBdr>
    </w:div>
    <w:div w:id="1372338689">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3557094">
      <w:bodyDiv w:val="1"/>
      <w:marLeft w:val="0"/>
      <w:marRight w:val="0"/>
      <w:marTop w:val="0"/>
      <w:marBottom w:val="0"/>
      <w:divBdr>
        <w:top w:val="none" w:sz="0" w:space="0" w:color="auto"/>
        <w:left w:val="none" w:sz="0" w:space="0" w:color="auto"/>
        <w:bottom w:val="none" w:sz="0" w:space="0" w:color="auto"/>
        <w:right w:val="none" w:sz="0" w:space="0" w:color="auto"/>
      </w:divBdr>
    </w:div>
    <w:div w:id="1386221736">
      <w:bodyDiv w:val="1"/>
      <w:marLeft w:val="0"/>
      <w:marRight w:val="0"/>
      <w:marTop w:val="0"/>
      <w:marBottom w:val="0"/>
      <w:divBdr>
        <w:top w:val="none" w:sz="0" w:space="0" w:color="auto"/>
        <w:left w:val="none" w:sz="0" w:space="0" w:color="auto"/>
        <w:bottom w:val="none" w:sz="0" w:space="0" w:color="auto"/>
        <w:right w:val="none" w:sz="0" w:space="0" w:color="auto"/>
      </w:divBdr>
    </w:div>
    <w:div w:id="1390036166">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08382722">
      <w:bodyDiv w:val="1"/>
      <w:marLeft w:val="0"/>
      <w:marRight w:val="0"/>
      <w:marTop w:val="0"/>
      <w:marBottom w:val="0"/>
      <w:divBdr>
        <w:top w:val="none" w:sz="0" w:space="0" w:color="auto"/>
        <w:left w:val="none" w:sz="0" w:space="0" w:color="auto"/>
        <w:bottom w:val="none" w:sz="0" w:space="0" w:color="auto"/>
        <w:right w:val="none" w:sz="0" w:space="0" w:color="auto"/>
      </w:divBdr>
    </w:div>
    <w:div w:id="1410619433">
      <w:bodyDiv w:val="1"/>
      <w:marLeft w:val="0"/>
      <w:marRight w:val="0"/>
      <w:marTop w:val="0"/>
      <w:marBottom w:val="0"/>
      <w:divBdr>
        <w:top w:val="none" w:sz="0" w:space="0" w:color="auto"/>
        <w:left w:val="none" w:sz="0" w:space="0" w:color="auto"/>
        <w:bottom w:val="none" w:sz="0" w:space="0" w:color="auto"/>
        <w:right w:val="none" w:sz="0" w:space="0" w:color="auto"/>
      </w:divBdr>
    </w:div>
    <w:div w:id="1410729167">
      <w:bodyDiv w:val="1"/>
      <w:marLeft w:val="0"/>
      <w:marRight w:val="0"/>
      <w:marTop w:val="0"/>
      <w:marBottom w:val="0"/>
      <w:divBdr>
        <w:top w:val="none" w:sz="0" w:space="0" w:color="auto"/>
        <w:left w:val="none" w:sz="0" w:space="0" w:color="auto"/>
        <w:bottom w:val="none" w:sz="0" w:space="0" w:color="auto"/>
        <w:right w:val="none" w:sz="0" w:space="0" w:color="auto"/>
      </w:divBdr>
    </w:div>
    <w:div w:id="1422797567">
      <w:bodyDiv w:val="1"/>
      <w:marLeft w:val="0"/>
      <w:marRight w:val="0"/>
      <w:marTop w:val="0"/>
      <w:marBottom w:val="0"/>
      <w:divBdr>
        <w:top w:val="none" w:sz="0" w:space="0" w:color="auto"/>
        <w:left w:val="none" w:sz="0" w:space="0" w:color="auto"/>
        <w:bottom w:val="none" w:sz="0" w:space="0" w:color="auto"/>
        <w:right w:val="none" w:sz="0" w:space="0" w:color="auto"/>
      </w:divBdr>
    </w:div>
    <w:div w:id="1432553044">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8913079">
      <w:bodyDiv w:val="1"/>
      <w:marLeft w:val="0"/>
      <w:marRight w:val="0"/>
      <w:marTop w:val="0"/>
      <w:marBottom w:val="0"/>
      <w:divBdr>
        <w:top w:val="none" w:sz="0" w:space="0" w:color="auto"/>
        <w:left w:val="none" w:sz="0" w:space="0" w:color="auto"/>
        <w:bottom w:val="none" w:sz="0" w:space="0" w:color="auto"/>
        <w:right w:val="none" w:sz="0" w:space="0" w:color="auto"/>
      </w:divBdr>
    </w:div>
    <w:div w:id="1446075173">
      <w:bodyDiv w:val="1"/>
      <w:marLeft w:val="0"/>
      <w:marRight w:val="0"/>
      <w:marTop w:val="0"/>
      <w:marBottom w:val="0"/>
      <w:divBdr>
        <w:top w:val="none" w:sz="0" w:space="0" w:color="auto"/>
        <w:left w:val="none" w:sz="0" w:space="0" w:color="auto"/>
        <w:bottom w:val="none" w:sz="0" w:space="0" w:color="auto"/>
        <w:right w:val="none" w:sz="0" w:space="0" w:color="auto"/>
      </w:divBdr>
    </w:div>
    <w:div w:id="1448238852">
      <w:bodyDiv w:val="1"/>
      <w:marLeft w:val="0"/>
      <w:marRight w:val="0"/>
      <w:marTop w:val="0"/>
      <w:marBottom w:val="0"/>
      <w:divBdr>
        <w:top w:val="none" w:sz="0" w:space="0" w:color="auto"/>
        <w:left w:val="none" w:sz="0" w:space="0" w:color="auto"/>
        <w:bottom w:val="none" w:sz="0" w:space="0" w:color="auto"/>
        <w:right w:val="none" w:sz="0" w:space="0" w:color="auto"/>
      </w:divBdr>
    </w:div>
    <w:div w:id="1454253769">
      <w:bodyDiv w:val="1"/>
      <w:marLeft w:val="0"/>
      <w:marRight w:val="0"/>
      <w:marTop w:val="0"/>
      <w:marBottom w:val="0"/>
      <w:divBdr>
        <w:top w:val="none" w:sz="0" w:space="0" w:color="auto"/>
        <w:left w:val="none" w:sz="0" w:space="0" w:color="auto"/>
        <w:bottom w:val="none" w:sz="0" w:space="0" w:color="auto"/>
        <w:right w:val="none" w:sz="0" w:space="0" w:color="auto"/>
      </w:divBdr>
    </w:div>
    <w:div w:id="1457064063">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0069729">
      <w:bodyDiv w:val="1"/>
      <w:marLeft w:val="0"/>
      <w:marRight w:val="0"/>
      <w:marTop w:val="0"/>
      <w:marBottom w:val="0"/>
      <w:divBdr>
        <w:top w:val="none" w:sz="0" w:space="0" w:color="auto"/>
        <w:left w:val="none" w:sz="0" w:space="0" w:color="auto"/>
        <w:bottom w:val="none" w:sz="0" w:space="0" w:color="auto"/>
        <w:right w:val="none" w:sz="0" w:space="0" w:color="auto"/>
      </w:divBdr>
    </w:div>
    <w:div w:id="1487094016">
      <w:bodyDiv w:val="1"/>
      <w:marLeft w:val="0"/>
      <w:marRight w:val="0"/>
      <w:marTop w:val="0"/>
      <w:marBottom w:val="0"/>
      <w:divBdr>
        <w:top w:val="none" w:sz="0" w:space="0" w:color="auto"/>
        <w:left w:val="none" w:sz="0" w:space="0" w:color="auto"/>
        <w:bottom w:val="none" w:sz="0" w:space="0" w:color="auto"/>
        <w:right w:val="none" w:sz="0" w:space="0" w:color="auto"/>
      </w:divBdr>
    </w:div>
    <w:div w:id="1488790909">
      <w:bodyDiv w:val="1"/>
      <w:marLeft w:val="0"/>
      <w:marRight w:val="0"/>
      <w:marTop w:val="0"/>
      <w:marBottom w:val="0"/>
      <w:divBdr>
        <w:top w:val="none" w:sz="0" w:space="0" w:color="auto"/>
        <w:left w:val="none" w:sz="0" w:space="0" w:color="auto"/>
        <w:bottom w:val="none" w:sz="0" w:space="0" w:color="auto"/>
        <w:right w:val="none" w:sz="0" w:space="0" w:color="auto"/>
      </w:divBdr>
    </w:div>
    <w:div w:id="1492677937">
      <w:bodyDiv w:val="1"/>
      <w:marLeft w:val="0"/>
      <w:marRight w:val="0"/>
      <w:marTop w:val="0"/>
      <w:marBottom w:val="0"/>
      <w:divBdr>
        <w:top w:val="none" w:sz="0" w:space="0" w:color="auto"/>
        <w:left w:val="none" w:sz="0" w:space="0" w:color="auto"/>
        <w:bottom w:val="none" w:sz="0" w:space="0" w:color="auto"/>
        <w:right w:val="none" w:sz="0" w:space="0" w:color="auto"/>
      </w:divBdr>
      <w:divsChild>
        <w:div w:id="210728991">
          <w:marLeft w:val="0"/>
          <w:marRight w:val="0"/>
          <w:marTop w:val="0"/>
          <w:marBottom w:val="0"/>
          <w:divBdr>
            <w:top w:val="none" w:sz="0" w:space="0" w:color="auto"/>
            <w:left w:val="none" w:sz="0" w:space="0" w:color="auto"/>
            <w:bottom w:val="none" w:sz="0" w:space="0" w:color="auto"/>
            <w:right w:val="none" w:sz="0" w:space="0" w:color="auto"/>
          </w:divBdr>
          <w:divsChild>
            <w:div w:id="2132747096">
              <w:marLeft w:val="0"/>
              <w:marRight w:val="0"/>
              <w:marTop w:val="0"/>
              <w:marBottom w:val="0"/>
              <w:divBdr>
                <w:top w:val="none" w:sz="0" w:space="0" w:color="auto"/>
                <w:left w:val="none" w:sz="0" w:space="0" w:color="auto"/>
                <w:bottom w:val="none" w:sz="0" w:space="0" w:color="auto"/>
                <w:right w:val="none" w:sz="0" w:space="0" w:color="auto"/>
              </w:divBdr>
              <w:divsChild>
                <w:div w:id="1703632165">
                  <w:marLeft w:val="0"/>
                  <w:marRight w:val="0"/>
                  <w:marTop w:val="0"/>
                  <w:marBottom w:val="0"/>
                  <w:divBdr>
                    <w:top w:val="none" w:sz="0" w:space="0" w:color="auto"/>
                    <w:left w:val="none" w:sz="0" w:space="0" w:color="auto"/>
                    <w:bottom w:val="none" w:sz="0" w:space="0" w:color="auto"/>
                    <w:right w:val="none" w:sz="0" w:space="0" w:color="auto"/>
                  </w:divBdr>
                  <w:divsChild>
                    <w:div w:id="1576820255">
                      <w:marLeft w:val="-225"/>
                      <w:marRight w:val="-225"/>
                      <w:marTop w:val="0"/>
                      <w:marBottom w:val="0"/>
                      <w:divBdr>
                        <w:top w:val="none" w:sz="0" w:space="0" w:color="auto"/>
                        <w:left w:val="none" w:sz="0" w:space="0" w:color="auto"/>
                        <w:bottom w:val="none" w:sz="0" w:space="0" w:color="auto"/>
                        <w:right w:val="none" w:sz="0" w:space="0" w:color="auto"/>
                      </w:divBdr>
                      <w:divsChild>
                        <w:div w:id="2076659179">
                          <w:marLeft w:val="0"/>
                          <w:marRight w:val="0"/>
                          <w:marTop w:val="0"/>
                          <w:marBottom w:val="0"/>
                          <w:divBdr>
                            <w:top w:val="none" w:sz="0" w:space="0" w:color="auto"/>
                            <w:left w:val="none" w:sz="0" w:space="0" w:color="auto"/>
                            <w:bottom w:val="none" w:sz="0" w:space="0" w:color="auto"/>
                            <w:right w:val="none" w:sz="0" w:space="0" w:color="auto"/>
                          </w:divBdr>
                          <w:divsChild>
                            <w:div w:id="2085715500">
                              <w:marLeft w:val="0"/>
                              <w:marRight w:val="0"/>
                              <w:marTop w:val="0"/>
                              <w:marBottom w:val="0"/>
                              <w:divBdr>
                                <w:top w:val="none" w:sz="0" w:space="0" w:color="auto"/>
                                <w:left w:val="none" w:sz="0" w:space="0" w:color="auto"/>
                                <w:bottom w:val="none" w:sz="0" w:space="0" w:color="auto"/>
                                <w:right w:val="none" w:sz="0" w:space="0" w:color="auto"/>
                              </w:divBdr>
                              <w:divsChild>
                                <w:div w:id="1284968476">
                                  <w:marLeft w:val="-225"/>
                                  <w:marRight w:val="-225"/>
                                  <w:marTop w:val="0"/>
                                  <w:marBottom w:val="0"/>
                                  <w:divBdr>
                                    <w:top w:val="none" w:sz="0" w:space="0" w:color="auto"/>
                                    <w:left w:val="none" w:sz="0" w:space="0" w:color="auto"/>
                                    <w:bottom w:val="none" w:sz="0" w:space="0" w:color="auto"/>
                                    <w:right w:val="none" w:sz="0" w:space="0" w:color="auto"/>
                                  </w:divBdr>
                                  <w:divsChild>
                                    <w:div w:id="61031187">
                                      <w:marLeft w:val="0"/>
                                      <w:marRight w:val="0"/>
                                      <w:marTop w:val="0"/>
                                      <w:marBottom w:val="0"/>
                                      <w:divBdr>
                                        <w:top w:val="none" w:sz="0" w:space="0" w:color="auto"/>
                                        <w:left w:val="none" w:sz="0" w:space="0" w:color="auto"/>
                                        <w:bottom w:val="none" w:sz="0" w:space="0" w:color="auto"/>
                                        <w:right w:val="none" w:sz="0" w:space="0" w:color="auto"/>
                                      </w:divBdr>
                                      <w:divsChild>
                                        <w:div w:id="2098288142">
                                          <w:marLeft w:val="0"/>
                                          <w:marRight w:val="0"/>
                                          <w:marTop w:val="0"/>
                                          <w:marBottom w:val="0"/>
                                          <w:divBdr>
                                            <w:top w:val="none" w:sz="0" w:space="0" w:color="auto"/>
                                            <w:left w:val="none" w:sz="0" w:space="0" w:color="auto"/>
                                            <w:bottom w:val="none" w:sz="0" w:space="0" w:color="auto"/>
                                            <w:right w:val="none" w:sz="0" w:space="0" w:color="auto"/>
                                          </w:divBdr>
                                          <w:divsChild>
                                            <w:div w:id="28963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09212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1434746">
      <w:bodyDiv w:val="1"/>
      <w:marLeft w:val="0"/>
      <w:marRight w:val="0"/>
      <w:marTop w:val="0"/>
      <w:marBottom w:val="0"/>
      <w:divBdr>
        <w:top w:val="none" w:sz="0" w:space="0" w:color="auto"/>
        <w:left w:val="none" w:sz="0" w:space="0" w:color="auto"/>
        <w:bottom w:val="none" w:sz="0" w:space="0" w:color="auto"/>
        <w:right w:val="none" w:sz="0" w:space="0" w:color="auto"/>
      </w:divBdr>
    </w:div>
    <w:div w:id="1522433706">
      <w:bodyDiv w:val="1"/>
      <w:marLeft w:val="0"/>
      <w:marRight w:val="0"/>
      <w:marTop w:val="0"/>
      <w:marBottom w:val="0"/>
      <w:divBdr>
        <w:top w:val="none" w:sz="0" w:space="0" w:color="auto"/>
        <w:left w:val="none" w:sz="0" w:space="0" w:color="auto"/>
        <w:bottom w:val="none" w:sz="0" w:space="0" w:color="auto"/>
        <w:right w:val="none" w:sz="0" w:space="0" w:color="auto"/>
      </w:divBdr>
    </w:div>
    <w:div w:id="1530794462">
      <w:bodyDiv w:val="1"/>
      <w:marLeft w:val="0"/>
      <w:marRight w:val="0"/>
      <w:marTop w:val="0"/>
      <w:marBottom w:val="0"/>
      <w:divBdr>
        <w:top w:val="none" w:sz="0" w:space="0" w:color="auto"/>
        <w:left w:val="none" w:sz="0" w:space="0" w:color="auto"/>
        <w:bottom w:val="none" w:sz="0" w:space="0" w:color="auto"/>
        <w:right w:val="none" w:sz="0" w:space="0" w:color="auto"/>
      </w:divBdr>
      <w:divsChild>
        <w:div w:id="930818157">
          <w:marLeft w:val="0"/>
          <w:marRight w:val="0"/>
          <w:marTop w:val="0"/>
          <w:marBottom w:val="0"/>
          <w:divBdr>
            <w:top w:val="none" w:sz="0" w:space="0" w:color="auto"/>
            <w:left w:val="none" w:sz="0" w:space="0" w:color="auto"/>
            <w:bottom w:val="none" w:sz="0" w:space="0" w:color="auto"/>
            <w:right w:val="none" w:sz="0" w:space="0" w:color="auto"/>
          </w:divBdr>
          <w:divsChild>
            <w:div w:id="1300460206">
              <w:marLeft w:val="439"/>
              <w:marRight w:val="0"/>
              <w:marTop w:val="0"/>
              <w:marBottom w:val="0"/>
              <w:divBdr>
                <w:top w:val="none" w:sz="0" w:space="0" w:color="auto"/>
                <w:left w:val="none" w:sz="0" w:space="0" w:color="auto"/>
                <w:bottom w:val="none" w:sz="0" w:space="0" w:color="auto"/>
                <w:right w:val="none" w:sz="0" w:space="0" w:color="auto"/>
              </w:divBdr>
              <w:divsChild>
                <w:div w:id="1982268852">
                  <w:marLeft w:val="0"/>
                  <w:marRight w:val="0"/>
                  <w:marTop w:val="0"/>
                  <w:marBottom w:val="0"/>
                  <w:divBdr>
                    <w:top w:val="none" w:sz="0" w:space="0" w:color="auto"/>
                    <w:left w:val="none" w:sz="0" w:space="0" w:color="auto"/>
                    <w:bottom w:val="none" w:sz="0" w:space="0" w:color="auto"/>
                    <w:right w:val="none" w:sz="0" w:space="0" w:color="auto"/>
                  </w:divBdr>
                  <w:divsChild>
                    <w:div w:id="2094085727">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31117">
          <w:marLeft w:val="0"/>
          <w:marRight w:val="0"/>
          <w:marTop w:val="0"/>
          <w:marBottom w:val="0"/>
          <w:divBdr>
            <w:top w:val="none" w:sz="0" w:space="0" w:color="auto"/>
            <w:left w:val="none" w:sz="0" w:space="0" w:color="auto"/>
            <w:bottom w:val="none" w:sz="0" w:space="0" w:color="auto"/>
            <w:right w:val="none" w:sz="0" w:space="0" w:color="auto"/>
          </w:divBdr>
        </w:div>
      </w:divsChild>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078302">
      <w:bodyDiv w:val="1"/>
      <w:marLeft w:val="0"/>
      <w:marRight w:val="0"/>
      <w:marTop w:val="0"/>
      <w:marBottom w:val="0"/>
      <w:divBdr>
        <w:top w:val="none" w:sz="0" w:space="0" w:color="auto"/>
        <w:left w:val="none" w:sz="0" w:space="0" w:color="auto"/>
        <w:bottom w:val="none" w:sz="0" w:space="0" w:color="auto"/>
        <w:right w:val="none" w:sz="0" w:space="0" w:color="auto"/>
      </w:divBdr>
    </w:div>
    <w:div w:id="1538347177">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7452266">
      <w:bodyDiv w:val="1"/>
      <w:marLeft w:val="0"/>
      <w:marRight w:val="0"/>
      <w:marTop w:val="0"/>
      <w:marBottom w:val="0"/>
      <w:divBdr>
        <w:top w:val="none" w:sz="0" w:space="0" w:color="auto"/>
        <w:left w:val="none" w:sz="0" w:space="0" w:color="auto"/>
        <w:bottom w:val="none" w:sz="0" w:space="0" w:color="auto"/>
        <w:right w:val="none" w:sz="0" w:space="0" w:color="auto"/>
      </w:divBdr>
    </w:div>
    <w:div w:id="1558973004">
      <w:bodyDiv w:val="1"/>
      <w:marLeft w:val="0"/>
      <w:marRight w:val="0"/>
      <w:marTop w:val="0"/>
      <w:marBottom w:val="0"/>
      <w:divBdr>
        <w:top w:val="none" w:sz="0" w:space="0" w:color="auto"/>
        <w:left w:val="none" w:sz="0" w:space="0" w:color="auto"/>
        <w:bottom w:val="none" w:sz="0" w:space="0" w:color="auto"/>
        <w:right w:val="none" w:sz="0" w:space="0" w:color="auto"/>
      </w:divBdr>
    </w:div>
    <w:div w:id="1561211349">
      <w:bodyDiv w:val="1"/>
      <w:marLeft w:val="0"/>
      <w:marRight w:val="0"/>
      <w:marTop w:val="0"/>
      <w:marBottom w:val="0"/>
      <w:divBdr>
        <w:top w:val="none" w:sz="0" w:space="0" w:color="auto"/>
        <w:left w:val="none" w:sz="0" w:space="0" w:color="auto"/>
        <w:bottom w:val="none" w:sz="0" w:space="0" w:color="auto"/>
        <w:right w:val="none" w:sz="0" w:space="0" w:color="auto"/>
      </w:divBdr>
    </w:div>
    <w:div w:id="156946454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178471">
      <w:bodyDiv w:val="1"/>
      <w:marLeft w:val="0"/>
      <w:marRight w:val="0"/>
      <w:marTop w:val="0"/>
      <w:marBottom w:val="0"/>
      <w:divBdr>
        <w:top w:val="none" w:sz="0" w:space="0" w:color="auto"/>
        <w:left w:val="none" w:sz="0" w:space="0" w:color="auto"/>
        <w:bottom w:val="none" w:sz="0" w:space="0" w:color="auto"/>
        <w:right w:val="none" w:sz="0" w:space="0" w:color="auto"/>
      </w:divBdr>
      <w:divsChild>
        <w:div w:id="464470719">
          <w:marLeft w:val="0"/>
          <w:marRight w:val="0"/>
          <w:marTop w:val="0"/>
          <w:marBottom w:val="0"/>
          <w:divBdr>
            <w:top w:val="none" w:sz="0" w:space="0" w:color="auto"/>
            <w:left w:val="none" w:sz="0" w:space="0" w:color="auto"/>
            <w:bottom w:val="none" w:sz="0" w:space="0" w:color="auto"/>
            <w:right w:val="none" w:sz="0" w:space="0" w:color="auto"/>
          </w:divBdr>
          <w:divsChild>
            <w:div w:id="1169517640">
              <w:marLeft w:val="439"/>
              <w:marRight w:val="0"/>
              <w:marTop w:val="0"/>
              <w:marBottom w:val="0"/>
              <w:divBdr>
                <w:top w:val="none" w:sz="0" w:space="0" w:color="auto"/>
                <w:left w:val="none" w:sz="0" w:space="0" w:color="auto"/>
                <w:bottom w:val="none" w:sz="0" w:space="0" w:color="auto"/>
                <w:right w:val="none" w:sz="0" w:space="0" w:color="auto"/>
              </w:divBdr>
              <w:divsChild>
                <w:div w:id="1513764242">
                  <w:marLeft w:val="0"/>
                  <w:marRight w:val="0"/>
                  <w:marTop w:val="0"/>
                  <w:marBottom w:val="0"/>
                  <w:divBdr>
                    <w:top w:val="none" w:sz="0" w:space="0" w:color="auto"/>
                    <w:left w:val="none" w:sz="0" w:space="0" w:color="auto"/>
                    <w:bottom w:val="none" w:sz="0" w:space="0" w:color="auto"/>
                    <w:right w:val="none" w:sz="0" w:space="0" w:color="auto"/>
                  </w:divBdr>
                  <w:divsChild>
                    <w:div w:id="1015158541">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99716">
          <w:marLeft w:val="0"/>
          <w:marRight w:val="0"/>
          <w:marTop w:val="0"/>
          <w:marBottom w:val="0"/>
          <w:divBdr>
            <w:top w:val="none" w:sz="0" w:space="0" w:color="auto"/>
            <w:left w:val="none" w:sz="0" w:space="0" w:color="auto"/>
            <w:bottom w:val="none" w:sz="0" w:space="0" w:color="auto"/>
            <w:right w:val="none" w:sz="0" w:space="0" w:color="auto"/>
          </w:divBdr>
        </w:div>
      </w:divsChild>
    </w:div>
    <w:div w:id="1583637646">
      <w:bodyDiv w:val="1"/>
      <w:marLeft w:val="0"/>
      <w:marRight w:val="0"/>
      <w:marTop w:val="0"/>
      <w:marBottom w:val="0"/>
      <w:divBdr>
        <w:top w:val="none" w:sz="0" w:space="0" w:color="auto"/>
        <w:left w:val="none" w:sz="0" w:space="0" w:color="auto"/>
        <w:bottom w:val="none" w:sz="0" w:space="0" w:color="auto"/>
        <w:right w:val="none" w:sz="0" w:space="0" w:color="auto"/>
      </w:divBdr>
      <w:divsChild>
        <w:div w:id="1092122708">
          <w:marLeft w:val="720"/>
          <w:marRight w:val="0"/>
          <w:marTop w:val="101"/>
          <w:marBottom w:val="0"/>
          <w:divBdr>
            <w:top w:val="none" w:sz="0" w:space="0" w:color="auto"/>
            <w:left w:val="none" w:sz="0" w:space="0" w:color="auto"/>
            <w:bottom w:val="none" w:sz="0" w:space="0" w:color="auto"/>
            <w:right w:val="none" w:sz="0" w:space="0" w:color="auto"/>
          </w:divBdr>
        </w:div>
      </w:divsChild>
    </w:div>
    <w:div w:id="1587764803">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996016">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7539883">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2205136">
      <w:bodyDiv w:val="1"/>
      <w:marLeft w:val="0"/>
      <w:marRight w:val="0"/>
      <w:marTop w:val="0"/>
      <w:marBottom w:val="0"/>
      <w:divBdr>
        <w:top w:val="none" w:sz="0" w:space="0" w:color="auto"/>
        <w:left w:val="none" w:sz="0" w:space="0" w:color="auto"/>
        <w:bottom w:val="none" w:sz="0" w:space="0" w:color="auto"/>
        <w:right w:val="none" w:sz="0" w:space="0" w:color="auto"/>
      </w:divBdr>
      <w:divsChild>
        <w:div w:id="1055158476">
          <w:marLeft w:val="0"/>
          <w:marRight w:val="0"/>
          <w:marTop w:val="0"/>
          <w:marBottom w:val="0"/>
          <w:divBdr>
            <w:top w:val="none" w:sz="0" w:space="0" w:color="auto"/>
            <w:left w:val="none" w:sz="0" w:space="0" w:color="auto"/>
            <w:bottom w:val="none" w:sz="0" w:space="0" w:color="auto"/>
            <w:right w:val="none" w:sz="0" w:space="0" w:color="auto"/>
          </w:divBdr>
          <w:divsChild>
            <w:div w:id="2013408854">
              <w:marLeft w:val="0"/>
              <w:marRight w:val="0"/>
              <w:marTop w:val="0"/>
              <w:marBottom w:val="0"/>
              <w:divBdr>
                <w:top w:val="none" w:sz="0" w:space="0" w:color="auto"/>
                <w:left w:val="none" w:sz="0" w:space="0" w:color="auto"/>
                <w:bottom w:val="none" w:sz="0" w:space="0" w:color="auto"/>
                <w:right w:val="none" w:sz="0" w:space="0" w:color="auto"/>
              </w:divBdr>
              <w:divsChild>
                <w:div w:id="2012021286">
                  <w:marLeft w:val="0"/>
                  <w:marRight w:val="0"/>
                  <w:marTop w:val="0"/>
                  <w:marBottom w:val="0"/>
                  <w:divBdr>
                    <w:top w:val="none" w:sz="0" w:space="0" w:color="auto"/>
                    <w:left w:val="none" w:sz="0" w:space="0" w:color="auto"/>
                    <w:bottom w:val="none" w:sz="0" w:space="0" w:color="auto"/>
                    <w:right w:val="none" w:sz="0" w:space="0" w:color="auto"/>
                  </w:divBdr>
                  <w:divsChild>
                    <w:div w:id="1898124970">
                      <w:marLeft w:val="0"/>
                      <w:marRight w:val="0"/>
                      <w:marTop w:val="0"/>
                      <w:marBottom w:val="0"/>
                      <w:divBdr>
                        <w:top w:val="none" w:sz="0" w:space="0" w:color="auto"/>
                        <w:left w:val="none" w:sz="0" w:space="0" w:color="auto"/>
                        <w:bottom w:val="none" w:sz="0" w:space="0" w:color="auto"/>
                        <w:right w:val="none" w:sz="0" w:space="0" w:color="auto"/>
                      </w:divBdr>
                      <w:divsChild>
                        <w:div w:id="1567180621">
                          <w:marLeft w:val="0"/>
                          <w:marRight w:val="0"/>
                          <w:marTop w:val="0"/>
                          <w:marBottom w:val="0"/>
                          <w:divBdr>
                            <w:top w:val="none" w:sz="0" w:space="0" w:color="auto"/>
                            <w:left w:val="none" w:sz="0" w:space="0" w:color="auto"/>
                            <w:bottom w:val="none" w:sz="0" w:space="0" w:color="auto"/>
                            <w:right w:val="none" w:sz="0" w:space="0" w:color="auto"/>
                          </w:divBdr>
                          <w:divsChild>
                            <w:div w:id="2136823896">
                              <w:marLeft w:val="0"/>
                              <w:marRight w:val="0"/>
                              <w:marTop w:val="0"/>
                              <w:marBottom w:val="0"/>
                              <w:divBdr>
                                <w:top w:val="none" w:sz="0" w:space="0" w:color="auto"/>
                                <w:left w:val="none" w:sz="0" w:space="0" w:color="auto"/>
                                <w:bottom w:val="none" w:sz="0" w:space="0" w:color="auto"/>
                                <w:right w:val="none" w:sz="0" w:space="0" w:color="auto"/>
                              </w:divBdr>
                              <w:divsChild>
                                <w:div w:id="856120416">
                                  <w:marLeft w:val="0"/>
                                  <w:marRight w:val="0"/>
                                  <w:marTop w:val="0"/>
                                  <w:marBottom w:val="0"/>
                                  <w:divBdr>
                                    <w:top w:val="none" w:sz="0" w:space="0" w:color="auto"/>
                                    <w:left w:val="none" w:sz="0" w:space="0" w:color="auto"/>
                                    <w:bottom w:val="none" w:sz="0" w:space="0" w:color="auto"/>
                                    <w:right w:val="none" w:sz="0" w:space="0" w:color="auto"/>
                                  </w:divBdr>
                                  <w:divsChild>
                                    <w:div w:id="834224320">
                                      <w:marLeft w:val="0"/>
                                      <w:marRight w:val="0"/>
                                      <w:marTop w:val="0"/>
                                      <w:marBottom w:val="0"/>
                                      <w:divBdr>
                                        <w:top w:val="none" w:sz="0" w:space="0" w:color="auto"/>
                                        <w:left w:val="none" w:sz="0" w:space="0" w:color="auto"/>
                                        <w:bottom w:val="none" w:sz="0" w:space="0" w:color="auto"/>
                                        <w:right w:val="none" w:sz="0" w:space="0" w:color="auto"/>
                                      </w:divBdr>
                                      <w:divsChild>
                                        <w:div w:id="232589010">
                                          <w:marLeft w:val="0"/>
                                          <w:marRight w:val="0"/>
                                          <w:marTop w:val="0"/>
                                          <w:marBottom w:val="0"/>
                                          <w:divBdr>
                                            <w:top w:val="none" w:sz="0" w:space="0" w:color="auto"/>
                                            <w:left w:val="none" w:sz="0" w:space="0" w:color="auto"/>
                                            <w:bottom w:val="none" w:sz="0" w:space="0" w:color="auto"/>
                                            <w:right w:val="none" w:sz="0" w:space="0" w:color="auto"/>
                                          </w:divBdr>
                                          <w:divsChild>
                                            <w:div w:id="2095465587">
                                              <w:marLeft w:val="0"/>
                                              <w:marRight w:val="0"/>
                                              <w:marTop w:val="0"/>
                                              <w:marBottom w:val="0"/>
                                              <w:divBdr>
                                                <w:top w:val="none" w:sz="0" w:space="0" w:color="auto"/>
                                                <w:left w:val="none" w:sz="0" w:space="0" w:color="auto"/>
                                                <w:bottom w:val="none" w:sz="0" w:space="0" w:color="auto"/>
                                                <w:right w:val="none" w:sz="0" w:space="0" w:color="auto"/>
                                              </w:divBdr>
                                              <w:divsChild>
                                                <w:div w:id="432014223">
                                                  <w:marLeft w:val="0"/>
                                                  <w:marRight w:val="0"/>
                                                  <w:marTop w:val="0"/>
                                                  <w:marBottom w:val="0"/>
                                                  <w:divBdr>
                                                    <w:top w:val="none" w:sz="0" w:space="0" w:color="auto"/>
                                                    <w:left w:val="none" w:sz="0" w:space="0" w:color="auto"/>
                                                    <w:bottom w:val="none" w:sz="0" w:space="0" w:color="auto"/>
                                                    <w:right w:val="none" w:sz="0" w:space="0" w:color="auto"/>
                                                  </w:divBdr>
                                                  <w:divsChild>
                                                    <w:div w:id="477653504">
                                                      <w:marLeft w:val="0"/>
                                                      <w:marRight w:val="0"/>
                                                      <w:marTop w:val="0"/>
                                                      <w:marBottom w:val="0"/>
                                                      <w:divBdr>
                                                        <w:top w:val="none" w:sz="0" w:space="0" w:color="auto"/>
                                                        <w:left w:val="none" w:sz="0" w:space="0" w:color="auto"/>
                                                        <w:bottom w:val="none" w:sz="0" w:space="0" w:color="auto"/>
                                                        <w:right w:val="none" w:sz="0" w:space="0" w:color="auto"/>
                                                      </w:divBdr>
                                                      <w:divsChild>
                                                        <w:div w:id="1766804296">
                                                          <w:marLeft w:val="0"/>
                                                          <w:marRight w:val="0"/>
                                                          <w:marTop w:val="0"/>
                                                          <w:marBottom w:val="0"/>
                                                          <w:divBdr>
                                                            <w:top w:val="none" w:sz="0" w:space="0" w:color="auto"/>
                                                            <w:left w:val="none" w:sz="0" w:space="0" w:color="auto"/>
                                                            <w:bottom w:val="none" w:sz="0" w:space="0" w:color="auto"/>
                                                            <w:right w:val="none" w:sz="0" w:space="0" w:color="auto"/>
                                                          </w:divBdr>
                                                          <w:divsChild>
                                                            <w:div w:id="1044060128">
                                                              <w:marLeft w:val="0"/>
                                                              <w:marRight w:val="0"/>
                                                              <w:marTop w:val="0"/>
                                                              <w:marBottom w:val="0"/>
                                                              <w:divBdr>
                                                                <w:top w:val="none" w:sz="0" w:space="0" w:color="auto"/>
                                                                <w:left w:val="none" w:sz="0" w:space="0" w:color="auto"/>
                                                                <w:bottom w:val="none" w:sz="0" w:space="0" w:color="auto"/>
                                                                <w:right w:val="none" w:sz="0" w:space="0" w:color="auto"/>
                                                              </w:divBdr>
                                                              <w:divsChild>
                                                                <w:div w:id="1014041435">
                                                                  <w:marLeft w:val="0"/>
                                                                  <w:marRight w:val="0"/>
                                                                  <w:marTop w:val="0"/>
                                                                  <w:marBottom w:val="0"/>
                                                                  <w:divBdr>
                                                                    <w:top w:val="none" w:sz="0" w:space="0" w:color="auto"/>
                                                                    <w:left w:val="none" w:sz="0" w:space="0" w:color="auto"/>
                                                                    <w:bottom w:val="none" w:sz="0" w:space="0" w:color="auto"/>
                                                                    <w:right w:val="none" w:sz="0" w:space="0" w:color="auto"/>
                                                                  </w:divBdr>
                                                                  <w:divsChild>
                                                                    <w:div w:id="15129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858109">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6420932">
      <w:bodyDiv w:val="1"/>
      <w:marLeft w:val="0"/>
      <w:marRight w:val="0"/>
      <w:marTop w:val="0"/>
      <w:marBottom w:val="0"/>
      <w:divBdr>
        <w:top w:val="none" w:sz="0" w:space="0" w:color="auto"/>
        <w:left w:val="none" w:sz="0" w:space="0" w:color="auto"/>
        <w:bottom w:val="none" w:sz="0" w:space="0" w:color="auto"/>
        <w:right w:val="none" w:sz="0" w:space="0" w:color="auto"/>
      </w:divBdr>
    </w:div>
    <w:div w:id="1628312869">
      <w:bodyDiv w:val="1"/>
      <w:marLeft w:val="0"/>
      <w:marRight w:val="0"/>
      <w:marTop w:val="0"/>
      <w:marBottom w:val="0"/>
      <w:divBdr>
        <w:top w:val="none" w:sz="0" w:space="0" w:color="auto"/>
        <w:left w:val="none" w:sz="0" w:space="0" w:color="auto"/>
        <w:bottom w:val="none" w:sz="0" w:space="0" w:color="auto"/>
        <w:right w:val="none" w:sz="0" w:space="0" w:color="auto"/>
      </w:divBdr>
    </w:div>
    <w:div w:id="1629822116">
      <w:bodyDiv w:val="1"/>
      <w:marLeft w:val="0"/>
      <w:marRight w:val="0"/>
      <w:marTop w:val="0"/>
      <w:marBottom w:val="0"/>
      <w:divBdr>
        <w:top w:val="none" w:sz="0" w:space="0" w:color="auto"/>
        <w:left w:val="none" w:sz="0" w:space="0" w:color="auto"/>
        <w:bottom w:val="none" w:sz="0" w:space="0" w:color="auto"/>
        <w:right w:val="none" w:sz="0" w:space="0" w:color="auto"/>
      </w:divBdr>
    </w:div>
    <w:div w:id="1637760120">
      <w:bodyDiv w:val="1"/>
      <w:marLeft w:val="0"/>
      <w:marRight w:val="0"/>
      <w:marTop w:val="0"/>
      <w:marBottom w:val="0"/>
      <w:divBdr>
        <w:top w:val="none" w:sz="0" w:space="0" w:color="auto"/>
        <w:left w:val="none" w:sz="0" w:space="0" w:color="auto"/>
        <w:bottom w:val="none" w:sz="0" w:space="0" w:color="auto"/>
        <w:right w:val="none" w:sz="0" w:space="0" w:color="auto"/>
      </w:divBdr>
    </w:div>
    <w:div w:id="1641691639">
      <w:bodyDiv w:val="1"/>
      <w:marLeft w:val="0"/>
      <w:marRight w:val="0"/>
      <w:marTop w:val="0"/>
      <w:marBottom w:val="0"/>
      <w:divBdr>
        <w:top w:val="none" w:sz="0" w:space="0" w:color="auto"/>
        <w:left w:val="none" w:sz="0" w:space="0" w:color="auto"/>
        <w:bottom w:val="none" w:sz="0" w:space="0" w:color="auto"/>
        <w:right w:val="none" w:sz="0" w:space="0" w:color="auto"/>
      </w:divBdr>
    </w:div>
    <w:div w:id="1647667301">
      <w:bodyDiv w:val="1"/>
      <w:marLeft w:val="0"/>
      <w:marRight w:val="0"/>
      <w:marTop w:val="0"/>
      <w:marBottom w:val="0"/>
      <w:divBdr>
        <w:top w:val="none" w:sz="0" w:space="0" w:color="auto"/>
        <w:left w:val="none" w:sz="0" w:space="0" w:color="auto"/>
        <w:bottom w:val="none" w:sz="0" w:space="0" w:color="auto"/>
        <w:right w:val="none" w:sz="0" w:space="0" w:color="auto"/>
      </w:divBdr>
    </w:div>
    <w:div w:id="165544983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9138839">
      <w:bodyDiv w:val="1"/>
      <w:marLeft w:val="0"/>
      <w:marRight w:val="0"/>
      <w:marTop w:val="0"/>
      <w:marBottom w:val="0"/>
      <w:divBdr>
        <w:top w:val="none" w:sz="0" w:space="0" w:color="auto"/>
        <w:left w:val="none" w:sz="0" w:space="0" w:color="auto"/>
        <w:bottom w:val="none" w:sz="0" w:space="0" w:color="auto"/>
        <w:right w:val="none" w:sz="0" w:space="0" w:color="auto"/>
      </w:divBdr>
    </w:div>
    <w:div w:id="1691636320">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253786">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551358">
      <w:bodyDiv w:val="1"/>
      <w:marLeft w:val="0"/>
      <w:marRight w:val="0"/>
      <w:marTop w:val="0"/>
      <w:marBottom w:val="0"/>
      <w:divBdr>
        <w:top w:val="none" w:sz="0" w:space="0" w:color="auto"/>
        <w:left w:val="none" w:sz="0" w:space="0" w:color="auto"/>
        <w:bottom w:val="none" w:sz="0" w:space="0" w:color="auto"/>
        <w:right w:val="none" w:sz="0" w:space="0" w:color="auto"/>
      </w:divBdr>
    </w:div>
    <w:div w:id="1742023300">
      <w:bodyDiv w:val="1"/>
      <w:marLeft w:val="0"/>
      <w:marRight w:val="0"/>
      <w:marTop w:val="0"/>
      <w:marBottom w:val="0"/>
      <w:divBdr>
        <w:top w:val="none" w:sz="0" w:space="0" w:color="auto"/>
        <w:left w:val="none" w:sz="0" w:space="0" w:color="auto"/>
        <w:bottom w:val="none" w:sz="0" w:space="0" w:color="auto"/>
        <w:right w:val="none" w:sz="0" w:space="0" w:color="auto"/>
      </w:divBdr>
      <w:divsChild>
        <w:div w:id="928781226">
          <w:marLeft w:val="0"/>
          <w:marRight w:val="1"/>
          <w:marTop w:val="0"/>
          <w:marBottom w:val="0"/>
          <w:divBdr>
            <w:top w:val="none" w:sz="0" w:space="0" w:color="auto"/>
            <w:left w:val="none" w:sz="0" w:space="0" w:color="auto"/>
            <w:bottom w:val="none" w:sz="0" w:space="0" w:color="auto"/>
            <w:right w:val="none" w:sz="0" w:space="0" w:color="auto"/>
          </w:divBdr>
          <w:divsChild>
            <w:div w:id="521092218">
              <w:marLeft w:val="0"/>
              <w:marRight w:val="0"/>
              <w:marTop w:val="0"/>
              <w:marBottom w:val="0"/>
              <w:divBdr>
                <w:top w:val="none" w:sz="0" w:space="0" w:color="auto"/>
                <w:left w:val="none" w:sz="0" w:space="0" w:color="auto"/>
                <w:bottom w:val="none" w:sz="0" w:space="0" w:color="auto"/>
                <w:right w:val="none" w:sz="0" w:space="0" w:color="auto"/>
              </w:divBdr>
              <w:divsChild>
                <w:div w:id="206533507">
                  <w:marLeft w:val="0"/>
                  <w:marRight w:val="1"/>
                  <w:marTop w:val="0"/>
                  <w:marBottom w:val="0"/>
                  <w:divBdr>
                    <w:top w:val="none" w:sz="0" w:space="0" w:color="auto"/>
                    <w:left w:val="none" w:sz="0" w:space="0" w:color="auto"/>
                    <w:bottom w:val="none" w:sz="0" w:space="0" w:color="auto"/>
                    <w:right w:val="none" w:sz="0" w:space="0" w:color="auto"/>
                  </w:divBdr>
                  <w:divsChild>
                    <w:div w:id="628516368">
                      <w:marLeft w:val="0"/>
                      <w:marRight w:val="0"/>
                      <w:marTop w:val="0"/>
                      <w:marBottom w:val="0"/>
                      <w:divBdr>
                        <w:top w:val="none" w:sz="0" w:space="0" w:color="auto"/>
                        <w:left w:val="none" w:sz="0" w:space="0" w:color="auto"/>
                        <w:bottom w:val="none" w:sz="0" w:space="0" w:color="auto"/>
                        <w:right w:val="none" w:sz="0" w:space="0" w:color="auto"/>
                      </w:divBdr>
                      <w:divsChild>
                        <w:div w:id="241840206">
                          <w:marLeft w:val="0"/>
                          <w:marRight w:val="0"/>
                          <w:marTop w:val="0"/>
                          <w:marBottom w:val="0"/>
                          <w:divBdr>
                            <w:top w:val="none" w:sz="0" w:space="0" w:color="auto"/>
                            <w:left w:val="none" w:sz="0" w:space="0" w:color="auto"/>
                            <w:bottom w:val="none" w:sz="0" w:space="0" w:color="auto"/>
                            <w:right w:val="none" w:sz="0" w:space="0" w:color="auto"/>
                          </w:divBdr>
                          <w:divsChild>
                            <w:div w:id="2050297020">
                              <w:marLeft w:val="0"/>
                              <w:marRight w:val="0"/>
                              <w:marTop w:val="120"/>
                              <w:marBottom w:val="360"/>
                              <w:divBdr>
                                <w:top w:val="none" w:sz="0" w:space="0" w:color="auto"/>
                                <w:left w:val="none" w:sz="0" w:space="0" w:color="auto"/>
                                <w:bottom w:val="none" w:sz="0" w:space="0" w:color="auto"/>
                                <w:right w:val="none" w:sz="0" w:space="0" w:color="auto"/>
                              </w:divBdr>
                              <w:divsChild>
                                <w:div w:id="50856966">
                                  <w:marLeft w:val="0"/>
                                  <w:marRight w:val="0"/>
                                  <w:marTop w:val="0"/>
                                  <w:marBottom w:val="0"/>
                                  <w:divBdr>
                                    <w:top w:val="none" w:sz="0" w:space="0" w:color="auto"/>
                                    <w:left w:val="none" w:sz="0" w:space="0" w:color="auto"/>
                                    <w:bottom w:val="none" w:sz="0" w:space="0" w:color="auto"/>
                                    <w:right w:val="none" w:sz="0" w:space="0" w:color="auto"/>
                                  </w:divBdr>
                                </w:div>
                                <w:div w:id="19380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595455">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8669165">
      <w:bodyDiv w:val="1"/>
      <w:marLeft w:val="0"/>
      <w:marRight w:val="0"/>
      <w:marTop w:val="0"/>
      <w:marBottom w:val="0"/>
      <w:divBdr>
        <w:top w:val="none" w:sz="0" w:space="0" w:color="auto"/>
        <w:left w:val="none" w:sz="0" w:space="0" w:color="auto"/>
        <w:bottom w:val="none" w:sz="0" w:space="0" w:color="auto"/>
        <w:right w:val="none" w:sz="0" w:space="0" w:color="auto"/>
      </w:divBdr>
    </w:div>
    <w:div w:id="1769158114">
      <w:bodyDiv w:val="1"/>
      <w:marLeft w:val="0"/>
      <w:marRight w:val="0"/>
      <w:marTop w:val="0"/>
      <w:marBottom w:val="0"/>
      <w:divBdr>
        <w:top w:val="none" w:sz="0" w:space="0" w:color="auto"/>
        <w:left w:val="none" w:sz="0" w:space="0" w:color="auto"/>
        <w:bottom w:val="none" w:sz="0" w:space="0" w:color="auto"/>
        <w:right w:val="none" w:sz="0" w:space="0" w:color="auto"/>
      </w:divBdr>
    </w:div>
    <w:div w:id="1774395432">
      <w:bodyDiv w:val="1"/>
      <w:marLeft w:val="0"/>
      <w:marRight w:val="0"/>
      <w:marTop w:val="0"/>
      <w:marBottom w:val="0"/>
      <w:divBdr>
        <w:top w:val="none" w:sz="0" w:space="0" w:color="auto"/>
        <w:left w:val="none" w:sz="0" w:space="0" w:color="auto"/>
        <w:bottom w:val="none" w:sz="0" w:space="0" w:color="auto"/>
        <w:right w:val="none" w:sz="0" w:space="0" w:color="auto"/>
      </w:divBdr>
      <w:divsChild>
        <w:div w:id="97798693">
          <w:marLeft w:val="0"/>
          <w:marRight w:val="0"/>
          <w:marTop w:val="0"/>
          <w:marBottom w:val="0"/>
          <w:divBdr>
            <w:top w:val="none" w:sz="0" w:space="0" w:color="auto"/>
            <w:left w:val="none" w:sz="0" w:space="0" w:color="auto"/>
            <w:bottom w:val="none" w:sz="0" w:space="0" w:color="auto"/>
            <w:right w:val="none" w:sz="0" w:space="0" w:color="auto"/>
          </w:divBdr>
          <w:divsChild>
            <w:div w:id="1672904349">
              <w:marLeft w:val="439"/>
              <w:marRight w:val="0"/>
              <w:marTop w:val="0"/>
              <w:marBottom w:val="0"/>
              <w:divBdr>
                <w:top w:val="none" w:sz="0" w:space="0" w:color="auto"/>
                <w:left w:val="none" w:sz="0" w:space="0" w:color="auto"/>
                <w:bottom w:val="none" w:sz="0" w:space="0" w:color="auto"/>
                <w:right w:val="none" w:sz="0" w:space="0" w:color="auto"/>
              </w:divBdr>
              <w:divsChild>
                <w:div w:id="2035375330">
                  <w:marLeft w:val="0"/>
                  <w:marRight w:val="0"/>
                  <w:marTop w:val="0"/>
                  <w:marBottom w:val="0"/>
                  <w:divBdr>
                    <w:top w:val="none" w:sz="0" w:space="0" w:color="auto"/>
                    <w:left w:val="none" w:sz="0" w:space="0" w:color="auto"/>
                    <w:bottom w:val="none" w:sz="0" w:space="0" w:color="auto"/>
                    <w:right w:val="none" w:sz="0" w:space="0" w:color="auto"/>
                  </w:divBdr>
                  <w:divsChild>
                    <w:div w:id="796143399">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05139">
          <w:marLeft w:val="0"/>
          <w:marRight w:val="0"/>
          <w:marTop w:val="0"/>
          <w:marBottom w:val="0"/>
          <w:divBdr>
            <w:top w:val="none" w:sz="0" w:space="0" w:color="auto"/>
            <w:left w:val="none" w:sz="0" w:space="0" w:color="auto"/>
            <w:bottom w:val="none" w:sz="0" w:space="0" w:color="auto"/>
            <w:right w:val="none" w:sz="0" w:space="0" w:color="auto"/>
          </w:divBdr>
        </w:div>
      </w:divsChild>
    </w:div>
    <w:div w:id="1777558152">
      <w:bodyDiv w:val="1"/>
      <w:marLeft w:val="0"/>
      <w:marRight w:val="0"/>
      <w:marTop w:val="0"/>
      <w:marBottom w:val="0"/>
      <w:divBdr>
        <w:top w:val="none" w:sz="0" w:space="0" w:color="auto"/>
        <w:left w:val="none" w:sz="0" w:space="0" w:color="auto"/>
        <w:bottom w:val="none" w:sz="0" w:space="0" w:color="auto"/>
        <w:right w:val="none" w:sz="0" w:space="0" w:color="auto"/>
      </w:divBdr>
    </w:div>
    <w:div w:id="1785148346">
      <w:bodyDiv w:val="1"/>
      <w:marLeft w:val="0"/>
      <w:marRight w:val="0"/>
      <w:marTop w:val="0"/>
      <w:marBottom w:val="0"/>
      <w:divBdr>
        <w:top w:val="none" w:sz="0" w:space="0" w:color="auto"/>
        <w:left w:val="none" w:sz="0" w:space="0" w:color="auto"/>
        <w:bottom w:val="none" w:sz="0" w:space="0" w:color="auto"/>
        <w:right w:val="none" w:sz="0" w:space="0" w:color="auto"/>
      </w:divBdr>
    </w:div>
    <w:div w:id="1785151400">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03035630">
      <w:bodyDiv w:val="1"/>
      <w:marLeft w:val="0"/>
      <w:marRight w:val="0"/>
      <w:marTop w:val="0"/>
      <w:marBottom w:val="0"/>
      <w:divBdr>
        <w:top w:val="none" w:sz="0" w:space="0" w:color="auto"/>
        <w:left w:val="none" w:sz="0" w:space="0" w:color="auto"/>
        <w:bottom w:val="none" w:sz="0" w:space="0" w:color="auto"/>
        <w:right w:val="none" w:sz="0" w:space="0" w:color="auto"/>
      </w:divBdr>
      <w:divsChild>
        <w:div w:id="1259943816">
          <w:marLeft w:val="0"/>
          <w:marRight w:val="0"/>
          <w:marTop w:val="0"/>
          <w:marBottom w:val="0"/>
          <w:divBdr>
            <w:top w:val="none" w:sz="0" w:space="0" w:color="auto"/>
            <w:left w:val="none" w:sz="0" w:space="0" w:color="auto"/>
            <w:bottom w:val="none" w:sz="0" w:space="0" w:color="auto"/>
            <w:right w:val="none" w:sz="0" w:space="0" w:color="auto"/>
          </w:divBdr>
          <w:divsChild>
            <w:div w:id="2139715718">
              <w:marLeft w:val="0"/>
              <w:marRight w:val="0"/>
              <w:marTop w:val="0"/>
              <w:marBottom w:val="0"/>
              <w:divBdr>
                <w:top w:val="none" w:sz="0" w:space="0" w:color="auto"/>
                <w:left w:val="none" w:sz="0" w:space="0" w:color="auto"/>
                <w:bottom w:val="none" w:sz="0" w:space="0" w:color="auto"/>
                <w:right w:val="none" w:sz="0" w:space="0" w:color="auto"/>
              </w:divBdr>
              <w:divsChild>
                <w:div w:id="763720232">
                  <w:marLeft w:val="0"/>
                  <w:marRight w:val="0"/>
                  <w:marTop w:val="0"/>
                  <w:marBottom w:val="0"/>
                  <w:divBdr>
                    <w:top w:val="none" w:sz="0" w:space="0" w:color="auto"/>
                    <w:left w:val="none" w:sz="0" w:space="0" w:color="auto"/>
                    <w:bottom w:val="none" w:sz="0" w:space="0" w:color="auto"/>
                    <w:right w:val="none" w:sz="0" w:space="0" w:color="auto"/>
                  </w:divBdr>
                  <w:divsChild>
                    <w:div w:id="537738225">
                      <w:marLeft w:val="0"/>
                      <w:marRight w:val="0"/>
                      <w:marTop w:val="0"/>
                      <w:marBottom w:val="0"/>
                      <w:divBdr>
                        <w:top w:val="none" w:sz="0" w:space="0" w:color="auto"/>
                        <w:left w:val="none" w:sz="0" w:space="0" w:color="auto"/>
                        <w:bottom w:val="none" w:sz="0" w:space="0" w:color="auto"/>
                        <w:right w:val="none" w:sz="0" w:space="0" w:color="auto"/>
                      </w:divBdr>
                      <w:divsChild>
                        <w:div w:id="846211833">
                          <w:marLeft w:val="0"/>
                          <w:marRight w:val="0"/>
                          <w:marTop w:val="0"/>
                          <w:marBottom w:val="0"/>
                          <w:divBdr>
                            <w:top w:val="none" w:sz="0" w:space="0" w:color="auto"/>
                            <w:left w:val="none" w:sz="0" w:space="0" w:color="auto"/>
                            <w:bottom w:val="none" w:sz="0" w:space="0" w:color="auto"/>
                            <w:right w:val="none" w:sz="0" w:space="0" w:color="auto"/>
                          </w:divBdr>
                          <w:divsChild>
                            <w:div w:id="1711685584">
                              <w:marLeft w:val="0"/>
                              <w:marRight w:val="0"/>
                              <w:marTop w:val="0"/>
                              <w:marBottom w:val="0"/>
                              <w:divBdr>
                                <w:top w:val="none" w:sz="0" w:space="0" w:color="auto"/>
                                <w:left w:val="none" w:sz="0" w:space="0" w:color="auto"/>
                                <w:bottom w:val="none" w:sz="0" w:space="0" w:color="auto"/>
                                <w:right w:val="none" w:sz="0" w:space="0" w:color="auto"/>
                              </w:divBdr>
                              <w:divsChild>
                                <w:div w:id="755130334">
                                  <w:marLeft w:val="0"/>
                                  <w:marRight w:val="0"/>
                                  <w:marTop w:val="0"/>
                                  <w:marBottom w:val="0"/>
                                  <w:divBdr>
                                    <w:top w:val="none" w:sz="0" w:space="0" w:color="auto"/>
                                    <w:left w:val="none" w:sz="0" w:space="0" w:color="auto"/>
                                    <w:bottom w:val="none" w:sz="0" w:space="0" w:color="auto"/>
                                    <w:right w:val="none" w:sz="0" w:space="0" w:color="auto"/>
                                  </w:divBdr>
                                  <w:divsChild>
                                    <w:div w:id="799885405">
                                      <w:marLeft w:val="0"/>
                                      <w:marRight w:val="0"/>
                                      <w:marTop w:val="0"/>
                                      <w:marBottom w:val="0"/>
                                      <w:divBdr>
                                        <w:top w:val="none" w:sz="0" w:space="0" w:color="auto"/>
                                        <w:left w:val="none" w:sz="0" w:space="0" w:color="auto"/>
                                        <w:bottom w:val="none" w:sz="0" w:space="0" w:color="auto"/>
                                        <w:right w:val="none" w:sz="0" w:space="0" w:color="auto"/>
                                      </w:divBdr>
                                      <w:divsChild>
                                        <w:div w:id="405078267">
                                          <w:marLeft w:val="0"/>
                                          <w:marRight w:val="0"/>
                                          <w:marTop w:val="0"/>
                                          <w:marBottom w:val="0"/>
                                          <w:divBdr>
                                            <w:top w:val="none" w:sz="0" w:space="0" w:color="auto"/>
                                            <w:left w:val="none" w:sz="0" w:space="0" w:color="auto"/>
                                            <w:bottom w:val="none" w:sz="0" w:space="0" w:color="auto"/>
                                            <w:right w:val="none" w:sz="0" w:space="0" w:color="auto"/>
                                          </w:divBdr>
                                          <w:divsChild>
                                            <w:div w:id="1349285850">
                                              <w:marLeft w:val="0"/>
                                              <w:marRight w:val="0"/>
                                              <w:marTop w:val="0"/>
                                              <w:marBottom w:val="0"/>
                                              <w:divBdr>
                                                <w:top w:val="none" w:sz="0" w:space="0" w:color="auto"/>
                                                <w:left w:val="none" w:sz="0" w:space="0" w:color="auto"/>
                                                <w:bottom w:val="none" w:sz="0" w:space="0" w:color="auto"/>
                                                <w:right w:val="none" w:sz="0" w:space="0" w:color="auto"/>
                                              </w:divBdr>
                                              <w:divsChild>
                                                <w:div w:id="1854685686">
                                                  <w:marLeft w:val="0"/>
                                                  <w:marRight w:val="0"/>
                                                  <w:marTop w:val="0"/>
                                                  <w:marBottom w:val="0"/>
                                                  <w:divBdr>
                                                    <w:top w:val="none" w:sz="0" w:space="0" w:color="auto"/>
                                                    <w:left w:val="none" w:sz="0" w:space="0" w:color="auto"/>
                                                    <w:bottom w:val="none" w:sz="0" w:space="0" w:color="auto"/>
                                                    <w:right w:val="none" w:sz="0" w:space="0" w:color="auto"/>
                                                  </w:divBdr>
                                                  <w:divsChild>
                                                    <w:div w:id="413670629">
                                                      <w:marLeft w:val="0"/>
                                                      <w:marRight w:val="0"/>
                                                      <w:marTop w:val="0"/>
                                                      <w:marBottom w:val="0"/>
                                                      <w:divBdr>
                                                        <w:top w:val="none" w:sz="0" w:space="0" w:color="auto"/>
                                                        <w:left w:val="none" w:sz="0" w:space="0" w:color="auto"/>
                                                        <w:bottom w:val="none" w:sz="0" w:space="0" w:color="auto"/>
                                                        <w:right w:val="none" w:sz="0" w:space="0" w:color="auto"/>
                                                      </w:divBdr>
                                                      <w:divsChild>
                                                        <w:div w:id="162404825">
                                                          <w:marLeft w:val="0"/>
                                                          <w:marRight w:val="0"/>
                                                          <w:marTop w:val="0"/>
                                                          <w:marBottom w:val="0"/>
                                                          <w:divBdr>
                                                            <w:top w:val="none" w:sz="0" w:space="0" w:color="auto"/>
                                                            <w:left w:val="none" w:sz="0" w:space="0" w:color="auto"/>
                                                            <w:bottom w:val="none" w:sz="0" w:space="0" w:color="auto"/>
                                                            <w:right w:val="none" w:sz="0" w:space="0" w:color="auto"/>
                                                          </w:divBdr>
                                                        </w:div>
                                                      </w:divsChild>
                                                    </w:div>
                                                    <w:div w:id="219707881">
                                                      <w:marLeft w:val="0"/>
                                                      <w:marRight w:val="0"/>
                                                      <w:marTop w:val="0"/>
                                                      <w:marBottom w:val="0"/>
                                                      <w:divBdr>
                                                        <w:top w:val="none" w:sz="0" w:space="0" w:color="auto"/>
                                                        <w:left w:val="none" w:sz="0" w:space="0" w:color="auto"/>
                                                        <w:bottom w:val="none" w:sz="0" w:space="0" w:color="auto"/>
                                                        <w:right w:val="none" w:sz="0" w:space="0" w:color="auto"/>
                                                      </w:divBdr>
                                                      <w:divsChild>
                                                        <w:div w:id="299767613">
                                                          <w:marLeft w:val="0"/>
                                                          <w:marRight w:val="0"/>
                                                          <w:marTop w:val="0"/>
                                                          <w:marBottom w:val="75"/>
                                                          <w:divBdr>
                                                            <w:top w:val="none" w:sz="0" w:space="0" w:color="auto"/>
                                                            <w:left w:val="none" w:sz="0" w:space="0" w:color="auto"/>
                                                            <w:bottom w:val="none" w:sz="0" w:space="0" w:color="auto"/>
                                                            <w:right w:val="none" w:sz="0" w:space="0" w:color="auto"/>
                                                          </w:divBdr>
                                                          <w:divsChild>
                                                            <w:div w:id="20610478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99153311">
                                                      <w:marLeft w:val="0"/>
                                                      <w:marRight w:val="0"/>
                                                      <w:marTop w:val="240"/>
                                                      <w:marBottom w:val="0"/>
                                                      <w:divBdr>
                                                        <w:top w:val="none" w:sz="0" w:space="0" w:color="auto"/>
                                                        <w:left w:val="none" w:sz="0" w:space="0" w:color="auto"/>
                                                        <w:bottom w:val="none" w:sz="0" w:space="0" w:color="auto"/>
                                                        <w:right w:val="none" w:sz="0" w:space="0" w:color="auto"/>
                                                      </w:divBdr>
                                                    </w:div>
                                                    <w:div w:id="2040933813">
                                                      <w:marLeft w:val="0"/>
                                                      <w:marRight w:val="240"/>
                                                      <w:marTop w:val="0"/>
                                                      <w:marBottom w:val="0"/>
                                                      <w:divBdr>
                                                        <w:top w:val="none" w:sz="0" w:space="0" w:color="auto"/>
                                                        <w:left w:val="none" w:sz="0" w:space="0" w:color="auto"/>
                                                        <w:bottom w:val="none" w:sz="0" w:space="0" w:color="auto"/>
                                                        <w:right w:val="none" w:sz="0" w:space="0" w:color="auto"/>
                                                      </w:divBdr>
                                                    </w:div>
                                                    <w:div w:id="2102481741">
                                                      <w:marLeft w:val="0"/>
                                                      <w:marRight w:val="240"/>
                                                      <w:marTop w:val="0"/>
                                                      <w:marBottom w:val="0"/>
                                                      <w:divBdr>
                                                        <w:top w:val="none" w:sz="0" w:space="0" w:color="auto"/>
                                                        <w:left w:val="none" w:sz="0" w:space="0" w:color="auto"/>
                                                        <w:bottom w:val="none" w:sz="0" w:space="0" w:color="auto"/>
                                                        <w:right w:val="none" w:sz="0" w:space="0" w:color="auto"/>
                                                      </w:divBdr>
                                                    </w:div>
                                                    <w:div w:id="1079911389">
                                                      <w:marLeft w:val="0"/>
                                                      <w:marRight w:val="240"/>
                                                      <w:marTop w:val="0"/>
                                                      <w:marBottom w:val="0"/>
                                                      <w:divBdr>
                                                        <w:top w:val="none" w:sz="0" w:space="0" w:color="auto"/>
                                                        <w:left w:val="none" w:sz="0" w:space="0" w:color="auto"/>
                                                        <w:bottom w:val="none" w:sz="0" w:space="0" w:color="auto"/>
                                                        <w:right w:val="none" w:sz="0" w:space="0" w:color="auto"/>
                                                      </w:divBdr>
                                                    </w:div>
                                                  </w:divsChild>
                                                </w:div>
                                                <w:div w:id="1968005219">
                                                  <w:marLeft w:val="0"/>
                                                  <w:marRight w:val="0"/>
                                                  <w:marTop w:val="0"/>
                                                  <w:marBottom w:val="0"/>
                                                  <w:divBdr>
                                                    <w:top w:val="none" w:sz="0" w:space="0" w:color="auto"/>
                                                    <w:left w:val="none" w:sz="0" w:space="0" w:color="auto"/>
                                                    <w:bottom w:val="none" w:sz="0" w:space="0" w:color="auto"/>
                                                    <w:right w:val="none" w:sz="0" w:space="0" w:color="auto"/>
                                                  </w:divBdr>
                                                  <w:divsChild>
                                                    <w:div w:id="126971019">
                                                      <w:marLeft w:val="0"/>
                                                      <w:marRight w:val="0"/>
                                                      <w:marTop w:val="0"/>
                                                      <w:marBottom w:val="0"/>
                                                      <w:divBdr>
                                                        <w:top w:val="none" w:sz="0" w:space="0" w:color="auto"/>
                                                        <w:left w:val="none" w:sz="0" w:space="0" w:color="auto"/>
                                                        <w:bottom w:val="none" w:sz="0" w:space="0" w:color="auto"/>
                                                        <w:right w:val="none" w:sz="0" w:space="0" w:color="auto"/>
                                                      </w:divBdr>
                                                      <w:divsChild>
                                                        <w:div w:id="157885219">
                                                          <w:marLeft w:val="0"/>
                                                          <w:marRight w:val="0"/>
                                                          <w:marTop w:val="0"/>
                                                          <w:marBottom w:val="0"/>
                                                          <w:divBdr>
                                                            <w:top w:val="none" w:sz="0" w:space="0" w:color="auto"/>
                                                            <w:left w:val="none" w:sz="0" w:space="0" w:color="auto"/>
                                                            <w:bottom w:val="none" w:sz="0" w:space="0" w:color="auto"/>
                                                            <w:right w:val="none" w:sz="0" w:space="0" w:color="auto"/>
                                                          </w:divBdr>
                                                        </w:div>
                                                      </w:divsChild>
                                                    </w:div>
                                                    <w:div w:id="1744643657">
                                                      <w:marLeft w:val="0"/>
                                                      <w:marRight w:val="0"/>
                                                      <w:marTop w:val="0"/>
                                                      <w:marBottom w:val="0"/>
                                                      <w:divBdr>
                                                        <w:top w:val="none" w:sz="0" w:space="0" w:color="auto"/>
                                                        <w:left w:val="none" w:sz="0" w:space="0" w:color="auto"/>
                                                        <w:bottom w:val="none" w:sz="0" w:space="0" w:color="auto"/>
                                                        <w:right w:val="none" w:sz="0" w:space="0" w:color="auto"/>
                                                      </w:divBdr>
                                                      <w:divsChild>
                                                        <w:div w:id="1983847446">
                                                          <w:marLeft w:val="0"/>
                                                          <w:marRight w:val="0"/>
                                                          <w:marTop w:val="0"/>
                                                          <w:marBottom w:val="75"/>
                                                          <w:divBdr>
                                                            <w:top w:val="none" w:sz="0" w:space="0" w:color="auto"/>
                                                            <w:left w:val="none" w:sz="0" w:space="0" w:color="auto"/>
                                                            <w:bottom w:val="none" w:sz="0" w:space="0" w:color="auto"/>
                                                            <w:right w:val="none" w:sz="0" w:space="0" w:color="auto"/>
                                                          </w:divBdr>
                                                          <w:divsChild>
                                                            <w:div w:id="923762453">
                                                              <w:marLeft w:val="0"/>
                                                              <w:marRight w:val="75"/>
                                                              <w:marTop w:val="0"/>
                                                              <w:marBottom w:val="0"/>
                                                              <w:divBdr>
                                                                <w:top w:val="none" w:sz="0" w:space="0" w:color="auto"/>
                                                                <w:left w:val="none" w:sz="0" w:space="0" w:color="auto"/>
                                                                <w:bottom w:val="none" w:sz="0" w:space="0" w:color="auto"/>
                                                                <w:right w:val="none" w:sz="0" w:space="0" w:color="auto"/>
                                                              </w:divBdr>
                                                            </w:div>
                                                          </w:divsChild>
                                                        </w:div>
                                                        <w:div w:id="689644776">
                                                          <w:marLeft w:val="0"/>
                                                          <w:marRight w:val="0"/>
                                                          <w:marTop w:val="0"/>
                                                          <w:marBottom w:val="75"/>
                                                          <w:divBdr>
                                                            <w:top w:val="none" w:sz="0" w:space="0" w:color="auto"/>
                                                            <w:left w:val="none" w:sz="0" w:space="0" w:color="auto"/>
                                                            <w:bottom w:val="none" w:sz="0" w:space="0" w:color="auto"/>
                                                            <w:right w:val="none" w:sz="0" w:space="0" w:color="auto"/>
                                                          </w:divBdr>
                                                          <w:divsChild>
                                                            <w:div w:id="3683383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76413550">
                                                      <w:marLeft w:val="0"/>
                                                      <w:marRight w:val="0"/>
                                                      <w:marTop w:val="240"/>
                                                      <w:marBottom w:val="0"/>
                                                      <w:divBdr>
                                                        <w:top w:val="none" w:sz="0" w:space="0" w:color="auto"/>
                                                        <w:left w:val="none" w:sz="0" w:space="0" w:color="auto"/>
                                                        <w:bottom w:val="none" w:sz="0" w:space="0" w:color="auto"/>
                                                        <w:right w:val="none" w:sz="0" w:space="0" w:color="auto"/>
                                                      </w:divBdr>
                                                    </w:div>
                                                    <w:div w:id="1257520298">
                                                      <w:marLeft w:val="0"/>
                                                      <w:marRight w:val="240"/>
                                                      <w:marTop w:val="0"/>
                                                      <w:marBottom w:val="0"/>
                                                      <w:divBdr>
                                                        <w:top w:val="none" w:sz="0" w:space="0" w:color="auto"/>
                                                        <w:left w:val="none" w:sz="0" w:space="0" w:color="auto"/>
                                                        <w:bottom w:val="none" w:sz="0" w:space="0" w:color="auto"/>
                                                        <w:right w:val="none" w:sz="0" w:space="0" w:color="auto"/>
                                                      </w:divBdr>
                                                    </w:div>
                                                    <w:div w:id="1708985729">
                                                      <w:marLeft w:val="0"/>
                                                      <w:marRight w:val="240"/>
                                                      <w:marTop w:val="0"/>
                                                      <w:marBottom w:val="0"/>
                                                      <w:divBdr>
                                                        <w:top w:val="none" w:sz="0" w:space="0" w:color="auto"/>
                                                        <w:left w:val="none" w:sz="0" w:space="0" w:color="auto"/>
                                                        <w:bottom w:val="none" w:sz="0" w:space="0" w:color="auto"/>
                                                        <w:right w:val="none" w:sz="0" w:space="0" w:color="auto"/>
                                                      </w:divBdr>
                                                    </w:div>
                                                    <w:div w:id="263390955">
                                                      <w:marLeft w:val="0"/>
                                                      <w:marRight w:val="240"/>
                                                      <w:marTop w:val="0"/>
                                                      <w:marBottom w:val="0"/>
                                                      <w:divBdr>
                                                        <w:top w:val="none" w:sz="0" w:space="0" w:color="auto"/>
                                                        <w:left w:val="none" w:sz="0" w:space="0" w:color="auto"/>
                                                        <w:bottom w:val="none" w:sz="0" w:space="0" w:color="auto"/>
                                                        <w:right w:val="none" w:sz="0" w:space="0" w:color="auto"/>
                                                      </w:divBdr>
                                                    </w:div>
                                                  </w:divsChild>
                                                </w:div>
                                                <w:div w:id="808745896">
                                                  <w:marLeft w:val="0"/>
                                                  <w:marRight w:val="0"/>
                                                  <w:marTop w:val="0"/>
                                                  <w:marBottom w:val="0"/>
                                                  <w:divBdr>
                                                    <w:top w:val="none" w:sz="0" w:space="0" w:color="auto"/>
                                                    <w:left w:val="none" w:sz="0" w:space="0" w:color="auto"/>
                                                    <w:bottom w:val="none" w:sz="0" w:space="0" w:color="auto"/>
                                                    <w:right w:val="none" w:sz="0" w:space="0" w:color="auto"/>
                                                  </w:divBdr>
                                                  <w:divsChild>
                                                    <w:div w:id="1579630513">
                                                      <w:marLeft w:val="0"/>
                                                      <w:marRight w:val="0"/>
                                                      <w:marTop w:val="0"/>
                                                      <w:marBottom w:val="0"/>
                                                      <w:divBdr>
                                                        <w:top w:val="none" w:sz="0" w:space="0" w:color="auto"/>
                                                        <w:left w:val="none" w:sz="0" w:space="0" w:color="auto"/>
                                                        <w:bottom w:val="none" w:sz="0" w:space="0" w:color="auto"/>
                                                        <w:right w:val="none" w:sz="0" w:space="0" w:color="auto"/>
                                                      </w:divBdr>
                                                      <w:divsChild>
                                                        <w:div w:id="1452939455">
                                                          <w:marLeft w:val="0"/>
                                                          <w:marRight w:val="0"/>
                                                          <w:marTop w:val="0"/>
                                                          <w:marBottom w:val="0"/>
                                                          <w:divBdr>
                                                            <w:top w:val="none" w:sz="0" w:space="0" w:color="auto"/>
                                                            <w:left w:val="none" w:sz="0" w:space="0" w:color="auto"/>
                                                            <w:bottom w:val="none" w:sz="0" w:space="0" w:color="auto"/>
                                                            <w:right w:val="none" w:sz="0" w:space="0" w:color="auto"/>
                                                          </w:divBdr>
                                                        </w:div>
                                                      </w:divsChild>
                                                    </w:div>
                                                    <w:div w:id="880632239">
                                                      <w:marLeft w:val="0"/>
                                                      <w:marRight w:val="0"/>
                                                      <w:marTop w:val="0"/>
                                                      <w:marBottom w:val="0"/>
                                                      <w:divBdr>
                                                        <w:top w:val="none" w:sz="0" w:space="0" w:color="auto"/>
                                                        <w:left w:val="none" w:sz="0" w:space="0" w:color="auto"/>
                                                        <w:bottom w:val="none" w:sz="0" w:space="0" w:color="auto"/>
                                                        <w:right w:val="none" w:sz="0" w:space="0" w:color="auto"/>
                                                      </w:divBdr>
                                                      <w:divsChild>
                                                        <w:div w:id="1937904889">
                                                          <w:marLeft w:val="0"/>
                                                          <w:marRight w:val="0"/>
                                                          <w:marTop w:val="0"/>
                                                          <w:marBottom w:val="75"/>
                                                          <w:divBdr>
                                                            <w:top w:val="none" w:sz="0" w:space="0" w:color="auto"/>
                                                            <w:left w:val="none" w:sz="0" w:space="0" w:color="auto"/>
                                                            <w:bottom w:val="none" w:sz="0" w:space="0" w:color="auto"/>
                                                            <w:right w:val="none" w:sz="0" w:space="0" w:color="auto"/>
                                                          </w:divBdr>
                                                          <w:divsChild>
                                                            <w:div w:id="20438943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27048689">
                                                      <w:marLeft w:val="0"/>
                                                      <w:marRight w:val="0"/>
                                                      <w:marTop w:val="240"/>
                                                      <w:marBottom w:val="0"/>
                                                      <w:divBdr>
                                                        <w:top w:val="none" w:sz="0" w:space="0" w:color="auto"/>
                                                        <w:left w:val="none" w:sz="0" w:space="0" w:color="auto"/>
                                                        <w:bottom w:val="none" w:sz="0" w:space="0" w:color="auto"/>
                                                        <w:right w:val="none" w:sz="0" w:space="0" w:color="auto"/>
                                                      </w:divBdr>
                                                    </w:div>
                                                    <w:div w:id="1342973303">
                                                      <w:marLeft w:val="0"/>
                                                      <w:marRight w:val="240"/>
                                                      <w:marTop w:val="0"/>
                                                      <w:marBottom w:val="0"/>
                                                      <w:divBdr>
                                                        <w:top w:val="none" w:sz="0" w:space="0" w:color="auto"/>
                                                        <w:left w:val="none" w:sz="0" w:space="0" w:color="auto"/>
                                                        <w:bottom w:val="none" w:sz="0" w:space="0" w:color="auto"/>
                                                        <w:right w:val="none" w:sz="0" w:space="0" w:color="auto"/>
                                                      </w:divBdr>
                                                    </w:div>
                                                    <w:div w:id="1468468131">
                                                      <w:marLeft w:val="0"/>
                                                      <w:marRight w:val="240"/>
                                                      <w:marTop w:val="0"/>
                                                      <w:marBottom w:val="0"/>
                                                      <w:divBdr>
                                                        <w:top w:val="none" w:sz="0" w:space="0" w:color="auto"/>
                                                        <w:left w:val="none" w:sz="0" w:space="0" w:color="auto"/>
                                                        <w:bottom w:val="none" w:sz="0" w:space="0" w:color="auto"/>
                                                        <w:right w:val="none" w:sz="0" w:space="0" w:color="auto"/>
                                                      </w:divBdr>
                                                    </w:div>
                                                    <w:div w:id="1934046656">
                                                      <w:marLeft w:val="0"/>
                                                      <w:marRight w:val="240"/>
                                                      <w:marTop w:val="0"/>
                                                      <w:marBottom w:val="0"/>
                                                      <w:divBdr>
                                                        <w:top w:val="none" w:sz="0" w:space="0" w:color="auto"/>
                                                        <w:left w:val="none" w:sz="0" w:space="0" w:color="auto"/>
                                                        <w:bottom w:val="none" w:sz="0" w:space="0" w:color="auto"/>
                                                        <w:right w:val="none" w:sz="0" w:space="0" w:color="auto"/>
                                                      </w:divBdr>
                                                    </w:div>
                                                  </w:divsChild>
                                                </w:div>
                                                <w:div w:id="185214392">
                                                  <w:marLeft w:val="0"/>
                                                  <w:marRight w:val="0"/>
                                                  <w:marTop w:val="0"/>
                                                  <w:marBottom w:val="0"/>
                                                  <w:divBdr>
                                                    <w:top w:val="none" w:sz="0" w:space="0" w:color="auto"/>
                                                    <w:left w:val="none" w:sz="0" w:space="0" w:color="auto"/>
                                                    <w:bottom w:val="none" w:sz="0" w:space="0" w:color="auto"/>
                                                    <w:right w:val="none" w:sz="0" w:space="0" w:color="auto"/>
                                                  </w:divBdr>
                                                  <w:divsChild>
                                                    <w:div w:id="179974784">
                                                      <w:marLeft w:val="0"/>
                                                      <w:marRight w:val="0"/>
                                                      <w:marTop w:val="0"/>
                                                      <w:marBottom w:val="0"/>
                                                      <w:divBdr>
                                                        <w:top w:val="none" w:sz="0" w:space="0" w:color="auto"/>
                                                        <w:left w:val="none" w:sz="0" w:space="0" w:color="auto"/>
                                                        <w:bottom w:val="none" w:sz="0" w:space="0" w:color="auto"/>
                                                        <w:right w:val="none" w:sz="0" w:space="0" w:color="auto"/>
                                                      </w:divBdr>
                                                      <w:divsChild>
                                                        <w:div w:id="443234548">
                                                          <w:marLeft w:val="0"/>
                                                          <w:marRight w:val="0"/>
                                                          <w:marTop w:val="0"/>
                                                          <w:marBottom w:val="0"/>
                                                          <w:divBdr>
                                                            <w:top w:val="none" w:sz="0" w:space="0" w:color="auto"/>
                                                            <w:left w:val="none" w:sz="0" w:space="0" w:color="auto"/>
                                                            <w:bottom w:val="none" w:sz="0" w:space="0" w:color="auto"/>
                                                            <w:right w:val="none" w:sz="0" w:space="0" w:color="auto"/>
                                                          </w:divBdr>
                                                        </w:div>
                                                      </w:divsChild>
                                                    </w:div>
                                                    <w:div w:id="974607601">
                                                      <w:marLeft w:val="0"/>
                                                      <w:marRight w:val="0"/>
                                                      <w:marTop w:val="0"/>
                                                      <w:marBottom w:val="0"/>
                                                      <w:divBdr>
                                                        <w:top w:val="none" w:sz="0" w:space="0" w:color="auto"/>
                                                        <w:left w:val="none" w:sz="0" w:space="0" w:color="auto"/>
                                                        <w:bottom w:val="none" w:sz="0" w:space="0" w:color="auto"/>
                                                        <w:right w:val="none" w:sz="0" w:space="0" w:color="auto"/>
                                                      </w:divBdr>
                                                      <w:divsChild>
                                                        <w:div w:id="1410613070">
                                                          <w:marLeft w:val="0"/>
                                                          <w:marRight w:val="0"/>
                                                          <w:marTop w:val="0"/>
                                                          <w:marBottom w:val="75"/>
                                                          <w:divBdr>
                                                            <w:top w:val="none" w:sz="0" w:space="0" w:color="auto"/>
                                                            <w:left w:val="none" w:sz="0" w:space="0" w:color="auto"/>
                                                            <w:bottom w:val="none" w:sz="0" w:space="0" w:color="auto"/>
                                                            <w:right w:val="none" w:sz="0" w:space="0" w:color="auto"/>
                                                          </w:divBdr>
                                                          <w:divsChild>
                                                            <w:div w:id="17686208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17166106">
                                                      <w:marLeft w:val="0"/>
                                                      <w:marRight w:val="0"/>
                                                      <w:marTop w:val="240"/>
                                                      <w:marBottom w:val="0"/>
                                                      <w:divBdr>
                                                        <w:top w:val="none" w:sz="0" w:space="0" w:color="auto"/>
                                                        <w:left w:val="none" w:sz="0" w:space="0" w:color="auto"/>
                                                        <w:bottom w:val="none" w:sz="0" w:space="0" w:color="auto"/>
                                                        <w:right w:val="none" w:sz="0" w:space="0" w:color="auto"/>
                                                      </w:divBdr>
                                                    </w:div>
                                                    <w:div w:id="362362918">
                                                      <w:marLeft w:val="0"/>
                                                      <w:marRight w:val="240"/>
                                                      <w:marTop w:val="0"/>
                                                      <w:marBottom w:val="0"/>
                                                      <w:divBdr>
                                                        <w:top w:val="none" w:sz="0" w:space="0" w:color="auto"/>
                                                        <w:left w:val="none" w:sz="0" w:space="0" w:color="auto"/>
                                                        <w:bottom w:val="none" w:sz="0" w:space="0" w:color="auto"/>
                                                        <w:right w:val="none" w:sz="0" w:space="0" w:color="auto"/>
                                                      </w:divBdr>
                                                    </w:div>
                                                    <w:div w:id="734089591">
                                                      <w:marLeft w:val="0"/>
                                                      <w:marRight w:val="240"/>
                                                      <w:marTop w:val="0"/>
                                                      <w:marBottom w:val="0"/>
                                                      <w:divBdr>
                                                        <w:top w:val="none" w:sz="0" w:space="0" w:color="auto"/>
                                                        <w:left w:val="none" w:sz="0" w:space="0" w:color="auto"/>
                                                        <w:bottom w:val="none" w:sz="0" w:space="0" w:color="auto"/>
                                                        <w:right w:val="none" w:sz="0" w:space="0" w:color="auto"/>
                                                      </w:divBdr>
                                                    </w:div>
                                                    <w:div w:id="1762490323">
                                                      <w:marLeft w:val="0"/>
                                                      <w:marRight w:val="240"/>
                                                      <w:marTop w:val="0"/>
                                                      <w:marBottom w:val="0"/>
                                                      <w:divBdr>
                                                        <w:top w:val="none" w:sz="0" w:space="0" w:color="auto"/>
                                                        <w:left w:val="none" w:sz="0" w:space="0" w:color="auto"/>
                                                        <w:bottom w:val="none" w:sz="0" w:space="0" w:color="auto"/>
                                                        <w:right w:val="none" w:sz="0" w:space="0" w:color="auto"/>
                                                      </w:divBdr>
                                                    </w:div>
                                                  </w:divsChild>
                                                </w:div>
                                                <w:div w:id="194002500">
                                                  <w:marLeft w:val="0"/>
                                                  <w:marRight w:val="0"/>
                                                  <w:marTop w:val="0"/>
                                                  <w:marBottom w:val="0"/>
                                                  <w:divBdr>
                                                    <w:top w:val="none" w:sz="0" w:space="0" w:color="auto"/>
                                                    <w:left w:val="none" w:sz="0" w:space="0" w:color="auto"/>
                                                    <w:bottom w:val="none" w:sz="0" w:space="0" w:color="auto"/>
                                                    <w:right w:val="none" w:sz="0" w:space="0" w:color="auto"/>
                                                  </w:divBdr>
                                                  <w:divsChild>
                                                    <w:div w:id="1063529728">
                                                      <w:marLeft w:val="0"/>
                                                      <w:marRight w:val="0"/>
                                                      <w:marTop w:val="0"/>
                                                      <w:marBottom w:val="0"/>
                                                      <w:divBdr>
                                                        <w:top w:val="none" w:sz="0" w:space="0" w:color="auto"/>
                                                        <w:left w:val="none" w:sz="0" w:space="0" w:color="auto"/>
                                                        <w:bottom w:val="none" w:sz="0" w:space="0" w:color="auto"/>
                                                        <w:right w:val="none" w:sz="0" w:space="0" w:color="auto"/>
                                                      </w:divBdr>
                                                      <w:divsChild>
                                                        <w:div w:id="570115539">
                                                          <w:marLeft w:val="0"/>
                                                          <w:marRight w:val="0"/>
                                                          <w:marTop w:val="0"/>
                                                          <w:marBottom w:val="0"/>
                                                          <w:divBdr>
                                                            <w:top w:val="none" w:sz="0" w:space="0" w:color="auto"/>
                                                            <w:left w:val="none" w:sz="0" w:space="0" w:color="auto"/>
                                                            <w:bottom w:val="none" w:sz="0" w:space="0" w:color="auto"/>
                                                            <w:right w:val="none" w:sz="0" w:space="0" w:color="auto"/>
                                                          </w:divBdr>
                                                        </w:div>
                                                      </w:divsChild>
                                                    </w:div>
                                                    <w:div w:id="842205965">
                                                      <w:marLeft w:val="0"/>
                                                      <w:marRight w:val="0"/>
                                                      <w:marTop w:val="0"/>
                                                      <w:marBottom w:val="0"/>
                                                      <w:divBdr>
                                                        <w:top w:val="none" w:sz="0" w:space="0" w:color="auto"/>
                                                        <w:left w:val="none" w:sz="0" w:space="0" w:color="auto"/>
                                                        <w:bottom w:val="none" w:sz="0" w:space="0" w:color="auto"/>
                                                        <w:right w:val="none" w:sz="0" w:space="0" w:color="auto"/>
                                                      </w:divBdr>
                                                      <w:divsChild>
                                                        <w:div w:id="2170420">
                                                          <w:marLeft w:val="0"/>
                                                          <w:marRight w:val="0"/>
                                                          <w:marTop w:val="0"/>
                                                          <w:marBottom w:val="75"/>
                                                          <w:divBdr>
                                                            <w:top w:val="none" w:sz="0" w:space="0" w:color="auto"/>
                                                            <w:left w:val="none" w:sz="0" w:space="0" w:color="auto"/>
                                                            <w:bottom w:val="none" w:sz="0" w:space="0" w:color="auto"/>
                                                            <w:right w:val="none" w:sz="0" w:space="0" w:color="auto"/>
                                                          </w:divBdr>
                                                          <w:divsChild>
                                                            <w:div w:id="191011836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5550972">
                                                      <w:marLeft w:val="0"/>
                                                      <w:marRight w:val="0"/>
                                                      <w:marTop w:val="240"/>
                                                      <w:marBottom w:val="0"/>
                                                      <w:divBdr>
                                                        <w:top w:val="none" w:sz="0" w:space="0" w:color="auto"/>
                                                        <w:left w:val="none" w:sz="0" w:space="0" w:color="auto"/>
                                                        <w:bottom w:val="none" w:sz="0" w:space="0" w:color="auto"/>
                                                        <w:right w:val="none" w:sz="0" w:space="0" w:color="auto"/>
                                                      </w:divBdr>
                                                    </w:div>
                                                    <w:div w:id="1371758814">
                                                      <w:marLeft w:val="0"/>
                                                      <w:marRight w:val="240"/>
                                                      <w:marTop w:val="0"/>
                                                      <w:marBottom w:val="0"/>
                                                      <w:divBdr>
                                                        <w:top w:val="none" w:sz="0" w:space="0" w:color="auto"/>
                                                        <w:left w:val="none" w:sz="0" w:space="0" w:color="auto"/>
                                                        <w:bottom w:val="none" w:sz="0" w:space="0" w:color="auto"/>
                                                        <w:right w:val="none" w:sz="0" w:space="0" w:color="auto"/>
                                                      </w:divBdr>
                                                    </w:div>
                                                    <w:div w:id="1436369301">
                                                      <w:marLeft w:val="0"/>
                                                      <w:marRight w:val="240"/>
                                                      <w:marTop w:val="0"/>
                                                      <w:marBottom w:val="0"/>
                                                      <w:divBdr>
                                                        <w:top w:val="none" w:sz="0" w:space="0" w:color="auto"/>
                                                        <w:left w:val="none" w:sz="0" w:space="0" w:color="auto"/>
                                                        <w:bottom w:val="none" w:sz="0" w:space="0" w:color="auto"/>
                                                        <w:right w:val="none" w:sz="0" w:space="0" w:color="auto"/>
                                                      </w:divBdr>
                                                    </w:div>
                                                    <w:div w:id="20894261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2357530">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7932967">
      <w:bodyDiv w:val="1"/>
      <w:marLeft w:val="0"/>
      <w:marRight w:val="0"/>
      <w:marTop w:val="0"/>
      <w:marBottom w:val="0"/>
      <w:divBdr>
        <w:top w:val="none" w:sz="0" w:space="0" w:color="auto"/>
        <w:left w:val="none" w:sz="0" w:space="0" w:color="auto"/>
        <w:bottom w:val="none" w:sz="0" w:space="0" w:color="auto"/>
        <w:right w:val="none" w:sz="0" w:space="0" w:color="auto"/>
      </w:divBdr>
    </w:div>
    <w:div w:id="1832596144">
      <w:bodyDiv w:val="1"/>
      <w:marLeft w:val="0"/>
      <w:marRight w:val="0"/>
      <w:marTop w:val="0"/>
      <w:marBottom w:val="0"/>
      <w:divBdr>
        <w:top w:val="none" w:sz="0" w:space="0" w:color="auto"/>
        <w:left w:val="none" w:sz="0" w:space="0" w:color="auto"/>
        <w:bottom w:val="none" w:sz="0" w:space="0" w:color="auto"/>
        <w:right w:val="none" w:sz="0" w:space="0" w:color="auto"/>
      </w:divBdr>
    </w:div>
    <w:div w:id="1849589571">
      <w:bodyDiv w:val="1"/>
      <w:marLeft w:val="0"/>
      <w:marRight w:val="0"/>
      <w:marTop w:val="0"/>
      <w:marBottom w:val="0"/>
      <w:divBdr>
        <w:top w:val="none" w:sz="0" w:space="0" w:color="auto"/>
        <w:left w:val="none" w:sz="0" w:space="0" w:color="auto"/>
        <w:bottom w:val="none" w:sz="0" w:space="0" w:color="auto"/>
        <w:right w:val="none" w:sz="0" w:space="0" w:color="auto"/>
      </w:divBdr>
    </w:div>
    <w:div w:id="1856143131">
      <w:bodyDiv w:val="1"/>
      <w:marLeft w:val="0"/>
      <w:marRight w:val="0"/>
      <w:marTop w:val="0"/>
      <w:marBottom w:val="0"/>
      <w:divBdr>
        <w:top w:val="none" w:sz="0" w:space="0" w:color="auto"/>
        <w:left w:val="none" w:sz="0" w:space="0" w:color="auto"/>
        <w:bottom w:val="none" w:sz="0" w:space="0" w:color="auto"/>
        <w:right w:val="none" w:sz="0" w:space="0" w:color="auto"/>
      </w:divBdr>
      <w:divsChild>
        <w:div w:id="805659007">
          <w:marLeft w:val="216"/>
          <w:marRight w:val="0"/>
          <w:marTop w:val="80"/>
          <w:marBottom w:val="0"/>
          <w:divBdr>
            <w:top w:val="none" w:sz="0" w:space="0" w:color="auto"/>
            <w:left w:val="none" w:sz="0" w:space="0" w:color="auto"/>
            <w:bottom w:val="none" w:sz="0" w:space="0" w:color="auto"/>
            <w:right w:val="none" w:sz="0" w:space="0" w:color="auto"/>
          </w:divBdr>
        </w:div>
      </w:divsChild>
    </w:div>
    <w:div w:id="1866013547">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1137895">
      <w:bodyDiv w:val="1"/>
      <w:marLeft w:val="0"/>
      <w:marRight w:val="0"/>
      <w:marTop w:val="0"/>
      <w:marBottom w:val="0"/>
      <w:divBdr>
        <w:top w:val="none" w:sz="0" w:space="0" w:color="auto"/>
        <w:left w:val="none" w:sz="0" w:space="0" w:color="auto"/>
        <w:bottom w:val="none" w:sz="0" w:space="0" w:color="auto"/>
        <w:right w:val="none" w:sz="0" w:space="0" w:color="auto"/>
      </w:divBdr>
    </w:div>
    <w:div w:id="1872762876">
      <w:bodyDiv w:val="1"/>
      <w:marLeft w:val="0"/>
      <w:marRight w:val="0"/>
      <w:marTop w:val="0"/>
      <w:marBottom w:val="0"/>
      <w:divBdr>
        <w:top w:val="none" w:sz="0" w:space="0" w:color="auto"/>
        <w:left w:val="none" w:sz="0" w:space="0" w:color="auto"/>
        <w:bottom w:val="none" w:sz="0" w:space="0" w:color="auto"/>
        <w:right w:val="none" w:sz="0" w:space="0" w:color="auto"/>
      </w:divBdr>
    </w:div>
    <w:div w:id="1874608482">
      <w:bodyDiv w:val="1"/>
      <w:marLeft w:val="0"/>
      <w:marRight w:val="0"/>
      <w:marTop w:val="0"/>
      <w:marBottom w:val="0"/>
      <w:divBdr>
        <w:top w:val="none" w:sz="0" w:space="0" w:color="auto"/>
        <w:left w:val="none" w:sz="0" w:space="0" w:color="auto"/>
        <w:bottom w:val="none" w:sz="0" w:space="0" w:color="auto"/>
        <w:right w:val="none" w:sz="0" w:space="0" w:color="auto"/>
      </w:divBdr>
    </w:div>
    <w:div w:id="1891376603">
      <w:bodyDiv w:val="1"/>
      <w:marLeft w:val="0"/>
      <w:marRight w:val="0"/>
      <w:marTop w:val="0"/>
      <w:marBottom w:val="0"/>
      <w:divBdr>
        <w:top w:val="none" w:sz="0" w:space="0" w:color="auto"/>
        <w:left w:val="none" w:sz="0" w:space="0" w:color="auto"/>
        <w:bottom w:val="none" w:sz="0" w:space="0" w:color="auto"/>
        <w:right w:val="none" w:sz="0" w:space="0" w:color="auto"/>
      </w:divBdr>
    </w:div>
    <w:div w:id="1895000162">
      <w:bodyDiv w:val="1"/>
      <w:marLeft w:val="0"/>
      <w:marRight w:val="0"/>
      <w:marTop w:val="0"/>
      <w:marBottom w:val="0"/>
      <w:divBdr>
        <w:top w:val="none" w:sz="0" w:space="0" w:color="auto"/>
        <w:left w:val="none" w:sz="0" w:space="0" w:color="auto"/>
        <w:bottom w:val="none" w:sz="0" w:space="0" w:color="auto"/>
        <w:right w:val="none" w:sz="0" w:space="0" w:color="auto"/>
      </w:divBdr>
    </w:div>
    <w:div w:id="1898973162">
      <w:bodyDiv w:val="1"/>
      <w:marLeft w:val="0"/>
      <w:marRight w:val="0"/>
      <w:marTop w:val="0"/>
      <w:marBottom w:val="0"/>
      <w:divBdr>
        <w:top w:val="none" w:sz="0" w:space="0" w:color="auto"/>
        <w:left w:val="none" w:sz="0" w:space="0" w:color="auto"/>
        <w:bottom w:val="none" w:sz="0" w:space="0" w:color="auto"/>
        <w:right w:val="none" w:sz="0" w:space="0" w:color="auto"/>
      </w:divBdr>
    </w:div>
    <w:div w:id="1908303808">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5428112">
      <w:bodyDiv w:val="1"/>
      <w:marLeft w:val="0"/>
      <w:marRight w:val="0"/>
      <w:marTop w:val="0"/>
      <w:marBottom w:val="0"/>
      <w:divBdr>
        <w:top w:val="none" w:sz="0" w:space="0" w:color="auto"/>
        <w:left w:val="none" w:sz="0" w:space="0" w:color="auto"/>
        <w:bottom w:val="none" w:sz="0" w:space="0" w:color="auto"/>
        <w:right w:val="none" w:sz="0" w:space="0" w:color="auto"/>
      </w:divBdr>
    </w:div>
    <w:div w:id="1922445186">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5818648">
      <w:bodyDiv w:val="1"/>
      <w:marLeft w:val="0"/>
      <w:marRight w:val="0"/>
      <w:marTop w:val="0"/>
      <w:marBottom w:val="0"/>
      <w:divBdr>
        <w:top w:val="none" w:sz="0" w:space="0" w:color="auto"/>
        <w:left w:val="none" w:sz="0" w:space="0" w:color="auto"/>
        <w:bottom w:val="none" w:sz="0" w:space="0" w:color="auto"/>
        <w:right w:val="none" w:sz="0" w:space="0" w:color="auto"/>
      </w:divBdr>
    </w:div>
    <w:div w:id="1936553854">
      <w:bodyDiv w:val="1"/>
      <w:marLeft w:val="0"/>
      <w:marRight w:val="0"/>
      <w:marTop w:val="0"/>
      <w:marBottom w:val="0"/>
      <w:divBdr>
        <w:top w:val="none" w:sz="0" w:space="0" w:color="auto"/>
        <w:left w:val="none" w:sz="0" w:space="0" w:color="auto"/>
        <w:bottom w:val="none" w:sz="0" w:space="0" w:color="auto"/>
        <w:right w:val="none" w:sz="0" w:space="0" w:color="auto"/>
      </w:divBdr>
    </w:div>
    <w:div w:id="1945459151">
      <w:bodyDiv w:val="1"/>
      <w:marLeft w:val="0"/>
      <w:marRight w:val="0"/>
      <w:marTop w:val="0"/>
      <w:marBottom w:val="0"/>
      <w:divBdr>
        <w:top w:val="none" w:sz="0" w:space="0" w:color="auto"/>
        <w:left w:val="none" w:sz="0" w:space="0" w:color="auto"/>
        <w:bottom w:val="none" w:sz="0" w:space="0" w:color="auto"/>
        <w:right w:val="none" w:sz="0" w:space="0" w:color="auto"/>
      </w:divBdr>
    </w:div>
    <w:div w:id="1948268370">
      <w:bodyDiv w:val="1"/>
      <w:marLeft w:val="0"/>
      <w:marRight w:val="0"/>
      <w:marTop w:val="0"/>
      <w:marBottom w:val="0"/>
      <w:divBdr>
        <w:top w:val="none" w:sz="0" w:space="0" w:color="auto"/>
        <w:left w:val="none" w:sz="0" w:space="0" w:color="auto"/>
        <w:bottom w:val="none" w:sz="0" w:space="0" w:color="auto"/>
        <w:right w:val="none" w:sz="0" w:space="0" w:color="auto"/>
      </w:divBdr>
    </w:div>
    <w:div w:id="1957105029">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5836787">
      <w:bodyDiv w:val="1"/>
      <w:marLeft w:val="0"/>
      <w:marRight w:val="0"/>
      <w:marTop w:val="0"/>
      <w:marBottom w:val="0"/>
      <w:divBdr>
        <w:top w:val="none" w:sz="0" w:space="0" w:color="auto"/>
        <w:left w:val="none" w:sz="0" w:space="0" w:color="auto"/>
        <w:bottom w:val="none" w:sz="0" w:space="0" w:color="auto"/>
        <w:right w:val="none" w:sz="0" w:space="0" w:color="auto"/>
      </w:divBdr>
    </w:div>
    <w:div w:id="1996646667">
      <w:bodyDiv w:val="1"/>
      <w:marLeft w:val="0"/>
      <w:marRight w:val="0"/>
      <w:marTop w:val="0"/>
      <w:marBottom w:val="0"/>
      <w:divBdr>
        <w:top w:val="none" w:sz="0" w:space="0" w:color="auto"/>
        <w:left w:val="none" w:sz="0" w:space="0" w:color="auto"/>
        <w:bottom w:val="none" w:sz="0" w:space="0" w:color="auto"/>
        <w:right w:val="none" w:sz="0" w:space="0" w:color="auto"/>
      </w:divBdr>
      <w:divsChild>
        <w:div w:id="876356851">
          <w:marLeft w:val="0"/>
          <w:marRight w:val="0"/>
          <w:marTop w:val="0"/>
          <w:marBottom w:val="0"/>
          <w:divBdr>
            <w:top w:val="none" w:sz="0" w:space="0" w:color="auto"/>
            <w:left w:val="none" w:sz="0" w:space="0" w:color="auto"/>
            <w:bottom w:val="none" w:sz="0" w:space="0" w:color="auto"/>
            <w:right w:val="none" w:sz="0" w:space="0" w:color="auto"/>
          </w:divBdr>
          <w:divsChild>
            <w:div w:id="1071582373">
              <w:marLeft w:val="439"/>
              <w:marRight w:val="0"/>
              <w:marTop w:val="0"/>
              <w:marBottom w:val="0"/>
              <w:divBdr>
                <w:top w:val="none" w:sz="0" w:space="0" w:color="auto"/>
                <w:left w:val="none" w:sz="0" w:space="0" w:color="auto"/>
                <w:bottom w:val="none" w:sz="0" w:space="0" w:color="auto"/>
                <w:right w:val="none" w:sz="0" w:space="0" w:color="auto"/>
              </w:divBdr>
              <w:divsChild>
                <w:div w:id="1959330137">
                  <w:marLeft w:val="0"/>
                  <w:marRight w:val="0"/>
                  <w:marTop w:val="0"/>
                  <w:marBottom w:val="0"/>
                  <w:divBdr>
                    <w:top w:val="none" w:sz="0" w:space="0" w:color="auto"/>
                    <w:left w:val="none" w:sz="0" w:space="0" w:color="auto"/>
                    <w:bottom w:val="none" w:sz="0" w:space="0" w:color="auto"/>
                    <w:right w:val="none" w:sz="0" w:space="0" w:color="auto"/>
                  </w:divBdr>
                  <w:divsChild>
                    <w:div w:id="48733074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4149">
          <w:marLeft w:val="0"/>
          <w:marRight w:val="0"/>
          <w:marTop w:val="0"/>
          <w:marBottom w:val="0"/>
          <w:divBdr>
            <w:top w:val="none" w:sz="0" w:space="0" w:color="auto"/>
            <w:left w:val="none" w:sz="0" w:space="0" w:color="auto"/>
            <w:bottom w:val="none" w:sz="0" w:space="0" w:color="auto"/>
            <w:right w:val="none" w:sz="0" w:space="0" w:color="auto"/>
          </w:divBdr>
        </w:div>
      </w:divsChild>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338435">
      <w:bodyDiv w:val="1"/>
      <w:marLeft w:val="0"/>
      <w:marRight w:val="0"/>
      <w:marTop w:val="0"/>
      <w:marBottom w:val="0"/>
      <w:divBdr>
        <w:top w:val="none" w:sz="0" w:space="0" w:color="auto"/>
        <w:left w:val="none" w:sz="0" w:space="0" w:color="auto"/>
        <w:bottom w:val="none" w:sz="0" w:space="0" w:color="auto"/>
        <w:right w:val="none" w:sz="0" w:space="0" w:color="auto"/>
      </w:divBdr>
    </w:div>
    <w:div w:id="2003124835">
      <w:bodyDiv w:val="1"/>
      <w:marLeft w:val="0"/>
      <w:marRight w:val="0"/>
      <w:marTop w:val="0"/>
      <w:marBottom w:val="0"/>
      <w:divBdr>
        <w:top w:val="none" w:sz="0" w:space="0" w:color="auto"/>
        <w:left w:val="none" w:sz="0" w:space="0" w:color="auto"/>
        <w:bottom w:val="none" w:sz="0" w:space="0" w:color="auto"/>
        <w:right w:val="none" w:sz="0" w:space="0" w:color="auto"/>
      </w:divBdr>
    </w:div>
    <w:div w:id="2005425073">
      <w:bodyDiv w:val="1"/>
      <w:marLeft w:val="0"/>
      <w:marRight w:val="0"/>
      <w:marTop w:val="0"/>
      <w:marBottom w:val="0"/>
      <w:divBdr>
        <w:top w:val="none" w:sz="0" w:space="0" w:color="auto"/>
        <w:left w:val="none" w:sz="0" w:space="0" w:color="auto"/>
        <w:bottom w:val="none" w:sz="0" w:space="0" w:color="auto"/>
        <w:right w:val="none" w:sz="0" w:space="0" w:color="auto"/>
      </w:divBdr>
    </w:div>
    <w:div w:id="2007777914">
      <w:bodyDiv w:val="1"/>
      <w:marLeft w:val="0"/>
      <w:marRight w:val="0"/>
      <w:marTop w:val="0"/>
      <w:marBottom w:val="0"/>
      <w:divBdr>
        <w:top w:val="none" w:sz="0" w:space="0" w:color="auto"/>
        <w:left w:val="none" w:sz="0" w:space="0" w:color="auto"/>
        <w:bottom w:val="none" w:sz="0" w:space="0" w:color="auto"/>
        <w:right w:val="none" w:sz="0" w:space="0" w:color="auto"/>
      </w:divBdr>
    </w:div>
    <w:div w:id="2017685877">
      <w:bodyDiv w:val="1"/>
      <w:marLeft w:val="0"/>
      <w:marRight w:val="0"/>
      <w:marTop w:val="0"/>
      <w:marBottom w:val="0"/>
      <w:divBdr>
        <w:top w:val="none" w:sz="0" w:space="0" w:color="auto"/>
        <w:left w:val="none" w:sz="0" w:space="0" w:color="auto"/>
        <w:bottom w:val="none" w:sz="0" w:space="0" w:color="auto"/>
        <w:right w:val="none" w:sz="0" w:space="0" w:color="auto"/>
      </w:divBdr>
    </w:div>
    <w:div w:id="2019231433">
      <w:bodyDiv w:val="1"/>
      <w:marLeft w:val="0"/>
      <w:marRight w:val="0"/>
      <w:marTop w:val="0"/>
      <w:marBottom w:val="0"/>
      <w:divBdr>
        <w:top w:val="none" w:sz="0" w:space="0" w:color="auto"/>
        <w:left w:val="none" w:sz="0" w:space="0" w:color="auto"/>
        <w:bottom w:val="none" w:sz="0" w:space="0" w:color="auto"/>
        <w:right w:val="none" w:sz="0" w:space="0" w:color="auto"/>
      </w:divBdr>
    </w:div>
    <w:div w:id="2025014060">
      <w:bodyDiv w:val="1"/>
      <w:marLeft w:val="0"/>
      <w:marRight w:val="0"/>
      <w:marTop w:val="0"/>
      <w:marBottom w:val="0"/>
      <w:divBdr>
        <w:top w:val="none" w:sz="0" w:space="0" w:color="auto"/>
        <w:left w:val="none" w:sz="0" w:space="0" w:color="auto"/>
        <w:bottom w:val="none" w:sz="0" w:space="0" w:color="auto"/>
        <w:right w:val="none" w:sz="0" w:space="0" w:color="auto"/>
      </w:divBdr>
    </w:div>
    <w:div w:id="2026130859">
      <w:bodyDiv w:val="1"/>
      <w:marLeft w:val="0"/>
      <w:marRight w:val="0"/>
      <w:marTop w:val="0"/>
      <w:marBottom w:val="0"/>
      <w:divBdr>
        <w:top w:val="none" w:sz="0" w:space="0" w:color="auto"/>
        <w:left w:val="none" w:sz="0" w:space="0" w:color="auto"/>
        <w:bottom w:val="none" w:sz="0" w:space="0" w:color="auto"/>
        <w:right w:val="none" w:sz="0" w:space="0" w:color="auto"/>
      </w:divBdr>
    </w:div>
    <w:div w:id="2030137929">
      <w:bodyDiv w:val="1"/>
      <w:marLeft w:val="0"/>
      <w:marRight w:val="0"/>
      <w:marTop w:val="0"/>
      <w:marBottom w:val="0"/>
      <w:divBdr>
        <w:top w:val="none" w:sz="0" w:space="0" w:color="auto"/>
        <w:left w:val="none" w:sz="0" w:space="0" w:color="auto"/>
        <w:bottom w:val="none" w:sz="0" w:space="0" w:color="auto"/>
        <w:right w:val="none" w:sz="0" w:space="0" w:color="auto"/>
      </w:divBdr>
    </w:div>
    <w:div w:id="203877650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8797833">
      <w:bodyDiv w:val="1"/>
      <w:marLeft w:val="0"/>
      <w:marRight w:val="0"/>
      <w:marTop w:val="0"/>
      <w:marBottom w:val="0"/>
      <w:divBdr>
        <w:top w:val="none" w:sz="0" w:space="0" w:color="auto"/>
        <w:left w:val="none" w:sz="0" w:space="0" w:color="auto"/>
        <w:bottom w:val="none" w:sz="0" w:space="0" w:color="auto"/>
        <w:right w:val="none" w:sz="0" w:space="0" w:color="auto"/>
      </w:divBdr>
      <w:divsChild>
        <w:div w:id="139537284">
          <w:marLeft w:val="720"/>
          <w:marRight w:val="0"/>
          <w:marTop w:val="101"/>
          <w:marBottom w:val="0"/>
          <w:divBdr>
            <w:top w:val="none" w:sz="0" w:space="0" w:color="auto"/>
            <w:left w:val="none" w:sz="0" w:space="0" w:color="auto"/>
            <w:bottom w:val="none" w:sz="0" w:space="0" w:color="auto"/>
            <w:right w:val="none" w:sz="0" w:space="0" w:color="auto"/>
          </w:divBdr>
        </w:div>
      </w:divsChild>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274857">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4284736">
      <w:bodyDiv w:val="1"/>
      <w:marLeft w:val="0"/>
      <w:marRight w:val="0"/>
      <w:marTop w:val="0"/>
      <w:marBottom w:val="0"/>
      <w:divBdr>
        <w:top w:val="none" w:sz="0" w:space="0" w:color="auto"/>
        <w:left w:val="none" w:sz="0" w:space="0" w:color="auto"/>
        <w:bottom w:val="none" w:sz="0" w:space="0" w:color="auto"/>
        <w:right w:val="none" w:sz="0" w:space="0" w:color="auto"/>
      </w:divBdr>
    </w:div>
    <w:div w:id="2092583720">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781253">
      <w:bodyDiv w:val="1"/>
      <w:marLeft w:val="0"/>
      <w:marRight w:val="0"/>
      <w:marTop w:val="0"/>
      <w:marBottom w:val="0"/>
      <w:divBdr>
        <w:top w:val="none" w:sz="0" w:space="0" w:color="auto"/>
        <w:left w:val="none" w:sz="0" w:space="0" w:color="auto"/>
        <w:bottom w:val="none" w:sz="0" w:space="0" w:color="auto"/>
        <w:right w:val="none" w:sz="0" w:space="0" w:color="auto"/>
      </w:divBdr>
    </w:div>
    <w:div w:id="2098283425">
      <w:bodyDiv w:val="1"/>
      <w:marLeft w:val="0"/>
      <w:marRight w:val="0"/>
      <w:marTop w:val="0"/>
      <w:marBottom w:val="0"/>
      <w:divBdr>
        <w:top w:val="none" w:sz="0" w:space="0" w:color="auto"/>
        <w:left w:val="none" w:sz="0" w:space="0" w:color="auto"/>
        <w:bottom w:val="none" w:sz="0" w:space="0" w:color="auto"/>
        <w:right w:val="none" w:sz="0" w:space="0" w:color="auto"/>
      </w:divBdr>
    </w:div>
    <w:div w:id="2098939524">
      <w:bodyDiv w:val="1"/>
      <w:marLeft w:val="0"/>
      <w:marRight w:val="0"/>
      <w:marTop w:val="0"/>
      <w:marBottom w:val="0"/>
      <w:divBdr>
        <w:top w:val="none" w:sz="0" w:space="0" w:color="auto"/>
        <w:left w:val="none" w:sz="0" w:space="0" w:color="auto"/>
        <w:bottom w:val="none" w:sz="0" w:space="0" w:color="auto"/>
        <w:right w:val="none" w:sz="0" w:space="0" w:color="auto"/>
      </w:divBdr>
      <w:divsChild>
        <w:div w:id="1890452964">
          <w:marLeft w:val="0"/>
          <w:marRight w:val="0"/>
          <w:marTop w:val="0"/>
          <w:marBottom w:val="0"/>
          <w:divBdr>
            <w:top w:val="none" w:sz="0" w:space="0" w:color="auto"/>
            <w:left w:val="none" w:sz="0" w:space="0" w:color="auto"/>
            <w:bottom w:val="none" w:sz="0" w:space="0" w:color="auto"/>
            <w:right w:val="none" w:sz="0" w:space="0" w:color="auto"/>
          </w:divBdr>
          <w:divsChild>
            <w:div w:id="1982997162">
              <w:marLeft w:val="0"/>
              <w:marRight w:val="0"/>
              <w:marTop w:val="0"/>
              <w:marBottom w:val="0"/>
              <w:divBdr>
                <w:top w:val="none" w:sz="0" w:space="0" w:color="auto"/>
                <w:left w:val="none" w:sz="0" w:space="0" w:color="auto"/>
                <w:bottom w:val="none" w:sz="0" w:space="0" w:color="auto"/>
                <w:right w:val="none" w:sz="0" w:space="0" w:color="auto"/>
              </w:divBdr>
              <w:divsChild>
                <w:div w:id="1247299672">
                  <w:marLeft w:val="0"/>
                  <w:marRight w:val="0"/>
                  <w:marTop w:val="0"/>
                  <w:marBottom w:val="0"/>
                  <w:divBdr>
                    <w:top w:val="none" w:sz="0" w:space="0" w:color="auto"/>
                    <w:left w:val="none" w:sz="0" w:space="0" w:color="auto"/>
                    <w:bottom w:val="none" w:sz="0" w:space="0" w:color="auto"/>
                    <w:right w:val="none" w:sz="0" w:space="0" w:color="auto"/>
                  </w:divBdr>
                  <w:divsChild>
                    <w:div w:id="179784080">
                      <w:marLeft w:val="0"/>
                      <w:marRight w:val="0"/>
                      <w:marTop w:val="0"/>
                      <w:marBottom w:val="0"/>
                      <w:divBdr>
                        <w:top w:val="none" w:sz="0" w:space="0" w:color="auto"/>
                        <w:left w:val="none" w:sz="0" w:space="0" w:color="auto"/>
                        <w:bottom w:val="none" w:sz="0" w:space="0" w:color="auto"/>
                        <w:right w:val="none" w:sz="0" w:space="0" w:color="auto"/>
                      </w:divBdr>
                      <w:divsChild>
                        <w:div w:id="8623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901535">
      <w:bodyDiv w:val="1"/>
      <w:marLeft w:val="0"/>
      <w:marRight w:val="0"/>
      <w:marTop w:val="0"/>
      <w:marBottom w:val="0"/>
      <w:divBdr>
        <w:top w:val="none" w:sz="0" w:space="0" w:color="auto"/>
        <w:left w:val="none" w:sz="0" w:space="0" w:color="auto"/>
        <w:bottom w:val="none" w:sz="0" w:space="0" w:color="auto"/>
        <w:right w:val="none" w:sz="0" w:space="0" w:color="auto"/>
      </w:divBdr>
    </w:div>
    <w:div w:id="2102137986">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357143">
      <w:bodyDiv w:val="1"/>
      <w:marLeft w:val="0"/>
      <w:marRight w:val="0"/>
      <w:marTop w:val="0"/>
      <w:marBottom w:val="0"/>
      <w:divBdr>
        <w:top w:val="none" w:sz="0" w:space="0" w:color="auto"/>
        <w:left w:val="none" w:sz="0" w:space="0" w:color="auto"/>
        <w:bottom w:val="none" w:sz="0" w:space="0" w:color="auto"/>
        <w:right w:val="none" w:sz="0" w:space="0" w:color="auto"/>
      </w:divBdr>
    </w:div>
    <w:div w:id="2115860674">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1603716">
      <w:bodyDiv w:val="1"/>
      <w:marLeft w:val="0"/>
      <w:marRight w:val="0"/>
      <w:marTop w:val="0"/>
      <w:marBottom w:val="0"/>
      <w:divBdr>
        <w:top w:val="none" w:sz="0" w:space="0" w:color="auto"/>
        <w:left w:val="none" w:sz="0" w:space="0" w:color="auto"/>
        <w:bottom w:val="none" w:sz="0" w:space="0" w:color="auto"/>
        <w:right w:val="none" w:sz="0" w:space="0" w:color="auto"/>
      </w:divBdr>
    </w:div>
    <w:div w:id="2129465388">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272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23</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Placeholder1</b:Tag>
    <b:SourceType>JournalArticle</b:SourceType>
    <b:Guid>{8C142885-55E2-479E-8A94-1FF0E38E82E5}</b:Guid>
    <b:Title>Over 150 potentially low-value health care practices: an Australian study</b:Title>
    <b:Year>2012</b:Year>
    <b:Author>
      <b:Author>
        <b:NameList>
          <b:Person>
            <b:Last>Elshaug</b:Last>
            <b:First>Adam</b:First>
          </b:Person>
          <b:Person>
            <b:Last>Watt</b:Last>
            <b:First>Amber</b:First>
          </b:Person>
          <b:Person>
            <b:Last>Mundy</b:Last>
            <b:First>Linder</b:First>
          </b:Person>
          <b:Person>
            <b:Last>Willis</b:Last>
            <b:First>Cameron</b:First>
          </b:Person>
        </b:NameList>
      </b:Author>
    </b:Author>
    <b:JournalName>The Medical Journal of Australia</b:JournalName>
    <b:Pages>556-560</b:Pages>
    <b:RefOrder>24</b:RefOrder>
  </b:Source>
  <b:Source>
    <b:Tag>Rel08</b:Tag>
    <b:SourceType>ElectronicSource</b:SourceType>
    <b:Guid>{1A8A9786-E79E-4EB6-BF28-024EDE0BEB7F}</b:Guid>
    <b:Title>Relative Value Study</b:Title>
    <b:Year>2008</b:Year>
    <b:ProductionCompany>Department of Health</b:ProductionCompany>
    <b:RefOrder>2</b:RefOrder>
  </b:Source>
  <b:Source>
    <b:Tag>Min</b:Tag>
    <b:SourceType>ArticleInAPeriodical</b:SourceType>
    <b:Guid>{CC719991-0566-49B9-8719-CD4BC8821734}</b:Guid>
    <b:Author>
      <b:Author>
        <b:NameList>
          <b:Person>
            <b:Last>Minion</b:Last>
            <b:First>Lynne</b:First>
          </b:Person>
        </b:NameList>
      </b:Author>
    </b:Author>
    <b:Title>AMA calls for improvements to My Health Record for it to reach potential </b:Title>
    <b:PeriodicalTitle>Healthcare IT news</b:PeriodicalTitle>
    <b:Edition> 15 Dec 2017</b:Edition>
    <b:RefOrder>18</b:RefOrder>
  </b:Source>
  <b:Source>
    <b:Tag>Aus17</b:Tag>
    <b:SourceType>ElectronicSource</b:SourceType>
    <b:Guid>{2F373B75-9EAF-4FCC-B9A2-8EE32303919E}</b:Guid>
    <b:Title>My Health Record Participation and Use Dashboard</b:Title>
    <b:Year>Period ending 10 September 2017</b:Year>
    <b:Author>
      <b:Author>
        <b:Corporate> Australian Digital Health Agency</b:Corporate>
      </b:Author>
    </b:Author>
    <b:RefOrder>19</b:RefOrder>
  </b:Source>
  <b:Source>
    <b:Tag>Gra17</b:Tag>
    <b:SourceType>Misc</b:SourceType>
    <b:Guid>{011806A5-9FAF-48EA-8C49-3F783B6A5CD7}</b:Guid>
    <b:Title>Where to now for the My Health Record</b:Title>
    <b:Year>November 2017</b:Year>
    <b:Author>
      <b:Author>
        <b:NameList>
          <b:Person>
            <b:Last>Grieve</b:Last>
            <b:First>Grahame</b:First>
          </b:Person>
        </b:NameList>
      </b:Author>
    </b:Author>
    <b:PublicationTitle>Healthcare IT</b:PublicationTitle>
    <b:RefOrder>20</b:RefOrder>
  </b:Source>
  <b:Source>
    <b:Tag>Sig16</b:Tag>
    <b:SourceType>Misc</b:SourceType>
    <b:Guid>{6A29E046-FD1A-4E63-B9D6-F2401C1CFE55}</b:Guid>
    <b:Author>
      <b:Author>
        <b:NameList>
          <b:Person>
            <b:Last>Millers</b:Last>
            <b:First>Siggins</b:First>
          </b:Person>
        </b:NameList>
      </b:Author>
    </b:Author>
    <b:Title>Evaluation of the Participation Trials for the My Health Record</b:Title>
    <b:Year>November 2016</b:Year>
    <b:RefOrder>21</b:RefOrder>
  </b:Source>
  <b:Source>
    <b:Tag>Cen08</b:Tag>
    <b:SourceType>Misc</b:SourceType>
    <b:Guid>{27F7C2A2-73DA-48A3-AB59-92F485B6A3E3}</b:Guid>
    <b:Author>
      <b:Author>
        <b:Corporate> Center for Information Technology Leadership</b:Corporate>
      </b:Author>
    </b:Author>
    <b:Title>The value of personal health records</b:Title>
    <b:Year>2008</b:Year>
    <b:City>Charlestown, Mass</b:City>
    <b:Publisher> CITL</b:Publisher>
    <b:RefOrder>22</b:RefOrder>
  </b:Source>
  <b:Source>
    <b:Tag>Roy16</b:Tag>
    <b:SourceType>Misc</b:SourceType>
    <b:Guid>{F1381EF9-8BA2-429D-85FC-CC98D42D3FAB}</b:Guid>
    <b:Author>
      <b:Author>
        <b:Corporate> Royal College of Surgeons of England</b:Corporate>
      </b:Author>
    </b:Author>
    <b:Title>Consent: Supported Decision-Making: A guide to good practice </b:Title>
    <b:Year>2016</b:Year>
    <b:RefOrder>16</b:RefOrder>
  </b:Source>
  <b:Source>
    <b:Tag>Roy</b:Tag>
    <b:SourceType>Misc</b:SourceType>
    <b:Guid>{2AAE435B-222A-4D80-9904-8FE9AFC68739}</b:Guid>
    <b:Author>
      <b:Author>
        <b:Corporate> Royal College of Surgeons</b:Corporate>
      </b:Author>
    </b:Author>
    <b:Title>Position paper: Informed consent</b:Title>
    <b:Volume>FES-PST-042</b:Volume>
    <b:RefOrder>17</b:RefOrder>
  </b:Source>
  <b:Source>
    <b:Tag>Cam16</b:Tag>
    <b:SourceType>Misc</b:SourceType>
    <b:Guid>{BB62737C-298D-4EF8-BD80-23E54A8E648E}</b:Guid>
    <b:Author>
      <b:Author>
        <b:NameList>
          <b:Person>
            <b:Last>al</b:Last>
            <b:First>Campanella</b:First>
            <b:Middle>et</b:Middle>
          </b:Person>
        </b:NameList>
      </b:Author>
    </b:Author>
    <b:Title>The impact of Public Reporting on clinical outcomes: a systematic review and meta-analysis, , .; </b:Title>
    <b:Year> 2016</b:Year>
    <b:Publisher>BMC Health Serv Res</b:Publisher>
    <b:StandardNumber>16: 296</b:StandardNumber>
    <b:RefOrder>13</b:RefOrder>
  </b:Source>
  <b:Source>
    <b:Tag>Fre17</b:Tag>
    <b:SourceType>Misc</b:SourceType>
    <b:Guid>{A4AA750B-AB19-451A-A8E2-310ADDEAC351}</b:Guid>
    <b:Author>
      <b:Author>
        <b:NameList>
          <b:Person>
            <b:Last>Allen</b:Last>
            <b:First>Freed</b:First>
            <b:Middle>&amp;</b:Middle>
          </b:Person>
        </b:NameList>
      </b:Author>
    </b:Author>
    <b:Title>Variation in outpatient consultant physician fees in Australia by specialty and state and territory</b:Title>
    <b:PublicationTitle>MJA</b:PublicationTitle>
    <b:Year> 6 March 2017</b:Year>
    <b:Issue>206 (4) j </b:Issue>
    <b:RefOrder>14</b:RefOrder>
  </b:Source>
  <b:Source>
    <b:Tag>Pro18</b:Tag>
    <b:SourceType>Misc</b:SourceType>
    <b:Guid>{F27F64A3-9F3C-4923-9B94-D85DED31431D}</b:Guid>
    <b:Author>
      <b:Author>
        <b:NameList>
          <b:Person>
            <b:Last>Scott</b:Last>
            <b:First>Professor</b:First>
            <b:Middle>Anthony</b:Middle>
          </b:Person>
        </b:NameList>
      </b:Author>
    </b:Author>
    <b:Title>Health Sector Report Specialists</b:Title>
    <b:Year>2018</b:Year>
    <b:Publisher>ANZ – Melbourne Institute</b:Publisher>
    <b:RefOrder>15</b:RefOrder>
  </b:Source>
  <b:Source>
    <b:Tag>Esp16</b:Tag>
    <b:SourceType>Misc</b:SourceType>
    <b:Guid>{C13BA908-6879-4267-81C5-6B3A1496A8B7}</b:Guid>
    <b:Author>
      <b:Author>
        <b:NameList>
          <b:Person>
            <b:Last>al</b:Last>
            <b:First>Esposito</b:First>
            <b:Middle>et</b:Middle>
          </b:Person>
        </b:NameList>
      </b:Author>
    </b:Author>
    <b:Title>Clinical audit, a valuable tool to improve quality of care: General methodology and applications in nephrology </b:Title>
    <b:PublicationTitle> World J Nephro</b:PublicationTitle>
    <b:Year>6 November 2016</b:Year>
    <b:Issue>3(4): 249–255</b:Issue>
    <b:RefOrder>25</b:RefOrder>
  </b:Source>
  <b:Source>
    <b:Tag>Goo14</b:Tag>
    <b:SourceType>DocumentFromInternetSite</b:SourceType>
    <b:Guid>{B5E59594-CF62-4A36-99E5-36F806E195B2}</b:Guid>
    <b:Title>Good Medical Practice: A Code of Conduct for Doctors in Australia</b:Title>
    <b:Year>March 2014</b:Year>
    <b:URL>http://www.medicalboard.gov.au/Codes-Guidelines-Policies.aspx</b:URL>
    <b:RefOrder>12</b:RefOrder>
  </b:Source>
  <b:Source>
    <b:Tag>McD06</b:Tag>
    <b:SourceType>Misc</b:SourceType>
    <b:Guid>{47C49C6D-CEE1-42FF-A11F-ACF194DAFAE4}</b:Guid>
    <b:Title>Systematic Review of Comprehensive Primary Care Models</b:Title>
    <b:Year>2006</b:Year>
    <b:Author>
      <b:Author>
        <b:NameList>
          <b:Person>
            <b:Last>McDonald J</b:Last>
            <b:First>et</b:First>
            <b:Middle>al</b:Middle>
          </b:Person>
        </b:NameList>
      </b:Author>
    </b:Author>
    <b:City>Sydney</b:City>
    <b:Publisher>Australian Primary Health Care Research Institute</b:Publisher>
    <b:RefOrder>10</b:RefOrder>
  </b:Source>
  <b:Source>
    <b:Tag>Wag00</b:Tag>
    <b:SourceType>Misc</b:SourceType>
    <b:Guid>{AC168336-B3BB-4325-AF39-94B7F41561C7}</b:Guid>
    <b:Author>
      <b:Author>
        <b:NameList>
          <b:Person>
            <b:Last>EH</b:Last>
            <b:First>Wagner</b:First>
          </b:Person>
        </b:NameList>
      </b:Author>
    </b:Author>
    <b:Title>The role of patient care teams in chronic disease management, ,.;</b:Title>
    <b:PublicationTitle>British Medical Journal</b:PublicationTitle>
    <b:Year>2000</b:Year>
    <b:Volume>320(569-572)</b:Volume>
    <b:RefOrder>11</b:RefOrder>
  </b:Source>
  <b:Source>
    <b:Tag>Tor15</b:Tag>
    <b:SourceType>Misc</b:SourceType>
    <b:Guid>{03CF007E-C1A2-4EA6-8539-C9B5555886D6}</b:Guid>
    <b:Author>
      <b:Author>
        <b:NameList>
          <b:Person>
            <b:Last>al</b:Last>
            <b:First>Torre-Dı´ez</b:First>
            <b:Middle>et</b:Middle>
          </b:Person>
        </b:NameList>
      </b:Author>
    </b:Author>
    <b:Title>Cost-Utility and Cost-Effectiveness Studies of Telemedicine, Electronic, and Mobile Health Systems in the Literature: A Systematic Review</b:Title>
    <b:Year>2015</b:Year>
    <b:Publisher> Telemed J E Health</b:Publisher>
    <b:Issue>21(2): 81–85</b:Issue>
    <b:RefOrder>5</b:RefOrder>
  </b:Source>
  <b:Source>
    <b:Tag>Sai18</b:Tag>
    <b:SourceType>InternetSite</b:SourceType>
    <b:Guid>{B009CA2C-7EC6-486A-B499-FDE88BF50B00}</b:Guid>
    <b:Title>Sairaanhoitokorvaustentaksat</b:Title>
    <b:Year>2018</b:Year>
    <b:InternetSiteTitle>Kela</b:InternetSiteTitle>
    <b:Month>6</b:Month>
    <b:Day>6</b:Day>
    <b:URL>(https://www.kela.fi/documents/10180/0/Sairaanhoitokorvausten+taksat+6.6.2018/c33a166c-4d0b-4bd9-a776-8cd46455de39)</b:URL>
    <b:RefOrder>7</b:RefOrder>
  </b:Source>
  <b:Source>
    <b:Tag>Mar14</b:Tag>
    <b:SourceType>Misc</b:SourceType>
    <b:Guid>{8FC36832-EE1E-4EC0-BB86-9C60A5826A4C}</b:Guid>
    <b:Title>Feasibility, effectiveness and costs associated with a web-based follow-up assessment following total joint arthroplasty</b:Title>
    <b:Year>2014</b:Year>
    <b:StandardNumber>doi:10.1016/j.arth.2014.04.003</b:StandardNumber>
    <b:Author>
      <b:Author>
        <b:NameList>
          <b:Person>
            <b:Last>Marsh JD</b:Last>
            <b:First>et</b:First>
            <b:Middle>al</b:Middle>
          </b:Person>
        </b:NameList>
      </b:Author>
    </b:Author>
    <b:PublicationTitle>J Arthroplasty</b:PublicationTitle>
    <b:Issue>29:1723–8.</b:Issue>
    <b:RefOrder>6</b:RefOrder>
  </b:Source>
  <b:Source>
    <b:Tag>Dat15</b:Tag>
    <b:SourceType>Misc</b:SourceType>
    <b:Guid>{BE449DB6-BAF6-4258-A2E4-F078852217A6}</b:Guid>
    <b:Title>Data dictionary and Hospital Episode Statistics,</b:Title>
    <b:Year>2015</b:Year>
    <b:Publisher>Department of Health, NHS England</b:Publisher>
    <b:RefOrder>8</b:RefOrder>
  </b:Source>
  <b:Source>
    <b:Tag>Bri04</b:Tag>
    <b:SourceType>JournalArticle</b:SourceType>
    <b:Guid>{D8CDF77B-E39D-4CB4-A410-C862C9636551}</b:Guid>
    <b:Title>Determinants of GP billing in Australia: content and time</b:Title>
    <b:Year>2004</b:Year>
    <b:Publisher>Medical Journal of Australia</b:Publisher>
    <b:Author>
      <b:Author>
        <b:NameList>
          <b:Person>
            <b:Last>Britt</b:Last>
            <b:First>Valenti,</b:First>
            <b:Middle>Miller and Farmer</b:Middle>
          </b:Person>
        </b:NameList>
      </b:Author>
    </b:Author>
    <b:Volume>181</b:Volume>
    <b:Issue>2</b:Issue>
    <b:RefOrder>3</b:RefOrder>
  </b:Source>
  <b:Source>
    <b:Tag>Bra15</b:Tag>
    <b:SourceType>Misc</b:SourceType>
    <b:Guid>{4C1EAE9D-E0A8-426F-A09B-179113F3068F}</b:Guid>
    <b:Author>
      <b:Author>
        <b:NameList>
          <b:Person>
            <b:Last>al</b:Last>
            <b:First>Bradford</b:First>
            <b:Middle>et</b:Middle>
          </b:Person>
        </b:NameList>
      </b:Author>
    </b:Author>
    <b:Title>Awareness, experiences and perceptions of telehealth in a rural Queensland community</b:Title>
    <b:Year>2015</b:Year>
    <b:Publisher>BMC Health Services Research</b:Publisher>
    <b:Issue>15:427</b:Issue>
    <b:RefOrder>9</b:RefOrder>
  </b:Source>
  <b:Source>
    <b:Tag>Wag14</b:Tag>
    <b:SourceType>Misc</b:SourceType>
    <b:Guid>{BDB41EC0-B7D7-4946-A6A7-E8A6259E5494}</b:Guid>
    <b:Author>
      <b:Author>
        <b:NameList>
          <b:Person>
            <b:Last>al</b:Last>
            <b:First>Wage</b:First>
            <b:Middle>et</b:Middle>
          </b:Person>
        </b:NameList>
      </b:Author>
    </b:Author>
    <b:Title>Clinician Acceptance is the Key Factor for Sustainable Telehealth Services</b:Title>
    <b:PublicationTitle>Sage journals</b:PublicationTitle>
    <b:Year>2014</b:Year>
    <b:RefOrder>4</b:RefOrder>
  </b:Source>
</b:Sources>
</file>

<file path=customXml/itemProps1.xml><?xml version="1.0" encoding="utf-8"?>
<ds:datastoreItem xmlns:ds="http://schemas.openxmlformats.org/officeDocument/2006/customXml" ds:itemID="{9042AD76-8947-43F9-A3E6-11D3F90BD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Pages>
  <Words>65468</Words>
  <Characters>373170</Characters>
  <Application>Microsoft Office Word</Application>
  <DocSecurity>0</DocSecurity>
  <Lines>3109</Lines>
  <Paragraphs>875</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
  <LinksUpToDate>false</LinksUpToDate>
  <CharactersWithSpaces>437763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Obstetrics Clinical Committee</dc:title>
  <dc:subject>Medicare</dc:subject>
  <dc:creator>Australian Government Department of Health</dc:creator>
  <cp:keywords>Obstetrics Clinical Committee; Review; Report</cp:keywords>
  <cp:lastModifiedBy>BRETT, Kellie</cp:lastModifiedBy>
  <cp:revision>23</cp:revision>
  <cp:lastPrinted>2020-11-17T00:42:00Z</cp:lastPrinted>
  <dcterms:created xsi:type="dcterms:W3CDTF">2021-07-06T02:42:00Z</dcterms:created>
  <dcterms:modified xsi:type="dcterms:W3CDTF">2021-07-08T00:08:00Z</dcterms:modified>
  <cp:category>Medicare Benefits Schedule Review Taskforce</cp:category>
  <cp:contentStatus>Final</cp:contentStatus>
</cp:coreProperties>
</file>