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BAE27" w14:textId="2AC68AE9" w:rsidR="00E55368" w:rsidRPr="00C56852" w:rsidRDefault="009512F2" w:rsidP="00833597">
      <w:pPr>
        <w:pStyle w:val="Heading1"/>
      </w:pPr>
      <w:r>
        <w:t>PBS non-compliance and fraud</w:t>
      </w:r>
    </w:p>
    <w:p w14:paraId="04C19433" w14:textId="77777777" w:rsidR="00C25952" w:rsidRPr="00D30B84" w:rsidRDefault="00C25952" w:rsidP="00D30B84"/>
    <w:p w14:paraId="3514DBDA" w14:textId="14365E05" w:rsidR="00D30B84" w:rsidRPr="00D30B84" w:rsidRDefault="00D30B84" w:rsidP="00D30B84">
      <w:pPr>
        <w:pStyle w:val="Paragraphtext"/>
        <w:sectPr w:rsidR="00D30B84" w:rsidRPr="00D30B84" w:rsidSect="009512F2">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03F835D5" w14:textId="5584445E" w:rsidR="0055196E" w:rsidRDefault="009512F2" w:rsidP="00C56852">
      <w:pPr>
        <w:pStyle w:val="Heading2"/>
      </w:pPr>
      <w:r>
        <w:t>Reporting non-compliance and fraud</w:t>
      </w:r>
    </w:p>
    <w:p w14:paraId="7A67E7CD" w14:textId="59E2B4D1" w:rsidR="00833597" w:rsidRPr="00C56852" w:rsidRDefault="009512F2" w:rsidP="00C56852">
      <w:r w:rsidRPr="00C56852">
        <w:t>Non-compliance and fraud adds to the cost of programs and services that taxpayers pay for. By making a report, you can help us to keep our health system fair for everyone. The Department takes allegations very seriously, reviews any allegations made and conducts compliance activities.</w:t>
      </w:r>
    </w:p>
    <w:p w14:paraId="7B95B07D" w14:textId="44570835" w:rsidR="00C25952" w:rsidRPr="00C56852" w:rsidRDefault="009512F2" w:rsidP="00C25952">
      <w:pPr>
        <w:pStyle w:val="Heading2"/>
      </w:pPr>
      <w:r>
        <w:t>Tip offs</w:t>
      </w:r>
    </w:p>
    <w:p w14:paraId="31FEE00C" w14:textId="2294EBCF" w:rsidR="009512F2" w:rsidRPr="00C56852" w:rsidRDefault="009512F2" w:rsidP="00C56852">
      <w:r w:rsidRPr="00C56852">
        <w:t>Should you have concerns about a potential breach of the Conditions of Approval for approved pharmacists, or any other compliance matter, you can report your concerns to the Provider Benefits Integrity Hotline by calling 1800 314 808 or submitting the details to the Department online by completing the tip-off form. Reporting suspected fraud or non-compliance doesn’t take long. Tip-offs can be anonymous, we encourage you to provide as much information as you can, including any evidence and examples.</w:t>
      </w:r>
    </w:p>
    <w:p w14:paraId="7AEFB4A2" w14:textId="1999F499" w:rsidR="00C25952" w:rsidRPr="00C56852" w:rsidRDefault="009512F2" w:rsidP="00C56852">
      <w:pPr>
        <w:pStyle w:val="Heading2"/>
      </w:pPr>
      <w:r w:rsidRPr="00C56852">
        <w:rPr>
          <w:rFonts w:eastAsiaTheme="majorEastAsia"/>
        </w:rPr>
        <w:t>What can I report to the tip-</w:t>
      </w:r>
      <w:r w:rsidR="00F765FD" w:rsidRPr="00C56852">
        <w:rPr>
          <w:rFonts w:eastAsiaTheme="majorEastAsia"/>
        </w:rPr>
        <w:t>offline</w:t>
      </w:r>
      <w:r w:rsidRPr="00C56852">
        <w:rPr>
          <w:rFonts w:eastAsiaTheme="majorEastAsia"/>
        </w:rPr>
        <w:t>?</w:t>
      </w:r>
    </w:p>
    <w:p w14:paraId="51B52142" w14:textId="7D031954" w:rsidR="00833597" w:rsidRPr="00C56852" w:rsidRDefault="009512F2" w:rsidP="00C56852">
      <w:r w:rsidRPr="00C56852">
        <w:t>Any suspected fraud or non-compliance by health providers against health programs should be reported. Examples of tip-offs can include:</w:t>
      </w:r>
    </w:p>
    <w:p w14:paraId="21D13B77" w14:textId="77777777" w:rsidR="00D30B84" w:rsidRDefault="009512F2" w:rsidP="003571F9">
      <w:pPr>
        <w:pStyle w:val="ListParagraph"/>
      </w:pPr>
      <w:r w:rsidRPr="00C56852">
        <w:t>If you are told or witness PBS medications being dispensed at a different terminal to non-PBS medications.</w:t>
      </w:r>
    </w:p>
    <w:p w14:paraId="0E3CA000" w14:textId="58FA9FCC" w:rsidR="009512F2" w:rsidRPr="00C56852" w:rsidRDefault="00D30B84" w:rsidP="003571F9">
      <w:pPr>
        <w:pStyle w:val="ListParagraph"/>
      </w:pPr>
      <w:r>
        <w:br w:type="column"/>
      </w:r>
      <w:r w:rsidR="009512F2" w:rsidRPr="00C56852">
        <w:t>If a customer raises their concern that the details on a PBS medication or PBS repeats show a different location to where they received their medication.</w:t>
      </w:r>
    </w:p>
    <w:p w14:paraId="4EB4C901" w14:textId="63406E77" w:rsidR="009512F2" w:rsidRPr="00C56852" w:rsidRDefault="009512F2" w:rsidP="00C56852">
      <w:pPr>
        <w:pStyle w:val="ListParagraph"/>
      </w:pPr>
      <w:r w:rsidRPr="00C56852">
        <w:t>If PBS repeats are stored at the pharmacy and you witness repeats being dispensed every 21 days, without the patient requesting it.</w:t>
      </w:r>
    </w:p>
    <w:p w14:paraId="16F3BB46" w14:textId="7E3BB4A7" w:rsidR="009512F2" w:rsidRPr="00C56852" w:rsidRDefault="009512F2" w:rsidP="00C56852">
      <w:pPr>
        <w:pStyle w:val="ListParagraph"/>
      </w:pPr>
      <w:r w:rsidRPr="00C56852">
        <w:t>If you witness PBS medications being supplied without a prescription or prescriber’s orders.</w:t>
      </w:r>
    </w:p>
    <w:p w14:paraId="42DCE6E9" w14:textId="61963508" w:rsidR="009512F2" w:rsidRPr="00C56852" w:rsidRDefault="009512F2" w:rsidP="00C56852">
      <w:pPr>
        <w:pStyle w:val="ListParagraph"/>
      </w:pPr>
      <w:r w:rsidRPr="00C56852">
        <w:t>If you are told or witness PBS repeats being generated where the prescriber hasn’t ordered any repeats.</w:t>
      </w:r>
    </w:p>
    <w:p w14:paraId="54CD625C" w14:textId="65FA8B8D" w:rsidR="00C25952" w:rsidRPr="00C56852" w:rsidRDefault="009512F2" w:rsidP="00C25952">
      <w:pPr>
        <w:pStyle w:val="Heading2"/>
      </w:pPr>
      <w:r>
        <w:t>How we identify non-compliance</w:t>
      </w:r>
    </w:p>
    <w:p w14:paraId="6ED8DB25" w14:textId="15A778AE" w:rsidR="009512F2" w:rsidRPr="00C56852" w:rsidRDefault="009512F2" w:rsidP="00C56852">
      <w:r w:rsidRPr="00C56852">
        <w:t>We obtain information about potential non-compliance from a range of sources including tip-offs from the public and healthcare professionals, data analysis, and referrals from other regulators.</w:t>
      </w:r>
    </w:p>
    <w:p w14:paraId="13127472" w14:textId="33577178" w:rsidR="00833597" w:rsidRPr="00C56852" w:rsidRDefault="009512F2" w:rsidP="00C56852">
      <w:r w:rsidRPr="00C56852">
        <w:t>This information undergoes a process of validation, which includes an analysis by our compliance officers and rigorous governance processes. The following is a list of examples of the types of non-compliance pharmaceutical benefits) that are identified by our processes:</w:t>
      </w:r>
    </w:p>
    <w:p w14:paraId="2A8CE8E0" w14:textId="30CA1F73" w:rsidR="009512F2" w:rsidRPr="009512F2" w:rsidRDefault="009512F2" w:rsidP="00C56852">
      <w:pPr>
        <w:pStyle w:val="ListParagraph"/>
        <w:rPr>
          <w:lang w:eastAsia="en-AU"/>
        </w:rPr>
      </w:pPr>
      <w:r w:rsidRPr="009512F2">
        <w:rPr>
          <w:lang w:eastAsia="en-AU"/>
        </w:rPr>
        <w:t>Supplying repeats in excess of what has been ordered by the prescriber.</w:t>
      </w:r>
    </w:p>
    <w:p w14:paraId="668A58FA" w14:textId="0575F020" w:rsidR="009512F2" w:rsidRPr="00C56852" w:rsidRDefault="009512F2" w:rsidP="00C56852">
      <w:pPr>
        <w:pStyle w:val="ListParagraph"/>
      </w:pPr>
      <w:r w:rsidRPr="00C56852">
        <w:t>Supplying a different medication to what has been prescribed.</w:t>
      </w:r>
    </w:p>
    <w:p w14:paraId="64846C06" w14:textId="77777777" w:rsidR="009512F2" w:rsidRPr="00C56852" w:rsidRDefault="009512F2" w:rsidP="00C56852">
      <w:pPr>
        <w:pStyle w:val="ListParagraph"/>
      </w:pPr>
      <w:r w:rsidRPr="00C56852">
        <w:t>Supplying a prescription after its expiry.</w:t>
      </w:r>
    </w:p>
    <w:p w14:paraId="2356EFC0" w14:textId="6047A7C1" w:rsidR="00F765FD" w:rsidRPr="00F765FD" w:rsidRDefault="009512F2" w:rsidP="00F765FD">
      <w:pPr>
        <w:pStyle w:val="ListParagraph"/>
      </w:pPr>
      <w:r w:rsidRPr="00C56852">
        <w:t>Supplying a prescription using details of a pharmacy which is at a different location.</w:t>
      </w:r>
    </w:p>
    <w:p w14:paraId="30EAB005" w14:textId="207D2179" w:rsidR="00C25952" w:rsidRPr="00C56852" w:rsidRDefault="009512F2" w:rsidP="00F765FD">
      <w:pPr>
        <w:pStyle w:val="Heading2"/>
      </w:pPr>
      <w:r>
        <w:lastRenderedPageBreak/>
        <w:t>Resources</w:t>
      </w:r>
    </w:p>
    <w:p w14:paraId="65591FDC" w14:textId="462FC022" w:rsidR="009512F2" w:rsidRPr="00C56852" w:rsidRDefault="009512F2" w:rsidP="00C56852">
      <w:r w:rsidRPr="00C56852">
        <w:t>You can access a range of educational resources to help you meet your legal obligations when claiming under the PBS:</w:t>
      </w:r>
    </w:p>
    <w:p w14:paraId="27282E63" w14:textId="4435E7EC" w:rsidR="009512F2" w:rsidRPr="00C56852" w:rsidRDefault="000158CB" w:rsidP="00C56852">
      <w:pPr>
        <w:pStyle w:val="ListParagraph"/>
      </w:pPr>
      <w:hyperlink r:id="rId15" w:history="1">
        <w:r w:rsidR="009512F2" w:rsidRPr="00C56852">
          <w:rPr>
            <w:rStyle w:val="Hyperlink"/>
            <w:color w:val="auto"/>
            <w:u w:val="none"/>
          </w:rPr>
          <w:t>eLearning</w:t>
        </w:r>
      </w:hyperlink>
      <w:r w:rsidR="009512F2" w:rsidRPr="00C56852">
        <w:t xml:space="preserve"> - Introduction to compliance within Medicare</w:t>
      </w:r>
      <w:r w:rsidR="00C56852" w:rsidRPr="00C56852">
        <w:t>.</w:t>
      </w:r>
    </w:p>
    <w:p w14:paraId="4A2F4796" w14:textId="5C72FED2" w:rsidR="009512F2" w:rsidRPr="00C56852" w:rsidRDefault="000158CB" w:rsidP="00C56852">
      <w:pPr>
        <w:pStyle w:val="ListParagraph"/>
      </w:pPr>
      <w:hyperlink r:id="rId16" w:history="1">
        <w:r w:rsidR="009512F2" w:rsidRPr="00C56852">
          <w:rPr>
            <w:rStyle w:val="Hyperlink"/>
            <w:color w:val="auto"/>
            <w:u w:val="none"/>
          </w:rPr>
          <w:t>Services Australia</w:t>
        </w:r>
      </w:hyperlink>
      <w:r w:rsidRPr="00C56852">
        <w:t xml:space="preserve"> </w:t>
      </w:r>
      <w:r>
        <w:t>–</w:t>
      </w:r>
      <w:r w:rsidRPr="00C56852">
        <w:t xml:space="preserve"> </w:t>
      </w:r>
      <w:r w:rsidR="009512F2" w:rsidRPr="00C56852">
        <w:t>Information about your responsibilities to supply PBS subsidised items.</w:t>
      </w:r>
    </w:p>
    <w:p w14:paraId="4074E4E3" w14:textId="5CC49F8D" w:rsidR="00F765FD" w:rsidRPr="00F765FD" w:rsidRDefault="000158CB" w:rsidP="00F765FD">
      <w:pPr>
        <w:pStyle w:val="ListParagraph"/>
      </w:pPr>
      <w:hyperlink r:id="rId17" w:history="1">
        <w:r w:rsidR="009512F2" w:rsidRPr="00F765FD">
          <w:rPr>
            <w:rStyle w:val="Hyperlink"/>
            <w:rFonts w:cs="Arial"/>
            <w:b/>
            <w:bCs/>
            <w:szCs w:val="22"/>
            <w:lang w:eastAsia="en-AU"/>
          </w:rPr>
          <w:t>PBS supply e-learning</w:t>
        </w:r>
      </w:hyperlink>
      <w:r w:rsidR="009512F2" w:rsidRPr="00C56852">
        <w:t xml:space="preserve"> </w:t>
      </w:r>
      <w:r w:rsidR="00F765FD">
        <w:t>–</w:t>
      </w:r>
      <w:r w:rsidR="009512F2" w:rsidRPr="00C56852">
        <w:t xml:space="preserve"> Information on how to supply, dispense and claim PBS item</w:t>
      </w:r>
      <w:r w:rsidR="00F765FD">
        <w:t>s.</w:t>
      </w:r>
    </w:p>
    <w:sectPr w:rsidR="00F765FD" w:rsidRPr="00F765FD" w:rsidSect="00D30B84">
      <w:headerReference w:type="default" r:id="rId18"/>
      <w:type w:val="continuous"/>
      <w:pgSz w:w="11906" w:h="16838"/>
      <w:pgMar w:top="1701" w:right="1418" w:bottom="1418" w:left="1418" w:header="706"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1EC3B" w14:textId="77777777" w:rsidR="0000035D" w:rsidRDefault="0000035D" w:rsidP="006B56BB">
      <w:r>
        <w:separator/>
      </w:r>
    </w:p>
    <w:p w14:paraId="05505AFE" w14:textId="77777777" w:rsidR="0000035D" w:rsidRDefault="0000035D"/>
  </w:endnote>
  <w:endnote w:type="continuationSeparator" w:id="0">
    <w:p w14:paraId="2CC41984" w14:textId="77777777" w:rsidR="0000035D" w:rsidRDefault="0000035D" w:rsidP="006B56BB">
      <w:r>
        <w:continuationSeparator/>
      </w:r>
    </w:p>
    <w:p w14:paraId="7A139C90" w14:textId="77777777" w:rsidR="0000035D" w:rsidRDefault="0000035D"/>
  </w:endnote>
  <w:endnote w:type="continuationNotice" w:id="1">
    <w:p w14:paraId="51732B87" w14:textId="77777777" w:rsidR="0000035D" w:rsidRDefault="00000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3049B24A" w:rsidR="008D48C9" w:rsidRPr="003D033A" w:rsidRDefault="00CD0D62" w:rsidP="00CD0D62">
    <w:pPr>
      <w:pStyle w:val="Footer"/>
      <w:tabs>
        <w:tab w:val="clear" w:pos="4513"/>
      </w:tabs>
      <w:rPr>
        <w:szCs w:val="20"/>
      </w:rPr>
    </w:pPr>
    <w:r>
      <w:t xml:space="preserve">Department of Health - </w:t>
    </w:r>
    <w:r w:rsidR="008C280B">
      <w:t>PBS non-compliance and fraud</w:t>
    </w:r>
    <w:r w:rsidR="000E7850" w:rsidRPr="000E7850">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0E7850">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F628" w14:textId="6BAD2C67" w:rsidR="008D48C9" w:rsidRPr="00DE3355" w:rsidRDefault="00AC2679" w:rsidP="003D033A">
    <w:pPr>
      <w:pStyle w:val="Footer"/>
      <w:tabs>
        <w:tab w:val="clear" w:pos="4513"/>
      </w:tabs>
    </w:pPr>
    <w:r>
      <w:t xml:space="preserve">Department of Health </w:t>
    </w:r>
    <w:r w:rsidR="00C25952">
      <w:t>–</w:t>
    </w:r>
    <w:r>
      <w:t xml:space="preserve"> </w:t>
    </w:r>
    <w:r w:rsidR="00C25952">
      <w:t>PBS non-compliance and fraud</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E7850">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A5DFD" w14:textId="77777777" w:rsidR="0000035D" w:rsidRDefault="0000035D" w:rsidP="006B56BB">
      <w:r>
        <w:separator/>
      </w:r>
    </w:p>
    <w:p w14:paraId="13E480FD" w14:textId="77777777" w:rsidR="0000035D" w:rsidRDefault="0000035D"/>
  </w:footnote>
  <w:footnote w:type="continuationSeparator" w:id="0">
    <w:p w14:paraId="5241DECA" w14:textId="77777777" w:rsidR="0000035D" w:rsidRDefault="0000035D" w:rsidP="006B56BB">
      <w:r>
        <w:continuationSeparator/>
      </w:r>
    </w:p>
    <w:p w14:paraId="440CCB84" w14:textId="77777777" w:rsidR="0000035D" w:rsidRDefault="0000035D"/>
  </w:footnote>
  <w:footnote w:type="continuationNotice" w:id="1">
    <w:p w14:paraId="23183A72" w14:textId="77777777" w:rsidR="0000035D" w:rsidRDefault="00000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35C60CF8">
          <wp:simplePos x="0" y="0"/>
          <wp:positionH relativeFrom="column">
            <wp:posOffset>4688205</wp:posOffset>
          </wp:positionH>
          <wp:positionV relativeFrom="paragraph">
            <wp:posOffset>-3175</wp:posOffset>
          </wp:positionV>
          <wp:extent cx="1403985" cy="870585"/>
          <wp:effectExtent l="0" t="0" r="5715" b="571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5C43F2CA">
          <wp:extent cx="1404000" cy="932400"/>
          <wp:effectExtent l="0" t="0" r="5715" b="127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1A8CC1E5" w:rsidR="008D48C9" w:rsidRDefault="001571C7">
    <w:pPr>
      <w:pStyle w:val="Header"/>
    </w:pPr>
    <w:r>
      <w:rPr>
        <w:noProof/>
        <w:lang w:eastAsia="en-AU"/>
      </w:rPr>
      <w:drawing>
        <wp:inline distT="0" distB="0" distL="0" distR="0" wp14:anchorId="225CFDB9" wp14:editId="2FF0D763">
          <wp:extent cx="5865806" cy="959485"/>
          <wp:effectExtent l="0" t="0" r="190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39ECE069" w:rsidR="008E0C77" w:rsidRDefault="00CD0D62" w:rsidP="008E0C77">
    <w:pPr>
      <w:pStyle w:val="Headertext"/>
      <w:spacing w:after="180"/>
      <w:jc w:val="left"/>
    </w:pPr>
    <w:r>
      <w:rPr>
        <w:noProof/>
        <w:lang w:eastAsia="en-AU"/>
      </w:rPr>
      <w:drawing>
        <wp:inline distT="0" distB="0" distL="0" distR="0" wp14:anchorId="4F69FBD4" wp14:editId="07E44BFE">
          <wp:extent cx="5756803" cy="14160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86443"/>
                  <a:stretch/>
                </pic:blipFill>
                <pic:spPr bwMode="auto">
                  <a:xfrm>
                    <a:off x="0" y="0"/>
                    <a:ext cx="5759450" cy="1416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927342"/>
    <w:multiLevelType w:val="hybridMultilevel"/>
    <w:tmpl w:val="E5C8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93036"/>
    <w:multiLevelType w:val="multilevel"/>
    <w:tmpl w:val="8BCE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363506"/>
    <w:multiLevelType w:val="hybridMultilevel"/>
    <w:tmpl w:val="C55CFE62"/>
    <w:lvl w:ilvl="0" w:tplc="B722292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84FA4"/>
    <w:multiLevelType w:val="hybridMultilevel"/>
    <w:tmpl w:val="AC0CE1BE"/>
    <w:lvl w:ilvl="0" w:tplc="4B58FCF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0CD48C0"/>
    <w:multiLevelType w:val="hybridMultilevel"/>
    <w:tmpl w:val="7B6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5DC48BA"/>
    <w:multiLevelType w:val="hybridMultilevel"/>
    <w:tmpl w:val="8736B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641C34"/>
    <w:multiLevelType w:val="hybridMultilevel"/>
    <w:tmpl w:val="71B49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C504E6"/>
    <w:multiLevelType w:val="hybridMultilevel"/>
    <w:tmpl w:val="108C1E2E"/>
    <w:lvl w:ilvl="0" w:tplc="959ABB1C">
      <w:numFmt w:val="bullet"/>
      <w:lvlText w:val="•"/>
      <w:lvlJc w:val="left"/>
      <w:pPr>
        <w:ind w:left="720" w:hanging="72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1D4630"/>
    <w:multiLevelType w:val="hybridMultilevel"/>
    <w:tmpl w:val="C594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BE66D8"/>
    <w:multiLevelType w:val="hybridMultilevel"/>
    <w:tmpl w:val="867A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E43EC7"/>
    <w:multiLevelType w:val="hybridMultilevel"/>
    <w:tmpl w:val="1F4AB8CE"/>
    <w:lvl w:ilvl="0" w:tplc="2C3C674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263528"/>
    <w:multiLevelType w:val="hybridMultilevel"/>
    <w:tmpl w:val="062AE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8C6264"/>
    <w:multiLevelType w:val="hybridMultilevel"/>
    <w:tmpl w:val="D91CB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3C1B58"/>
    <w:multiLevelType w:val="hybridMultilevel"/>
    <w:tmpl w:val="859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CF1721"/>
    <w:multiLevelType w:val="hybridMultilevel"/>
    <w:tmpl w:val="FA3EA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F15226F"/>
    <w:multiLevelType w:val="hybridMultilevel"/>
    <w:tmpl w:val="6A92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7"/>
  </w:num>
  <w:num w:numId="4">
    <w:abstractNumId w:val="8"/>
  </w:num>
  <w:num w:numId="5">
    <w:abstractNumId w:val="8"/>
    <w:lvlOverride w:ilvl="0">
      <w:startOverride w:val="1"/>
    </w:lvlOverride>
  </w:num>
  <w:num w:numId="6">
    <w:abstractNumId w:val="9"/>
  </w:num>
  <w:num w:numId="7">
    <w:abstractNumId w:val="17"/>
  </w:num>
  <w:num w:numId="8">
    <w:abstractNumId w:val="2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1"/>
  </w:num>
  <w:num w:numId="17">
    <w:abstractNumId w:val="12"/>
  </w:num>
  <w:num w:numId="18">
    <w:abstractNumId w:val="13"/>
  </w:num>
  <w:num w:numId="19">
    <w:abstractNumId w:val="15"/>
  </w:num>
  <w:num w:numId="20">
    <w:abstractNumId w:val="20"/>
  </w:num>
  <w:num w:numId="21">
    <w:abstractNumId w:val="30"/>
  </w:num>
  <w:num w:numId="22">
    <w:abstractNumId w:val="22"/>
  </w:num>
  <w:num w:numId="23">
    <w:abstractNumId w:val="19"/>
  </w:num>
  <w:num w:numId="24">
    <w:abstractNumId w:val="28"/>
  </w:num>
  <w:num w:numId="25">
    <w:abstractNumId w:val="10"/>
  </w:num>
  <w:num w:numId="26">
    <w:abstractNumId w:val="32"/>
  </w:num>
  <w:num w:numId="27">
    <w:abstractNumId w:val="18"/>
  </w:num>
  <w:num w:numId="28">
    <w:abstractNumId w:val="14"/>
  </w:num>
  <w:num w:numId="29">
    <w:abstractNumId w:val="11"/>
  </w:num>
  <w:num w:numId="30">
    <w:abstractNumId w:val="29"/>
  </w:num>
  <w:num w:numId="31">
    <w:abstractNumId w:val="23"/>
  </w:num>
  <w:num w:numId="32">
    <w:abstractNumId w:val="16"/>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035D"/>
    <w:rsid w:val="00003743"/>
    <w:rsid w:val="000047B4"/>
    <w:rsid w:val="00005712"/>
    <w:rsid w:val="00007FD8"/>
    <w:rsid w:val="000117F8"/>
    <w:rsid w:val="0001460F"/>
    <w:rsid w:val="000158CB"/>
    <w:rsid w:val="00022629"/>
    <w:rsid w:val="00026139"/>
    <w:rsid w:val="00027601"/>
    <w:rsid w:val="00033321"/>
    <w:rsid w:val="000338E5"/>
    <w:rsid w:val="00033ECC"/>
    <w:rsid w:val="0003422F"/>
    <w:rsid w:val="00046FF0"/>
    <w:rsid w:val="000475AA"/>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850"/>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1DA3"/>
    <w:rsid w:val="00233809"/>
    <w:rsid w:val="00240046"/>
    <w:rsid w:val="0024797F"/>
    <w:rsid w:val="0025119E"/>
    <w:rsid w:val="00251269"/>
    <w:rsid w:val="002535C0"/>
    <w:rsid w:val="002579FE"/>
    <w:rsid w:val="00262D1C"/>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1087"/>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7AEC"/>
    <w:rsid w:val="004A78D9"/>
    <w:rsid w:val="004C6BCF"/>
    <w:rsid w:val="004D58BF"/>
    <w:rsid w:val="004E4335"/>
    <w:rsid w:val="004F13EE"/>
    <w:rsid w:val="004F2022"/>
    <w:rsid w:val="004F7C05"/>
    <w:rsid w:val="00501C94"/>
    <w:rsid w:val="00506432"/>
    <w:rsid w:val="0052051D"/>
    <w:rsid w:val="00545EE6"/>
    <w:rsid w:val="0055196E"/>
    <w:rsid w:val="005550E7"/>
    <w:rsid w:val="005564FB"/>
    <w:rsid w:val="005572C7"/>
    <w:rsid w:val="005650ED"/>
    <w:rsid w:val="00575754"/>
    <w:rsid w:val="00581FBA"/>
    <w:rsid w:val="00587D9B"/>
    <w:rsid w:val="00591E20"/>
    <w:rsid w:val="00595408"/>
    <w:rsid w:val="00595E84"/>
    <w:rsid w:val="005A0C59"/>
    <w:rsid w:val="005A48EB"/>
    <w:rsid w:val="005A6CFB"/>
    <w:rsid w:val="005B44A5"/>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3597"/>
    <w:rsid w:val="00835C76"/>
    <w:rsid w:val="008367B9"/>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280B"/>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12F2"/>
    <w:rsid w:val="009557C1"/>
    <w:rsid w:val="00960D6E"/>
    <w:rsid w:val="00974B59"/>
    <w:rsid w:val="0098340B"/>
    <w:rsid w:val="00986830"/>
    <w:rsid w:val="009924C3"/>
    <w:rsid w:val="00993102"/>
    <w:rsid w:val="009B1570"/>
    <w:rsid w:val="009C6F10"/>
    <w:rsid w:val="009D148F"/>
    <w:rsid w:val="009D3D70"/>
    <w:rsid w:val="009D55C3"/>
    <w:rsid w:val="009E6F7E"/>
    <w:rsid w:val="009E7A57"/>
    <w:rsid w:val="009F4803"/>
    <w:rsid w:val="009F4F6A"/>
    <w:rsid w:val="00A13EB5"/>
    <w:rsid w:val="00A14939"/>
    <w:rsid w:val="00A16E36"/>
    <w:rsid w:val="00A24961"/>
    <w:rsid w:val="00A24B10"/>
    <w:rsid w:val="00A277EF"/>
    <w:rsid w:val="00A30E9B"/>
    <w:rsid w:val="00A4512D"/>
    <w:rsid w:val="00A50244"/>
    <w:rsid w:val="00A53614"/>
    <w:rsid w:val="00A627D7"/>
    <w:rsid w:val="00A656C7"/>
    <w:rsid w:val="00A705AF"/>
    <w:rsid w:val="00A72454"/>
    <w:rsid w:val="00A77696"/>
    <w:rsid w:val="00A80557"/>
    <w:rsid w:val="00A81D33"/>
    <w:rsid w:val="00A8341C"/>
    <w:rsid w:val="00A930AE"/>
    <w:rsid w:val="00A96BC7"/>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2E8E"/>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5952"/>
    <w:rsid w:val="00C27D67"/>
    <w:rsid w:val="00C4631F"/>
    <w:rsid w:val="00C47CDE"/>
    <w:rsid w:val="00C50E16"/>
    <w:rsid w:val="00C55258"/>
    <w:rsid w:val="00C56852"/>
    <w:rsid w:val="00C82EEB"/>
    <w:rsid w:val="00C971DC"/>
    <w:rsid w:val="00CA16B7"/>
    <w:rsid w:val="00CA62AE"/>
    <w:rsid w:val="00CB5B1A"/>
    <w:rsid w:val="00CC220B"/>
    <w:rsid w:val="00CC5C43"/>
    <w:rsid w:val="00CD02AE"/>
    <w:rsid w:val="00CD0D62"/>
    <w:rsid w:val="00CD2A4F"/>
    <w:rsid w:val="00CE03CA"/>
    <w:rsid w:val="00CE22F1"/>
    <w:rsid w:val="00CE50F2"/>
    <w:rsid w:val="00CE6502"/>
    <w:rsid w:val="00CE7814"/>
    <w:rsid w:val="00CF7D3C"/>
    <w:rsid w:val="00D01F09"/>
    <w:rsid w:val="00D147EB"/>
    <w:rsid w:val="00D30B84"/>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32138"/>
    <w:rsid w:val="00E4086F"/>
    <w:rsid w:val="00E43B3C"/>
    <w:rsid w:val="00E50188"/>
    <w:rsid w:val="00E50BB3"/>
    <w:rsid w:val="00E515CB"/>
    <w:rsid w:val="00E52260"/>
    <w:rsid w:val="00E55368"/>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B26"/>
    <w:rsid w:val="00F21302"/>
    <w:rsid w:val="00F321DE"/>
    <w:rsid w:val="00F33777"/>
    <w:rsid w:val="00F34345"/>
    <w:rsid w:val="00F40648"/>
    <w:rsid w:val="00F47DA2"/>
    <w:rsid w:val="00F519FC"/>
    <w:rsid w:val="00F6239D"/>
    <w:rsid w:val="00F715D2"/>
    <w:rsid w:val="00F7274F"/>
    <w:rsid w:val="00F74E84"/>
    <w:rsid w:val="00F765FD"/>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76AEA82D-DC39-4F6D-B228-5792A58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65FD"/>
    <w:pPr>
      <w:spacing w:before="120" w:after="120"/>
    </w:pPr>
    <w:rPr>
      <w:rFonts w:ascii="Arial" w:hAnsi="Arial"/>
      <w:sz w:val="22"/>
      <w:szCs w:val="24"/>
      <w:lang w:eastAsia="en-US"/>
    </w:rPr>
  </w:style>
  <w:style w:type="paragraph" w:styleId="Heading1">
    <w:name w:val="heading 1"/>
    <w:basedOn w:val="Title"/>
    <w:next w:val="Normal"/>
    <w:qFormat/>
    <w:rsid w:val="00F765FD"/>
    <w:pPr>
      <w:shd w:val="clear" w:color="auto" w:fill="2E3C6C"/>
      <w:spacing w:before="120"/>
      <w:contextualSpacing w:val="0"/>
      <w:outlineLvl w:val="0"/>
    </w:pPr>
    <w:rPr>
      <w:color w:val="FFFFFF" w:themeColor="background1"/>
    </w:rPr>
  </w:style>
  <w:style w:type="paragraph" w:styleId="Heading2">
    <w:name w:val="heading 2"/>
    <w:next w:val="Paragraphtext"/>
    <w:qFormat/>
    <w:rsid w:val="0055196E"/>
    <w:pPr>
      <w:keepNext/>
      <w:spacing w:before="240" w:after="60"/>
      <w:outlineLvl w:val="1"/>
    </w:pPr>
    <w:rPr>
      <w:rFonts w:ascii="Arial" w:hAnsi="Arial" w:cs="Arial"/>
      <w:b/>
      <w:bCs/>
      <w:iCs/>
      <w:color w:val="358189"/>
      <w:sz w:val="36"/>
      <w:szCs w:val="36"/>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CD0D62"/>
    <w:pPr>
      <w:spacing w:before="60" w:after="60"/>
    </w:pPr>
    <w:rPr>
      <w:color w:val="000000" w:themeColor="text1"/>
      <w:sz w:val="18"/>
      <w:szCs w:val="18"/>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Normal"/>
    <w:rsid w:val="00C56852"/>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b/>
      <w:bCs/>
      <w:caps/>
      <w:color w:val="358189"/>
      <w:sz w:val="21"/>
      <w:szCs w:val="20"/>
      <w:lang w:val="en"/>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Paragraphtext"/>
    <w:qFormat/>
    <w:rsid w:val="00CD0D62"/>
    <w:pPr>
      <w:numPr>
        <w:numId w:val="28"/>
      </w:numPr>
      <w:spacing w:before="0" w:after="0"/>
    </w:pPr>
  </w:style>
  <w:style w:type="paragraph" w:styleId="ListParagraph">
    <w:name w:val="List Paragraph"/>
    <w:basedOn w:val="Normal"/>
    <w:uiPriority w:val="34"/>
    <w:qFormat/>
    <w:rsid w:val="00F765FD"/>
    <w:pPr>
      <w:numPr>
        <w:numId w:val="34"/>
      </w:numPr>
      <w:ind w:left="414" w:hanging="357"/>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CD0D62"/>
    <w:rPr>
      <w:rFonts w:eastAsiaTheme="minorHAnsi"/>
      <w:b/>
      <w:color w:val="358189"/>
      <w:sz w:val="20"/>
      <w:szCs w:val="20"/>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C25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95182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409035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1096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organisations/health-professionals/subjects/pbs-education-health-professionals" TargetMode="External"/><Relationship Id="rId2" Type="http://schemas.openxmlformats.org/officeDocument/2006/relationships/customXml" Target="../customXml/item2.xml"/><Relationship Id="rId16" Type="http://schemas.openxmlformats.org/officeDocument/2006/relationships/hyperlink" Target="https://www.servicesaustralia.gov.au/individuals/services/medicare/pharmaceutical-benefits-sch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health-topics/medicare-compliance/how-we-ensure-compliance/education-and-sup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ED4406-B994-4B87-9832-049A4F9C7EBF}">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583F57D-ECBD-47BF-951C-029D57BF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416</Words>
  <Characters>2703</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non-compliance and fraud</dc:title>
  <dc:creator>Australian Government Department of Health</dc:creator>
  <cp:lastModifiedBy>MASCHKE, Elvia</cp:lastModifiedBy>
  <cp:revision>5</cp:revision>
  <cp:lastPrinted>2021-03-24T22:37:00Z</cp:lastPrinted>
  <dcterms:created xsi:type="dcterms:W3CDTF">2021-07-22T10:24:00Z</dcterms:created>
  <dcterms:modified xsi:type="dcterms:W3CDTF">2021-07-22T10:32:00Z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