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C321B" w14:textId="77777777" w:rsidR="000931B4" w:rsidRDefault="00D16807">
      <w:pPr>
        <w:pStyle w:val="BodyText"/>
        <w:ind w:left="33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48DC3C" wp14:editId="0C35C643">
            <wp:extent cx="1648767" cy="11216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767" cy="112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7BD4A" w14:textId="77777777" w:rsidR="000931B4" w:rsidRDefault="000931B4">
      <w:pPr>
        <w:pStyle w:val="BodyText"/>
        <w:spacing w:before="3"/>
        <w:ind w:left="0"/>
        <w:rPr>
          <w:rFonts w:ascii="Times New Roman"/>
          <w:sz w:val="23"/>
        </w:rPr>
      </w:pPr>
    </w:p>
    <w:p w14:paraId="2D55A0C4" w14:textId="77777777" w:rsidR="000931B4" w:rsidRDefault="00D16807">
      <w:pPr>
        <w:pStyle w:val="Title"/>
      </w:pPr>
      <w:r>
        <w:t>Communique</w:t>
      </w:r>
      <w:r>
        <w:rPr>
          <w:spacing w:val="-2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2020</w:t>
      </w:r>
    </w:p>
    <w:p w14:paraId="490553B9" w14:textId="77777777" w:rsidR="000931B4" w:rsidRDefault="00D16807">
      <w:pPr>
        <w:pStyle w:val="Title"/>
        <w:spacing w:before="186"/>
        <w:ind w:left="1591"/>
      </w:pPr>
      <w:r>
        <w:t>National</w:t>
      </w:r>
      <w:r>
        <w:rPr>
          <w:spacing w:val="-4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Taskforce</w:t>
      </w:r>
    </w:p>
    <w:p w14:paraId="6C69B5D9" w14:textId="77777777" w:rsidR="000931B4" w:rsidRDefault="000931B4">
      <w:pPr>
        <w:pStyle w:val="BodyText"/>
        <w:ind w:left="0"/>
        <w:rPr>
          <w:sz w:val="20"/>
        </w:rPr>
      </w:pPr>
    </w:p>
    <w:p w14:paraId="2E723746" w14:textId="77777777" w:rsidR="000931B4" w:rsidRDefault="00D16807">
      <w:pPr>
        <w:pStyle w:val="BodyText"/>
        <w:ind w:left="0"/>
        <w:rPr>
          <w:sz w:val="21"/>
        </w:rPr>
      </w:pPr>
      <w:r>
        <w:pict w14:anchorId="0603B15D">
          <v:rect id="docshape2" o:spid="_x0000_s1026" style="position:absolute;margin-left:70.55pt;margin-top:14.05pt;width:454.2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6EBF5291" w14:textId="77777777" w:rsidR="000931B4" w:rsidRDefault="000931B4">
      <w:pPr>
        <w:pStyle w:val="BodyText"/>
        <w:spacing w:before="11"/>
        <w:ind w:left="0"/>
        <w:rPr>
          <w:sz w:val="8"/>
        </w:rPr>
      </w:pPr>
    </w:p>
    <w:p w14:paraId="3CCF7239" w14:textId="77777777" w:rsidR="000931B4" w:rsidRDefault="00D16807">
      <w:pPr>
        <w:pStyle w:val="BodyText"/>
        <w:spacing w:before="51" w:line="256" w:lineRule="auto"/>
        <w:ind w:right="105"/>
      </w:pPr>
      <w:r>
        <w:t>On 27 March 2020, the first meeting of the National Mental Health Workforce Strategy</w:t>
      </w:r>
      <w:r>
        <w:rPr>
          <w:spacing w:val="1"/>
        </w:rPr>
        <w:t xml:space="preserve"> </w:t>
      </w:r>
      <w:r>
        <w:t>Taskforce (the Taskforce) was held. Due to the COVID-19 pandemic the meeting was held by</w:t>
      </w:r>
      <w:r>
        <w:rPr>
          <w:spacing w:val="-52"/>
        </w:rPr>
        <w:t xml:space="preserve"> </w:t>
      </w:r>
      <w:r>
        <w:t>teleconference.</w:t>
      </w:r>
    </w:p>
    <w:p w14:paraId="7D5DBDC2" w14:textId="77777777" w:rsidR="000931B4" w:rsidRDefault="00D16807">
      <w:pPr>
        <w:pStyle w:val="BodyText"/>
        <w:spacing w:before="166" w:line="259" w:lineRule="auto"/>
        <w:ind w:right="154"/>
      </w:pPr>
      <w:r>
        <w:t xml:space="preserve">The Taskforce will oversee the development of a </w:t>
      </w:r>
      <w:proofErr w:type="gramStart"/>
      <w:r>
        <w:t>10 year</w:t>
      </w:r>
      <w:proofErr w:type="gramEnd"/>
      <w:r>
        <w:t xml:space="preserve"> National Mental Health Workforce</w:t>
      </w:r>
      <w:r>
        <w:rPr>
          <w:spacing w:val="-52"/>
        </w:rPr>
        <w:t xml:space="preserve"> </w:t>
      </w:r>
      <w:r>
        <w:t>Strategy. It will advise the Commonwealth Department of Health</w:t>
      </w:r>
      <w:r>
        <w:t xml:space="preserve"> and the National 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Commission,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 jointly developing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Strategy.</w:t>
      </w:r>
    </w:p>
    <w:p w14:paraId="1045BF81" w14:textId="0F9E1177" w:rsidR="000931B4" w:rsidRDefault="00D16807">
      <w:pPr>
        <w:pStyle w:val="BodyText"/>
        <w:spacing w:before="160" w:line="259" w:lineRule="auto"/>
        <w:ind w:left="139" w:right="217"/>
      </w:pPr>
      <w:r>
        <w:t xml:space="preserve">The Taskforce is co-chaired by Jennifer Taylor PSM and Thomas </w:t>
      </w:r>
      <w:proofErr w:type="spellStart"/>
      <w:r>
        <w:t>Brideson</w:t>
      </w:r>
      <w:proofErr w:type="spellEnd"/>
      <w:r>
        <w:t>. Membership of</w:t>
      </w:r>
      <w:r>
        <w:rPr>
          <w:spacing w:val="1"/>
        </w:rPr>
        <w:t xml:space="preserve"> </w:t>
      </w:r>
      <w:r>
        <w:t>the Taskforce includes representatives from professional, peak and peer groups, Abori</w:t>
      </w:r>
      <w:r>
        <w:t>ginal</w:t>
      </w:r>
      <w:r>
        <w:rPr>
          <w:spacing w:val="-52"/>
        </w:rPr>
        <w:t xml:space="preserve"> </w:t>
      </w:r>
      <w:r>
        <w:t xml:space="preserve">and Torres Strait Islander communities, the education sector, a labour market </w:t>
      </w:r>
      <w:proofErr w:type="gramStart"/>
      <w:r>
        <w:t>expert;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consumers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carers. A</w:t>
      </w:r>
      <w:r>
        <w:rPr>
          <w:spacing w:val="-4"/>
        </w:rPr>
        <w:t xml:space="preserve"> </w:t>
      </w:r>
      <w:r>
        <w:t>full 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members 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hyperlink r:id="rId8">
        <w:r>
          <w:rPr>
            <w:color w:val="0562C1"/>
            <w:u w:val="single" w:color="0562C1"/>
          </w:rPr>
          <w:t>here</w:t>
        </w:r>
      </w:hyperlink>
      <w:r>
        <w:t>.</w:t>
      </w:r>
    </w:p>
    <w:p w14:paraId="5ED06D6F" w14:textId="77777777" w:rsidR="000931B4" w:rsidRDefault="00D16807">
      <w:pPr>
        <w:pStyle w:val="BodyText"/>
        <w:spacing w:before="160" w:line="256" w:lineRule="auto"/>
        <w:ind w:right="418"/>
        <w:jc w:val="both"/>
      </w:pPr>
      <w:r>
        <w:t>The Taskforce noted the current and evolving situ</w:t>
      </w:r>
      <w:r>
        <w:t>ation with the COVID-19 pandemic and</w:t>
      </w:r>
      <w:r>
        <w:rPr>
          <w:spacing w:val="-52"/>
        </w:rPr>
        <w:t xml:space="preserve"> </w:t>
      </w:r>
      <w:r>
        <w:t>the impact on the operations of the Taskforce. Members agreed to meet by video and/or</w:t>
      </w:r>
      <w:r>
        <w:rPr>
          <w:spacing w:val="-52"/>
        </w:rPr>
        <w:t xml:space="preserve"> </w:t>
      </w:r>
      <w:r>
        <w:t>teleconference</w:t>
      </w:r>
      <w:r>
        <w:rPr>
          <w:spacing w:val="-1"/>
        </w:rPr>
        <w:t xml:space="preserve"> </w:t>
      </w:r>
      <w:r>
        <w:t>with meetings</w:t>
      </w:r>
      <w:r>
        <w:rPr>
          <w:spacing w:val="-1"/>
        </w:rPr>
        <w:t xml:space="preserve"> </w:t>
      </w:r>
      <w:r>
        <w:t>occurring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frequently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 shorter duration.</w:t>
      </w:r>
    </w:p>
    <w:p w14:paraId="7D0336A7" w14:textId="77777777" w:rsidR="000931B4" w:rsidRDefault="00D16807">
      <w:pPr>
        <w:pStyle w:val="BodyText"/>
        <w:spacing w:before="168" w:line="256" w:lineRule="auto"/>
        <w:ind w:right="407"/>
        <w:jc w:val="both"/>
      </w:pPr>
      <w:r>
        <w:t>It was also noted that it will be important to consu</w:t>
      </w:r>
      <w:r>
        <w:t>lt with the sector, including consumers</w:t>
      </w:r>
      <w:r>
        <w:rPr>
          <w:spacing w:val="-52"/>
        </w:rPr>
        <w:t xml:space="preserve"> </w:t>
      </w:r>
      <w:r>
        <w:t>and carers, as the Strategy is developed. This will need to be done in a manner that takes</w:t>
      </w:r>
      <w:r>
        <w:rPr>
          <w:spacing w:val="-5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pandemic.</w:t>
      </w:r>
    </w:p>
    <w:p w14:paraId="7F54A41E" w14:textId="77777777" w:rsidR="000931B4" w:rsidRDefault="00D16807">
      <w:pPr>
        <w:pStyle w:val="BodyText"/>
        <w:spacing w:before="166"/>
        <w:jc w:val="both"/>
      </w:pPr>
      <w:r>
        <w:rPr>
          <w:u w:val="single"/>
        </w:rPr>
        <w:t>Priority</w:t>
      </w:r>
      <w:r>
        <w:rPr>
          <w:spacing w:val="-3"/>
          <w:u w:val="single"/>
        </w:rPr>
        <w:t xml:space="preserve"> </w:t>
      </w:r>
      <w:r>
        <w:rPr>
          <w:u w:val="single"/>
        </w:rPr>
        <w:t>Areas</w:t>
      </w:r>
    </w:p>
    <w:p w14:paraId="6D29120D" w14:textId="77777777" w:rsidR="000931B4" w:rsidRDefault="00D16807">
      <w:pPr>
        <w:pStyle w:val="BodyText"/>
        <w:spacing w:before="185" w:line="256" w:lineRule="auto"/>
        <w:ind w:right="676"/>
      </w:pPr>
      <w:r>
        <w:t xml:space="preserve">The Taskforce agreed on </w:t>
      </w:r>
      <w:proofErr w:type="gramStart"/>
      <w:r>
        <w:t>a number of</w:t>
      </w:r>
      <w:proofErr w:type="gramEnd"/>
      <w:r>
        <w:t xml:space="preserve"> priority areas to further progress and i</w:t>
      </w:r>
      <w:r>
        <w:t>nform the</w:t>
      </w:r>
      <w:r>
        <w:rPr>
          <w:spacing w:val="-52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Strategy. These include:</w:t>
      </w:r>
    </w:p>
    <w:p w14:paraId="5BA66000" w14:textId="77777777" w:rsidR="000931B4" w:rsidRDefault="00D1680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64"/>
        <w:ind w:left="860"/>
        <w:rPr>
          <w:sz w:val="24"/>
        </w:rPr>
      </w:pPr>
      <w:r>
        <w:rPr>
          <w:sz w:val="24"/>
        </w:rPr>
        <w:t>Rural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Remote</w:t>
      </w:r>
    </w:p>
    <w:p w14:paraId="18BDD3C4" w14:textId="77777777" w:rsidR="000931B4" w:rsidRDefault="00D1680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3"/>
        <w:ind w:left="860"/>
        <w:rPr>
          <w:sz w:val="24"/>
        </w:rPr>
      </w:pPr>
      <w:r>
        <w:rPr>
          <w:sz w:val="24"/>
        </w:rPr>
        <w:t>Aboriginal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Torres</w:t>
      </w:r>
      <w:r>
        <w:rPr>
          <w:spacing w:val="-4"/>
          <w:sz w:val="24"/>
        </w:rPr>
        <w:t xml:space="preserve"> </w:t>
      </w:r>
      <w:r>
        <w:rPr>
          <w:sz w:val="24"/>
        </w:rPr>
        <w:t>Strait islander</w:t>
      </w:r>
      <w:r>
        <w:rPr>
          <w:spacing w:val="-4"/>
          <w:sz w:val="24"/>
        </w:rPr>
        <w:t xml:space="preserve"> </w:t>
      </w:r>
      <w:r>
        <w:rPr>
          <w:sz w:val="24"/>
        </w:rPr>
        <w:t>Communities</w:t>
      </w:r>
    </w:p>
    <w:p w14:paraId="4571D208" w14:textId="77777777" w:rsidR="000931B4" w:rsidRDefault="00D1680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3"/>
        <w:ind w:left="860"/>
        <w:rPr>
          <w:sz w:val="24"/>
        </w:rPr>
      </w:pPr>
      <w:r>
        <w:rPr>
          <w:sz w:val="24"/>
        </w:rPr>
        <w:t>Workforce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</w:p>
    <w:p w14:paraId="3A934FDA" w14:textId="77777777" w:rsidR="000931B4" w:rsidRDefault="00D1680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3"/>
        <w:ind w:left="860"/>
        <w:rPr>
          <w:sz w:val="24"/>
        </w:rPr>
      </w:pP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Lived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</w:p>
    <w:p w14:paraId="406B3AF5" w14:textId="77777777" w:rsidR="000931B4" w:rsidRDefault="00D1680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3" w:line="384" w:lineRule="auto"/>
        <w:ind w:left="139" w:right="4135" w:firstLine="360"/>
        <w:rPr>
          <w:sz w:val="24"/>
        </w:rPr>
      </w:pPr>
      <w:r>
        <w:rPr>
          <w:sz w:val="24"/>
        </w:rPr>
        <w:t>Inter-jurisdictional and Inter-governmental.</w:t>
      </w:r>
      <w:r>
        <w:rPr>
          <w:spacing w:val="-52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noted</w:t>
      </w:r>
      <w:r>
        <w:rPr>
          <w:spacing w:val="1"/>
          <w:sz w:val="24"/>
        </w:rPr>
        <w:t xml:space="preserve"> </w:t>
      </w:r>
      <w:r>
        <w:rPr>
          <w:sz w:val="24"/>
        </w:rPr>
        <w:t>the:</w:t>
      </w:r>
    </w:p>
    <w:p w14:paraId="6CC19DE5" w14:textId="77777777" w:rsidR="000931B4" w:rsidRDefault="00D16807">
      <w:pPr>
        <w:pStyle w:val="ListParagraph"/>
        <w:numPr>
          <w:ilvl w:val="0"/>
          <w:numId w:val="1"/>
        </w:numPr>
        <w:tabs>
          <w:tab w:val="left" w:pos="910"/>
          <w:tab w:val="left" w:pos="911"/>
        </w:tabs>
        <w:spacing w:before="17" w:line="259" w:lineRule="auto"/>
        <w:ind w:left="910" w:right="758"/>
        <w:rPr>
          <w:sz w:val="24"/>
        </w:rPr>
      </w:pPr>
      <w:r>
        <w:rPr>
          <w:sz w:val="24"/>
        </w:rPr>
        <w:t>need for the mental health workforce to have the skills required to operate in</w:t>
      </w:r>
      <w:r>
        <w:rPr>
          <w:spacing w:val="-5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models of</w:t>
      </w:r>
      <w:r>
        <w:rPr>
          <w:spacing w:val="2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5AD352AD" w14:textId="77777777" w:rsidR="000931B4" w:rsidRDefault="00D16807">
      <w:pPr>
        <w:pStyle w:val="ListParagraph"/>
        <w:numPr>
          <w:ilvl w:val="0"/>
          <w:numId w:val="1"/>
        </w:numPr>
        <w:tabs>
          <w:tab w:val="left" w:pos="910"/>
          <w:tab w:val="left" w:pos="911"/>
        </w:tabs>
        <w:spacing w:line="256" w:lineRule="auto"/>
        <w:ind w:left="910" w:right="595"/>
        <w:rPr>
          <w:sz w:val="24"/>
        </w:rPr>
      </w:pPr>
      <w:r>
        <w:rPr>
          <w:sz w:val="24"/>
        </w:rPr>
        <w:t>role of both consumers and carers and their contribution to each o</w:t>
      </w:r>
      <w:r>
        <w:rPr>
          <w:sz w:val="24"/>
        </w:rPr>
        <w:t>f the priority</w:t>
      </w:r>
      <w:r>
        <w:rPr>
          <w:spacing w:val="-52"/>
          <w:sz w:val="24"/>
        </w:rPr>
        <w:t xml:space="preserve"> </w:t>
      </w:r>
      <w:r>
        <w:rPr>
          <w:sz w:val="24"/>
        </w:rPr>
        <w:t>areas.</w:t>
      </w:r>
    </w:p>
    <w:p w14:paraId="781793AE" w14:textId="77777777" w:rsidR="000931B4" w:rsidRDefault="000931B4">
      <w:pPr>
        <w:spacing w:line="256" w:lineRule="auto"/>
        <w:rPr>
          <w:sz w:val="24"/>
        </w:rPr>
        <w:sectPr w:rsidR="000931B4">
          <w:footerReference w:type="default" r:id="rId9"/>
          <w:type w:val="continuous"/>
          <w:pgSz w:w="11910" w:h="16840"/>
          <w:pgMar w:top="680" w:right="1360" w:bottom="1240" w:left="1300" w:header="0" w:footer="1046" w:gutter="0"/>
          <w:pgNumType w:start="1"/>
          <w:cols w:space="720"/>
        </w:sectPr>
      </w:pPr>
    </w:p>
    <w:p w14:paraId="3B897C70" w14:textId="77777777" w:rsidR="000931B4" w:rsidRDefault="00D16807">
      <w:pPr>
        <w:pStyle w:val="BodyText"/>
        <w:spacing w:before="41" w:line="256" w:lineRule="auto"/>
        <w:ind w:right="626"/>
      </w:pPr>
      <w:r>
        <w:lastRenderedPageBreak/>
        <w:t>Working groups, led by individual members of the Taskforce, will further examine each</w:t>
      </w:r>
      <w:r>
        <w:rPr>
          <w:spacing w:val="-52"/>
        </w:rPr>
        <w:t xml:space="preserve"> </w:t>
      </w:r>
      <w:r>
        <w:t>priority area. Membership of the working groups and how they will operate will be</w:t>
      </w:r>
      <w:r>
        <w:rPr>
          <w:spacing w:val="1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Taskforce.</w:t>
      </w:r>
    </w:p>
    <w:p w14:paraId="2477A2D7" w14:textId="77777777" w:rsidR="000931B4" w:rsidRDefault="00D16807">
      <w:pPr>
        <w:pStyle w:val="BodyText"/>
        <w:spacing w:before="168" w:line="256" w:lineRule="auto"/>
        <w:ind w:right="337"/>
      </w:pPr>
      <w:r>
        <w:t>The Taskforce also agreed to further consider other areas of significance as the Strategy is</w:t>
      </w:r>
      <w:r>
        <w:rPr>
          <w:spacing w:val="-52"/>
        </w:rPr>
        <w:t xml:space="preserve"> </w:t>
      </w:r>
      <w:r>
        <w:t>developed.</w:t>
      </w:r>
    </w:p>
    <w:p w14:paraId="1CAED6E4" w14:textId="77777777" w:rsidR="000931B4" w:rsidRDefault="00D16807">
      <w:pPr>
        <w:pStyle w:val="BodyText"/>
        <w:spacing w:before="163"/>
      </w:pPr>
      <w:r>
        <w:rPr>
          <w:u w:val="single"/>
        </w:rPr>
        <w:t>Action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Areas</w:t>
      </w:r>
    </w:p>
    <w:p w14:paraId="7A76B8EC" w14:textId="77777777" w:rsidR="000931B4" w:rsidRDefault="00D16807">
      <w:pPr>
        <w:pStyle w:val="BodyText"/>
        <w:spacing w:before="182"/>
      </w:pPr>
      <w:r>
        <w:t>Members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agreed on</w:t>
      </w:r>
      <w:r>
        <w:rPr>
          <w:spacing w:val="-2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role.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include:</w:t>
      </w:r>
    </w:p>
    <w:p w14:paraId="37A13C9B" w14:textId="77777777" w:rsidR="000931B4" w:rsidRDefault="00D16807" w:rsidP="0025199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86" w:after="120" w:line="259" w:lineRule="auto"/>
        <w:ind w:left="859" w:right="103"/>
        <w:rPr>
          <w:sz w:val="24"/>
        </w:rPr>
      </w:pPr>
      <w:r>
        <w:rPr>
          <w:sz w:val="24"/>
        </w:rPr>
        <w:t>A literature review of existing jurisdictional workf</w:t>
      </w:r>
      <w:r>
        <w:rPr>
          <w:sz w:val="24"/>
        </w:rPr>
        <w:t>orce strategies and the most recent</w:t>
      </w:r>
      <w:r>
        <w:rPr>
          <w:spacing w:val="-52"/>
          <w:sz w:val="24"/>
        </w:rPr>
        <w:t xml:space="preserve"> </w:t>
      </w:r>
      <w:r>
        <w:rPr>
          <w:sz w:val="24"/>
        </w:rPr>
        <w:t>findings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reviews and</w:t>
      </w:r>
      <w:r>
        <w:rPr>
          <w:spacing w:val="1"/>
          <w:sz w:val="24"/>
        </w:rPr>
        <w:t xml:space="preserve"> </w:t>
      </w:r>
      <w:r>
        <w:rPr>
          <w:sz w:val="24"/>
        </w:rPr>
        <w:t>inquiries,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the:</w:t>
      </w:r>
    </w:p>
    <w:p w14:paraId="3F9EDE5A" w14:textId="77777777" w:rsidR="000931B4" w:rsidRDefault="00D16807" w:rsidP="0025199C">
      <w:pPr>
        <w:pStyle w:val="ListParagraph"/>
        <w:numPr>
          <w:ilvl w:val="1"/>
          <w:numId w:val="1"/>
        </w:numPr>
        <w:tabs>
          <w:tab w:val="left" w:pos="1580"/>
        </w:tabs>
        <w:spacing w:before="1" w:after="120"/>
        <w:ind w:hanging="361"/>
        <w:contextualSpacing/>
        <w:rPr>
          <w:sz w:val="24"/>
        </w:rPr>
      </w:pPr>
      <w:r>
        <w:rPr>
          <w:sz w:val="24"/>
        </w:rPr>
        <w:t>Productivity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Commission’s</w:t>
      </w:r>
      <w:r>
        <w:rPr>
          <w:spacing w:val="-1"/>
          <w:sz w:val="24"/>
        </w:rPr>
        <w:t xml:space="preserve"> </w:t>
      </w:r>
      <w:r>
        <w:rPr>
          <w:sz w:val="24"/>
        </w:rPr>
        <w:t>inquiry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health,</w:t>
      </w:r>
    </w:p>
    <w:p w14:paraId="4CC4E694" w14:textId="77777777" w:rsidR="000931B4" w:rsidRDefault="00D16807" w:rsidP="0025199C">
      <w:pPr>
        <w:pStyle w:val="ListParagraph"/>
        <w:numPr>
          <w:ilvl w:val="1"/>
          <w:numId w:val="1"/>
        </w:numPr>
        <w:tabs>
          <w:tab w:val="left" w:pos="1580"/>
        </w:tabs>
        <w:spacing w:before="14" w:after="120" w:line="252" w:lineRule="auto"/>
        <w:ind w:left="1579" w:right="545"/>
        <w:contextualSpacing/>
        <w:rPr>
          <w:sz w:val="24"/>
        </w:rPr>
      </w:pPr>
      <w:r>
        <w:rPr>
          <w:sz w:val="24"/>
        </w:rPr>
        <w:t xml:space="preserve">Senate report on the </w:t>
      </w:r>
      <w:r>
        <w:rPr>
          <w:i/>
          <w:sz w:val="24"/>
        </w:rPr>
        <w:t>Accessibility and quality of mental health services in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rural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remote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Australia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38CEAB56" w14:textId="77777777" w:rsidR="000931B4" w:rsidRDefault="00D16807" w:rsidP="0025199C">
      <w:pPr>
        <w:pStyle w:val="ListParagraph"/>
        <w:numPr>
          <w:ilvl w:val="1"/>
          <w:numId w:val="1"/>
        </w:numPr>
        <w:tabs>
          <w:tab w:val="left" w:pos="1573"/>
        </w:tabs>
        <w:spacing w:before="11" w:after="120"/>
        <w:ind w:left="1572" w:hanging="356"/>
        <w:rPr>
          <w:sz w:val="24"/>
        </w:rPr>
      </w:pPr>
      <w:r>
        <w:rPr>
          <w:sz w:val="24"/>
        </w:rPr>
        <w:t>Royal</w:t>
      </w:r>
      <w:r>
        <w:rPr>
          <w:spacing w:val="-3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Victoria’s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05E466DF" w14:textId="77777777" w:rsidR="000931B4" w:rsidRDefault="00D16807" w:rsidP="0025199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after="120"/>
        <w:ind w:left="860" w:hanging="361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identifies:</w:t>
      </w:r>
    </w:p>
    <w:p w14:paraId="264B1A82" w14:textId="77777777" w:rsidR="000931B4" w:rsidRDefault="00D16807" w:rsidP="0025199C">
      <w:pPr>
        <w:pStyle w:val="ListParagraph"/>
        <w:numPr>
          <w:ilvl w:val="1"/>
          <w:numId w:val="1"/>
        </w:numPr>
        <w:tabs>
          <w:tab w:val="left" w:pos="1580"/>
        </w:tabs>
        <w:spacing w:before="24" w:after="120" w:line="257" w:lineRule="auto"/>
        <w:ind w:left="1576" w:right="232" w:hanging="357"/>
        <w:contextualSpacing/>
        <w:rPr>
          <w:sz w:val="24"/>
        </w:rPr>
      </w:pPr>
      <w:r>
        <w:rPr>
          <w:sz w:val="24"/>
        </w:rPr>
        <w:t>what the current and future supply and demand of the mental health</w:t>
      </w:r>
      <w:r>
        <w:rPr>
          <w:spacing w:val="1"/>
          <w:sz w:val="24"/>
        </w:rPr>
        <w:t xml:space="preserve"> </w:t>
      </w:r>
      <w:r>
        <w:rPr>
          <w:sz w:val="24"/>
        </w:rPr>
        <w:t>workforce might look like, including demand implications of other sectors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National Disability Insurance Scheme, Alcohol and Other Drugs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Aged</w:t>
      </w:r>
      <w:r>
        <w:rPr>
          <w:spacing w:val="-1"/>
          <w:sz w:val="24"/>
        </w:rPr>
        <w:t xml:space="preserve"> </w:t>
      </w:r>
      <w:r>
        <w:rPr>
          <w:sz w:val="24"/>
        </w:rPr>
        <w:t>Care;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2A44A81F" w14:textId="77777777" w:rsidR="000931B4" w:rsidRDefault="00D16807" w:rsidP="0025199C">
      <w:pPr>
        <w:pStyle w:val="ListParagraph"/>
        <w:numPr>
          <w:ilvl w:val="1"/>
          <w:numId w:val="1"/>
        </w:numPr>
        <w:tabs>
          <w:tab w:val="left" w:pos="1580"/>
        </w:tabs>
        <w:spacing w:before="3" w:after="120" w:line="252" w:lineRule="auto"/>
        <w:ind w:left="1579" w:right="623"/>
        <w:rPr>
          <w:sz w:val="24"/>
        </w:rPr>
      </w:pPr>
      <w:r>
        <w:rPr>
          <w:sz w:val="24"/>
        </w:rPr>
        <w:t>data gaps for the no</w:t>
      </w:r>
      <w:r>
        <w:rPr>
          <w:sz w:val="24"/>
        </w:rPr>
        <w:t>n-registered mental health practitioners and how to</w:t>
      </w:r>
      <w:r>
        <w:rPr>
          <w:spacing w:val="-5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them.</w:t>
      </w:r>
    </w:p>
    <w:p w14:paraId="3FE29161" w14:textId="77777777" w:rsidR="000931B4" w:rsidRDefault="00D16807" w:rsidP="0025199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after="120"/>
        <w:ind w:left="860" w:hanging="361"/>
        <w:rPr>
          <w:sz w:val="24"/>
        </w:rPr>
      </w:pPr>
      <w:r>
        <w:rPr>
          <w:sz w:val="24"/>
        </w:rPr>
        <w:t>Labour</w:t>
      </w:r>
      <w:r>
        <w:rPr>
          <w:spacing w:val="-4"/>
          <w:sz w:val="24"/>
        </w:rPr>
        <w:t xml:space="preserve"> </w:t>
      </w:r>
      <w:r>
        <w:rPr>
          <w:sz w:val="24"/>
        </w:rPr>
        <w:t>market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health workforce</w:t>
      </w:r>
      <w:r>
        <w:rPr>
          <w:spacing w:val="-1"/>
          <w:sz w:val="24"/>
        </w:rPr>
        <w:t xml:space="preserve"> </w:t>
      </w:r>
      <w:r>
        <w:rPr>
          <w:sz w:val="24"/>
        </w:rPr>
        <w:t>looking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the:</w:t>
      </w:r>
    </w:p>
    <w:p w14:paraId="71F00330" w14:textId="77777777" w:rsidR="000931B4" w:rsidRDefault="00D16807" w:rsidP="0025199C">
      <w:pPr>
        <w:pStyle w:val="ListParagraph"/>
        <w:numPr>
          <w:ilvl w:val="1"/>
          <w:numId w:val="1"/>
        </w:numPr>
        <w:tabs>
          <w:tab w:val="left" w:pos="1580"/>
        </w:tabs>
        <w:spacing w:before="26" w:after="120" w:line="252" w:lineRule="auto"/>
        <w:ind w:left="1579" w:right="246"/>
        <w:contextualSpacing/>
        <w:rPr>
          <w:sz w:val="24"/>
        </w:rPr>
      </w:pPr>
      <w:r>
        <w:rPr>
          <w:sz w:val="24"/>
        </w:rPr>
        <w:t>viability of private practice from an employee, employer and commissioners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services view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point;</w:t>
      </w:r>
      <w:proofErr w:type="gramEnd"/>
    </w:p>
    <w:p w14:paraId="1FB7372F" w14:textId="77777777" w:rsidR="000931B4" w:rsidRDefault="00D16807" w:rsidP="0025199C">
      <w:pPr>
        <w:pStyle w:val="ListParagraph"/>
        <w:numPr>
          <w:ilvl w:val="1"/>
          <w:numId w:val="1"/>
        </w:numPr>
        <w:tabs>
          <w:tab w:val="left" w:pos="1580"/>
        </w:tabs>
        <w:spacing w:before="8" w:after="120"/>
        <w:ind w:hanging="361"/>
        <w:contextualSpacing/>
        <w:rPr>
          <w:sz w:val="24"/>
        </w:rPr>
      </w:pP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workforce</w:t>
      </w:r>
      <w:r>
        <w:rPr>
          <w:spacing w:val="-4"/>
          <w:sz w:val="24"/>
        </w:rPr>
        <w:t xml:space="preserve"> </w:t>
      </w:r>
      <w:r>
        <w:rPr>
          <w:sz w:val="24"/>
        </w:rPr>
        <w:t>pressures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2CCCB88" w14:textId="77777777" w:rsidR="000931B4" w:rsidRDefault="00D16807" w:rsidP="0025199C">
      <w:pPr>
        <w:pStyle w:val="ListParagraph"/>
        <w:numPr>
          <w:ilvl w:val="1"/>
          <w:numId w:val="1"/>
        </w:numPr>
        <w:tabs>
          <w:tab w:val="left" w:pos="1580"/>
        </w:tabs>
        <w:spacing w:before="17" w:after="120"/>
        <w:ind w:hanging="361"/>
        <w:rPr>
          <w:sz w:val="24"/>
        </w:rPr>
      </w:pP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mental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workforce</w:t>
      </w:r>
    </w:p>
    <w:p w14:paraId="10C59B58" w14:textId="77777777" w:rsidR="000931B4" w:rsidRDefault="00D16807" w:rsidP="0025199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after="120" w:line="259" w:lineRule="auto"/>
        <w:ind w:left="859" w:right="193"/>
        <w:rPr>
          <w:sz w:val="24"/>
        </w:rPr>
      </w:pPr>
      <w:r>
        <w:rPr>
          <w:sz w:val="24"/>
        </w:rPr>
        <w:t>A review of the capacity of educational institutions in the tertiary, vocational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community education sectors to respond to increased demand for mental health</w:t>
      </w:r>
      <w:r>
        <w:rPr>
          <w:spacing w:val="1"/>
          <w:sz w:val="24"/>
        </w:rPr>
        <w:t xml:space="preserve"> </w:t>
      </w:r>
      <w:r>
        <w:rPr>
          <w:sz w:val="24"/>
        </w:rPr>
        <w:t>workers, with a discussion on training requirements and incentives for employers to</w:t>
      </w:r>
      <w:r>
        <w:rPr>
          <w:spacing w:val="-5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tr</w:t>
      </w:r>
      <w:r>
        <w:rPr>
          <w:sz w:val="24"/>
        </w:rPr>
        <w:t>aining.</w:t>
      </w:r>
    </w:p>
    <w:p w14:paraId="07E53406" w14:textId="77777777" w:rsidR="000931B4" w:rsidRDefault="00D16807">
      <w:pPr>
        <w:pStyle w:val="BodyText"/>
        <w:spacing w:before="160" w:line="256" w:lineRule="auto"/>
        <w:ind w:left="139" w:right="270"/>
      </w:pPr>
      <w:r>
        <w:t>The Department of Health and the National Mental Health Commission will progress these</w:t>
      </w:r>
      <w:r>
        <w:rPr>
          <w:spacing w:val="-52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consultation</w:t>
      </w:r>
      <w:r>
        <w:rPr>
          <w:spacing w:val="-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Taskforce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experts.</w:t>
      </w:r>
    </w:p>
    <w:p w14:paraId="7F096E5E" w14:textId="77777777" w:rsidR="000931B4" w:rsidRDefault="00D16807">
      <w:pPr>
        <w:pStyle w:val="BodyText"/>
        <w:spacing w:before="162"/>
      </w:pPr>
      <w:r>
        <w:rPr>
          <w:u w:val="single"/>
        </w:rPr>
        <w:t>Next</w:t>
      </w:r>
      <w:r>
        <w:rPr>
          <w:spacing w:val="-1"/>
          <w:u w:val="single"/>
        </w:rPr>
        <w:t xml:space="preserve"> </w:t>
      </w:r>
      <w:r>
        <w:rPr>
          <w:u w:val="single"/>
        </w:rPr>
        <w:t>Meeting</w:t>
      </w:r>
    </w:p>
    <w:p w14:paraId="27DC0216" w14:textId="77777777" w:rsidR="000931B4" w:rsidRDefault="00D16807">
      <w:pPr>
        <w:pStyle w:val="BodyText"/>
        <w:spacing w:before="188" w:line="254" w:lineRule="auto"/>
        <w:ind w:right="300"/>
      </w:pPr>
      <w:r>
        <w:t>The next meeting of the Taskforce will be held on Friday 24 April and will focus on the role</w:t>
      </w:r>
      <w:r>
        <w:rPr>
          <w:spacing w:val="-5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working groups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addressing priority</w:t>
      </w:r>
      <w:r>
        <w:rPr>
          <w:spacing w:val="-1"/>
        </w:rPr>
        <w:t xml:space="preserve"> </w:t>
      </w:r>
      <w:r>
        <w:t>areas.</w:t>
      </w:r>
    </w:p>
    <w:sectPr w:rsidR="000931B4">
      <w:pgSz w:w="11910" w:h="16840"/>
      <w:pgMar w:top="1380" w:right="1360" w:bottom="1240" w:left="130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2984F" w14:textId="77777777" w:rsidR="00000000" w:rsidRDefault="00D16807">
      <w:r>
        <w:separator/>
      </w:r>
    </w:p>
  </w:endnote>
  <w:endnote w:type="continuationSeparator" w:id="0">
    <w:p w14:paraId="14E36145" w14:textId="77777777" w:rsidR="00000000" w:rsidRDefault="00D1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F2B9" w14:textId="77777777" w:rsidR="000931B4" w:rsidRDefault="00D16807">
    <w:pPr>
      <w:pStyle w:val="BodyText"/>
      <w:spacing w:line="14" w:lineRule="auto"/>
      <w:ind w:left="0"/>
      <w:rPr>
        <w:sz w:val="20"/>
      </w:rPr>
    </w:pPr>
    <w:r>
      <w:pict w14:anchorId="6F01768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4.2pt;margin-top:778.65pt;width:13.1pt;height:14pt;z-index:-251658752;mso-position-horizontal-relative:page;mso-position-vertical-relative:page" filled="f" stroked="f">
          <v:textbox inset="0,0,0,0">
            <w:txbxContent>
              <w:p w14:paraId="262CDE8A" w14:textId="77777777" w:rsidR="000931B4" w:rsidRDefault="00D16807">
                <w:pPr>
                  <w:pStyle w:val="BodyText"/>
                  <w:spacing w:line="26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7F907" w14:textId="77777777" w:rsidR="00000000" w:rsidRDefault="00D16807">
      <w:r>
        <w:separator/>
      </w:r>
    </w:p>
  </w:footnote>
  <w:footnote w:type="continuationSeparator" w:id="0">
    <w:p w14:paraId="2FCD0DB0" w14:textId="77777777" w:rsidR="00000000" w:rsidRDefault="00D1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196461"/>
    <w:multiLevelType w:val="hybridMultilevel"/>
    <w:tmpl w:val="532065E4"/>
    <w:lvl w:ilvl="0" w:tplc="4DECA574">
      <w:numFmt w:val="bullet"/>
      <w:lvlText w:val=""/>
      <w:lvlJc w:val="left"/>
      <w:pPr>
        <w:ind w:left="1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E0C47478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2" w:tplc="AFF6EDEC">
      <w:numFmt w:val="bullet"/>
      <w:lvlText w:val="•"/>
      <w:lvlJc w:val="left"/>
      <w:pPr>
        <w:ind w:left="2431" w:hanging="360"/>
      </w:pPr>
      <w:rPr>
        <w:rFonts w:hint="default"/>
        <w:lang w:val="en-AU" w:eastAsia="en-US" w:bidi="ar-SA"/>
      </w:rPr>
    </w:lvl>
    <w:lvl w:ilvl="3" w:tplc="14D46146">
      <w:numFmt w:val="bullet"/>
      <w:lvlText w:val="•"/>
      <w:lvlJc w:val="left"/>
      <w:pPr>
        <w:ind w:left="3283" w:hanging="360"/>
      </w:pPr>
      <w:rPr>
        <w:rFonts w:hint="default"/>
        <w:lang w:val="en-AU" w:eastAsia="en-US" w:bidi="ar-SA"/>
      </w:rPr>
    </w:lvl>
    <w:lvl w:ilvl="4" w:tplc="59B619BC">
      <w:numFmt w:val="bullet"/>
      <w:lvlText w:val="•"/>
      <w:lvlJc w:val="left"/>
      <w:pPr>
        <w:ind w:left="4135" w:hanging="360"/>
      </w:pPr>
      <w:rPr>
        <w:rFonts w:hint="default"/>
        <w:lang w:val="en-AU" w:eastAsia="en-US" w:bidi="ar-SA"/>
      </w:rPr>
    </w:lvl>
    <w:lvl w:ilvl="5" w:tplc="8D00B716">
      <w:numFmt w:val="bullet"/>
      <w:lvlText w:val="•"/>
      <w:lvlJc w:val="left"/>
      <w:pPr>
        <w:ind w:left="4987" w:hanging="360"/>
      </w:pPr>
      <w:rPr>
        <w:rFonts w:hint="default"/>
        <w:lang w:val="en-AU" w:eastAsia="en-US" w:bidi="ar-SA"/>
      </w:rPr>
    </w:lvl>
    <w:lvl w:ilvl="6" w:tplc="35FA020E">
      <w:numFmt w:val="bullet"/>
      <w:lvlText w:val="•"/>
      <w:lvlJc w:val="left"/>
      <w:pPr>
        <w:ind w:left="5839" w:hanging="360"/>
      </w:pPr>
      <w:rPr>
        <w:rFonts w:hint="default"/>
        <w:lang w:val="en-AU" w:eastAsia="en-US" w:bidi="ar-SA"/>
      </w:rPr>
    </w:lvl>
    <w:lvl w:ilvl="7" w:tplc="0E066164">
      <w:numFmt w:val="bullet"/>
      <w:lvlText w:val="•"/>
      <w:lvlJc w:val="left"/>
      <w:pPr>
        <w:ind w:left="6690" w:hanging="360"/>
      </w:pPr>
      <w:rPr>
        <w:rFonts w:hint="default"/>
        <w:lang w:val="en-AU" w:eastAsia="en-US" w:bidi="ar-SA"/>
      </w:rPr>
    </w:lvl>
    <w:lvl w:ilvl="8" w:tplc="ABCC4ACA">
      <w:numFmt w:val="bullet"/>
      <w:lvlText w:val="•"/>
      <w:lvlJc w:val="left"/>
      <w:pPr>
        <w:ind w:left="7542" w:hanging="360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1B4"/>
    <w:rsid w:val="000931B4"/>
    <w:rsid w:val="0025199C"/>
    <w:rsid w:val="00A21C71"/>
    <w:rsid w:val="00D1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81146A1"/>
  <w15:docId w15:val="{A4E11031-8402-4C72-A879-C2C6670C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1587" w:right="153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committees-and-groups/national-mental-health-workforce-strategy-taskfor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NMHWS taskforce meeting communique – 27 March 2020</dc:title>
  <dc:subject>Health workforce; Mental health and suicide prevention</dc:subject>
  <dc:creator>Australian Government Department of Health</dc:creator>
  <cp:lastModifiedBy>MCCAY, Meryl</cp:lastModifiedBy>
  <cp:revision>2</cp:revision>
  <dcterms:created xsi:type="dcterms:W3CDTF">2021-07-23T05:48:00Z</dcterms:created>
  <dcterms:modified xsi:type="dcterms:W3CDTF">2021-07-23T06:16:00Z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2021-07-23T00:00:00Z</vt:filetime>
  </property>
</Properties>
</file>