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35CF9E2E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451860">
        <w:rPr>
          <w:sz w:val="28"/>
        </w:rPr>
        <w:t>23</w:t>
      </w:r>
      <w:r w:rsidR="00C354D5">
        <w:rPr>
          <w:sz w:val="28"/>
        </w:rPr>
        <w:t xml:space="preserve"> </w:t>
      </w:r>
      <w:r w:rsidR="005E3B89">
        <w:rPr>
          <w:sz w:val="28"/>
        </w:rPr>
        <w:t>October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653C9507" w:rsidR="00697BBB" w:rsidRDefault="00585C6B" w:rsidP="00585C6B">
      <w:r>
        <w:t xml:space="preserve">On </w:t>
      </w:r>
      <w:r w:rsidR="00451860">
        <w:t>23</w:t>
      </w:r>
      <w:r w:rsidR="009115F6">
        <w:t xml:space="preserve"> </w:t>
      </w:r>
      <w:r w:rsidR="00DB041E">
        <w:t>October</w:t>
      </w:r>
      <w:r w:rsidR="00F41A07">
        <w:t xml:space="preserve"> 2020</w:t>
      </w:r>
      <w:r>
        <w:t xml:space="preserve">, the </w:t>
      </w:r>
      <w:r w:rsidR="00451860">
        <w:t>eleventh</w:t>
      </w:r>
      <w:r>
        <w:t xml:space="preserve"> meeting of the National Mental Health Workforce Strateg</w:t>
      </w:r>
      <w:r w:rsidR="009115F6">
        <w:t>y Taskforce (the Taskforce) was</w:t>
      </w:r>
      <w:r w:rsidR="00C354D5">
        <w:t xml:space="preserve"> </w:t>
      </w:r>
      <w:r>
        <w:t>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19DC1A7A" w14:textId="47E49D88" w:rsidR="005637B1" w:rsidRPr="000C5B14" w:rsidRDefault="00451860" w:rsidP="00585C6B">
      <w:pPr>
        <w:rPr>
          <w:u w:val="single"/>
        </w:rPr>
      </w:pPr>
      <w:r>
        <w:rPr>
          <w:u w:val="single"/>
        </w:rPr>
        <w:t>Taskforce Working Group Reports and Recommendations</w:t>
      </w:r>
      <w:r w:rsidR="009115F6">
        <w:rPr>
          <w:u w:val="single"/>
        </w:rPr>
        <w:t xml:space="preserve"> </w:t>
      </w:r>
    </w:p>
    <w:p w14:paraId="354DC19E" w14:textId="61AAA069" w:rsidR="00E237B9" w:rsidRDefault="005156D6" w:rsidP="00E40E0E">
      <w:r>
        <w:t>Working Group Chairs provided members an overview of the findings, key themes and recommendations from the Working Group reports.</w:t>
      </w:r>
      <w:r w:rsidR="007467D4">
        <w:t xml:space="preserve"> </w:t>
      </w:r>
    </w:p>
    <w:p w14:paraId="5802D704" w14:textId="45E2BAD0" w:rsidR="007467D4" w:rsidRDefault="007467D4" w:rsidP="00E40E0E">
      <w:r>
        <w:t>Working Group reports outline</w:t>
      </w:r>
      <w:r w:rsidR="00A45BB4">
        <w:t>d</w:t>
      </w:r>
      <w:r>
        <w:t xml:space="preserve"> the findings across the five key priority areas of the National Mental Health Workforce Strategy (the Strategy):</w:t>
      </w:r>
    </w:p>
    <w:p w14:paraId="3404CE11" w14:textId="77777777" w:rsidR="007467D4" w:rsidRPr="00644911" w:rsidRDefault="007467D4" w:rsidP="007467D4">
      <w:pPr>
        <w:pStyle w:val="ListParagraph"/>
        <w:numPr>
          <w:ilvl w:val="0"/>
          <w:numId w:val="15"/>
        </w:numPr>
      </w:pPr>
      <w:r w:rsidRPr="00644911">
        <w:t>Rural and Remote</w:t>
      </w:r>
    </w:p>
    <w:p w14:paraId="37622CF4" w14:textId="77777777" w:rsidR="007467D4" w:rsidRPr="00644911" w:rsidRDefault="007467D4" w:rsidP="007467D4">
      <w:pPr>
        <w:pStyle w:val="ListParagraph"/>
        <w:numPr>
          <w:ilvl w:val="0"/>
          <w:numId w:val="15"/>
        </w:numPr>
      </w:pPr>
      <w:r w:rsidRPr="00644911">
        <w:t>Aboriginal and Torres Strait Islander communities</w:t>
      </w:r>
    </w:p>
    <w:p w14:paraId="4C63711E" w14:textId="77777777" w:rsidR="007467D4" w:rsidRPr="00644911" w:rsidRDefault="007467D4" w:rsidP="007467D4">
      <w:pPr>
        <w:pStyle w:val="ListParagraph"/>
        <w:numPr>
          <w:ilvl w:val="0"/>
          <w:numId w:val="15"/>
        </w:numPr>
      </w:pPr>
      <w:r w:rsidRPr="00644911">
        <w:t xml:space="preserve">Workforce Training and </w:t>
      </w:r>
      <w:r>
        <w:t>E</w:t>
      </w:r>
      <w:r w:rsidRPr="00644911">
        <w:t>ducation</w:t>
      </w:r>
    </w:p>
    <w:p w14:paraId="1DF77BFE" w14:textId="77777777" w:rsidR="007467D4" w:rsidRPr="00644911" w:rsidRDefault="007467D4" w:rsidP="007467D4">
      <w:pPr>
        <w:pStyle w:val="ListParagraph"/>
        <w:numPr>
          <w:ilvl w:val="0"/>
          <w:numId w:val="15"/>
        </w:numPr>
      </w:pPr>
      <w:r w:rsidRPr="00644911">
        <w:t>Peer and Lived Experience</w:t>
      </w:r>
    </w:p>
    <w:p w14:paraId="3A5C8EEC" w14:textId="48897F8B" w:rsidR="007467D4" w:rsidRDefault="007467D4" w:rsidP="007467D4">
      <w:pPr>
        <w:pStyle w:val="ListParagraph"/>
        <w:numPr>
          <w:ilvl w:val="0"/>
          <w:numId w:val="15"/>
        </w:numPr>
      </w:pPr>
      <w:r w:rsidRPr="00644911">
        <w:t>Inter-jurisdictional and Inter-governmental workforce policies and strategies</w:t>
      </w:r>
    </w:p>
    <w:p w14:paraId="1D3460AD" w14:textId="48079629" w:rsidR="00A45BB4" w:rsidRDefault="003B393E" w:rsidP="00A45BB4">
      <w:r>
        <w:t>M</w:t>
      </w:r>
      <w:r w:rsidR="00451860">
        <w:t>embers were</w:t>
      </w:r>
      <w:r w:rsidR="00E237B9">
        <w:t xml:space="preserve"> supportive of the </w:t>
      </w:r>
      <w:r w:rsidR="00A45BB4">
        <w:t>reports and highlighted a number of points following the presentations:</w:t>
      </w:r>
    </w:p>
    <w:p w14:paraId="7B2E1458" w14:textId="11E26C27" w:rsidR="00451860" w:rsidRDefault="00E237B9" w:rsidP="00A45BB4">
      <w:pPr>
        <w:pStyle w:val="ListParagraph"/>
        <w:numPr>
          <w:ilvl w:val="0"/>
          <w:numId w:val="14"/>
        </w:numPr>
      </w:pPr>
      <w:r>
        <w:t>v</w:t>
      </w:r>
      <w:r w:rsidR="003B393E">
        <w:t>alue and recognition of prior learning and experience is important for career and training pathways for the mental health workforce</w:t>
      </w:r>
    </w:p>
    <w:p w14:paraId="5F2D7F36" w14:textId="0D09F4D4" w:rsidR="00E237B9" w:rsidRDefault="00E237B9" w:rsidP="00E237B9">
      <w:pPr>
        <w:pStyle w:val="ListParagraph"/>
        <w:numPr>
          <w:ilvl w:val="0"/>
          <w:numId w:val="14"/>
        </w:numPr>
      </w:pPr>
      <w:r>
        <w:t>capturing the whole mental health workforce in data collection is valuable for workforce planning and identifying service gaps</w:t>
      </w:r>
    </w:p>
    <w:p w14:paraId="52022615" w14:textId="434AC816" w:rsidR="00E237B9" w:rsidRDefault="00E237B9" w:rsidP="00E237B9">
      <w:pPr>
        <w:pStyle w:val="ListParagraph"/>
        <w:numPr>
          <w:ilvl w:val="0"/>
          <w:numId w:val="14"/>
        </w:numPr>
      </w:pPr>
      <w:r>
        <w:t>the relationship between the mental health and physical health workforce</w:t>
      </w:r>
      <w:r w:rsidR="00A45BB4">
        <w:t xml:space="preserve"> is crucial for effective service delivery</w:t>
      </w:r>
      <w:r w:rsidR="00F6362D">
        <w:t>.</w:t>
      </w:r>
      <w:r w:rsidR="00A45BB4">
        <w:t xml:space="preserve"> </w:t>
      </w:r>
    </w:p>
    <w:p w14:paraId="53A5CE73" w14:textId="483FAC6C" w:rsidR="003B393E" w:rsidRDefault="00A45BB4" w:rsidP="003B393E">
      <w:r>
        <w:t xml:space="preserve">Members </w:t>
      </w:r>
      <w:r w:rsidR="001F5935">
        <w:t xml:space="preserve">noted the importance of </w:t>
      </w:r>
      <w:r>
        <w:t>ensuring the recommendations developed for the Strategy have the appropriate lead based</w:t>
      </w:r>
      <w:r w:rsidR="001F5935">
        <w:t xml:space="preserve"> on roles and responsibilities.</w:t>
      </w:r>
    </w:p>
    <w:p w14:paraId="3CCD31BB" w14:textId="3DA9DF64" w:rsidR="001F5935" w:rsidRDefault="001F5935" w:rsidP="001F5935">
      <w:r>
        <w:t>ACIL Allen will consolidate the recommendations ensuring alignment with the Taskforce Terms of Reference, key issues and priority areas of the Strategy.</w:t>
      </w:r>
    </w:p>
    <w:p w14:paraId="07EB1B4E" w14:textId="77777777" w:rsidR="001F5935" w:rsidRDefault="001F5935">
      <w:r>
        <w:br w:type="page"/>
      </w:r>
    </w:p>
    <w:p w14:paraId="78CDBC6E" w14:textId="7D73E1A9" w:rsidR="009463CD" w:rsidRPr="00A45BB4" w:rsidRDefault="00A45BB4" w:rsidP="009463CD">
      <w:pPr>
        <w:rPr>
          <w:u w:val="single"/>
        </w:rPr>
      </w:pPr>
      <w:r>
        <w:rPr>
          <w:u w:val="single"/>
        </w:rPr>
        <w:lastRenderedPageBreak/>
        <w:t>National Mental Health Consumer &amp; Carer Forum</w:t>
      </w:r>
    </w:p>
    <w:p w14:paraId="74F18AED" w14:textId="263B572A" w:rsidR="003B393E" w:rsidRDefault="00E237B9" w:rsidP="00E40E0E">
      <w:r>
        <w:t>On 5 November 2020, the Working Group reports will be presented to the National Mental Health Consumer and Carer Forum for consultation and feedback prior to finalisation.</w:t>
      </w:r>
    </w:p>
    <w:p w14:paraId="537FFD30" w14:textId="741E64FC" w:rsidR="007467D4" w:rsidRPr="007467D4" w:rsidRDefault="007467D4" w:rsidP="00E40E0E">
      <w:pPr>
        <w:rPr>
          <w:u w:val="single"/>
        </w:rPr>
      </w:pPr>
      <w:r>
        <w:rPr>
          <w:u w:val="single"/>
        </w:rPr>
        <w:t xml:space="preserve">Organising Framework for the National Mental Health Workforce Strategy </w:t>
      </w:r>
    </w:p>
    <w:p w14:paraId="40491ED5" w14:textId="3462315B" w:rsidR="007467D4" w:rsidRDefault="007467D4" w:rsidP="00E40E0E">
      <w:r>
        <w:t>Members provided feedback on the revised organising framework for the Strategy</w:t>
      </w:r>
      <w:r w:rsidR="009463CD">
        <w:t xml:space="preserve"> and were supportive of the final framework presented at the meeting.</w:t>
      </w:r>
    </w:p>
    <w:p w14:paraId="09869F21" w14:textId="77777777" w:rsidR="009463CD" w:rsidRDefault="009463CD" w:rsidP="009463CD">
      <w:pPr>
        <w:rPr>
          <w:u w:val="single"/>
        </w:rPr>
      </w:pPr>
      <w:r w:rsidRPr="005E3B89">
        <w:rPr>
          <w:u w:val="single"/>
        </w:rPr>
        <w:t>Next Meeting</w:t>
      </w:r>
    </w:p>
    <w:p w14:paraId="0C936FF6" w14:textId="0B88C361" w:rsidR="009463CD" w:rsidRDefault="009463CD" w:rsidP="009463CD">
      <w:r w:rsidRPr="005E3B89">
        <w:t>The next meeting of the Taskforce</w:t>
      </w:r>
      <w:r>
        <w:t xml:space="preserve"> will be held on 13 November 2020. </w:t>
      </w:r>
    </w:p>
    <w:p w14:paraId="75C61FAF" w14:textId="02926EDE" w:rsidR="00A45BB4" w:rsidRDefault="00A45BB4" w:rsidP="009463CD">
      <w:r>
        <w:t>The meeting will include</w:t>
      </w:r>
      <w:r w:rsidR="008F7EC2">
        <w:t xml:space="preserve"> </w:t>
      </w:r>
      <w:r w:rsidR="004928E6">
        <w:t xml:space="preserve">a discussion on the consolidated recommendations and </w:t>
      </w:r>
      <w:r w:rsidR="008F7EC2">
        <w:t>a presentation and discussion on the findings of the national mental health workforce supply and demand data analysis</w:t>
      </w:r>
      <w:r w:rsidR="004928E6">
        <w:t xml:space="preserve"> undertaken by the University of Queensland</w:t>
      </w:r>
      <w:r w:rsidR="008F7EC2">
        <w:t>.</w:t>
      </w:r>
    </w:p>
    <w:p w14:paraId="0F9CF823" w14:textId="125AFD0D" w:rsidR="000D291D" w:rsidRPr="00327A25" w:rsidRDefault="009463CD" w:rsidP="00E40E0E">
      <w:r>
        <w:t xml:space="preserve">Previous Taskforce meeting communiques are published </w:t>
      </w:r>
      <w:hyperlink r:id="rId7" w:history="1">
        <w:r w:rsidRPr="00D333F5">
          <w:rPr>
            <w:rStyle w:val="Hyperlink"/>
          </w:rPr>
          <w:t>here</w:t>
        </w:r>
      </w:hyperlink>
      <w:r w:rsidR="008F7EC2">
        <w:t>.</w:t>
      </w:r>
      <w:r w:rsidR="000D291D">
        <w:t xml:space="preserve"> </w:t>
      </w:r>
    </w:p>
    <w:sectPr w:rsidR="000D291D" w:rsidRPr="00327A25" w:rsidSect="00627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77DB82C1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2DF86CB5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637"/>
    <w:multiLevelType w:val="hybridMultilevel"/>
    <w:tmpl w:val="0A1AFB68"/>
    <w:lvl w:ilvl="0" w:tplc="61EC1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D2B"/>
    <w:multiLevelType w:val="hybridMultilevel"/>
    <w:tmpl w:val="F5A42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670"/>
    <w:multiLevelType w:val="hybridMultilevel"/>
    <w:tmpl w:val="BA20D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674"/>
    <w:multiLevelType w:val="hybridMultilevel"/>
    <w:tmpl w:val="2CF06AEE"/>
    <w:lvl w:ilvl="0" w:tplc="C9D45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A8"/>
    <w:multiLevelType w:val="hybridMultilevel"/>
    <w:tmpl w:val="320A18DA"/>
    <w:lvl w:ilvl="0" w:tplc="D7DE0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2F5"/>
    <w:multiLevelType w:val="hybridMultilevel"/>
    <w:tmpl w:val="EAB4B828"/>
    <w:lvl w:ilvl="0" w:tplc="082C0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5539"/>
    <w:multiLevelType w:val="hybridMultilevel"/>
    <w:tmpl w:val="598E3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4BA6"/>
    <w:multiLevelType w:val="hybridMultilevel"/>
    <w:tmpl w:val="BF78D6A8"/>
    <w:lvl w:ilvl="0" w:tplc="68504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94BDD"/>
    <w:rsid w:val="000C24B1"/>
    <w:rsid w:val="000C5B14"/>
    <w:rsid w:val="000D291D"/>
    <w:rsid w:val="000E35B7"/>
    <w:rsid w:val="00160FA0"/>
    <w:rsid w:val="001B5116"/>
    <w:rsid w:val="001C2321"/>
    <w:rsid w:val="001D2500"/>
    <w:rsid w:val="001E1892"/>
    <w:rsid w:val="001F5935"/>
    <w:rsid w:val="00202F4F"/>
    <w:rsid w:val="0027699F"/>
    <w:rsid w:val="00280050"/>
    <w:rsid w:val="002B0A7B"/>
    <w:rsid w:val="002C6FA6"/>
    <w:rsid w:val="002E0DC3"/>
    <w:rsid w:val="002E28B7"/>
    <w:rsid w:val="002E7CD7"/>
    <w:rsid w:val="00327A25"/>
    <w:rsid w:val="00327BB8"/>
    <w:rsid w:val="003420AD"/>
    <w:rsid w:val="0036186E"/>
    <w:rsid w:val="00372B14"/>
    <w:rsid w:val="003801B4"/>
    <w:rsid w:val="003A447C"/>
    <w:rsid w:val="003A6D7C"/>
    <w:rsid w:val="003B393E"/>
    <w:rsid w:val="003D2C31"/>
    <w:rsid w:val="003E30C5"/>
    <w:rsid w:val="003E6A74"/>
    <w:rsid w:val="003E6D0D"/>
    <w:rsid w:val="003F75A6"/>
    <w:rsid w:val="00404733"/>
    <w:rsid w:val="00451860"/>
    <w:rsid w:val="004928E6"/>
    <w:rsid w:val="00494EC0"/>
    <w:rsid w:val="004A4CAA"/>
    <w:rsid w:val="004E7ACC"/>
    <w:rsid w:val="00502738"/>
    <w:rsid w:val="00506C27"/>
    <w:rsid w:val="005119D7"/>
    <w:rsid w:val="005156D6"/>
    <w:rsid w:val="00527D5E"/>
    <w:rsid w:val="005637B1"/>
    <w:rsid w:val="00585C6B"/>
    <w:rsid w:val="005961F7"/>
    <w:rsid w:val="005B2288"/>
    <w:rsid w:val="005E3B89"/>
    <w:rsid w:val="005E536A"/>
    <w:rsid w:val="005F4241"/>
    <w:rsid w:val="005F760D"/>
    <w:rsid w:val="006061CC"/>
    <w:rsid w:val="00613E1E"/>
    <w:rsid w:val="00627772"/>
    <w:rsid w:val="00634618"/>
    <w:rsid w:val="00682879"/>
    <w:rsid w:val="00697BBB"/>
    <w:rsid w:val="006A5FA2"/>
    <w:rsid w:val="006E054B"/>
    <w:rsid w:val="006F01DF"/>
    <w:rsid w:val="0073030D"/>
    <w:rsid w:val="007467D4"/>
    <w:rsid w:val="007676E6"/>
    <w:rsid w:val="007741F5"/>
    <w:rsid w:val="0077469C"/>
    <w:rsid w:val="007F2C76"/>
    <w:rsid w:val="00820E0D"/>
    <w:rsid w:val="008437FA"/>
    <w:rsid w:val="008658F7"/>
    <w:rsid w:val="0088062C"/>
    <w:rsid w:val="0089752F"/>
    <w:rsid w:val="008F7EC2"/>
    <w:rsid w:val="009115F6"/>
    <w:rsid w:val="009463CD"/>
    <w:rsid w:val="00964177"/>
    <w:rsid w:val="009B1293"/>
    <w:rsid w:val="009C02C4"/>
    <w:rsid w:val="009D6DF1"/>
    <w:rsid w:val="00A14960"/>
    <w:rsid w:val="00A45BB4"/>
    <w:rsid w:val="00A47EC2"/>
    <w:rsid w:val="00A51B9A"/>
    <w:rsid w:val="00A5248A"/>
    <w:rsid w:val="00A67C68"/>
    <w:rsid w:val="00AA4E5D"/>
    <w:rsid w:val="00AC79F5"/>
    <w:rsid w:val="00AD585A"/>
    <w:rsid w:val="00AD7CD7"/>
    <w:rsid w:val="00AE2549"/>
    <w:rsid w:val="00B0347A"/>
    <w:rsid w:val="00B61BFE"/>
    <w:rsid w:val="00B85B41"/>
    <w:rsid w:val="00C047E5"/>
    <w:rsid w:val="00C16E16"/>
    <w:rsid w:val="00C354D5"/>
    <w:rsid w:val="00CB352F"/>
    <w:rsid w:val="00CB5783"/>
    <w:rsid w:val="00CC443C"/>
    <w:rsid w:val="00CE365B"/>
    <w:rsid w:val="00CF3CFA"/>
    <w:rsid w:val="00D12CD0"/>
    <w:rsid w:val="00D31EC2"/>
    <w:rsid w:val="00D333F5"/>
    <w:rsid w:val="00D41E31"/>
    <w:rsid w:val="00D60F20"/>
    <w:rsid w:val="00D83138"/>
    <w:rsid w:val="00D878C6"/>
    <w:rsid w:val="00DB041E"/>
    <w:rsid w:val="00DC046D"/>
    <w:rsid w:val="00DD078B"/>
    <w:rsid w:val="00DF5C7F"/>
    <w:rsid w:val="00E12FD4"/>
    <w:rsid w:val="00E16814"/>
    <w:rsid w:val="00E21D08"/>
    <w:rsid w:val="00E237B9"/>
    <w:rsid w:val="00E40E0E"/>
    <w:rsid w:val="00E563C1"/>
    <w:rsid w:val="00E7497A"/>
    <w:rsid w:val="00EA3B41"/>
    <w:rsid w:val="00EC149D"/>
    <w:rsid w:val="00EC1F76"/>
    <w:rsid w:val="00ED1E30"/>
    <w:rsid w:val="00EE0DFC"/>
    <w:rsid w:val="00EE2373"/>
    <w:rsid w:val="00EE75DD"/>
    <w:rsid w:val="00EF0E8D"/>
    <w:rsid w:val="00F066BF"/>
    <w:rsid w:val="00F14D6C"/>
    <w:rsid w:val="00F41A07"/>
    <w:rsid w:val="00F43379"/>
    <w:rsid w:val="00F4701F"/>
    <w:rsid w:val="00F6362D"/>
    <w:rsid w:val="00FA0AD2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5E3B8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national-mental-health-workforce-strategy-taskforce-communiq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23 October 2020</dc:title>
  <dc:subject>Health workforce; Mental health and suicide prevention</dc:subject>
  <dc:creator>Australian Government Department of Health</dc:creator>
  <cp:keywords>taskforce</cp:keywords>
  <dc:description/>
  <cp:lastModifiedBy>MCCAY, Meryl</cp:lastModifiedBy>
  <cp:revision>6</cp:revision>
  <cp:lastPrinted>2020-11-02T22:11:00Z</cp:lastPrinted>
  <dcterms:created xsi:type="dcterms:W3CDTF">2020-11-02T22:32:00Z</dcterms:created>
  <dcterms:modified xsi:type="dcterms:W3CDTF">2021-07-23T08:06:00Z</dcterms:modified>
</cp:coreProperties>
</file>