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1639" w14:textId="77777777" w:rsidR="00627772" w:rsidRDefault="00627772" w:rsidP="00585C6B">
      <w:pPr>
        <w:jc w:val="center"/>
        <w:rPr>
          <w:sz w:val="28"/>
        </w:rPr>
      </w:pPr>
    </w:p>
    <w:p w14:paraId="4B0640CA" w14:textId="6F2DC092" w:rsidR="00585C6B" w:rsidRPr="0088062C" w:rsidRDefault="00A51B9A" w:rsidP="00585C6B">
      <w:pPr>
        <w:jc w:val="center"/>
        <w:rPr>
          <w:sz w:val="28"/>
        </w:rPr>
      </w:pPr>
      <w:r>
        <w:rPr>
          <w:sz w:val="28"/>
        </w:rPr>
        <w:t xml:space="preserve">Communique </w:t>
      </w:r>
      <w:r w:rsidR="00557A19">
        <w:rPr>
          <w:sz w:val="28"/>
        </w:rPr>
        <w:t>13 November</w:t>
      </w:r>
      <w:r w:rsidR="009C02C4">
        <w:rPr>
          <w:sz w:val="28"/>
        </w:rPr>
        <w:t xml:space="preserve"> 2020</w:t>
      </w:r>
    </w:p>
    <w:p w14:paraId="49F070CB" w14:textId="77777777" w:rsidR="00280050" w:rsidRPr="0088062C" w:rsidRDefault="00585C6B" w:rsidP="00585C6B">
      <w:pPr>
        <w:jc w:val="center"/>
        <w:rPr>
          <w:sz w:val="28"/>
        </w:rPr>
      </w:pPr>
      <w:r w:rsidRPr="0088062C">
        <w:rPr>
          <w:sz w:val="28"/>
        </w:rPr>
        <w:t>National Mental Health Workforce Strategy Taskforce</w:t>
      </w:r>
    </w:p>
    <w:p w14:paraId="2823F104" w14:textId="77777777" w:rsidR="00585C6B" w:rsidRDefault="00585C6B" w:rsidP="00585C6B">
      <w:pPr>
        <w:pBdr>
          <w:bottom w:val="single" w:sz="6" w:space="1" w:color="auto"/>
        </w:pBdr>
      </w:pPr>
    </w:p>
    <w:p w14:paraId="4064D69F" w14:textId="294723D3" w:rsidR="00697BBB" w:rsidRDefault="00585C6B" w:rsidP="00585C6B">
      <w:r>
        <w:t xml:space="preserve">On </w:t>
      </w:r>
      <w:r w:rsidR="00557A19">
        <w:t xml:space="preserve">13 November </w:t>
      </w:r>
      <w:r w:rsidR="00F41A07">
        <w:t>2020</w:t>
      </w:r>
      <w:r>
        <w:t xml:space="preserve">, the </w:t>
      </w:r>
      <w:r w:rsidR="00557A19">
        <w:t>twelfth</w:t>
      </w:r>
      <w:r>
        <w:t xml:space="preserve"> meeting of the National Mental Health Workforce Strateg</w:t>
      </w:r>
      <w:r w:rsidR="009115F6">
        <w:t>y Taskforce (the Taskforce) was</w:t>
      </w:r>
      <w:r w:rsidR="00C354D5">
        <w:t xml:space="preserve"> </w:t>
      </w:r>
      <w:r>
        <w:t>held</w:t>
      </w:r>
      <w:r w:rsidR="009C02C4">
        <w:t xml:space="preserve"> by </w:t>
      </w:r>
      <w:r w:rsidR="00EE75DD">
        <w:t xml:space="preserve">video </w:t>
      </w:r>
      <w:r w:rsidR="009C02C4">
        <w:t>conference</w:t>
      </w:r>
      <w:r w:rsidR="009D6DF1">
        <w:t>.</w:t>
      </w:r>
    </w:p>
    <w:p w14:paraId="19DC1A7A" w14:textId="34D0CF64" w:rsidR="005637B1" w:rsidRPr="000C5B14" w:rsidRDefault="00557A19" w:rsidP="00585C6B">
      <w:pPr>
        <w:rPr>
          <w:u w:val="single"/>
        </w:rPr>
      </w:pPr>
      <w:r>
        <w:rPr>
          <w:u w:val="single"/>
        </w:rPr>
        <w:t>Analysis of National Mental Health Workforce Demand and Supply</w:t>
      </w:r>
    </w:p>
    <w:p w14:paraId="0D87ED54" w14:textId="3DE0236C" w:rsidR="00557A19" w:rsidRDefault="00557A19" w:rsidP="00E40E0E">
      <w:r>
        <w:t xml:space="preserve">The University of Queensland presented findings from their Stage 1 analysis of the national mental health workforce demand and supply </w:t>
      </w:r>
      <w:r w:rsidR="00706753">
        <w:t xml:space="preserve">report </w:t>
      </w:r>
      <w:r>
        <w:t>using the National Mental Health Service Planning Framework (NMHSPF).</w:t>
      </w:r>
      <w:r w:rsidR="00CF4EF3">
        <w:t xml:space="preserve"> </w:t>
      </w:r>
      <w:r>
        <w:t xml:space="preserve"> </w:t>
      </w:r>
    </w:p>
    <w:p w14:paraId="77AFABBC" w14:textId="5ABBB163" w:rsidR="00557A19" w:rsidRDefault="00785E7B" w:rsidP="00E40E0E">
      <w:r>
        <w:t>The analysis i</w:t>
      </w:r>
      <w:r w:rsidR="00420E79">
        <w:t>dentified</w:t>
      </w:r>
      <w:r>
        <w:t xml:space="preserve"> the breakdown of the workforce across service category and type including medical, tertiary qualified, vocationally qualified and peer workers</w:t>
      </w:r>
      <w:r w:rsidR="00706753">
        <w:t xml:space="preserve">. The distribution of workforces were analysed </w:t>
      </w:r>
      <w:r>
        <w:t xml:space="preserve">against mental illness severity levels including relapse prevention, indicated prevention, mild, moderate and severe. </w:t>
      </w:r>
      <w:r w:rsidR="00706753">
        <w:t xml:space="preserve">The analysis also looked at service settings and regional distribution by Modified Monash Model areas. </w:t>
      </w:r>
      <w:r w:rsidR="00CF4EF3">
        <w:t>The University of Queensland provided an overview of data sources, limitations in data for certai</w:t>
      </w:r>
      <w:r w:rsidR="00076E80">
        <w:t>n workforces and the methodology behind the analysis using the NMHSPF.</w:t>
      </w:r>
      <w:r>
        <w:t xml:space="preserve"> </w:t>
      </w:r>
    </w:p>
    <w:p w14:paraId="16D2EC8C" w14:textId="1CBC4450" w:rsidR="00557A19" w:rsidRDefault="00CF4EF3" w:rsidP="00E40E0E">
      <w:r>
        <w:t xml:space="preserve">Taskforce members </w:t>
      </w:r>
      <w:r w:rsidR="00706753">
        <w:t>discussed</w:t>
      </w:r>
      <w:r>
        <w:t xml:space="preserve"> the report and findings, noting limitations</w:t>
      </w:r>
      <w:r w:rsidR="00076E80">
        <w:t xml:space="preserve"> </w:t>
      </w:r>
      <w:r w:rsidR="00706753">
        <w:t xml:space="preserve">on data availability. </w:t>
      </w:r>
      <w:r w:rsidR="00076E80">
        <w:t>Members provided insights into alternative data sources</w:t>
      </w:r>
      <w:r w:rsidR="001D69BE">
        <w:t xml:space="preserve"> for workforces not captured by the NMHSPF</w:t>
      </w:r>
      <w:r w:rsidR="00076E80">
        <w:t>, the importance of indigenous health workers in rural areas</w:t>
      </w:r>
      <w:r w:rsidR="00706753">
        <w:t>,</w:t>
      </w:r>
      <w:r w:rsidR="001D69BE">
        <w:t xml:space="preserve"> estimates of the proportion of service delivery required for mental health care</w:t>
      </w:r>
      <w:r w:rsidR="00706753">
        <w:t xml:space="preserve"> and assumptions underlying the NMHSPF</w:t>
      </w:r>
      <w:r w:rsidR="001D69BE">
        <w:t xml:space="preserve">. </w:t>
      </w:r>
    </w:p>
    <w:p w14:paraId="025EC84A" w14:textId="6B007246" w:rsidR="00557A19" w:rsidRDefault="00557A19" w:rsidP="00E40E0E">
      <w:r>
        <w:t>Stage 2 will commence in January 2021 and produce a more refined NMHSPF comparative analysis of workforce supply and demand utilising additional datasets and consumer and service characteristics.</w:t>
      </w:r>
      <w:r w:rsidR="00076E80">
        <w:t xml:space="preserve"> This will include recommendations to address</w:t>
      </w:r>
      <w:r w:rsidR="001D69BE">
        <w:t xml:space="preserve"> identified</w:t>
      </w:r>
      <w:r w:rsidR="00076E80">
        <w:t xml:space="preserve"> data concerns.</w:t>
      </w:r>
    </w:p>
    <w:p w14:paraId="78CDBC6E" w14:textId="31CE4879" w:rsidR="009463CD" w:rsidRPr="00A45BB4" w:rsidRDefault="001D69BE" w:rsidP="009463CD">
      <w:pPr>
        <w:rPr>
          <w:u w:val="single"/>
        </w:rPr>
      </w:pPr>
      <w:r>
        <w:rPr>
          <w:u w:val="single"/>
        </w:rPr>
        <w:t>Consolidated Working Group Recommendations</w:t>
      </w:r>
    </w:p>
    <w:p w14:paraId="3E4AFD97" w14:textId="068514E4" w:rsidR="005B6C81" w:rsidRDefault="005B6C81" w:rsidP="00E40E0E">
      <w:r>
        <w:t xml:space="preserve">Mark Roddam, the Commonwealth Department of Health representative, addressed Taskforce members on the importance of </w:t>
      </w:r>
      <w:r w:rsidR="00785E7B">
        <w:t>prioritising</w:t>
      </w:r>
      <w:r>
        <w:t xml:space="preserve"> recommendations </w:t>
      </w:r>
      <w:r w:rsidR="00785E7B">
        <w:t xml:space="preserve">from the working groups </w:t>
      </w:r>
      <w:r w:rsidR="003023C2">
        <w:t>for Government</w:t>
      </w:r>
      <w:r>
        <w:t>.</w:t>
      </w:r>
    </w:p>
    <w:p w14:paraId="78740EF3" w14:textId="5052D85E" w:rsidR="001D69BE" w:rsidRDefault="001D69BE" w:rsidP="00E40E0E">
      <w:r>
        <w:t xml:space="preserve">ACIL Allen presented </w:t>
      </w:r>
      <w:r w:rsidR="00706753">
        <w:t xml:space="preserve">a paper </w:t>
      </w:r>
      <w:r>
        <w:t>on the consolidated working group recommendations</w:t>
      </w:r>
      <w:r w:rsidR="003A06AE">
        <w:t xml:space="preserve"> which were grouped into thematic areas including understanding need, mental health workforce competencies, job roles and utilisation, education and training, employment and practice </w:t>
      </w:r>
      <w:r w:rsidR="003A06AE">
        <w:lastRenderedPageBreak/>
        <w:t xml:space="preserve">and workforce data. Under these themes, </w:t>
      </w:r>
      <w:r w:rsidR="00706753">
        <w:t xml:space="preserve">high level </w:t>
      </w:r>
      <w:r w:rsidR="003A06AE">
        <w:t xml:space="preserve">recommendations were presented outlining the considerations and key workforces impacted. </w:t>
      </w:r>
    </w:p>
    <w:p w14:paraId="02BE3D73" w14:textId="3B569334" w:rsidR="001D69BE" w:rsidRDefault="001D69BE" w:rsidP="00E40E0E">
      <w:r>
        <w:t>Members were supportive of the</w:t>
      </w:r>
      <w:r w:rsidR="00706753">
        <w:t xml:space="preserve"> paper and </w:t>
      </w:r>
      <w:r>
        <w:t xml:space="preserve">approach </w:t>
      </w:r>
      <w:r w:rsidR="005B6C81">
        <w:t>to focus on the needs of those seeking mental health care</w:t>
      </w:r>
      <w:r w:rsidR="00706753">
        <w:t xml:space="preserve">. Members also noted the value in recognising </w:t>
      </w:r>
      <w:r w:rsidR="005B6C81">
        <w:t>the</w:t>
      </w:r>
      <w:r w:rsidR="003A06AE">
        <w:t xml:space="preserve"> work</w:t>
      </w:r>
      <w:r w:rsidR="005B6C81">
        <w:t xml:space="preserve"> settings</w:t>
      </w:r>
      <w:r w:rsidR="003A06AE">
        <w:t xml:space="preserve"> and the importance of career structures, retention, workforce development and leadership options</w:t>
      </w:r>
      <w:r w:rsidR="005B6C81">
        <w:t>.</w:t>
      </w:r>
    </w:p>
    <w:p w14:paraId="09869F21" w14:textId="77777777" w:rsidR="009463CD" w:rsidRDefault="009463CD" w:rsidP="009463CD">
      <w:pPr>
        <w:rPr>
          <w:u w:val="single"/>
        </w:rPr>
      </w:pPr>
      <w:r w:rsidRPr="005E3B89">
        <w:rPr>
          <w:u w:val="single"/>
        </w:rPr>
        <w:t>Next Meeting</w:t>
      </w:r>
    </w:p>
    <w:p w14:paraId="0C936FF6" w14:textId="383B5B01" w:rsidR="009463CD" w:rsidRDefault="009463CD" w:rsidP="009463CD">
      <w:r w:rsidRPr="005E3B89">
        <w:t>The next meeting of the Taskforce</w:t>
      </w:r>
      <w:r w:rsidR="003023C2">
        <w:t xml:space="preserve"> will be held on 27</w:t>
      </w:r>
      <w:r>
        <w:t xml:space="preserve"> November 2020. </w:t>
      </w:r>
    </w:p>
    <w:p w14:paraId="75C61FAF" w14:textId="7C5822B1" w:rsidR="00A45BB4" w:rsidRDefault="00A45BB4" w:rsidP="009463CD">
      <w:r>
        <w:t>The meeting will include</w:t>
      </w:r>
      <w:r w:rsidR="008F7EC2">
        <w:t xml:space="preserve"> </w:t>
      </w:r>
      <w:r w:rsidR="003023C2">
        <w:t xml:space="preserve">further </w:t>
      </w:r>
      <w:r w:rsidR="004928E6">
        <w:t xml:space="preserve">discussion on the consolidated recommendations and </w:t>
      </w:r>
      <w:r w:rsidR="008F7EC2">
        <w:t xml:space="preserve">discussion on the findings of the </w:t>
      </w:r>
      <w:r w:rsidR="003023C2">
        <w:t>Labour Market Analysis and Educational Institutions Review</w:t>
      </w:r>
      <w:r w:rsidR="004928E6">
        <w:t xml:space="preserve"> undertaken by the </w:t>
      </w:r>
      <w:r w:rsidR="003023C2">
        <w:t>ACIL Allen</w:t>
      </w:r>
      <w:r w:rsidR="008F7EC2">
        <w:t>.</w:t>
      </w:r>
    </w:p>
    <w:p w14:paraId="0F9CF823" w14:textId="71B9B3F3" w:rsidR="000D291D" w:rsidRPr="00327A25" w:rsidRDefault="009463CD" w:rsidP="00E40E0E">
      <w:r>
        <w:t xml:space="preserve">Previous Taskforce meeting communiques are published </w:t>
      </w:r>
      <w:hyperlink r:id="rId7" w:history="1">
        <w:r w:rsidRPr="00D333F5">
          <w:rPr>
            <w:rStyle w:val="Hyperlink"/>
          </w:rPr>
          <w:t>here</w:t>
        </w:r>
      </w:hyperlink>
      <w:r w:rsidR="008F7EC2">
        <w:t>.</w:t>
      </w:r>
      <w:r w:rsidR="000D291D">
        <w:t xml:space="preserve"> </w:t>
      </w:r>
    </w:p>
    <w:sectPr w:rsidR="000D291D" w:rsidRPr="00327A25" w:rsidSect="006277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3753" w14:textId="77777777" w:rsidR="002E0DC3" w:rsidRDefault="002E0DC3" w:rsidP="00585C6B">
      <w:pPr>
        <w:spacing w:after="0" w:line="240" w:lineRule="auto"/>
      </w:pPr>
      <w:r>
        <w:separator/>
      </w:r>
    </w:p>
  </w:endnote>
  <w:endnote w:type="continuationSeparator" w:id="0">
    <w:p w14:paraId="5D5FD625" w14:textId="77777777" w:rsidR="002E0DC3" w:rsidRDefault="002E0DC3" w:rsidP="0058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500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0A2D8" w14:textId="2E90F8AF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40E69" w14:textId="77777777" w:rsidR="005E536A" w:rsidRDefault="005E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1140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61EC9" w14:textId="1EDC75DF" w:rsidR="005E536A" w:rsidRDefault="005E5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E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87F56B" w14:textId="77777777" w:rsidR="005E536A" w:rsidRDefault="005E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BC7A" w14:textId="77777777" w:rsidR="002E0DC3" w:rsidRDefault="002E0DC3" w:rsidP="00585C6B">
      <w:pPr>
        <w:spacing w:after="0" w:line="240" w:lineRule="auto"/>
      </w:pPr>
      <w:r>
        <w:separator/>
      </w:r>
    </w:p>
  </w:footnote>
  <w:footnote w:type="continuationSeparator" w:id="0">
    <w:p w14:paraId="0F82A2F1" w14:textId="77777777" w:rsidR="002E0DC3" w:rsidRDefault="002E0DC3" w:rsidP="0058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9CEC" w14:textId="77777777" w:rsidR="0088062C" w:rsidRDefault="0088062C" w:rsidP="00372B14">
    <w:pPr>
      <w:pStyle w:val="Header"/>
      <w:jc w:val="center"/>
    </w:pPr>
  </w:p>
  <w:p w14:paraId="4014ECCA" w14:textId="77777777" w:rsidR="00372B14" w:rsidRDefault="00372B14" w:rsidP="00372B1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EBDBC" w14:textId="77777777" w:rsidR="00627772" w:rsidRDefault="00627772" w:rsidP="00627772">
    <w:pPr>
      <w:pStyle w:val="Header"/>
      <w:jc w:val="center"/>
    </w:pPr>
    <w:bookmarkStart w:id="0" w:name="imageHolder"/>
    <w:bookmarkEnd w:id="0"/>
    <w:r w:rsidRPr="00D912DB">
      <w:rPr>
        <w:noProof/>
        <w:sz w:val="28"/>
        <w:szCs w:val="28"/>
        <w:lang w:eastAsia="en-AU"/>
      </w:rPr>
      <w:drawing>
        <wp:inline distT="0" distB="0" distL="0" distR="0" wp14:anchorId="63FECE64" wp14:editId="4140CA97">
          <wp:extent cx="1688400" cy="1119600"/>
          <wp:effectExtent l="0" t="0" r="7620" b="4445"/>
          <wp:docPr id="2" name="Picture 2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5637"/>
    <w:multiLevelType w:val="hybridMultilevel"/>
    <w:tmpl w:val="0A1AFB68"/>
    <w:lvl w:ilvl="0" w:tplc="61EC14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D2B"/>
    <w:multiLevelType w:val="hybridMultilevel"/>
    <w:tmpl w:val="F5A429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670"/>
    <w:multiLevelType w:val="hybridMultilevel"/>
    <w:tmpl w:val="BA20D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0674"/>
    <w:multiLevelType w:val="hybridMultilevel"/>
    <w:tmpl w:val="2CF06AEE"/>
    <w:lvl w:ilvl="0" w:tplc="C9D45E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A8"/>
    <w:multiLevelType w:val="hybridMultilevel"/>
    <w:tmpl w:val="320A18DA"/>
    <w:lvl w:ilvl="0" w:tplc="D7DE03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930A5"/>
    <w:multiLevelType w:val="hybridMultilevel"/>
    <w:tmpl w:val="C4E4F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24A4C"/>
    <w:multiLevelType w:val="hybridMultilevel"/>
    <w:tmpl w:val="3152766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4782873"/>
    <w:multiLevelType w:val="hybridMultilevel"/>
    <w:tmpl w:val="FA066B50"/>
    <w:lvl w:ilvl="0" w:tplc="77F6BB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232F5"/>
    <w:multiLevelType w:val="hybridMultilevel"/>
    <w:tmpl w:val="EAB4B828"/>
    <w:lvl w:ilvl="0" w:tplc="082C04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05539"/>
    <w:multiLevelType w:val="hybridMultilevel"/>
    <w:tmpl w:val="598E3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34BA6"/>
    <w:multiLevelType w:val="hybridMultilevel"/>
    <w:tmpl w:val="BF78D6A8"/>
    <w:lvl w:ilvl="0" w:tplc="68504D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C657F"/>
    <w:multiLevelType w:val="hybridMultilevel"/>
    <w:tmpl w:val="2AD0B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A3D69"/>
    <w:multiLevelType w:val="hybridMultilevel"/>
    <w:tmpl w:val="5664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67CC8"/>
    <w:multiLevelType w:val="hybridMultilevel"/>
    <w:tmpl w:val="9446ECA6"/>
    <w:lvl w:ilvl="0" w:tplc="58E0DC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A18B8"/>
    <w:multiLevelType w:val="hybridMultilevel"/>
    <w:tmpl w:val="9398C474"/>
    <w:lvl w:ilvl="0" w:tplc="75A4B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14"/>
  </w:num>
  <w:num w:numId="6">
    <w:abstractNumId w:val="1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B"/>
    <w:rsid w:val="00076E80"/>
    <w:rsid w:val="00094BDD"/>
    <w:rsid w:val="000C24B1"/>
    <w:rsid w:val="000C5B14"/>
    <w:rsid w:val="000D291D"/>
    <w:rsid w:val="000E35B7"/>
    <w:rsid w:val="00160FA0"/>
    <w:rsid w:val="001A1872"/>
    <w:rsid w:val="001B5116"/>
    <w:rsid w:val="001C2321"/>
    <w:rsid w:val="001D2500"/>
    <w:rsid w:val="001D69BE"/>
    <w:rsid w:val="001E1892"/>
    <w:rsid w:val="001F5935"/>
    <w:rsid w:val="00202F4F"/>
    <w:rsid w:val="0027699F"/>
    <w:rsid w:val="00280050"/>
    <w:rsid w:val="002B0A7B"/>
    <w:rsid w:val="002C6FA6"/>
    <w:rsid w:val="002E0DC3"/>
    <w:rsid w:val="002E28B7"/>
    <w:rsid w:val="002E7CD7"/>
    <w:rsid w:val="003023C2"/>
    <w:rsid w:val="00327A25"/>
    <w:rsid w:val="00327BB8"/>
    <w:rsid w:val="003420AD"/>
    <w:rsid w:val="0036186E"/>
    <w:rsid w:val="00372B14"/>
    <w:rsid w:val="003801B4"/>
    <w:rsid w:val="003A06AE"/>
    <w:rsid w:val="003A447C"/>
    <w:rsid w:val="003A6D7C"/>
    <w:rsid w:val="003B393E"/>
    <w:rsid w:val="003D2C31"/>
    <w:rsid w:val="003E30C5"/>
    <w:rsid w:val="003E6A74"/>
    <w:rsid w:val="003E6D0D"/>
    <w:rsid w:val="003F75A6"/>
    <w:rsid w:val="00404733"/>
    <w:rsid w:val="00420E79"/>
    <w:rsid w:val="00451860"/>
    <w:rsid w:val="004928E6"/>
    <w:rsid w:val="00494EC0"/>
    <w:rsid w:val="004A4CAA"/>
    <w:rsid w:val="004E7ACC"/>
    <w:rsid w:val="00502738"/>
    <w:rsid w:val="00506C27"/>
    <w:rsid w:val="005119D7"/>
    <w:rsid w:val="005156D6"/>
    <w:rsid w:val="00527D5E"/>
    <w:rsid w:val="00557A19"/>
    <w:rsid w:val="005637B1"/>
    <w:rsid w:val="00585C6B"/>
    <w:rsid w:val="005961F7"/>
    <w:rsid w:val="005B2288"/>
    <w:rsid w:val="005B6C81"/>
    <w:rsid w:val="005E3B89"/>
    <w:rsid w:val="005E536A"/>
    <w:rsid w:val="005F4241"/>
    <w:rsid w:val="005F760D"/>
    <w:rsid w:val="006061CC"/>
    <w:rsid w:val="00613E1E"/>
    <w:rsid w:val="00627772"/>
    <w:rsid w:val="00634618"/>
    <w:rsid w:val="00682879"/>
    <w:rsid w:val="00697BBB"/>
    <w:rsid w:val="006A5FA2"/>
    <w:rsid w:val="006E054B"/>
    <w:rsid w:val="006F01DF"/>
    <w:rsid w:val="00706753"/>
    <w:rsid w:val="0073030D"/>
    <w:rsid w:val="007467D4"/>
    <w:rsid w:val="007676E6"/>
    <w:rsid w:val="007741F5"/>
    <w:rsid w:val="0077469C"/>
    <w:rsid w:val="00785E7B"/>
    <w:rsid w:val="007F2C76"/>
    <w:rsid w:val="00820E0D"/>
    <w:rsid w:val="008437FA"/>
    <w:rsid w:val="00854E7B"/>
    <w:rsid w:val="008658F7"/>
    <w:rsid w:val="0088062C"/>
    <w:rsid w:val="0089752F"/>
    <w:rsid w:val="008F0CB7"/>
    <w:rsid w:val="008F7EC2"/>
    <w:rsid w:val="009115F6"/>
    <w:rsid w:val="009463CD"/>
    <w:rsid w:val="00964177"/>
    <w:rsid w:val="009B1293"/>
    <w:rsid w:val="009C02C4"/>
    <w:rsid w:val="009D6DF1"/>
    <w:rsid w:val="00A14960"/>
    <w:rsid w:val="00A45BB4"/>
    <w:rsid w:val="00A47EC2"/>
    <w:rsid w:val="00A51B9A"/>
    <w:rsid w:val="00A5248A"/>
    <w:rsid w:val="00A67C68"/>
    <w:rsid w:val="00AA4E5D"/>
    <w:rsid w:val="00AC79F5"/>
    <w:rsid w:val="00AD585A"/>
    <w:rsid w:val="00AD7CD7"/>
    <w:rsid w:val="00AE2549"/>
    <w:rsid w:val="00B0347A"/>
    <w:rsid w:val="00B61BFE"/>
    <w:rsid w:val="00B85B41"/>
    <w:rsid w:val="00C047E5"/>
    <w:rsid w:val="00C16E16"/>
    <w:rsid w:val="00C354D5"/>
    <w:rsid w:val="00CB352F"/>
    <w:rsid w:val="00CB5783"/>
    <w:rsid w:val="00CC443C"/>
    <w:rsid w:val="00CE365B"/>
    <w:rsid w:val="00CF3CFA"/>
    <w:rsid w:val="00CF4EF3"/>
    <w:rsid w:val="00D12CD0"/>
    <w:rsid w:val="00D31EC2"/>
    <w:rsid w:val="00D333F5"/>
    <w:rsid w:val="00D41E31"/>
    <w:rsid w:val="00D60F20"/>
    <w:rsid w:val="00D83138"/>
    <w:rsid w:val="00D878C6"/>
    <w:rsid w:val="00DB041E"/>
    <w:rsid w:val="00DC046D"/>
    <w:rsid w:val="00DF5C7F"/>
    <w:rsid w:val="00E12FD4"/>
    <w:rsid w:val="00E16814"/>
    <w:rsid w:val="00E21D08"/>
    <w:rsid w:val="00E237B9"/>
    <w:rsid w:val="00E40E0E"/>
    <w:rsid w:val="00E563C1"/>
    <w:rsid w:val="00E7497A"/>
    <w:rsid w:val="00EA3B41"/>
    <w:rsid w:val="00EC149D"/>
    <w:rsid w:val="00EC1F76"/>
    <w:rsid w:val="00ED1E30"/>
    <w:rsid w:val="00EE0DFC"/>
    <w:rsid w:val="00EE2373"/>
    <w:rsid w:val="00EE75DD"/>
    <w:rsid w:val="00EF0E8D"/>
    <w:rsid w:val="00F066BF"/>
    <w:rsid w:val="00F14D6C"/>
    <w:rsid w:val="00F41A07"/>
    <w:rsid w:val="00F43379"/>
    <w:rsid w:val="00F4701F"/>
    <w:rsid w:val="00F6362D"/>
    <w:rsid w:val="00FA0AD2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F78693E"/>
  <w15:chartTrackingRefBased/>
  <w15:docId w15:val="{DD6C225F-D3CF-462E-A39A-F912DAA5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C6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85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C6B"/>
    <w:rPr>
      <w:rFonts w:asciiTheme="minorHAnsi" w:hAnsiTheme="minorHAnsi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A4C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29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29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33F5"/>
    <w:rPr>
      <w:color w:val="0563C1" w:themeColor="hyperlink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5E3B89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.gov.au/resources/collections/national-mental-health-workforce-strategy-taskforce-communiqu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NMHWS taskforce meeting communique – 13 November 2020</dc:title>
  <dc:subject>Health workforce; Mental health and suicide prevention</dc:subject>
  <dc:creator>Australian Government Department of Health</dc:creator>
  <cp:keywords>taskforce</cp:keywords>
  <dc:description/>
  <cp:lastModifiedBy>MCCAY, Meryl</cp:lastModifiedBy>
  <cp:revision>5</cp:revision>
  <cp:lastPrinted>2020-11-02T22:11:00Z</cp:lastPrinted>
  <dcterms:created xsi:type="dcterms:W3CDTF">2020-11-18T23:48:00Z</dcterms:created>
  <dcterms:modified xsi:type="dcterms:W3CDTF">2021-07-23T08:12:00Z</dcterms:modified>
</cp:coreProperties>
</file>